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2024</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8"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36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4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9" w:lineRule="exact"/>
        <w:rPr>
          <w:sz w:val="24"/>
          <w:szCs w:val="24"/>
          <w:color w:val="auto"/>
        </w:rPr>
      </w:pPr>
    </w:p>
    <w:p>
      <w:pPr>
        <w:ind w:right="168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December 4, 2024, 37,438,353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75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9"/>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60" w:type="dxa"/>
            <w:vAlign w:val="bottom"/>
          </w:tcPr>
          <w:p>
            <w:pPr>
              <w:spacing w:after="0"/>
              <w:rPr>
                <w:sz w:val="16"/>
                <w:szCs w:val="16"/>
                <w:color w:val="auto"/>
              </w:rPr>
            </w:pP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October 31, 2024, July 31, 2024 and October 31, 2023</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Months Ended October 31, 2024 and 2023</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Loss for the Three Months Ended October 31, 2024 and 2023</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Months Ended October 31, 2024 and 2023</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84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Three Months Ended October 31, 2024 and 2023</w:t>
            </w:r>
          </w:p>
        </w:tc>
        <w:tc>
          <w:tcPr>
            <w:tcW w:w="1260" w:type="dxa"/>
            <w:vAlign w:val="bottom"/>
          </w:tcPr>
          <w:p>
            <w:pPr>
              <w:spacing w:after="0"/>
              <w:rPr>
                <w:sz w:val="16"/>
                <w:szCs w:val="16"/>
                <w:color w:val="auto"/>
              </w:rPr>
            </w:pP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740" w:type="dxa"/>
            <w:vAlign w:val="bottom"/>
            <w:gridSpan w:val="8"/>
            <w:shd w:val="clear" w:color="auto" w:fill="CCEEFF"/>
          </w:tcPr>
          <w:p>
            <w:pPr>
              <w:spacing w:after="0"/>
              <w:rPr>
                <w:sz w:val="16"/>
                <w:szCs w:val="16"/>
                <w:color w:val="auto"/>
              </w:rPr>
            </w:pP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80" w:type="dxa"/>
            <w:vAlign w:val="bottom"/>
            <w:tcBorders>
              <w:bottom w:val="single" w:sz="8" w:color="CCEEFF"/>
            </w:tcBorders>
            <w:gridSpan w:val="6"/>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shd w:val="clear" w:color="auto" w:fill="CCEEFF"/>
          </w:tcPr>
          <w:p>
            <w:pPr>
              <w:spacing w:after="0"/>
              <w:rPr>
                <w:sz w:val="16"/>
                <w:szCs w:val="16"/>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shd w:val="clear" w:color="auto" w:fill="CCEEFF"/>
          </w:tcPr>
          <w:p>
            <w:pPr>
              <w:spacing w:after="0"/>
              <w:rPr>
                <w:sz w:val="18"/>
                <w:szCs w:val="18"/>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420" w:type="dxa"/>
            <w:vAlign w:val="bottom"/>
            <w:tcBorders>
              <w:top w:val="single" w:sz="8" w:color="CCEEFF"/>
            </w:tcBorders>
            <w:gridSpan w:val="9"/>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top w:val="single" w:sz="8" w:color="CCEEFF"/>
            </w:tcBorders>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420" w:type="dxa"/>
            <w:vAlign w:val="bottom"/>
            <w:tcBorders>
              <w:bottom w:val="single" w:sz="8" w:color="CCEEFF"/>
            </w:tcBorders>
            <w:gridSpan w:val="1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140" w:type="dxa"/>
            <w:vAlign w:val="bottom"/>
            <w:gridSpan w:val="14"/>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6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3"/>
        </w:trPr>
        <w:tc>
          <w:tcPr>
            <w:tcW w:w="5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403,768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322,827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728,859</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14,236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130,162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375,752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105,546</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152,943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118,988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157,707</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152,071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79,558</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130,861</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853,619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911,361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1,134,505</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2,434,776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2,422,635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2,344,601</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85,317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86,548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86,465</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1,671,080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1,677,975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1,668,028</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300,530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302,535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300,457</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254,489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256,627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187,128</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42,404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40,756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38,832</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5,642,215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5,698,437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5,760,016</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1,297,994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1,000,798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1,276,525</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8,628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55,358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57,045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57,153</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69,659</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1,363,667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1,113,309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1,362,847</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2,709,955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2,721,597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2,732,037</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233,304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233,465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165,462</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310,303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311,768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285,454</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279,687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279,815</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286,036</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4,896,916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4,659,954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4,831,836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46,922, 46,855</w:t>
            </w: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46,851 shares issued, respectively</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1,146,518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1,145,610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1,126,033</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(71,436)</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(78,376)</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524,450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780,431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619,727</w:t>
            </w:r>
          </w:p>
        </w:tc>
      </w:tr>
      <w:tr>
        <w:trPr>
          <w:trHeight w:val="230"/>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9,484, 9,370 and 8,885 shares, respectively (Note 11)</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(1,155,902)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(1,135,685)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(1,034,822)</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444,099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723,537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633,031</w:t>
            </w:r>
          </w:p>
        </w:tc>
      </w:tr>
      <w:tr>
        <w:trPr>
          <w:trHeight w:val="230"/>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301,200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314,946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295,149</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745,299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1,038,483</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928,180</w:t>
            </w:r>
          </w:p>
        </w:tc>
      </w:tr>
      <w:tr>
        <w:trPr>
          <w:trHeight w:val="223"/>
        </w:trPr>
        <w:tc>
          <w:tcPr>
            <w:tcW w:w="5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5,642,215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5,698,437</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5,760,016</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187,050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182,834</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73,162</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260,212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254,276</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260,275</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258,565</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 below):</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266,264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255,576</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28,947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106,857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108,025</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402,068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394,896</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403,559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400,077</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(66,728)</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16,506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0"/>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(207,055)</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on intercompany loans (Note 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(248,207)</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58,249</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(183,047)</w:t>
            </w:r>
          </w:p>
        </w:tc>
      </w:tr>
      <w:tr>
        <w:trPr>
          <w:trHeight w:val="230"/>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8,708</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23"/>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(175,512)</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 attributable to Vail Resorts, Inc.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(183,047)</w:t>
            </w: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(92,094)</w:t>
            </w:r>
          </w:p>
        </w:tc>
      </w:tr>
      <w:tr>
        <w:trPr>
          <w:trHeight w:val="230"/>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(187,153)</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(277,611)</w:t>
            </w:r>
          </w:p>
        </w:tc>
      </w:tr>
      <w:tr>
        <w:trPr>
          <w:trHeight w:val="229"/>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10,169</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r>
      <w:tr>
        <w:trPr>
          <w:trHeight w:val="223"/>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(176,984)</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(243,530)</w:t>
            </w: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1,003,947</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1,335,660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(183,047)</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(92,094)</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(243,530)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(34,081)</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(277,611)</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(50,516)</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October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1,126,033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619,727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(1,034,822)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633,031</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295,149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723,537</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1,038,483</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(172,836)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(172,836)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(181,544)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0" w:type="dxa"/>
            <w:vAlign w:val="bottom"/>
          </w:tcPr>
          <w:p>
            <w:pPr>
              <w:spacing w:after="0"/>
              <w:rPr>
                <w:sz w:val="1"/>
                <w:szCs w:val="1"/>
                <w:color w:val="auto"/>
              </w:rPr>
            </w:pPr>
          </w:p>
        </w:tc>
      </w:tr>
      <w:tr>
        <w:trPr>
          <w:trHeight w:val="162"/>
        </w:trPr>
        <w:tc>
          <w:tcPr>
            <w:tcW w:w="31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(176,984)</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(187,153)</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(20,217)</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1,146,518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444,099</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745,299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(181,544)</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(183,047)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71,633</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66,728</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6,691</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(58,249)</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(65,160)</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(income) expense,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receivables,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263,116</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(26,789)</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324,657</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308,950</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(41,959)</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(43,791)</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(41,684)</w:t>
            </w:r>
          </w:p>
        </w:tc>
      </w:tr>
      <w:tr>
        <w:trPr>
          <w:trHeight w:val="212"/>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282,424</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328,499</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(71,017)</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(53,379)</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Maturity of short-term deposits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52,437</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w:t>
            </w:r>
          </w:p>
        </w:tc>
      </w:tr>
      <w:tr>
        <w:trPr>
          <w:trHeight w:val="210"/>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(71,006)</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(78,471)</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(11,069)</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w:t>
            </w:r>
          </w:p>
        </w:tc>
      </w:tr>
      <w:tr>
        <w:trPr>
          <w:trHeight w:val="210"/>
        </w:trPr>
        <w:tc>
          <w:tcPr>
            <w:tcW w:w="7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(132,302)</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(153,608)</w:t>
            </w:r>
          </w:p>
        </w:tc>
      </w:tr>
      <w:tr>
        <w:trPr>
          <w:trHeight w:val="210"/>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2,264</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81,380</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337,063</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573,093</w:t>
            </w:r>
          </w:p>
        </w:tc>
      </w:tr>
      <w:tr>
        <w:trPr>
          <w:trHeight w:val="210"/>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418,443</w:t>
            </w:r>
          </w:p>
        </w:tc>
        <w:tc>
          <w:tcPr>
            <w:tcW w:w="104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740,391</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18"/>
        </w:trPr>
        <w:tc>
          <w:tcPr>
            <w:tcW w:w="78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32,791</w:t>
            </w:r>
          </w:p>
        </w:tc>
        <w:tc>
          <w:tcPr>
            <w:tcW w:w="104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38,275</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99"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2024.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2024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the 0.0% Convertible Notes (each as defined in Note 5, Long-Term Debt) are based on quoted market prices (a Level 2 input). The estimated fair value of the EPR Secured Notes and the NRP Loan (both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6.50% Notes, 0.0% Convertible Notes, EPR Secured Notes and NRP Loan as of October 31, 2024 are presented below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614,694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539,937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130,498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175,844</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36,375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will adopt the standard during the fourth quarter of its fiscal year ending July 31, 2025 and is in the process of evaluating the effect that the adoption of this standard will have on its Consolidated Condensed Financial Statements.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is in the process of evaluating the effect that the adoption of this standard will have on its Consolidated Condensed Financial Statements, including determining the timing of adoption.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months ended October 31, 2024 and 2023 (in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75,880</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68,336</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173,296</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172,455</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w:t>
            </w:r>
          </w:p>
        </w:tc>
      </w:tr>
      <w:tr>
        <w:trPr>
          <w:trHeight w:val="23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r>
      <w:tr>
        <w:trPr>
          <w:trHeight w:val="229"/>
        </w:trPr>
        <w:tc>
          <w:tcPr>
            <w:tcW w:w="7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w:t>
            </w:r>
          </w:p>
        </w:tc>
      </w:tr>
      <w:tr>
        <w:trPr>
          <w:trHeight w:val="223"/>
        </w:trPr>
        <w:tc>
          <w:tcPr>
            <w:tcW w:w="7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78,362</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81,821</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254,276</w:t>
            </w:r>
          </w:p>
        </w:tc>
      </w:tr>
      <w:tr>
        <w:trPr>
          <w:trHeight w:val="230"/>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48"/>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260,275</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258,565</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$901.6 million and $575.8 million as of October 31, 2024 and July 31, 2024, respectively. For the three months ended October 31, 2024, the Company recognized approximately $50.2 million of revenue that was included in the deferred revenue balance as of July 31, 2024. Deferred revenue balances of a long-term nature, comprised primarily of long-term private club initiation fee revenue, were $102.9 million, $104.9 million and $107.9 million as of October 31, 2024, July 31, 2024 and October 31, 2023, respectively. As of October 31, 2024, the weighted average remaining period over which revenue for unsatisfied performance obligations on long-term private club contracts will be recognized was approximately 14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$22.7 million, $5.2 million and $21.8 million as of October 31, 2024, July 31, 2024 and October 31, 2023, respectively. The amounts capitalized are subject to amortization generally beginning in the second quarter of each fiscal year, commensurate with the recognition of revenue for related pass products, and will be recorded within Mountain and Lodging operating expense on the Company’s Consolidated Condensed Statements of Operations.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October 31, 2024 and 2023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(175,512)</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38,117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37,473</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38,117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0.3 million for both the three months ended October 31, 2024 and 2023.</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months ended October 31, 2024 and 2023, the price of Vail Shares did not exceed the conversion price and therefore there was no impact to diluted EPS during those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and 2023, the Company paid cash dividends of $2.22 and $2.06 per share, respectively ($83.1 million and $78.5 million, respectively). On December 5, 2024, the Company’s Board of Directors approved a cash dividend of $2.22 per share payable on January 9, 2025 to stockholders of record as of December 26,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October 31, 2024, July 31, 2024 and October 31, 2023 is summarized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8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947,461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959,766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2028</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2034-2036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36,155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37,088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37,269</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2027-2039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370,573</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369,143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364,825</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2042</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27,577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27,887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2024-2037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51,537</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52,017</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33,971</w:t>
            </w: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2,775,040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2,787,638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2,805,786</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(e)</w:t>
            </w:r>
          </w:p>
        </w:tc>
        <w:tc>
          <w:tcPr>
            <w:tcW w:w="1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57,045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57,153</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69,659</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2,709,955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2,721,597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2,732,037</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left="580" w:hanging="329"/>
        <w:spacing w:after="0" w:line="25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which is a wholly-owned subsidiary of the Company, along with other certain subsidiaries of the Company, as guarantors, Bank of America, N.A., as administrative agent, and certain Lenders are party to the Ninth Amended and Restated Credit Agreement (the “Vail Holdings Credit Agreement”), which has a maturity date of April 24, 2029 for both the currently undrawn revolver facility and the term loan facility, which had an outstanding balance of $947.5 million as of October 31, 2024. The term loan is subject to quarterly amortization of principal of approximately $12.3 million,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October 31, 2024 (6.29% as of October 31, 2024).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October 31, 2024). The Company was previously party to various interest rate swap agreements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221" w:lineRule="exact"/>
        <w:rPr>
          <w:rFonts w:ascii="Times New Roman" w:cs="Times New Roman" w:eastAsia="Times New Roman" w:hAnsi="Times New Roman"/>
          <w:sz w:val="18"/>
          <w:szCs w:val="18"/>
          <w:color w:val="auto"/>
        </w:rPr>
      </w:pPr>
    </w:p>
    <w:p>
      <w:pPr>
        <w:jc w:val="both"/>
        <w:ind w:left="580" w:hanging="329"/>
        <w:spacing w:after="0" w:line="266" w:lineRule="auto"/>
        <w:tabs>
          <w:tab w:leader="none" w:pos="5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$575.0 million in aggregate principal amount of 0.0% Convertible Notes due 2026 (the “0.0% Convertible Notes) under an indenture dated December 18, 2020. As of October 31, 2024, the conversion price of the 0.0% Convertible Notes, adjusted for cash dividends paid since the issuance date, was $364.63.</w:t>
      </w:r>
    </w:p>
    <w:p>
      <w:pPr>
        <w:spacing w:after="0" w:line="202" w:lineRule="exact"/>
        <w:rPr>
          <w:rFonts w:ascii="Times New Roman" w:cs="Times New Roman" w:eastAsia="Times New Roman" w:hAnsi="Times New Roman"/>
          <w:sz w:val="18"/>
          <w:szCs w:val="18"/>
          <w:color w:val="auto"/>
        </w:rPr>
      </w:pPr>
    </w:p>
    <w:p>
      <w:pPr>
        <w:jc w:val="both"/>
        <w:ind w:left="580" w:hanging="329"/>
        <w:spacing w:after="0" w:line="254"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and their general partner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October 31, 2024, there were no borrowings under the Whistler Credit Agreement. The Whistler Credit Agreement also includes a quarterly unused commitment fee based on the Consolidated Total Leverage Ratio, which as of October 31, 2024 is equal to 0.39% per annum.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ind w:left="580" w:hanging="329"/>
        <w:spacing w:after="0" w:line="266"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1220" w:hanging="416"/>
        <w:spacing w:after="0" w:line="284" w:lineRule="auto"/>
        <w:tabs>
          <w:tab w:leader="none" w:pos="12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2024, interest on this note accrued at a rate of 11.90%.</w:t>
      </w:r>
    </w:p>
    <w:p>
      <w:pPr>
        <w:spacing w:after="0" w:line="50" w:lineRule="exact"/>
        <w:rPr>
          <w:rFonts w:ascii="Times New Roman" w:cs="Times New Roman" w:eastAsia="Times New Roman" w:hAnsi="Times New Roman"/>
          <w:sz w:val="18"/>
          <w:szCs w:val="18"/>
          <w:color w:val="auto"/>
        </w:rPr>
      </w:pPr>
    </w:p>
    <w:p>
      <w:pPr>
        <w:ind w:left="1220" w:hanging="466"/>
        <w:spacing w:after="0" w:line="284" w:lineRule="auto"/>
        <w:tabs>
          <w:tab w:leader="none" w:pos="12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October 31, 2024, interest on this note accrued at a rate of 11.58%.</w:t>
      </w:r>
    </w:p>
    <w:p>
      <w:pPr>
        <w:spacing w:after="0" w:line="50" w:lineRule="exact"/>
        <w:rPr>
          <w:rFonts w:ascii="Times New Roman" w:cs="Times New Roman" w:eastAsia="Times New Roman" w:hAnsi="Times New Roman"/>
          <w:sz w:val="18"/>
          <w:szCs w:val="18"/>
          <w:color w:val="auto"/>
        </w:rPr>
      </w:pPr>
    </w:p>
    <w:p>
      <w:pPr>
        <w:ind w:left="1220" w:right="20" w:hanging="515"/>
        <w:spacing w:after="0" w:line="284" w:lineRule="auto"/>
        <w:tabs>
          <w:tab w:leader="none" w:pos="12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October 31, 2024, interest on this note accrued at a rate of 11.58%.</w:t>
      </w:r>
    </w:p>
    <w:p>
      <w:pPr>
        <w:spacing w:after="0" w:line="50" w:lineRule="exact"/>
        <w:rPr>
          <w:rFonts w:ascii="Times New Roman" w:cs="Times New Roman" w:eastAsia="Times New Roman" w:hAnsi="Times New Roman"/>
          <w:sz w:val="18"/>
          <w:szCs w:val="18"/>
          <w:color w:val="auto"/>
        </w:rPr>
      </w:pPr>
    </w:p>
    <w:p>
      <w:pPr>
        <w:ind w:left="1220" w:hanging="506"/>
        <w:spacing w:after="0" w:line="284" w:lineRule="auto"/>
        <w:tabs>
          <w:tab w:leader="none" w:pos="12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2024, interest on this note accrued at a rate of 12.50%.</w:t>
      </w:r>
    </w:p>
    <w:p>
      <w:pPr>
        <w:spacing w:after="0" w:line="50" w:lineRule="exact"/>
        <w:rPr>
          <w:rFonts w:ascii="Times New Roman" w:cs="Times New Roman" w:eastAsia="Times New Roman" w:hAnsi="Times New Roman"/>
          <w:sz w:val="18"/>
          <w:szCs w:val="18"/>
          <w:color w:val="auto"/>
        </w:rPr>
      </w:pPr>
    </w:p>
    <w:p>
      <w:pPr>
        <w:ind w:left="1220" w:hanging="456"/>
        <w:spacing w:after="0" w:line="284" w:lineRule="auto"/>
        <w:tabs>
          <w:tab w:leader="none" w:pos="120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October 31, 2024, interest on this note accrued at a rate of 9.19%.</w:t>
      </w:r>
    </w:p>
    <w:p>
      <w:pPr>
        <w:spacing w:after="0" w:line="52"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debt outstanding as of October 31, 2024 reflected by fiscal year (August 1 through July 31) are as follows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(November 2024 through July 2025)</w:t>
            </w:r>
          </w:p>
        </w:tc>
        <w:tc>
          <w:tcPr>
            <w:tcW w:w="3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632,303</w:t>
            </w: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55,916</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770,109</w:t>
            </w:r>
          </w:p>
        </w:tc>
      </w:tr>
      <w:tr>
        <w:trPr>
          <w:trHeight w:val="230"/>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1,192,413</w:t>
            </w:r>
          </w:p>
        </w:tc>
      </w:tr>
      <w:tr>
        <w:trPr>
          <w:trHeight w:val="248"/>
        </w:trPr>
        <w:tc>
          <w:tcPr>
            <w:tcW w:w="63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6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2,775,040</w:t>
            </w:r>
          </w:p>
        </w:tc>
      </w:tr>
      <w:tr>
        <w:trPr>
          <w:trHeight w:val="20"/>
        </w:trPr>
        <w:tc>
          <w:tcPr>
            <w:tcW w:w="630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of $42.2 million and $40.7 million for the three months ended October 31, 2024 and 2023, respectively, of which $1.4 million and $1.6 million, respectively, was amortization of deferred financing costs. The Company was in compliance with all of its financial and operating covenants required to be maintained under its debt instruments for all periods presented.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$0.3 million and $5.0 million of non-cash foreign currency losses on the intercompany loan to Whistler Blackcomb for the three months ended October 31, 2024 and 2023, respectively, on the Company’s Consolidated 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Crans-Montana Mountain Resort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2024, the Company acquired Crans-Montana in Switzerland from CPI Property Group (“CPIPG”). The Company acquired (i) an approximate 84% ownership stake in Romontées Mécaniques Crans Montana Aminona SA (“CMA”),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As of May 2, 2024 the total fair value of the consideration paid was $106.8 million (CHF 97.2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67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106,809</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w:t>
            </w:r>
          </w:p>
        </w:tc>
      </w:tr>
      <w:tr>
        <w:trPr>
          <w:trHeight w:val="248"/>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Crans-Montana are reported within the Mountain segment prospectively from the date of acquisition.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Crans-Montana are preliminary and are based on the information that was available as of the acquisition date. The Company believes that this information provides a reasonable basis for estimating the fair values of assets acquired and liabilities assumed; however, the Company may obtain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0" w:type="dxa"/>
            <w:vAlign w:val="bottom"/>
          </w:tcPr>
          <w:p>
            <w:pPr>
              <w:spacing w:after="0"/>
              <w:rPr>
                <w:sz w:val="16"/>
                <w:szCs w:val="16"/>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80" w:type="dxa"/>
            <w:vAlign w:val="bottom"/>
          </w:tcPr>
          <w:p>
            <w:pPr>
              <w:spacing w:after="0"/>
              <w:rPr>
                <w:sz w:val="16"/>
                <w:szCs w:val="16"/>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40" w:type="dxa"/>
            <w:vAlign w:val="bottom"/>
          </w:tcPr>
          <w:p>
            <w:pPr>
              <w:spacing w:after="0"/>
              <w:rPr>
                <w:sz w:val="16"/>
                <w:szCs w:val="16"/>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75,370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76,701</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28,039</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64,111</w:t>
            </w:r>
          </w:p>
        </w:tc>
        <w:tc>
          <w:tcPr>
            <w:tcW w:w="40" w:type="dxa"/>
            <w:vAlign w:val="bottom"/>
            <w:tcBorders>
              <w:bottom w:val="single" w:sz="8" w:color="auto"/>
            </w:tcBorders>
          </w:tcPr>
          <w:p>
            <w:pPr>
              <w:spacing w:after="0"/>
              <w:rPr>
                <w:sz w:val="19"/>
                <w:szCs w:val="19"/>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60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152,071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79,558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130,861</w:t>
            </w:r>
          </w:p>
        </w:tc>
        <w:tc>
          <w:tcPr>
            <w:tcW w:w="40" w:type="dxa"/>
            <w:vAlign w:val="bottom"/>
            <w:tcBorders>
              <w:left w:val="single" w:sz="8" w:color="CCEEFF"/>
              <w:bottom w:val="single" w:sz="8" w:color="auto"/>
            </w:tcBorders>
            <w:shd w:val="clear" w:color="auto" w:fill="000000"/>
          </w:tcPr>
          <w:p>
            <w:pPr>
              <w:spacing w:after="0"/>
              <w:rPr>
                <w:sz w:val="21"/>
                <w:szCs w:val="2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7"/>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8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804,950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804,287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790,550</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1,686,562</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1,682,734</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1,626,566</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1,995,020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1,984,549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1,781,980</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320,123</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316,510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302,646</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161,500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161,502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151,809</w:t>
            </w:r>
          </w:p>
        </w:tc>
        <w:tc>
          <w:tcPr>
            <w:tcW w:w="40" w:type="dxa"/>
            <w:vAlign w:val="bottom"/>
            <w:tcBorders>
              <w:left w:val="single" w:sz="8" w:color="CCEEFF"/>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93,739</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91,951</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86,173</w:t>
            </w:r>
          </w:p>
        </w:tc>
        <w:tc>
          <w:tcPr>
            <w:tcW w:w="4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178,417</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116,872</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185,229</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5,240,311</w:t>
            </w:r>
          </w:p>
        </w:tc>
        <w:tc>
          <w:tcPr>
            <w:tcW w:w="3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5,158,405</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4,924,953</w:t>
            </w:r>
          </w:p>
        </w:tc>
        <w:tc>
          <w:tcPr>
            <w:tcW w:w="4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(2,805,535)</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(2,735,770)</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(2,580,352)</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2,434,776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2,422,635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2,344,601</w:t>
            </w:r>
          </w:p>
        </w:tc>
        <w:tc>
          <w:tcPr>
            <w:tcW w:w="4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8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4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141,912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141,246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161,581</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901,586</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575,766</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872,418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33,220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43,269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57,785</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60,940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43,401</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34,529</w:t>
            </w:r>
          </w:p>
        </w:tc>
        <w:tc>
          <w:tcPr>
            <w:tcW w:w="3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32,611</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85,561</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102,466</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70,241</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1,297,994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1,000,798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by segment for the three months ended October 31, 2024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2024</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1,632,969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1,677,975</w:t>
            </w:r>
          </w:p>
        </w:tc>
      </w:tr>
      <w:tr>
        <w:trPr>
          <w:trHeight w:val="23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w:t>
            </w:r>
          </w:p>
        </w:tc>
      </w:tr>
      <w:tr>
        <w:trPr>
          <w:trHeight w:val="248"/>
        </w:trPr>
        <w:tc>
          <w:tcPr>
            <w:tcW w:w="5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1,626,074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1,671,080</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81,465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81,465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95,544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95,544</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86,000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101,989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101,989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2,343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104,200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101,903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101,903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138,614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138,614</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13,931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13,931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59,300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equivalents, restricted cash, other current assets and interest rate swaps are measured utilizing quoted market prices or pricing models whereby all significant inputs are either observable or corroborated by observable market data. The interest rate swaps expired on September 23, 2024 and therefore had no estimated fair value as of October 31, 2024. The estimated fair value of the interest rate swaps was included within other current assets on the Company’s Consolidated Balance Sheet as of July 31, 2024 and Consolidated Condensed Balance Sheet as of October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three months ended October 31, 2024 and 2023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 and 2023, respectively</w:t>
            </w:r>
          </w:p>
        </w:tc>
        <w:tc>
          <w:tcPr>
            <w:tcW w:w="36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104,200</w:t>
            </w:r>
          </w:p>
        </w:tc>
        <w:tc>
          <w:tcPr>
            <w:tcW w:w="6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3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3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2,079</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 and 2023, respectively</w:t>
            </w:r>
          </w:p>
        </w:tc>
        <w:tc>
          <w:tcPr>
            <w:tcW w:w="3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86,000</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2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11.1%, and volatility of 14.5%, which together with future period Park City EBITDA, are all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$14.6 million to $20.0 million.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31, 2024, the Company made a payment to the landlord for Contingent Consideration of approximately $20.3 million and recorded an increase in the liability of approximately $2.1 million, primarily related to the estimated Contingent Consideration payment for the fiscal year ending July 31, 2025. These changes resulted in an estimated fair value of the Contingent Consideration of approximately $86.0 million, which is reflected in other long-term liabilities in the Company’s Consolidated Condensed Balance Sheet.</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2024, the Company had various letters of credit outstanding totaling $96.5 million, consisting of $53.4 million to support the Employee Housing Bonds; $6.4 million to support bonds issued by Holland Creek Metropolitan District; and $36.7 million of other standby letters of credit primarily related to insurance-related deductibles, a wind energy purchase agreement, and workers’ compensation. The Company also had surety bonds of $9.5 million as of October 31, 2024, primarily to provide collateral for its U.S. workers compensation self-insurance programs.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October 31, 2024, July 31, 2024 and October 31, 2023, the accruals for the above loss contingencies were not material individually or in the aggregate.</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accompanying Consolidated Condensed Financial Statements as indicators of financial performance or liquidity.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173,296</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172,455</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86,916</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81,821</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260,212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254,276</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23"/>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260,275</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258,565</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319,509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312,839</w:t>
            </w:r>
          </w:p>
        </w:tc>
      </w:tr>
      <w:tr>
        <w:trPr>
          <w:trHeight w:val="229"/>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82,559</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82,057</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402,068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394,896</w:t>
            </w:r>
          </w:p>
        </w:tc>
      </w:tr>
      <w:tr>
        <w:trPr>
          <w:trHeight w:val="229"/>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1,491</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196"/>
        </w:trPr>
        <w:tc>
          <w:tcPr>
            <w:tcW w:w="79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segment operating expense</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403,559</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400,077</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16,506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(139,525)</w:t>
            </w:r>
          </w:p>
        </w:tc>
      </w:tr>
      <w:tr>
        <w:trPr>
          <w:trHeight w:val="229"/>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4,357</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(139,761)</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15,078</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196"/>
        </w:trPr>
        <w:tc>
          <w:tcPr>
            <w:tcW w:w="79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Reported EBITDA</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(124,627)</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(134,368)</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85,317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from loss attributable to Vail Resorts, Inc. to Total Reported EBITDA:</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(175,512)</w:t>
            </w:r>
          </w:p>
        </w:tc>
      </w:tr>
      <w:tr>
        <w:trPr>
          <w:trHeight w:val="230"/>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2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(183,047)</w:t>
            </w:r>
          </w:p>
        </w:tc>
      </w:tr>
      <w:tr>
        <w:trPr>
          <w:trHeight w:val="230"/>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(65,160)</w:t>
            </w:r>
          </w:p>
        </w:tc>
      </w:tr>
      <w:tr>
        <w:trPr>
          <w:trHeight w:val="22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71,633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2,079</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29"/>
        </w:trPr>
        <w:tc>
          <w:tcPr>
            <w:tcW w:w="7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42,154</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r>
      <w:tr>
        <w:trPr>
          <w:trHeight w:val="223"/>
        </w:trPr>
        <w:tc>
          <w:tcPr>
            <w:tcW w:w="7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(134,368)</w:t>
            </w:r>
          </w:p>
        </w:tc>
      </w:tr>
      <w:tr>
        <w:trPr>
          <w:trHeight w:val="21"/>
        </w:trPr>
        <w:tc>
          <w:tcPr>
            <w:tcW w:w="7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and September 25, 2024, the Company’s Board of Directors increased the authorization by an additional 3,000,000, 1,500,000, 2,500,000, and 1,100,000 Vail Shares, respectively, for a total authorization to repurchase up to 11,100,000 Vail Shares. During the three months ended October 31, 2024 and 2023, the Company repurchased 114,800 and 237,056 Vail Shares, respectively (at a total cost of $20.0 million and $50.0 million, respectively, excluding accrued excise tax, as discussed further below). Since inception of this stock repurchase program through October 31, 2024, the Company has repurchased 9,484,480 shares at a cost of approximately $1,149.4 million. As of October 31, 2024, 1,615,520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October 31, 2024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2024 (“Form 10-K”) and the Consolidated Condensed Financial Statements as of October 31, 2024 and 2023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26, 2024.</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Resort Reported EBITDA, and long-term debt, net to Net Debt.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of the lodging segment during our first fiscal quarter is generated primarily by the operations of our NPS concessioner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product sales through December 3, 2024 for the upcoming 2024/2025 North American ski season decreased approximately 2% in units and increased approximately 4% in sales dollars as compared to the period in the prior year through December 4, 2023. Pass product sales are adjusted to eliminate the impact of foreign currency by applying an exchange rate of $0.71 between the Canadian dollar and U.S. dollar in both periods for Whistler Blackcomb pass sales. We cannot predict the overall impact that sales of our pass products will have on total lift revenue or effective ticket price for the fiscal year ending July 31, 2025.</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prolonged elevated interest rates, geopolitical conflicts, political uncertainty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2024, we had $403.8 million of cash and cash equivalents, as well as $407.4 million available under the revolver component of</w:t>
      </w:r>
    </w:p>
    <w:p>
      <w:pPr>
        <w:spacing w:after="0" w:line="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our Ninth Amended and Restated Credit Agreement, dated as of April 24, 2024 (the “Vail Holdings Credit Agreement”), which represents the total commitment of $500.0 million less certain letters of credit outstanding of $92.6 million. Additionally, we have a credit facility which supports the liquidity needs of Whistler Blackcomb (the “Whistler Credit Agreement”). As of October 31, 2024, we had C$296.6 million ($213.0 million) available under the revolver component of the Whistler Credit Agreement, which represents the total commitment of C$300.0 million ($215.5 million) less letters of credit outstanding of C$3.4 million ($2.5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Shown below is a summary of operating results for the three months ended October 31, 2024, compared to the three months ended October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(175,512)</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(139,525)</w:t>
            </w:r>
          </w:p>
        </w:tc>
      </w:tr>
      <w:tr>
        <w:trPr>
          <w:trHeight w:val="229"/>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4,357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(139,761)</w:t>
            </w:r>
          </w:p>
        </w:tc>
      </w:tr>
      <w:tr>
        <w:trPr>
          <w:trHeight w:val="229"/>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15,078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loss attributable to Vail Resorts, Inc. to Total Reported EBITDA, and other items can be found below. The consolidated results of operations, including any consolidated financial metrics pertaining thereto, include the operations of Crans-Montana (acquired May 2, 2024) prospectively from the date of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the three months ended October 31, 2023</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October 31, 2024 and 2023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40,423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6,839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20,628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29,526</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75,880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173,296</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118,530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15,031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92,568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93,380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319,509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2,151</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150.4 %</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Reported EBITDA includes $5.8 million of stock-based compensation expense for each of the three months ended October 31, 2024 and 2023.</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first fiscal quarter historically results in negative Mountain Reported EBITDA, as most of our North American and European Resorts generally do not open for ski operations until our second fiscal quarter, which begins in November. The first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fiscal quarter generally consists of operating and administrative expenses, North American and European summer activities (including dining), retail/rental operations and the winter operations of our Australian ski areas, for which the ski season generally occurs from June through early October.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Mountain Reported EBITDA decreased $4.5 million, or 3.3%, primarily driven by our Australian operations, which experienced weather-related challenges that impacted terrain and resulted in early closures, as well as incremental off-season losses from the addition of Crans-Montana (acquired May 2, 2024), partially offset by an increase in summer operations at our North American resorts, which benefited from warm weather conditions late in the season. Mountain segment results also include one-time operating expenses attributable to our resource efficiency transformation plan of $2.0 million for the three months ended October 31, 2024, as well as acquisition and integration related expenses of $0.9 million and $1.8 million for the three months ended October 31, 2024 and 2023,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Lift revenue decreased $5.0 million, or 10.9%, primarily due to decreased pass product sales for the 2024 Australian ski season, as well as a decrease in paid lift revenue at our Australian resorts as a result of reduced visitation from weather-related challenges that impacted terrain and resulted in early closures in the current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Dining revenue increased $2.6 million, or 14.1%, primarily as a result of an increased number of summer group events, as well as an increase in guest spending per visit at our North American resorts. Retail/rental revenue decreased $3.9 million, or 11.8%, driven by the impact of broader industry-wide customer spending trends which negatively impacted retail demand, particularly at our Colorado city store locations.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summer visitation and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ski area lodging and transportation revenue. Other revenue increased $7.5 million, or 11.0%, primarily driven by an increase in other on-mountain summer activities and sightseeing revenue from the impact of increased summer visitation at our North American resorts as a result of improved weather conditions.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 increased $6.7 million, or 2.1%, which includes the incremental operating expenses from Crans-Montana and one-time costs attributable to our resource efficiency transformation plan of $2.0 million. Operating expense also includes acquisition and integration related expenses of $0.9 million and $1.8 million for the three months ended October 31, 2024 and 2023,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and labor-related benefits increased 5.8%, primarily due to normal wage adjustments and an increase in labor expense to support increased North American summer operations, as well as incremental expenses from Crans-Montana of $2.3 million. Retail cost of sales decreased 15.7%, compared to a decrease in retail sales of 13.5%. Other expense increased 4.0%, primarily due to incremental expenses from Crans-Montana of $2.2 million, one-time costs attributable to our resource efficiency transformation plan of $2.0 million and an increase in acquisition and integration related expenses of $0.9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the three months ended October 31,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October 31, 2024 and 2023 are presented by category as follows (in thousands, except average daily rates (“ADR”) and revenue per available room (“RevPAR”)):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28,075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11,705</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19,952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7,550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16,501</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83,783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86,916</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37,227</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14,289</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27,910</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79,426</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3,133</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82,559</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315.97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178.87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53.07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276.02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92.03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$0.8 million and $0.9 million of stock-based compensation expense for the three months ended October 31,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increased $4.6 million, primarily driven by favorable weather conditions which drove increased visitation at GTLC and our mountain resort properties.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owned hotel rooms increased $2.9 million, or 11.5%, primarily due to increased visitation at GTLC driven by favorable weather conditions, which also drove an increase in ADR, as well as stronger demand for summer lodging at our North American mountain resort properties. Dining revenue increased $1.9 million, or 10.3%, and golf revenue increased $1.2 million, or 18.4%, each primarily as a result of increased summer visitation at our North American mountain resort properties.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increased 6.3%, primarily due to one-time costs attributable to our resource efficiency transformation plan of $0.7 million, as well as increased utilities and maintenance expenses of $0.6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arrangements. Since the reimbursements are made based upon the costs incurred with no added margin, the revenue and corresponding expense have no effect on our Lodging Reported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the three months ended October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October 31, 2024 and 2023 are presented by category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60" w:type="dxa"/>
            <w:vAlign w:val="bottom"/>
          </w:tcPr>
          <w:p>
            <w:pPr>
              <w:spacing w:after="0"/>
              <w:rPr>
                <w:sz w:val="13"/>
                <w:szCs w:val="13"/>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3"/>
                <w:szCs w:val="3"/>
                <w:color w:val="auto"/>
              </w:rPr>
            </w:pPr>
          </w:p>
        </w:tc>
        <w:tc>
          <w:tcPr>
            <w:tcW w:w="11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16,506</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15,078</w:t>
            </w:r>
          </w:p>
        </w:tc>
        <w:tc>
          <w:tcPr>
            <w:tcW w:w="11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2024, we recorded a gain on sale of real property for $16.5 million related to the resolution of the October 2023 Eagle County District Court final ruling and valuation regarding the Town of Vail’s condemnation of our East Vail property. During the three months ended October 31, 2023, we closed on the sale of a land parcel in Keystone, Colorado for $4.2 million, which was recorded within Real Estate net revenue, with a corresponding cost of sale of $3.6 million. Additionally, we recorded a gain on sale of real property for $6.3 million related to a land parcel sale in Beaver Creek, Colorado, which closed for proceeds of $6.5 million during the three months ended October 31, 2023.</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three months ended October 31, 2024 and 2023 was primarily comprised of general and administrative costs, such as labor and labor-related benefits, professional services and corporate overhead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months ended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3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6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4"/>
                <w:szCs w:val="4"/>
                <w:color w:val="auto"/>
              </w:rPr>
            </w:pPr>
          </w:p>
        </w:tc>
        <w:tc>
          <w:tcPr>
            <w:tcW w:w="10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58,249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65,160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pts</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At the end of each interim period, the Company estimates the annual effective tax rate and applies that rate to its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months ended October 31, 2024 was 24.3%, compared to 26.3% for the three months ended October 31, 2023.</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October 31, 2024 compared to the three months ended October 31, 2023 was primarily due to a decrease in favorable discrete items impacting the first quarter tax provision in the current period.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reconciles net loss attributable to Vail Resorts, Inc. to Total Reported EBITDA for the three months ended October 31, 2024 and 2023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(175,512)</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(183,047)</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(65,160)</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71,633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2,079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42,154</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(124,627)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(134,368)</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(144,062)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(139,525)</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4,357</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(139,705)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(139,761)</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15,078</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(124,627)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(134,368)</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7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40" w:type="dxa"/>
            <w:vAlign w:val="bottom"/>
          </w:tcPr>
          <w:p>
            <w:pPr>
              <w:spacing w:after="0"/>
              <w:rPr>
                <w:sz w:val="17"/>
                <w:szCs w:val="17"/>
                <w:color w:val="auto"/>
              </w:rPr>
            </w:pPr>
          </w:p>
        </w:tc>
      </w:tr>
      <w:tr>
        <w:trPr>
          <w:trHeight w:val="23"/>
        </w:trPr>
        <w:tc>
          <w:tcPr>
            <w:tcW w:w="78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2,709,955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2,732,037</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57,045</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69,659</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2,767,000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2,801,696</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403,768</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728,859</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2,363,232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2,072,837</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three months ended October 31, 2024 and 2023 are presented by categories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282,424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328,499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the three months ended October 31,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$282.4 million of cash from operating activities during the three months ended October 31, 2024, a decrease of $46.1 million compared to $328.5 million generated during the three months ended October 31, 2023. The decrease in operating cash flows was primarily a result of (i) an increase in income tax payments of approximately $24.9 million for the three months ended October 31, 2024 as compared to the prior year, driven by overpayments and other deductions which offset our estimated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payments made during the three months ended October 31, 2023 and higher estimated taxable income for the current fiscal year, and (ii) the timing of payments for accounts payable, accrued liabilities, and inventory.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cash provided by investing activities for the three months ended October 31, 2024 of $76.6 million was primarily due to (i) the maturity of short-term bank deposits in the prior year which had maturity dates of more than three months at the date of purchase and were therefore not reflected as cash equivalents as of July 31, 2023, of which $52.4 million matured during the three months ended October 31, 2023, and (ii) an increase in capital expenditures of approximately $17.6 million as compared to the prior year, which is largely driven by an acceleration of the timing of work being completed and associated payments taking place in the current year.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decreased by $21.3 million during the three months ended October 31, 2024 compared to the three months ended October 31, 2023, primarily due to a decrease in repurchases of common stock of $30.0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$403.8 million of cash and cash equivalents as of October 31, 2024, compared to $728.9 million as of October 31, 2023, and the decrease was primarily attributable to the cash purchase price associated with the acquisition of Crans-Montana, net of cash acquired, and share repurchases completed during the last twelve months. We currently anticipate that our Mountain and Lodging segment operating results will continue to provide a significant source of future operating cash flows (primarily generated in our second and third fiscal quarters).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$403.8 million of cash and cash equivalents at October 31, 2024, we had $407.4 million available under the revolver component of our Vail Holdings Credit Agreement as of October 31, 2024 (which represents the total commitment of $500.0 million less outstanding letters of credit of $92.6 million). Additionally, we had C$296.6 million ($213.0 million) available under the revolver component of our Whistler Credit Agreement (which represents the total commitment of C$300.0 million ($215.5 million) less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anticipate that we will spend approximately $189 million to $194 million on resort capital expenditures during calendar year 2024, excluding $13 million of incremental capital investments in premium fleet and fulfillment infrastructure to support the official launch of My Epic Gear for the 2024/2025 winter season at 12 destination mountain resorts and regional ski areas across North America, $7 million of growth capital investments at Andermatt-Sedrun, investments at Crans-Montana, which we expect will include $2 million of maintenance capital expenditures and $2 million associated with integration activities at Crans-Montana, and $3 million of reimbursable capital. Including My Epic Gear premium fleet, fulfillment infrastructure capital, investments at Crans-Montana, and one-time investments, our total capital plan for calendar year 2024 is expected to be approximately $216 million to $221 million. Included in these estimated capital expenditures are approximately $117 million to $122 million of maintenance capital expenditures (excluding Crans-Montana),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$152 million was spent for capital expenditures in calendar year 2024 as of October 31, 2024, leaving approximately $37 million to $42 million to spend in the remainder of calendar year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2024, principal payments on the majority of our long-term debt ($2.0 billion of the total $2.8 billion debt outstanding as of October 31, 2024) are not due until fiscal year 2029 and beyond. As of both October 31, 2024 and 2023, total long-term debt, net (including long-term debt due within one year) was $2.8 billion. Net Debt (defined as long-term debt, net plus long-term debt due within one year less cash and cash equivalents) increased from $2.1 billion as of October 31, 2023 to $2.4 billion as of October 31, 2024, primarily due to the cash purchase price associated with the acquisition of Crans-Montana, net of cash acquired, and share repurchases completed during the last twelve months.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2024, the Vail Holdings Credit Agreement provides for (i) a revolving loan facility in an aggregate principal amount of $500.0 million and (ii) a term loan of $947.5 million, and the Whistler Credit Agreement provides for a revolving loan facility in an aggregate principal amount of C$300.0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$1.0 billion of variable-rate debt outstanding as of October 31, 2024. A 100-basis point change in our borrowing rates would cause our annual interest payments to change by approximately $10.0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5, 2024, our Board of Directors approved a cash dividend of $2.22 per share payable on January 9, 2025 to stockholders of record as of December 26, 2024. During the three months ended October 31, 2024, we paid cash dividends of $2.22 per share ($83.1 million). During the three months ended October 31, 2023, we paid cash dividends of $2.06 per share ($78.5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2,500,000 Vail Shares (March 7, 2023), and 1,100,000 Vail Shares (September 25, 2024), for a total authorization to repurchase up to 11,100,000 Vail Shares. During the three months ended October 31, 2024, we repurchased 114,800 shares (at an average cost of $174.21) for a total cost of approximately $20.0 million, excluding accrued excise tax. During the three months ended October 31, 2023, we repurchased 237,056 Vail Shares (at an average cost of $210.92) for a total cost of approximately $50.0 million, excluding accrued excise tax. We funded the share repurchases with available cash on hand. Since inception of this stock repurchase program through October 31, 2024, we have repurchased 9,484,480 Vail Shares at a cost of approximately $1,149.4 million. As of October 31, 2024, 1,615,520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October 31, 2024.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as reported in our Form 10-K for the fiscal year ended July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ind w:left="820" w:hanging="650"/>
        <w:spacing w:after="0" w:line="262"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 or other unexpected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20" w:hanging="650"/>
        <w:spacing w:after="0" w:line="250" w:lineRule="auto"/>
        <w:tabs>
          <w:tab w:leader="none" w:pos="81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left="820" w:hanging="650"/>
        <w:spacing w:after="0" w:line="26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right="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environmental, social and governance practices and reporting;</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31, 2024, we had approximately $1.0 billion of variable rate indebtedness, representing approximately 36.0% of our total debt outstanding, at an average interest rate during the three months ended October 31, 2024 of approximately 6.7%. Based on variable-rate borrowings outstanding as of October 31, 2024, a 100-basis point (or 1.0%)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 in our borrowing rates would result in our annual interest payments changing by approximately $10.0 million. Our market risk exposure fluctuates based on changes in underlying interest rates.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and foreign currency loss on intercompany loans recognized in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October 31, 2024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26, 2024 as of and for the year ended July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Vail Shares during the first quarter of fiscal 2025:</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88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4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388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2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1,730,320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2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1,730,320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2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114,800</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174.21</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114,800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1,615,520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114,800</w:t>
            </w:r>
          </w:p>
        </w:tc>
        <w:tc>
          <w:tcPr>
            <w:tcW w:w="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174.21</w:t>
            </w: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114,800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1,615,520</w:t>
            </w:r>
          </w:p>
        </w:tc>
        <w:tc>
          <w:tcPr>
            <w:tcW w:w="0" w:type="dxa"/>
            <w:vAlign w:val="bottom"/>
          </w:tcPr>
          <w:p>
            <w:pPr>
              <w:spacing w:after="0"/>
              <w:rPr>
                <w:sz w:val="1"/>
                <w:szCs w:val="1"/>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100" w:hanging="406"/>
        <w:spacing w:after="0" w:line="217"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2,500,000 Vail Shares (March 7, 2023), and 1,100,000 (September 25, 2024), for a total authorization to repurchase up to 11,100,000 Vail Shares. As of October 31, 2024, 1,615,520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hanging="1314"/>
        <w:spacing w:after="0" w:line="250"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hanging="1314"/>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29"/>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8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00"/>
          </w:cols>
          <w:pgMar w:left="320" w:top="117"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October 31, 2024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2024-12-09T15:15:09Z</dcterms:created>
  <dcterms:modified xsi:type="dcterms:W3CDTF">2024-12-09T15:15:09Z</dcterms:modified>
</cp:coreProperties>
</file>