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76" w:lineRule="exact"/>
        <w:rPr>
          <w:sz w:val="24"/>
          <w:szCs w:val="24"/>
          <w:color w:val="auto"/>
        </w:rPr>
      </w:pPr>
    </w:p>
    <w:p>
      <w:pPr>
        <w:jc w:val="center"/>
        <w:ind w:left="4320" w:right="1200" w:hanging="3105"/>
        <w:spacing w:after="0" w:line="407" w:lineRule="auto"/>
        <w:tabs>
          <w:tab w:leader="none" w:pos="14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July 31, 2018</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7" w:lineRule="exact"/>
        <w:rPr>
          <w:sz w:val="24"/>
          <w:szCs w:val="24"/>
          <w:color w:val="auto"/>
        </w:rPr>
      </w:pPr>
    </w:p>
    <w:p>
      <w:pPr>
        <w:ind w:left="1240" w:hanging="210"/>
        <w:spacing w:after="0"/>
        <w:tabs>
          <w:tab w:leader="none" w:pos="1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406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152400</wp:posOffset>
            </wp:positionV>
            <wp:extent cx="447675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76750"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Vail Resorts,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tcPr>
          <w:p>
            <w:pPr>
              <w:jc w:val="right"/>
              <w:ind w:right="2150"/>
              <w:spacing w:after="0"/>
              <w:rPr>
                <w:sz w:val="20"/>
                <w:szCs w:val="20"/>
                <w:color w:val="auto"/>
              </w:rPr>
            </w:pPr>
            <w:r>
              <w:rPr>
                <w:rFonts w:ascii="Arial" w:cs="Arial" w:eastAsia="Arial" w:hAnsi="Arial"/>
                <w:sz w:val="18"/>
                <w:szCs w:val="18"/>
                <w:b w:val="1"/>
                <w:bCs w:val="1"/>
                <w:color w:val="auto"/>
              </w:rPr>
              <w:t>51-0291762</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576"/>
        </w:trPr>
        <w:tc>
          <w:tcPr>
            <w:tcW w:w="6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390 Interlocken Crescent</w:t>
            </w:r>
          </w:p>
        </w:tc>
        <w:tc>
          <w:tcPr>
            <w:tcW w:w="5360" w:type="dxa"/>
            <w:vAlign w:val="bottom"/>
          </w:tcPr>
          <w:p>
            <w:pPr>
              <w:spacing w:after="0"/>
              <w:rPr>
                <w:sz w:val="24"/>
                <w:szCs w:val="24"/>
                <w:color w:val="auto"/>
              </w:rPr>
            </w:pPr>
          </w:p>
        </w:tc>
      </w:tr>
      <w:tr>
        <w:trPr>
          <w:trHeight w:val="234"/>
        </w:trPr>
        <w:tc>
          <w:tcPr>
            <w:tcW w:w="6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Broomfield, Colorado</w:t>
            </w:r>
          </w:p>
        </w:tc>
        <w:tc>
          <w:tcPr>
            <w:tcW w:w="5360" w:type="dxa"/>
            <w:vAlign w:val="bottom"/>
          </w:tcPr>
          <w:p>
            <w:pPr>
              <w:jc w:val="right"/>
              <w:ind w:right="2370"/>
              <w:spacing w:after="0"/>
              <w:rPr>
                <w:sz w:val="20"/>
                <w:szCs w:val="20"/>
                <w:color w:val="auto"/>
              </w:rPr>
            </w:pPr>
            <w:r>
              <w:rPr>
                <w:rFonts w:ascii="Arial" w:cs="Arial" w:eastAsia="Arial" w:hAnsi="Arial"/>
                <w:sz w:val="18"/>
                <w:szCs w:val="18"/>
                <w:b w:val="1"/>
                <w:bCs w:val="1"/>
                <w:color w:val="auto"/>
              </w:rPr>
              <w:t>80021</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(Address of principal executive offices)</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31750</wp:posOffset>
            </wp:positionV>
            <wp:extent cx="2872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Title of each class</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Common Stock, $0.01 par value</w:t>
            </w: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71"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31750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(Title of class)</w:t>
      </w:r>
    </w:p>
    <w:p>
      <w:pPr>
        <w:spacing w:after="0" w:line="23" w:lineRule="exact"/>
        <w:rPr>
          <w:sz w:val="24"/>
          <w:szCs w:val="24"/>
          <w:color w:val="auto"/>
        </w:rPr>
      </w:pPr>
    </w:p>
    <w:p>
      <w:pPr>
        <w:ind w:right="1760"/>
        <w:spacing w:after="0" w:line="321"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x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12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420"/>
          </w:cols>
          <w:pgMar w:left="240" w:top="1125" w:right="239" w:bottom="1440" w:gutter="0" w:footer="0" w:header="0"/>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180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60" w:type="dxa"/>
            <w:vAlign w:val="bottom"/>
            <w:vMerge w:val="restart"/>
          </w:tcPr>
          <w:p>
            <w:pPr>
              <w:ind w:left="460"/>
              <w:spacing w:after="0"/>
              <w:rPr>
                <w:sz w:val="20"/>
                <w:szCs w:val="20"/>
                <w:color w:val="auto"/>
              </w:rPr>
            </w:pPr>
            <w:r>
              <w:rPr>
                <w:rFonts w:ascii="Arial" w:cs="Arial" w:eastAsia="Arial" w:hAnsi="Arial"/>
                <w:sz w:val="18"/>
                <w:szCs w:val="18"/>
                <w:color w:val="auto"/>
              </w:rPr>
              <w:t>x</w:t>
            </w:r>
          </w:p>
        </w:tc>
        <w:tc>
          <w:tcPr>
            <w:tcW w:w="342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1"/>
        </w:trPr>
        <w:tc>
          <w:tcPr>
            <w:tcW w:w="20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3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1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62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20" w:type="dxa"/>
            <w:vAlign w:val="bottom"/>
            <w:vMerge w:val="restart"/>
          </w:tcPr>
          <w:p>
            <w:pPr>
              <w:ind w:left="62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20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0"/>
          <w:szCs w:val="20"/>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Yes x No</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$218.56 per share as reported on the New York Stock Exchange Composite Tape on January 31, 2018 (the last business day of the registrant’s most recently completed second fiscal quarter) was $8,752,330,929.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24, 2018, 40,475,511 shares of the registrant’s common stock were outstanding.</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DOCUMENTS INCORPORATED BY REFERENCE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Portions of the registrant’s definitive Proxy Statement for its 2018 Annual Meeting of Stockholders to be filed with the Securities and Exchange Commission within 120 days of July 31, 2018 are incorporated by reference herein into Part III, Items 10 through 14, of this Annual Report.</w:t>
      </w:r>
    </w:p>
    <w:p>
      <w:pPr>
        <w:sectPr>
          <w:pgSz w:w="11900" w:h="16838" w:orient="portrait"/>
          <w:cols w:equalWidth="0" w:num="1">
            <w:col w:w="11420"/>
          </w:cols>
          <w:pgMar w:left="240" w:top="117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40" w:type="dxa"/>
            <w:vAlign w:val="bottom"/>
            <w:gridSpan w:val="13"/>
          </w:tcPr>
          <w:p>
            <w:pPr>
              <w:jc w:val="center"/>
              <w:ind w:right="4760"/>
              <w:spacing w:after="0"/>
              <w:rPr>
                <w:sz w:val="20"/>
                <w:szCs w:val="20"/>
                <w:color w:val="auto"/>
              </w:rPr>
            </w:pPr>
            <w:r>
              <w:rPr>
                <w:rFonts w:ascii="Arial" w:cs="Arial" w:eastAsia="Arial" w:hAnsi="Arial"/>
                <w:sz w:val="18"/>
                <w:szCs w:val="18"/>
                <w:b w:val="1"/>
                <w:bCs w:val="1"/>
                <w:color w:val="auto"/>
                <w:w w:val="8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35"/>
        </w:trPr>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6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0" w:type="dxa"/>
            <w:vAlign w:val="bottom"/>
            <w:gridSpan w:val="10"/>
            <w:shd w:val="clear" w:color="auto" w:fill="CCEEFF"/>
          </w:tcPr>
          <w:p>
            <w:pPr>
              <w:jc w:val="center"/>
              <w:ind w:right="5220"/>
              <w:spacing w:after="0" w:line="202" w:lineRule="exact"/>
              <w:rPr>
                <w:rFonts w:ascii="Arial" w:cs="Arial" w:eastAsia="Arial" w:hAnsi="Arial"/>
                <w:sz w:val="18"/>
                <w:szCs w:val="18"/>
                <w:b w:val="1"/>
                <w:bCs w:val="1"/>
                <w:color w:val="0000FF"/>
                <w:w w:val="98"/>
              </w:rPr>
            </w:pPr>
            <w:hyperlink w:anchor="page6">
              <w:r>
                <w:rPr>
                  <w:rFonts w:ascii="Arial" w:cs="Arial" w:eastAsia="Arial" w:hAnsi="Arial"/>
                  <w:sz w:val="18"/>
                  <w:szCs w:val="18"/>
                  <w:b w:val="1"/>
                  <w:bCs w:val="1"/>
                  <w:color w:val="0000FF"/>
                  <w:w w:val="98"/>
                </w:rPr>
                <w:t>PART I</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03"/>
        </w:trPr>
        <w:tc>
          <w:tcPr>
            <w:tcW w:w="164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Item 1.</w:t>
            </w:r>
          </w:p>
        </w:tc>
        <w:tc>
          <w:tcPr>
            <w:tcW w:w="3780" w:type="dxa"/>
            <w:vAlign w:val="bottom"/>
            <w:tcBorders>
              <w:top w:val="single" w:sz="8" w:color="CCEEFF"/>
            </w:tcBorders>
            <w:gridSpan w:val="1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tcBorders>
              <w:top w:val="single" w:sz="8" w:color="0000FF"/>
            </w:tcBorders>
            <w:gridSpan w:val="2"/>
          </w:tcPr>
          <w:p>
            <w:pPr>
              <w:spacing w:after="0"/>
              <w:rPr>
                <w:sz w:val="17"/>
                <w:szCs w:val="17"/>
                <w:color w:val="auto"/>
              </w:rPr>
            </w:pPr>
          </w:p>
        </w:tc>
        <w:tc>
          <w:tcPr>
            <w:tcW w:w="5220" w:type="dxa"/>
            <w:vAlign w:val="bottom"/>
            <w:tcBorders>
              <w:top w:val="single" w:sz="8" w:color="CCEEFF"/>
            </w:tcBorders>
            <w:gridSpan w:val="8"/>
          </w:tcPr>
          <w:p>
            <w:pPr>
              <w:spacing w:after="0"/>
              <w:rPr>
                <w:sz w:val="17"/>
                <w:szCs w:val="17"/>
                <w:color w:val="auto"/>
              </w:rPr>
            </w:pPr>
          </w:p>
        </w:tc>
        <w:tc>
          <w:tcPr>
            <w:tcW w:w="200" w:type="dxa"/>
            <w:vAlign w:val="bottom"/>
            <w:tcBorders>
              <w:top w:val="single" w:sz="8" w:color="CCEEFF"/>
            </w:tcBorders>
            <w:gridSpan w:val="3"/>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580" w:type="dxa"/>
            <w:vAlign w:val="bottom"/>
            <w:gridSpan w:val="27"/>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18</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1B.</w:t>
            </w:r>
          </w:p>
        </w:tc>
        <w:tc>
          <w:tcPr>
            <w:tcW w:w="9580" w:type="dxa"/>
            <w:vAlign w:val="bottom"/>
            <w:gridSpan w:val="27"/>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Properties</w:t>
              </w:r>
            </w:hyperlink>
          </w:p>
        </w:tc>
        <w:tc>
          <w:tcPr>
            <w:tcW w:w="8840" w:type="dxa"/>
            <w:vAlign w:val="bottom"/>
            <w:tcBorders>
              <w:bottom w:val="single" w:sz="8" w:color="CCEEFF"/>
            </w:tcBorders>
            <w:gridSpan w:val="24"/>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9580" w:type="dxa"/>
            <w:vAlign w:val="bottom"/>
            <w:gridSpan w:val="27"/>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9580" w:type="dxa"/>
            <w:vAlign w:val="bottom"/>
            <w:gridSpan w:val="27"/>
            <w:shd w:val="clear" w:color="auto" w:fill="CCEEFF"/>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r>
      <w:tr>
        <w:trPr>
          <w:trHeight w:val="203"/>
        </w:trPr>
        <w:tc>
          <w:tcPr>
            <w:tcW w:w="1640" w:type="dxa"/>
            <w:vAlign w:val="bottom"/>
            <w:tcBorders>
              <w:top w:val="single" w:sz="8" w:color="CCEEFF"/>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860" w:type="dxa"/>
            <w:vAlign w:val="bottom"/>
            <w:tcBorders>
              <w:top w:val="single" w:sz="8" w:color="CCEEFF"/>
            </w:tcBorders>
            <w:gridSpan w:val="12"/>
          </w:tcPr>
          <w:p>
            <w:pPr>
              <w:jc w:val="center"/>
              <w:ind w:right="5160"/>
              <w:spacing w:after="0" w:line="202" w:lineRule="exact"/>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w:t>
              </w:r>
            </w:hyperlink>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48"/>
        </w:trPr>
        <w:tc>
          <w:tcPr>
            <w:tcW w:w="1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spacing w:after="0"/>
              <w:rPr>
                <w:sz w:val="17"/>
                <w:szCs w:val="17"/>
                <w:color w:val="auto"/>
              </w:rPr>
            </w:pPr>
          </w:p>
        </w:tc>
        <w:tc>
          <w:tcPr>
            <w:tcW w:w="9580" w:type="dxa"/>
            <w:vAlign w:val="bottom"/>
            <w:gridSpan w:val="27"/>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164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Item 5.</w:t>
            </w:r>
          </w:p>
        </w:tc>
        <w:tc>
          <w:tcPr>
            <w:tcW w:w="72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Securities</w:t>
              </w:r>
            </w:hyperlink>
          </w:p>
        </w:tc>
        <w:tc>
          <w:tcPr>
            <w:tcW w:w="6600" w:type="dxa"/>
            <w:vAlign w:val="bottom"/>
            <w:tcBorders>
              <w:top w:val="single" w:sz="8" w:color="0000EE"/>
              <w:bottom w:val="single" w:sz="8" w:color="CCEEFF"/>
            </w:tcBorders>
            <w:gridSpan w:val="24"/>
            <w:shd w:val="clear" w:color="auto" w:fill="CCEEFF"/>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0000FF"/>
            </w:tcBorders>
            <w:gridSpan w:val="2"/>
            <w:shd w:val="clear" w:color="auto" w:fill="CCEEFF"/>
          </w:tcPr>
          <w:p>
            <w:pPr>
              <w:jc w:val="right"/>
              <w:spacing w:after="0" w:line="196"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9580" w:type="dxa"/>
            <w:vAlign w:val="bottom"/>
            <w:gridSpan w:val="27"/>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33</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w:t>
            </w:r>
          </w:p>
        </w:tc>
        <w:tc>
          <w:tcPr>
            <w:tcW w:w="9580" w:type="dxa"/>
            <w:vAlign w:val="bottom"/>
            <w:gridSpan w:val="27"/>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r>
      <w:tr>
        <w:trPr>
          <w:trHeight w:val="203"/>
        </w:trPr>
        <w:tc>
          <w:tcPr>
            <w:tcW w:w="164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3"/>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312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rFonts w:ascii="Arial" w:cs="Arial" w:eastAsia="Arial" w:hAnsi="Arial"/>
                <w:sz w:val="18"/>
                <w:szCs w:val="18"/>
                <w:color w:val="0000FF"/>
                <w:w w:val="79"/>
              </w:rPr>
            </w:pPr>
            <w:hyperlink w:anchor="page60">
              <w:r>
                <w:rPr>
                  <w:rFonts w:ascii="Arial" w:cs="Arial" w:eastAsia="Arial" w:hAnsi="Arial"/>
                  <w:sz w:val="18"/>
                  <w:szCs w:val="18"/>
                  <w:color w:val="0000FF"/>
                  <w:w w:val="79"/>
                </w:rPr>
                <w:t>58</w:t>
              </w:r>
            </w:hyperlink>
          </w:p>
        </w:tc>
        <w:tc>
          <w:tcPr>
            <w:tcW w:w="20" w:type="dxa"/>
            <w:vAlign w:val="bottom"/>
            <w:tcBorders>
              <w:top w:val="single" w:sz="8" w:color="CCEEFF"/>
            </w:tcBorders>
          </w:tcPr>
          <w:p>
            <w:pPr>
              <w:spacing w:after="0"/>
              <w:rPr>
                <w:sz w:val="17"/>
                <w:szCs w:val="17"/>
                <w:color w:val="auto"/>
              </w:rPr>
            </w:pPr>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Financial Statements and Supplementary Data</w:t>
              </w:r>
            </w:hyperlink>
          </w:p>
        </w:tc>
        <w:tc>
          <w:tcPr>
            <w:tcW w:w="6240" w:type="dxa"/>
            <w:vAlign w:val="bottom"/>
            <w:tcBorders>
              <w:bottom w:val="single" w:sz="8" w:color="CCEEFF"/>
            </w:tcBorders>
            <w:gridSpan w:val="13"/>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61">
              <w:r>
                <w:rPr>
                  <w:rFonts w:ascii="Arial" w:cs="Arial" w:eastAsia="Arial" w:hAnsi="Arial"/>
                  <w:sz w:val="18"/>
                  <w:szCs w:val="18"/>
                  <w:color w:val="0000FF"/>
                  <w:w w:val="79"/>
                </w:rPr>
                <w:t>59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9.</w:t>
            </w:r>
          </w:p>
        </w:tc>
        <w:tc>
          <w:tcPr>
            <w:tcW w:w="9580" w:type="dxa"/>
            <w:vAlign w:val="bottom"/>
            <w:gridSpan w:val="27"/>
          </w:tcPr>
          <w:p>
            <w:pPr>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Changes in and Disagreements With Accountants on Accounting and Financial Disclosure</w:t>
              </w:r>
            </w:hyperlink>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97">
              <w:r>
                <w:rPr>
                  <w:rFonts w:ascii="Arial" w:cs="Arial" w:eastAsia="Arial" w:hAnsi="Arial"/>
                  <w:sz w:val="18"/>
                  <w:szCs w:val="18"/>
                  <w:color w:val="0000FF"/>
                  <w:w w:val="79"/>
                </w:rPr>
                <w:t>95</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Controls and Procedures</w:t>
              </w:r>
            </w:hyperlink>
          </w:p>
        </w:tc>
        <w:tc>
          <w:tcPr>
            <w:tcW w:w="7800" w:type="dxa"/>
            <w:vAlign w:val="bottom"/>
            <w:tcBorders>
              <w:bottom w:val="single" w:sz="8" w:color="CCEEFF"/>
            </w:tcBorders>
            <w:gridSpan w:val="18"/>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97">
              <w:r>
                <w:rPr>
                  <w:rFonts w:ascii="Arial" w:cs="Arial" w:eastAsia="Arial" w:hAnsi="Arial"/>
                  <w:sz w:val="18"/>
                  <w:szCs w:val="18"/>
                  <w:color w:val="0000FF"/>
                  <w:w w:val="79"/>
                </w:rPr>
                <w:t>95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9B.</w:t>
            </w:r>
          </w:p>
        </w:tc>
        <w:tc>
          <w:tcPr>
            <w:tcW w:w="9580" w:type="dxa"/>
            <w:vAlign w:val="bottom"/>
            <w:gridSpan w:val="27"/>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40" w:type="dxa"/>
            <w:vAlign w:val="bottom"/>
            <w:gridSpan w:val="13"/>
            <w:shd w:val="clear" w:color="auto" w:fill="CCEEFF"/>
          </w:tcPr>
          <w:p>
            <w:pPr>
              <w:jc w:val="center"/>
              <w:ind w:right="4760"/>
              <w:spacing w:after="0" w:line="202" w:lineRule="exact"/>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PART III</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10.</w:t>
            </w:r>
          </w:p>
        </w:tc>
        <w:tc>
          <w:tcPr>
            <w:tcW w:w="9580" w:type="dxa"/>
            <w:vAlign w:val="bottom"/>
            <w:gridSpan w:val="27"/>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Directors, Executive Officers and Corporate Governance</w:t>
              </w:r>
            </w:hyperlink>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11.</w:t>
            </w:r>
          </w:p>
        </w:tc>
        <w:tc>
          <w:tcPr>
            <w:tcW w:w="9580" w:type="dxa"/>
            <w:vAlign w:val="bottom"/>
            <w:gridSpan w:val="27"/>
            <w:shd w:val="clear" w:color="auto" w:fill="CCEEFF"/>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Executive Compensation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12.</w:t>
            </w:r>
          </w:p>
        </w:tc>
        <w:tc>
          <w:tcPr>
            <w:tcW w:w="9580" w:type="dxa"/>
            <w:vAlign w:val="bottom"/>
            <w:gridSpan w:val="27"/>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Security Ownership of Certain Beneficial Owners and Management and Related Stockholder Matters</w:t>
              </w:r>
            </w:hyperlink>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2"/>
            <w:shd w:val="clear" w:color="auto" w:fill="CCEEFF"/>
          </w:tcPr>
          <w:p>
            <w:pPr>
              <w:spacing w:after="0" w:line="20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Certain Relationships and Related Transactions, and Director Independence</w:t>
              </w:r>
            </w:hyperlink>
          </w:p>
        </w:tc>
        <w:tc>
          <w:tcPr>
            <w:tcW w:w="4120" w:type="dxa"/>
            <w:vAlign w:val="bottom"/>
            <w:tcBorders>
              <w:bottom w:val="single" w:sz="8" w:color="CCEEFF"/>
            </w:tcBorders>
            <w:gridSpan w:val="5"/>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14.</w:t>
            </w:r>
          </w:p>
        </w:tc>
        <w:tc>
          <w:tcPr>
            <w:tcW w:w="9580" w:type="dxa"/>
            <w:vAlign w:val="bottom"/>
            <w:gridSpan w:val="27"/>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Principal Accounting Fees and Services</w:t>
              </w:r>
            </w:hyperlink>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0000FF"/>
            </w:tcBorders>
            <w:gridSpan w:val="6"/>
            <w:shd w:val="clear" w:color="auto" w:fill="CCEEFF"/>
          </w:tcPr>
          <w:p>
            <w:pPr>
              <w:jc w:val="center"/>
              <w:spacing w:after="0" w:line="202" w:lineRule="exact"/>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PART IV</w:t>
              </w:r>
            </w:hyperlink>
          </w:p>
        </w:tc>
        <w:tc>
          <w:tcPr>
            <w:tcW w:w="514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Arial" w:cs="Arial" w:eastAsia="Arial" w:hAnsi="Arial"/>
                <w:sz w:val="18"/>
                <w:szCs w:val="18"/>
                <w:color w:val="auto"/>
              </w:rPr>
              <w:t>Item 15.</w:t>
            </w:r>
          </w:p>
        </w:tc>
        <w:tc>
          <w:tcPr>
            <w:tcW w:w="9580" w:type="dxa"/>
            <w:vAlign w:val="bottom"/>
            <w:gridSpan w:val="27"/>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Exhibits, Financial Statement Schedules</w:t>
              </w:r>
            </w:hyperlink>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2"/>
              </w:rPr>
            </w:pPr>
            <w:hyperlink w:anchor="page101">
              <w:r>
                <w:rPr>
                  <w:rFonts w:ascii="Arial" w:cs="Arial" w:eastAsia="Arial" w:hAnsi="Arial"/>
                  <w:sz w:val="18"/>
                  <w:szCs w:val="18"/>
                  <w:color w:val="0000EE"/>
                  <w:w w:val="92"/>
                </w:rPr>
                <w:t>Form 10-K Summary</w:t>
              </w:r>
            </w:hyperlink>
          </w:p>
        </w:tc>
        <w:tc>
          <w:tcPr>
            <w:tcW w:w="8020" w:type="dxa"/>
            <w:vAlign w:val="bottom"/>
            <w:tcBorders>
              <w:bottom w:val="single" w:sz="8" w:color="CCEEFF"/>
            </w:tcBorders>
            <w:gridSpan w:val="20"/>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459"/>
        </w:trPr>
        <w:tc>
          <w:tcPr>
            <w:tcW w:w="1640" w:type="dxa"/>
            <w:vAlign w:val="bottom"/>
          </w:tcPr>
          <w:p>
            <w:pPr>
              <w:spacing w:after="0"/>
              <w:rPr>
                <w:sz w:val="24"/>
                <w:szCs w:val="24"/>
                <w:color w:val="auto"/>
              </w:rPr>
            </w:pPr>
          </w:p>
        </w:tc>
        <w:tc>
          <w:tcPr>
            <w:tcW w:w="4360" w:type="dxa"/>
            <w:vAlign w:val="bottom"/>
            <w:gridSpan w:val="19"/>
          </w:tcPr>
          <w:p>
            <w:pPr>
              <w:jc w:val="center"/>
              <w:ind w:left="369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Annual Report on Form 10-K (this “Form 10-K”)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risks related to our reliance on information technology, including our failure to maintain the integrity of our customer or employee data;</w:t>
      </w:r>
    </w:p>
    <w:p>
      <w:pPr>
        <w:spacing w:after="0" w:line="20" w:lineRule="exact"/>
        <w:rPr>
          <w:rFonts w:ascii="Arial" w:cs="Arial" w:eastAsia="Arial" w:hAnsi="Arial"/>
          <w:sz w:val="17"/>
          <w:szCs w:val="17"/>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cyber-attacks;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and services effectively;</w:t>
      </w: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Okemo, Crested Butte, Stevens Pass, Mt. Sunapee or future acquisitions;</w:t>
      </w: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tabs>
          <w:tab w:leader="none" w:pos="8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changes in accounting judgments and estimates, accounting principles, policies or guidelines or adverse determinations by taxing authorities;</w:t>
      </w:r>
    </w:p>
    <w:p>
      <w:pPr>
        <w:spacing w:after="0" w:line="32" w:lineRule="exact"/>
        <w:rPr>
          <w:rFonts w:ascii="Arial" w:cs="Arial" w:eastAsia="Arial" w:hAnsi="Arial"/>
          <w:sz w:val="16"/>
          <w:szCs w:val="16"/>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uncertainty of the impact of recently enacted tax reform legislation in the United States;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included under Part I, Item 1A,”Risk Factors” in this document.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10-K, including investors and prospective investors, are cautioned not to place undue reliance on such forward-looking statements. Actual results may differ materially from those suggested by the forward-looking statements that we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7"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make for a number of reasons including those described above and in Part I, Item 1A, “Risk Factors” of this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both"/>
        <w:spacing w:after="0" w:line="541" w:lineRule="auto"/>
        <w:rPr>
          <w:sz w:val="20"/>
          <w:szCs w:val="20"/>
          <w:color w:val="auto"/>
        </w:rPr>
      </w:pPr>
      <w:r>
        <w:rPr>
          <w:rFonts w:ascii="Arial" w:cs="Arial" w:eastAsia="Arial" w:hAnsi="Arial"/>
          <w:sz w:val="17"/>
          <w:szCs w:val="17"/>
          <w:b w:val="1"/>
          <w:bCs w:val="1"/>
          <w:color w:val="auto"/>
        </w:rPr>
        <w:t>ITEM 1. General</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w:t>
      </w:r>
    </w:p>
    <w:p>
      <w:pPr>
        <w:spacing w:after="0" w:line="686" w:lineRule="exact"/>
        <w:rPr>
          <w:sz w:val="20"/>
          <w:szCs w:val="20"/>
          <w:color w:val="auto"/>
        </w:rPr>
      </w:pPr>
    </w:p>
    <w:p>
      <w:pPr>
        <w:sectPr>
          <w:pgSz w:w="11900" w:h="16838" w:orient="portrait"/>
          <w:cols w:equalWidth="0" w:num="2">
            <w:col w:w="660" w:space="640"/>
            <w:col w:w="10120"/>
          </w:cols>
          <w:pgMar w:left="240" w:top="1013" w:right="239" w:bottom="1440" w:gutter="0" w:footer="0" w:header="0"/>
          <w:type w:val="continuous"/>
        </w:sectPr>
      </w:pPr>
    </w:p>
    <w:p>
      <w:pPr>
        <w:spacing w:after="0"/>
        <w:rPr>
          <w:sz w:val="20"/>
          <w:szCs w:val="20"/>
          <w:color w:val="auto"/>
        </w:rPr>
      </w:pPr>
      <w:r>
        <w:rPr>
          <w:rFonts w:ascii="Arial" w:cs="Arial" w:eastAsia="Arial" w:hAnsi="Arial"/>
          <w:sz w:val="18"/>
          <w:szCs w:val="18"/>
          <w:color w:val="auto"/>
        </w:rPr>
        <w:t>Vail Resorts, Inc., together with its subsidiaries, is referred to throughout this document as “we,” “us,” “our” or the “Company.”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Vail Resorts, Inc., a Delaware corporation, was organized as a holding company in 1997 and operates through various subsidiaries. Our operations are grouped into three business segments: Mountain, Lodging and Real Estate, which represented approximately 85.6%, 14.2% and 0.2%, respectively, of our net revenue for our fiscal year ended July 31, 2018 (“Fiscal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31, 2018, our Mountain segment operates eleven world-class mountain resort properties and three urban ski areas, as well as ancillary services, primarily including:</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ski school,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dining,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retail/rental operations.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15, 2018, we closed on our acquisition of Stevens Pass Resort in the State of Washington, and on September 27, 2018, we closed on our acquisition of Triple Peaks, LLC (“Triple Peaks”), the parent company of Okemo Mountain Resort in Vermont, Crested Butte Mountain Resort in Colorado, and Mount Sunapee Resort in New Hampshire. The operations of these four resorts will be reported in our Mountain segment. These four resorts are discussed in additional detail below as well as in Item 7, Management’s Discussion and Analysis.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Lodging segment includes the following: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owned and/or managed luxury hotels under our RockResorts brand, as well as other strategic lodging properties,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owned and/or managed condominiums located in proximity to our mountain resorts,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National Park Service (“NPS”) concessionaire properties, including Grand Teton Lodge Company (“GTLC”), which operates destination resorts at Grand Teton National Park,</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Colorado resort ground transportation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Mountain resort golf courses.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Collectively, the Mountain and Lodging segments are considered the Resort segment. Our Real Estate segment owns, develops and sells real estate in and around our resort communities.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financial information and other information about the Company’s segments and geographic areas, see Item 7. “Management’s Discussion and Analysis of Financial Condition and Results of Operations” and Item 8. “Financial Statements and Supplementary Data”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3"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Mountain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world-class mountain resorts and urban ski areas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848985" cy="3670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*Denotes a mountain resort that was acquired subsequent to Fiscal 2018 and is therefore not included in the consolidated financial results of the Company as of or for the year ended July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Colorado and Utah Resorts (Rocky Mountain Region)</w:t>
      </w:r>
    </w:p>
    <w:p>
      <w:pPr>
        <w:spacing w:after="0" w:line="158"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Breckenridge Ski Resort (“Breckenridge”) - the most visited mountain resort in the United States (“U.S.”) for the 2017/2018 ski season with five interconnected peaks offering an expansive variety of terrain for every skill level, including access to above tree line intermediate and expert terrain, and progressive and award-winning terrain parks.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Vail Mountain Resort (“Vail Mountain”) - the second most visited mountain resort in the U.S. for the 2017/2018 ski season. Vail Mountain offers some of the most expansive and varied terrain in North America with approximately 5,300 skiable acres including seven world renowned back bowls and the resort’s rustic Blue Sky Basin.</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Park City Resort (“Park City”) - the third most visited mountain resort in the U.S. for the 2017/2018 ski season and the largest by acreage in the U.S. Park City offers 7,300 acres of skiable terrain for every type of skier and snowboarder and offers guests an outstanding ski experience with fine dining, ski school, retail and lodging.</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Keystone Resort (“Keystone”) - the fourth most visited mountain resort in the U.S. for the 2017/2018 ski season and home to the highly renowned A51 Terrain Park, as well as the largest area of night skiing in Colorado. Keystone also offers guests a unique skiing opportunity through guided snow cat ski tours accessing five bowls. Keystone is a premier destination for families with its “Kidtopia” program focused on providing activities for kids on and off the mountain.</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Beaver Creek Resort (“Beaver Creek”) - the ninth most visited mountain resort in the U.S. for the 2017/2018 ski season. Beaver Creek is a European-style resort with multiple villages and also includes a world renowned children’s ski school program focused on providing a first-class experience with unique amenities such as a dedicated children’s gondola.</w:t>
      </w:r>
    </w:p>
    <w:p>
      <w:pPr>
        <w:sectPr>
          <w:pgSz w:w="11900" w:h="16838" w:orient="portrait"/>
          <w:cols w:equalWidth="0" w:num="1">
            <w:col w:w="11420"/>
          </w:cols>
          <w:pgMar w:left="240" w:top="1337"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337" w:right="239" w:bottom="1440" w:gutter="0" w:footer="0" w:header="0"/>
          <w:type w:val="continuous"/>
        </w:sectPr>
      </w:pPr>
    </w:p>
    <w:bookmarkStart w:id="7" w:name="page8"/>
    <w:bookmarkEnd w:id="7"/>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Crested Butte Mountain Resort (“Crested Butte”) - acquired in September 2018, Crested Butte is located in southwest Colorado and includes over 1,500 skiable acres and over 3,000 feet of vertical drop. Crested Butte is known for its historic town, iconic mountain peaks and legendary skiing and riding terrain.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Lake Tahoe Resorts</w:t>
      </w:r>
    </w:p>
    <w:p>
      <w:pPr>
        <w:spacing w:after="0" w:line="117"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Heavenly Mountain Resort (“Heavenly”) - the tenth most visited mountain resort in the U.S. for the 2017/2018 ski season. Heavenly is located near the South Shore of Lake Tahoe with over 4,800 skiable acres, straddling the border of California and Nevada and offers unique and spectacular views of Lake Tahoe. Heavenly offers great nightlife, including its proximity to several casinos.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Northstar Resort (“Northstar”) - Northstar, located near the North Shore of Lake Tahoe, is the premier luxury mountain resort destination near Lake Tahoe which offers premium lodging, a vibrant base area and over 3,000 skiable acres. Northstar’s village features high-end shops and restaurants, a conference center and a 9,000 square-foot skating rink.</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Kirkwood Mountain Resort (“Kirkwood”) - located about 35 miles southwest of South Lake Tahoe, offering a unique location atop the Sierra Crest. Kirkwood is recognized for offering some of the best high alpine advanced terrain in North America with 2,000 feet of vertical drop and over 2,300 acres of terrain.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Northeast Resorts</w:t>
      </w:r>
    </w:p>
    <w:p>
      <w:pPr>
        <w:spacing w:after="0" w:line="117" w:lineRule="exact"/>
        <w:rPr>
          <w:sz w:val="20"/>
          <w:szCs w:val="20"/>
          <w:color w:val="auto"/>
        </w:rPr>
      </w:pPr>
    </w:p>
    <w:p>
      <w:pPr>
        <w:ind w:left="660" w:hanging="328"/>
        <w:spacing w:after="0" w:line="308" w:lineRule="auto"/>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color w:val="auto"/>
        </w:rPr>
        <w:t>Stowe Mountain Resort (“Stowe”) - acquired in June 2017, Stowe is a premier mountain resort located in Northern Vermont which offers high-end lodging and dining options. The mountain offers 116 trails on 485 skiable acres, with a variety of terrain for skiers of all skill levels.</w:t>
      </w:r>
    </w:p>
    <w:p>
      <w:pPr>
        <w:spacing w:after="0" w:line="146" w:lineRule="exact"/>
        <w:rPr>
          <w:rFonts w:ascii="Arial" w:cs="Arial" w:eastAsia="Arial" w:hAnsi="Arial"/>
          <w:sz w:val="17"/>
          <w:szCs w:val="17"/>
          <w:i w:val="1"/>
          <w:iCs w:val="1"/>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Okemo Mountain Resort (“Okemo”) - acquired in September 2018, Okemo is located in southern Vermont, approximately three hours from Boston and four hours from New York City, and has developed a reputation for superior guest service, snow quality, grooming, terrain parks and family programs. Okemo offers 667 acres of skiable terrain with the most vertical feet of skiing in southern Vermont.</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Mount Sunapee Resort - (“Mount Sunapee”) - acquired in September 2018, Mount Sunapee is the premier ski area in southern New Hampshire, located approximately 90 minutes from Boston. Mount Sunapee is a family-focused ski area overlooking Lake Sunapee, with excellent snowmaking and grooming across its 230 skiable acres with a variety of terrain for skiers of all skill levels, including four terrain parks.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Pacific Northwest Resort</w:t>
      </w:r>
    </w:p>
    <w:p>
      <w:pPr>
        <w:spacing w:after="0" w:line="117" w:lineRule="exact"/>
        <w:rPr>
          <w:sz w:val="20"/>
          <w:szCs w:val="20"/>
          <w:color w:val="auto"/>
        </w:rPr>
      </w:pPr>
    </w:p>
    <w:p>
      <w:pPr>
        <w:ind w:left="660" w:right="2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Stevens Pass Resort (“Stevens Pass”) - acquired in August 2018, Stevens Pass is located less than 85 miles from Seattle and sits on the crest of Washington State’s Cascade Range. Stevens Pass offers 1,125 acres of skiable terrain, including 52 runs and numerous bowls, glades and faces.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Urban Ski Areas</w:t>
      </w:r>
    </w:p>
    <w:p>
      <w:pPr>
        <w:spacing w:after="0" w:line="117"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Afton Alps Ski Area (“Afton Alps”), located near the Minneapolis/St. Paul metropolitan area, is the largest ski area near a major city in the Midwest and offers 48 trails, with night skiing, riding and tubing. Mount Brighton Ski Area (“Mt. Brighton”), located near Detroit, offers 26 trails with night skiing and riding. Wilmot Mountain (“Wilmot” ), located in southern Wisconsin, is near the Chicago metropolitan area and offers 25 trails, four terrain parks, a ski and snowboard school, a ski racing program and a tubing hill.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Resorts</w:t>
      </w:r>
    </w:p>
    <w:p>
      <w:pPr>
        <w:spacing w:after="0" w:line="117" w:lineRule="exact"/>
        <w:rPr>
          <w:sz w:val="20"/>
          <w:szCs w:val="20"/>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Whistler Blackcomb (“Whistler Blackcomb”) - acquired in October 2016 and located in the Coast Mountains of British Columbia, Canada, approximately 85 miles from the Vancouver International Airport, Whistler Blackcomb is the most visited and largest year-round mountain resort in North America, with two mountains connected by the PEAK 2 PEAK gondola, which combined offer over 200 marked runs, over 8,000 acres of terrain, 14 alpine bowls, three glaciers and one of the longest ski seasons in North America. In the summer Whistler Blackcomb offers a variety of activities, including hiking trails, a bike park and sightseeing. Whistler Blackcomb is a popular destination for international visitors and was home to the 2010 Winter Olympics.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33" w:right="239" w:bottom="1440" w:gutter="0" w:footer="0" w:header="0"/>
        </w:sectPr>
      </w:pPr>
    </w:p>
    <w:bookmarkStart w:id="8" w:name="page9"/>
    <w:bookmarkEnd w:id="8"/>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Perisher Ski Resort (“Perisher”) - located in New South Wales, Australia. Perisher provides accessibility, significant lodging and the market’s most skiable acreage for the country’s largest cities, including Sydney, Melbourne, Adelaide, Canberra and Brisbane. Perisher offers over 3,000 skiable acres on seven peaks and includes the resort areas known as Perisher Valley, Smiggin Holes, Blue Cow and Guthega, along with ski school, lodging, food and beverage, retail/rental and transportation operations.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resorts in Colorado, Utah, Lake Tahoe, Vermont, New Hampshire, Washington State and British Columbia, Canada are year-round mountain resorts that provide a comprehensive resort experience to a diverse clientele with an attractive demographic profile. Our resorts offer a broad complement of winter and summer recreational activities, including skiing, snowboarding, snowshoeing, snowtubing, sightseeing, mountain biking, guided hiking, zip lines, challenge ropes courses, alpine slides, mountain coasters, children’s activities and other recreational activities.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Mountain segment derives revenue through the sale of lift tickets, including season passes,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Ski Industry/Competition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approximately 770 ski areas in North America and approximately 470 in the U.S., ranging from small ski area operations that service day skiers to large resorts that attract both day skiers and destination resort guests looking for a comprehensive vacation experience. We have a large presence in the Rocky Mountain region and the Lake Tahoe region, and also operate resorts in the Pacific Northwest and Northeast. During the 2017/2018 North American ski season, combined skier visits for all ski areas in North America were approximately 72.7 million. Our North American mountain resorts and urban ski areas, owned as of July 31, 2018, had approximately 11.5 million skier visits during the 2017/2018 ski season representing approximately 15.8% of North American skier visits.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Rocky Mountain region mountain resorts appeal to both day skiers and destination guests due to our Colorado resorts’ proximity to Colorado’s Front Range (Denver, Colorado Springs and Boulder) metropolitan areas and Park City’s proximity to the Salt Lake City metropolitan area. The Colorado Front Range has a population of approximately 4.8 million and is within approximately 100 miles from each of our Colorado resorts along the I-70 corridor, a major interstate highway. Additionally, the Salt Lake City metropolitan area has a population of approximately 1.2 million and is approximately 30 miles from Park City. These resorts are also accessible from several airports, including Denver International Airport and Eagle County Airport in Colorado and the Salt Lake City International Airport in Utah and have a wide range of amenities available at each resort, as well as within the proximate base areas, villages and towns.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Lake Tahoe, which straddles the border of California and Nevada, is a major skiing destination less than 100 miles from Sacramento and Reno and approximately 200 miles from San Francisco, drawing skiers from the entirety of California and Nevada and making it a convenient destination for both day skiers and destination guests.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limited opportunity for development of new destination ski resorts due to the limited private lands on which ski areas can be built, the difficulty in obtaining the appropriate governmental approvals to build on public lands and the significant capital needed to construct the necessary infrastructure. As such, there have been virtually no new destination ski resorts in North America for over 35 years, which has and should continue to allow the best-positioned destination resorts to benefit from future industry growth. Our resorts compete with other major destination mountain resorts, including, among others, Aspen Snowmass, Copper Mountain, Mammoth, Deer Valley, Snowbird, Squaw Valley USA, Killington, Sierra at Tahoe, Steamboat, Jackson Hole and Winter Park, as well as other ski areas in Colorado, California, Nevada, Utah, the Pacific Northwest, the Northeast, Southwest and British Columbia, Canada, and other destination ski areas in North America and worldwide as well as non-ski related vacation options and destinations. Additionally, our season pass products compete with other multi-resort frequency and pass products in North America, including the IKON Pass, the Mountain Collective Pass and various regional and local pass products.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ski industry statistics stated in this section have been derived from data published by Colorado Ski Country USA, Canadian Ski Council, Kottke National End of Season Survey 2017/2018 (the “Kottke Survey”) and other industry publications.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Competitive Strengths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premier resorts and business model differentiate our Company from the rest of the ski industry. We have iconic, branded mountain resorts in important ski destinations in Colorado, Utah, Lake Tahoe, the Northeast and the Pacific Northwest, including British Columbia, Canada. Through our sales of season passes, we provide our guests with a strong value proposition in return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7" w:right="239" w:bottom="1440" w:gutter="0" w:footer="0" w:header="0"/>
        </w:sectPr>
      </w:pPr>
    </w:p>
    <w:bookmarkStart w:id="9" w:name="page10"/>
    <w:bookmarkEnd w:id="9"/>
    <w:p>
      <w:pPr>
        <w:jc w:val="both"/>
        <w:spacing w:after="0" w:line="297" w:lineRule="auto"/>
        <w:rPr>
          <w:sz w:val="20"/>
          <w:szCs w:val="20"/>
          <w:color w:val="auto"/>
        </w:rPr>
      </w:pPr>
      <w:r>
        <w:rPr>
          <w:rFonts w:ascii="Arial" w:cs="Arial" w:eastAsia="Arial" w:hAnsi="Arial"/>
          <w:sz w:val="16"/>
          <w:szCs w:val="16"/>
          <w:color w:val="auto"/>
        </w:rPr>
        <w:t>for guests committing to ski at our resorts prior to, or very early into the ski season, which we believe attracts more guests to our resorts. We believe we invest in more capital improvements than our competitors and we create synergies by operating multiple resorts, which enhances our profitability by enabling customers to access our network of resorts with our season pass products. Most of our mountain resorts located in the U.S. typically rank in the most visited ski resorts in the U.S. (six of the top ten for the 2017/2018 U.S. ski season), and most of our mountain resorts consistently rank in the top ranked ski resorts in North America according to industry surveys, which we attribute to our mountain resorts’ ability to provide a high-quality experience.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factors contribute directly to each resort’s success: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Exceptional Mountain Experience</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World-Class Mountain Resorts and Integrated Base Resort Areas</w:t>
      </w:r>
    </w:p>
    <w:p>
      <w:pPr>
        <w:spacing w:after="0" w:line="117" w:lineRule="exact"/>
        <w:rPr>
          <w:rFonts w:ascii="Arial" w:cs="Arial" w:eastAsia="Arial" w:hAnsi="Arial"/>
          <w:sz w:val="18"/>
          <w:szCs w:val="18"/>
          <w:color w:val="auto"/>
        </w:rPr>
      </w:pPr>
    </w:p>
    <w:p>
      <w:pPr>
        <w:jc w:val="both"/>
        <w:ind w:left="660" w:right="20"/>
        <w:spacing w:after="0" w:line="264" w:lineRule="auto"/>
        <w:rPr>
          <w:rFonts w:ascii="Arial" w:cs="Arial" w:eastAsia="Arial" w:hAnsi="Arial"/>
          <w:sz w:val="18"/>
          <w:szCs w:val="18"/>
          <w:color w:val="auto"/>
        </w:rPr>
      </w:pPr>
      <w:r>
        <w:rPr>
          <w:rFonts w:ascii="Arial" w:cs="Arial" w:eastAsia="Arial" w:hAnsi="Arial"/>
          <w:sz w:val="18"/>
          <w:szCs w:val="18"/>
          <w:color w:val="auto"/>
        </w:rPr>
        <w:t>Our mountain resorts offer a multitude of skiing and snowboarding experiences for the beginner, intermediate, advanced and expert levels. Each mountain resort is fully integrated into expansive resort base areas offering a broad array of lodging, dining, retail, nightlife and other amenities, some of which we own or manage, to our guests.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Snow Conditions</w:t>
      </w:r>
    </w:p>
    <w:p>
      <w:pPr>
        <w:spacing w:after="0" w:line="117" w:lineRule="exact"/>
        <w:rPr>
          <w:rFonts w:ascii="Arial" w:cs="Arial" w:eastAsia="Arial" w:hAnsi="Arial"/>
          <w:sz w:val="18"/>
          <w:szCs w:val="18"/>
          <w:color w:val="auto"/>
        </w:rPr>
      </w:pPr>
    </w:p>
    <w:p>
      <w:pPr>
        <w:jc w:val="both"/>
        <w:ind w:left="660"/>
        <w:spacing w:after="0" w:line="293" w:lineRule="auto"/>
        <w:rPr>
          <w:rFonts w:ascii="Arial" w:cs="Arial" w:eastAsia="Arial" w:hAnsi="Arial"/>
          <w:sz w:val="18"/>
          <w:szCs w:val="18"/>
          <w:color w:val="auto"/>
        </w:rPr>
      </w:pPr>
      <w:r>
        <w:rPr>
          <w:rFonts w:ascii="Arial" w:cs="Arial" w:eastAsia="Arial" w:hAnsi="Arial"/>
          <w:sz w:val="16"/>
          <w:szCs w:val="16"/>
          <w:color w:val="auto"/>
        </w:rPr>
        <w:t>Our resorts in the Rocky Mountain region of Colorado and Utah, the Sierra Nevada Mountains in Lake Tahoe and the Coast Mountains in British Columbia, Canada receive average annual snowfall between 20 and 39 feet. Average annual snowfall in Australia is significantly lower than at North American ski resorts. However, Perisher generally receives higher average annual snowfall compared to other Australian alpine ski resorts, which is due to its location in the Australian Alps and the elevation of its terrain. Even in these areas which receive abundant snowfall, we have invested in significant snowmaking systems that help provide a more consistent experience, especially in the early season. Additionally, we provide several hundred acres of groomed terrain at each of our mountain resorts with extensive fleets of snow grooming equipment.</w:t>
      </w:r>
    </w:p>
    <w:p>
      <w:pPr>
        <w:spacing w:after="0" w:line="16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Lift Service</w:t>
      </w:r>
    </w:p>
    <w:p>
      <w:pPr>
        <w:spacing w:after="0" w:line="117"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7"/>
          <w:szCs w:val="17"/>
          <w:color w:val="auto"/>
        </w:rPr>
        <w:t>We systematically upgrade our lifts and put in new lifts to increase uphill capacity and streamline skier traffic to maximize the guest experience. In the past several years, we have installed several high speed chairlifts and gondolas across our mountain resorts, including new high speed, six-passenger chairlift replacements for each of the Northwoods lift at Vail Mountain, the Peak 10 Falcon SuperChair at Breckenridge and the Montezuma lift at Keystone; a new high speed, four person chair replacement for the Drink of Water chair at Beaver Creek; a high speed quad replacement for the Sun Up chairlift at Vail Mountain; several chairlifts at Wilmot and an eight-passenger gondola connecting Park City and Canyons. For the 2018/2019 ski season, upgrades to various chairlifts include, among other projects, a new 10-person gondola running from the base to the top of Blackcomb Mountain, replacing the Wizard and Solar four person chairs with a single state-of-the-art gondola; upgrading the four-person Emerald express chairlift to a high speed six-person chairlift on Whistler Mountain; upgrading the three-person fixed grip Catskinner chairlift to a four-person high speed lift at Blackcomb Mountain; upgrading the fixed grip High Meadow chair to a four person high speed lift at the Canyons area of Park City; replacing the Galaxy two-person chairlift with a three-person chairlift at Heavenly and upgrading the Leichhardt T-bar to a four-person chairlift at Perisher.</w:t>
      </w:r>
    </w:p>
    <w:p>
      <w:pPr>
        <w:spacing w:after="0" w:line="18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Terrain Parks</w:t>
      </w:r>
    </w:p>
    <w:p>
      <w:pPr>
        <w:spacing w:after="0" w:line="117"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Our mountain resorts and urban ski areas are committed to leading the industry in terrain park design, education and events for the growing segment of freestyle skiers and snowboarders. Each of our mountain resorts has multiple terrain parks that include progressively-challenging features. These park structures, coupled with freestyle ski school programs, promote systematic learning from basic to professional skills.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Extraordinary Service and Amenities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Commitment to the Guest Experience</w:t>
      </w:r>
    </w:p>
    <w:p>
      <w:pPr>
        <w:spacing w:after="0" w:line="117" w:lineRule="exact"/>
        <w:rPr>
          <w:rFonts w:ascii="Arial" w:cs="Arial" w:eastAsia="Arial" w:hAnsi="Arial"/>
          <w:sz w:val="18"/>
          <w:szCs w:val="18"/>
          <w:color w:val="auto"/>
        </w:rPr>
      </w:pPr>
    </w:p>
    <w:p>
      <w:pPr>
        <w:jc w:val="both"/>
        <w:ind w:left="660"/>
        <w:spacing w:after="0" w:line="293" w:lineRule="auto"/>
        <w:rPr>
          <w:rFonts w:ascii="Arial" w:cs="Arial" w:eastAsia="Arial" w:hAnsi="Arial"/>
          <w:sz w:val="18"/>
          <w:szCs w:val="18"/>
          <w:color w:val="auto"/>
        </w:rPr>
      </w:pPr>
      <w:r>
        <w:rPr>
          <w:rFonts w:ascii="Arial" w:cs="Arial" w:eastAsia="Arial" w:hAnsi="Arial"/>
          <w:sz w:val="16"/>
          <w:szCs w:val="16"/>
          <w:color w:val="auto"/>
        </w:rPr>
        <w:t>Our focus is to provide quality service at every level of the guest experience. Prior to arrival at our mountain resorts, guests can receive personal assistance through our full-service, in-house travel center and through our comprehensive websites to book desired lodging accommodations, lift tickets, ski school lessons, equipment rentals and travel arrangements. Upon arrival, our resort staff serve as ambassadors to engage guests, answer questions and create a customer-focused environment. In addition, we offer guests what we believe is the industry-leading EpicMix application. EpicMix is an online and mobile application that, through radio frequency technology, captures a guest’s activity on the mountain (e.g. number of ski days, vertical feet skied and chairlift activity) and allows a guest to share his or her experience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17" w:right="239" w:bottom="1440" w:gutter="0" w:footer="0" w:header="0"/>
        </w:sectPr>
      </w:pPr>
    </w:p>
    <w:bookmarkStart w:id="10" w:name="page11"/>
    <w:bookmarkEnd w:id="10"/>
    <w:p>
      <w:pPr>
        <w:jc w:val="both"/>
        <w:ind w:left="328"/>
        <w:spacing w:after="0" w:line="255" w:lineRule="auto"/>
        <w:rPr>
          <w:sz w:val="20"/>
          <w:szCs w:val="20"/>
          <w:color w:val="auto"/>
        </w:rPr>
      </w:pPr>
      <w:r>
        <w:rPr>
          <w:rFonts w:ascii="Arial" w:cs="Arial" w:eastAsia="Arial" w:hAnsi="Arial"/>
          <w:sz w:val="18"/>
          <w:szCs w:val="18"/>
          <w:color w:val="auto"/>
        </w:rPr>
        <w:t>accomplishments with family and friends on social networks. Since the initial launch of our EpicMix technology, we have expanded EpicMix to include additional offerings such as EpicMix Time, which allows guests to access real time lift line wait times; EpicMix Academy, which allows our ski school instructors to certify the attainment of certain skills and ski levels; EpicMix Photo, which provides professional photos and allows guests to share photos on social networks; and EpicMix Guide, which uses guest input to provide a customized, step-by-step navigational guide to experience our mountains. Additionally, we introduced the world’s first digital mountain assistant (“EMMA”), which uses artificial intelligence and natural language processing to offer information on everything from grooming, lift line wait times and parking, in addition to recommendations on rentals, lessons and dining options.</w:t>
      </w:r>
    </w:p>
    <w:p>
      <w:pPr>
        <w:spacing w:after="0" w:line="189" w:lineRule="exact"/>
        <w:rPr>
          <w:sz w:val="20"/>
          <w:szCs w:val="20"/>
          <w:color w:val="auto"/>
        </w:rPr>
      </w:pPr>
    </w:p>
    <w:p>
      <w:pPr>
        <w:jc w:val="both"/>
        <w:ind w:left="328"/>
        <w:spacing w:after="0" w:line="277" w:lineRule="auto"/>
        <w:rPr>
          <w:sz w:val="20"/>
          <w:szCs w:val="20"/>
          <w:color w:val="auto"/>
        </w:rPr>
      </w:pPr>
      <w:r>
        <w:rPr>
          <w:rFonts w:ascii="Arial" w:cs="Arial" w:eastAsia="Arial" w:hAnsi="Arial"/>
          <w:sz w:val="18"/>
          <w:szCs w:val="18"/>
          <w:color w:val="auto"/>
        </w:rPr>
        <w:t>We also solicit guest feedback through a variety of surveys and results, which are used to ensure high levels of customer satisfaction, understand trends and develop future resort programs and amenities.</w:t>
      </w:r>
    </w:p>
    <w:p>
      <w:pPr>
        <w:spacing w:after="0" w:line="170" w:lineRule="exact"/>
        <w:rPr>
          <w:sz w:val="20"/>
          <w:szCs w:val="20"/>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 Pass Products</w:t>
      </w:r>
    </w:p>
    <w:p>
      <w:pPr>
        <w:spacing w:after="0" w:line="117" w:lineRule="exact"/>
        <w:rPr>
          <w:rFonts w:ascii="Arial" w:cs="Arial" w:eastAsia="Arial" w:hAnsi="Arial"/>
          <w:sz w:val="18"/>
          <w:szCs w:val="18"/>
          <w:color w:val="auto"/>
        </w:rPr>
      </w:pPr>
    </w:p>
    <w:p>
      <w:pPr>
        <w:jc w:val="both"/>
        <w:ind w:left="328"/>
        <w:spacing w:after="0" w:line="287" w:lineRule="auto"/>
        <w:rPr>
          <w:rFonts w:ascii="Arial" w:cs="Arial" w:eastAsia="Arial" w:hAnsi="Arial"/>
          <w:sz w:val="18"/>
          <w:szCs w:val="18"/>
          <w:color w:val="auto"/>
        </w:rPr>
      </w:pPr>
      <w:r>
        <w:rPr>
          <w:rFonts w:ascii="Arial" w:cs="Arial" w:eastAsia="Arial" w:hAnsi="Arial"/>
          <w:sz w:val="16"/>
          <w:szCs w:val="16"/>
          <w:color w:val="auto"/>
        </w:rPr>
        <w:t>We offer a variety of season pass products for all of our mountain resorts and urban ski areas that are marketed towards both out-of-state and international (“Destination”) guests and in-state and local (“Local”) guests. Our season pass products are available for purchase predominately during the period prior to the start of the ski season, offering our guests a better value in exchange for their commitment to ski at our resorts before the season begins. As such, our season pass program drives strong customer loyalty and mitigates exposure to more weather sensitive guests, leading to greater revenue stability and allowing us to capture valuable guest data. Additionally, our season pass customers typically ski more days each season than those guests who do not buy season passes, which leads to additional ancillary spending. Season pass products generated approximately 47% of our total lift revenue for Fiscal 2018. In addition, our season pass products attract new guests to our mountain resorts and urban ski areas. Sales of season pass products are a key component of our overall Mountain segment revenue and help create strong synergies among our mountain resorts and urban ski areas. Our season pass products range from providing access to one or a combination of our mountain resorts and urban ski areas to our Epic Pass which provides unrestricted and unlimited access to all our mountain resorts and urban ski areas. All of our various season pass options can be found on our consumer website www.snow.com. Information on our websites does not constitute part of this document.</w:t>
      </w:r>
    </w:p>
    <w:p>
      <w:pPr>
        <w:spacing w:after="0" w:line="172" w:lineRule="exact"/>
        <w:rPr>
          <w:rFonts w:ascii="Arial" w:cs="Arial" w:eastAsia="Arial" w:hAnsi="Arial"/>
          <w:sz w:val="18"/>
          <w:szCs w:val="18"/>
          <w:color w:val="auto"/>
        </w:rPr>
      </w:pPr>
    </w:p>
    <w:p>
      <w:pPr>
        <w:jc w:val="both"/>
        <w:ind w:left="328"/>
        <w:spacing w:after="0" w:line="286" w:lineRule="auto"/>
        <w:rPr>
          <w:rFonts w:ascii="Arial" w:cs="Arial" w:eastAsia="Arial" w:hAnsi="Arial"/>
          <w:sz w:val="18"/>
          <w:szCs w:val="18"/>
          <w:color w:val="auto"/>
        </w:rPr>
      </w:pPr>
      <w:r>
        <w:rPr>
          <w:rFonts w:ascii="Arial" w:cs="Arial" w:eastAsia="Arial" w:hAnsi="Arial"/>
          <w:sz w:val="16"/>
          <w:szCs w:val="16"/>
          <w:color w:val="auto"/>
        </w:rPr>
        <w:t>As part of our continued strategy to drive season pass sales and create a stronger connection between key skier markets and our iconic destination mountain resorts, we have continued to expand our portfolio of properties in recent years. Whistler Blackcomb, acquired in October 2016, is a world-renowned international skiing destination which receives more than two million skier visits each year. Stevens Pass in Washington State, acquired in August 2018, receives approximately half a million skier visits each year and is located 85 miles from Seattle and 250 miles from Whistler Blackcomb. We have made strategic acquisitions of mountain resorts located in the Northeast U.S. recently, including Okemo in Vermont (acquired in September 2018), Mount Sunapee in New Hampshire (acquired in September 2018) and Stowe in Vermont (acquired in June 2017). These resorts are premier, high-end ski resorts for skiers and snowboarders on the East Coast, which draw visitors from New York City, Boston and the broader Northeast skier population. In June 2015, we acquired Perisher in Australia, which is also an important international market for ski resorts across the Northern Hemisphere, generating an estimated more than one million skier visits annually to resorts in North America, Japan and Europe. Additionally, our urban ski areas are strategically positioned near key U.S. population centers; Wilmot in Wisconsin near the Chicago and Milwaukee metropolitan areas, Afton Alps in Minnesota near Minneapolis/St. Paul and Mt. Brighton in Michigan near Detroit. This close proximity to major Midwestern skier markets allows guests to visit regularly during the week, including popular night skiing, or on the weekends. These cities offer major airports with routine direct flights to Denver, San Francisco, Salt Lake City and Vancouver. Additionally, we enter into strategic long-term season pass alliance agreements with third-party mountain resorts including Telluride Ski Resort and Arapahoe Basin in Colorado, Hakuba Valley in Japan and Resorts of the Canadian Rockies in Canada, which further increases the value proposition of our season pass products.</w:t>
      </w:r>
    </w:p>
    <w:p>
      <w:pPr>
        <w:spacing w:after="0" w:line="168"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Premier Ski Schools</w:t>
      </w:r>
    </w:p>
    <w:p>
      <w:pPr>
        <w:spacing w:after="0" w:line="117" w:lineRule="exact"/>
        <w:rPr>
          <w:rFonts w:ascii="Arial" w:cs="Arial" w:eastAsia="Arial" w:hAnsi="Arial"/>
          <w:sz w:val="18"/>
          <w:szCs w:val="18"/>
          <w:color w:val="auto"/>
        </w:rPr>
      </w:pPr>
    </w:p>
    <w:p>
      <w:pPr>
        <w:jc w:val="both"/>
        <w:ind w:left="328"/>
        <w:spacing w:after="0" w:line="257" w:lineRule="auto"/>
        <w:rPr>
          <w:rFonts w:ascii="Arial" w:cs="Arial" w:eastAsia="Arial" w:hAnsi="Arial"/>
          <w:sz w:val="18"/>
          <w:szCs w:val="18"/>
          <w:color w:val="auto"/>
        </w:rPr>
      </w:pPr>
      <w:r>
        <w:rPr>
          <w:rFonts w:ascii="Arial" w:cs="Arial" w:eastAsia="Arial" w:hAnsi="Arial"/>
          <w:sz w:val="18"/>
          <w:szCs w:val="18"/>
          <w:color w:val="auto"/>
        </w:rPr>
        <w:t>Our mountain resorts are home to some of the highest quality and most widely recognized ski and snowboard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a keen attention to guest needs. We offer a wide variety of adult and child group and private lesson options with a goal of creating lifelong skiers and riders and showcasing to our guests all the terrain our resorts have to offer.</w:t>
      </w:r>
    </w:p>
    <w:p>
      <w:pPr>
        <w:spacing w:after="0" w:line="200" w:lineRule="exact"/>
        <w:rPr>
          <w:sz w:val="20"/>
          <w:szCs w:val="20"/>
          <w:color w:val="auto"/>
        </w:rPr>
      </w:pPr>
    </w:p>
    <w:p>
      <w:pPr>
        <w:spacing w:after="0" w:line="23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8"/>
          </w:cols>
          <w:pgMar w:left="572" w:top="1017" w:right="239" w:bottom="1440" w:gutter="0" w:footer="0" w:header="0"/>
        </w:sectPr>
      </w:pPr>
    </w:p>
    <w:bookmarkStart w:id="11" w:name="page12"/>
    <w:bookmarkEnd w:id="11"/>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Dining</w:t>
      </w:r>
    </w:p>
    <w:p>
      <w:pPr>
        <w:spacing w:after="0" w:line="11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Our resorts provide a variety of quality on-mountain and base village dining venues, ranging from top-rated fine dining restaurants to trailside express food service outlets. We operate approximately 215 dining venues at our mountain resorts and urban ski areas.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Retail/Rental</w:t>
      </w:r>
    </w:p>
    <w:p>
      <w:pPr>
        <w:spacing w:after="0" w:line="117"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We have approximately 290 retail/rental locations specializing in sporting goods including ski, snowboard and cycling equipment. In addition to providing a major retail/rental presence at each of our mountain resorts, we also have retail/rental locations throughout the Colorado Front Range and at other Colorado and California ski resorts, as well as the San Francisco Bay Area, Salt Lake City and Minneapolis. Many of the locations in the Colorado Front Range and in the San Francisco Bay Area also offer prime venues for selling our season pass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On-Mountain Activities</w:t>
      </w:r>
    </w:p>
    <w:p>
      <w:pPr>
        <w:spacing w:after="0" w:line="117" w:lineRule="exact"/>
        <w:rPr>
          <w:rFonts w:ascii="Arial" w:cs="Arial" w:eastAsia="Arial" w:hAnsi="Arial"/>
          <w:sz w:val="18"/>
          <w:szCs w:val="18"/>
          <w:color w:val="auto"/>
        </w:rPr>
      </w:pPr>
    </w:p>
    <w:p>
      <w:pPr>
        <w:jc w:val="both"/>
        <w:ind w:left="660"/>
        <w:spacing w:after="0" w:line="271" w:lineRule="auto"/>
        <w:rPr>
          <w:rFonts w:ascii="Arial" w:cs="Arial" w:eastAsia="Arial" w:hAnsi="Arial"/>
          <w:sz w:val="18"/>
          <w:szCs w:val="18"/>
          <w:color w:val="auto"/>
        </w:rPr>
      </w:pPr>
      <w:r>
        <w:rPr>
          <w:rFonts w:ascii="Arial" w:cs="Arial" w:eastAsia="Arial" w:hAnsi="Arial"/>
          <w:sz w:val="17"/>
          <w:szCs w:val="17"/>
          <w:color w:val="auto"/>
        </w:rPr>
        <w:t>We are a ski industry leader in providing comprehensive destination vacation experiences, including on-mountain activities designed to appeal to a broad range of interests. In addition to our exceptional ski experiences, guests can choose from a variety of non-ski related activities such as snowtubing, snowshoeing, guided snowmobile and scenic cat tours, backcountry expeditions, horse-drawn sleigh rides and high altitude dining. During the summer season, our mountain resorts offer non-ski related recreational activities and provide guests with a wide array of options including scenic chairlift and gondola rides; mountain biking; horseback riding; guided hiking; 4x4 Jeep tours; and our Epic Discovery program which launched at both Vail Mountain and Heavenly in June 2016 and at Breckenridge in June 2017. The Epic Discovery program encourages “learn through play” by featuring extensive environmental educational elements interspersed between numerous activities, consisting of zip lines, children’s activities, challenge ropes courses, tubing, mountain excursions, an alpine slide and alpine coasters.</w:t>
      </w:r>
    </w:p>
    <w:p>
      <w:pPr>
        <w:spacing w:after="0" w:line="17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Lodging and Real Estate</w:t>
      </w:r>
    </w:p>
    <w:p>
      <w:pPr>
        <w:spacing w:after="0" w:line="117" w:lineRule="exact"/>
        <w:rPr>
          <w:rFonts w:ascii="Arial" w:cs="Arial" w:eastAsia="Arial" w:hAnsi="Arial"/>
          <w:sz w:val="18"/>
          <w:szCs w:val="18"/>
          <w:color w:val="auto"/>
        </w:rPr>
      </w:pPr>
    </w:p>
    <w:p>
      <w:pPr>
        <w:jc w:val="both"/>
        <w:ind w:left="660"/>
        <w:spacing w:after="0" w:line="293" w:lineRule="auto"/>
        <w:rPr>
          <w:rFonts w:ascii="Arial" w:cs="Arial" w:eastAsia="Arial" w:hAnsi="Arial"/>
          <w:sz w:val="18"/>
          <w:szCs w:val="18"/>
          <w:color w:val="auto"/>
        </w:rPr>
      </w:pPr>
      <w:r>
        <w:rPr>
          <w:rFonts w:ascii="Arial" w:cs="Arial" w:eastAsia="Arial" w:hAnsi="Arial"/>
          <w:sz w:val="16"/>
          <w:szCs w:val="16"/>
          <w:color w:val="auto"/>
        </w:rPr>
        <w:t>High quality lodging options are an integral part of providing a complete resort experience. Our owned or managed hotels and resorts proximate to our mountain resorts, including six RockResorts branded properties and a significant inventory of managed condominium units, provide numerous accommodation options for our mountain resort guests. More recently, our real estate efforts have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have and continue to invest in resort related assets and amenities or seek opportunities to expand and enhance the overall resort experience.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Lodging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Lodging segment includes the following operations, which collectively offer a wide range of services to guests (additional property details provided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2. Properties):</w:t>
      </w:r>
    </w:p>
    <w:p>
      <w:pPr>
        <w:spacing w:after="0" w:line="10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Owned and managed lodging properties, including those under our luxury hotel management company, RockResorts;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Managed condominium units which are in and around our mountain resorts in Colorado, Lake Tahoe, Utah, Vermont and British Columbia, Canada;</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Two NPS concessionaire properties in and near Grand Teton National Park in Wyoming;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resort ground transportation company in Colorado;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Company-owned mountain resort golf courses including five in Colorado, one in Wyoming and two in Vermont, as well as two Company-operated mountain golf courses; one in Lake Tahoe, California and one in Park City, Utah.</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Lodging segment currently includes approximately 5,400 owned and managed hotel rooms and condominium units. Our lodging strategy seeks to complement and enhance our mountain resort operations through our ownership or management of lodging properties and condominiums proximate to our mountain resorts and selective management of luxury resorts in premier destination locations.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portfolio of owned or managed luxury resort hotels and other hotels and properties, our lodging business also features a Colorado ground transportation company, which represents the first point of contact with many of our guests when they arrive by air to Colorado. We offer year-round ground transportation from Denver International Airport and Eagle County Airport to the Vail Valley (locations in and around Vail, Beaver Creek, Avon and Edwards), Aspen (locations in and around Aspen and Snowmass) and Summit County (which includes Keystone, Breckenridge, Copper Mountain, Frisco and Silverthorne).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Lodging Industry/Market</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Hotels are categorized by Smith Travel Research, a leading lodging industry research firm, as luxury, upper upscale, upscale, mid-price and economy. The service quality and level of accommodations of our RockResorts’ hotels place them in the luxury segment, which represents hotels achieving the highest average daily rates (“ADR”) in the industry, and includes such brands as the Four Seasons, Ritz-Carlton and Starwood’s Luxury Collection hotels. Our other hotels are categorized in the upper upscale and upscale segments of the hotel market. The luxury and upper upscale segments consist of approximately 736,000 rooms at approximately 2,200 properties in the U.S. as of July 2018. For Fiscal 2018, our owned hotels, which include a combination of certain RockResort hotels as well as other hotels in proximity to our mountain resorts, had an overall ADR of $250.50 a paid occupancy rate of 69.2% and revenue per available room (“RevPAR”) of $173.34, as compared to the upper upscale segment’s ADR of $184.43, a paid occupancy rate of 74.3% and RevPAR of $137.06. We believe that this comparison to the upper upscale segment is appropriate as our mix of owned hotels include those in the luxury and upper upscale segments, as well as certain of our hotels that fall in the upscale segment. The highly seasonal nature of our lodging properties generally results in lower average occupancy as compared to the upper upscale segment of the lodging industry as a whole.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Competition in the hotel industry is generally based on quality and consistency of rooms, restaurants, meeting facilities and services, the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Starwood’s Luxury Collection and Westin. Our properties also compete for convention and conference business across the national market. We believe we are highly competitive in the resort hotel niche for the following reasons:</w:t>
      </w:r>
    </w:p>
    <w:p>
      <w:pPr>
        <w:spacing w:after="0" w:line="6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our hotels are located in unique, highly desirable resort destinations;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hotel portfolio has achieved some of the most prestigious hotel designations in the world, including two properties in our portfolio that are currently rated as AAA 4-Diamond;</w:t>
      </w: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Many of our hotels (both owned and managed) are designed to provide a look that feels indigenous to their surroundings, enhancing the guest’s vacation experience;</w:t>
      </w:r>
    </w:p>
    <w:p>
      <w:pPr>
        <w:jc w:val="both"/>
        <w:ind w:left="980" w:right="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our RockResorts hotels provides the same high level of quality and services, while still providing unique characteristics which distinguish the resorts from one another. This appeals to travelers looking for consistency in quality and service offerings together with an experience more unique than typically offered by larger luxury hotel chains;</w:t>
      </w:r>
    </w:p>
    <w:p>
      <w:pPr>
        <w:spacing w:after="0" w:line="1"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Many of the hotels in our portfolio provide a wide array of amenities available to the guest such as access to world-class ski and golf resorts, spa and fitness facilities, water sports and a number of other outdoor activities, as well as highly acclaimed dining options;</w:t>
      </w: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Conference space with the latest technology is available at most of our hotels. In addition, guests at Keystone can use our company-owned Keystone Conference Center, the largest conference facility in the Colorado Rocky Mountain region with more than 100,000 square feet of meeting, exhibit and function space;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central reservations system that leverages off of our mountain resort reservations system and has an online planning and booking platform, offering our guests a seamless and useful way to make reservations at our resorts; and</w:t>
      </w:r>
    </w:p>
    <w:p>
      <w:pPr>
        <w:jc w:val="both"/>
        <w:ind w:left="980" w:hanging="324"/>
        <w:spacing w:after="0" w:line="25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actively upgrade the quality of the accommodations and amenities available at our hotels through capital improvements. Capital funding for third-party owned properties is provided by the owners of those properties to maintain standards required by our management contracts. Projects at our owned properties completed over the past several years include extensive refurbishments and upgrades to the Grand Summit Hotel, Colter Bay Village Cabins, and DoubleTree by Hilton Breckenridge. Additionally, we have completed guest room renovations at the Keystone Lodge and The Pines Lodge.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National Park Concessionaire Properties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own GTLC, which is based in the Jackson Hole area in Wyoming and operates within Grand Teton National Park under a 15-year concessionaire agreement with the NPS that expires December 31, 2021. We also own Flagg Ranch, located in Moran, Wyoming and centrally located between Yellowstone National Park and Grand Teton National Park on the John D. Rockefeller, Jr. Memorial Parkway (the “Parkway”). Flagg Ranch operates under a 15-year concessionaire agreement with the NPS that expires October 31, 2026. GTLC also owns Jackson Hole Golf &amp; Tennis Club (“JHG&amp;TC”), located outside Grand Teton National Park near Jackson, Wyoming. GTLC’s operations within Grand Teton National Park and JHG&amp;TC have operating seasons that generally run from June through the end of September.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33"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We primarily compete with such companies as Aramark Parks &amp; Resorts, Delaware North Companies Parks &amp; Resorts, Forever Resorts and Xanterra Parks</w:t>
      </w:r>
    </w:p>
    <w:p>
      <w:pPr>
        <w:spacing w:after="0" w:line="46" w:lineRule="exact"/>
        <w:rPr>
          <w:sz w:val="20"/>
          <w:szCs w:val="20"/>
          <w:color w:val="auto"/>
        </w:rPr>
      </w:pPr>
    </w:p>
    <w:p>
      <w:pPr>
        <w:jc w:val="both"/>
        <w:ind w:firstLine="8"/>
        <w:spacing w:after="0" w:line="252" w:lineRule="auto"/>
        <w:tabs>
          <w:tab w:leader="none" w:pos="2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Resorts in retaining and obtaining NPS concessionaire agreements. Four full-service concessionaires provide accommodations within Grand Teton National Park, including GTLC. GTLC offers three lodging options within Grand Teton National Park: Jackson Lake Lodge, a full-service, 385-room resort with 17,000 square feet of conference facilities; Jenny Lake Lodge, a small, rustically elegant retreat with 37 cabins; and Colter Bay Village, a facility with 166 log cabins, 66 tent cabins, 337 campsites and a 112-space RV park. GTLC offers dining options as extensive as its lodging options, with cafeterias, casual eateries and fine dining establishments. GTLC’s resorts provide a wide range of activities for guests to enjoy, including cruises on Jackson Lake, boat rentals, horseback riding, guided fishing, float trips, golf and guided Grand Teton National Park tours. As a result of the extensive amenities offered, as well as the tremendous popularity of the National Park System, GTLC’s accommodations within Grand Teton National Park operate near full capacity during their operating season.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Segment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extensive holdings of real property at our mountain resorts primarily throughout Summit and Eagle Counties in Colorado. Our real estate operations, through Vail Resorts Development Company (“VRDC”), a wholly-owned subsidiary, include planning, oversight, infrastructure improvement, development, marketing and sale of our real property holdings. In addition to the cash flow generated from real estate development sales, these development activities benefit our Mountain and Lodging segments by (1) creating additional resort lodging and other resort related facilities and venues (primarily restaurants, spas, commercial space, private mountain clubs,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We believe that, due to the low carrying cost of our real estate land investments, we are well situated to promote future projects with third-party developers while limiting our financial risk.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Mountain segment’s marketing and sales efforts are increasingly oriented around data analytics to drive targeted and personalized marketing to our existing and prospective guests. We capture guest data on the vast majority of guest transactions through our season pass program, e-commerce platforms including mobile lift ticket sales, the EpicMix application and operational processes at our lift ticket windows. We promote our resorts through customer relationship marketing to targeted audiences via email and direct mail, promotional programs, digital marketing (including social, search and display) and traditional media advertising where appropriate (e.g. targeted print, TV, radio). We also have marketing programs directed at attracting groups, corporate meetings and convention business. Most marketing efforts drive traffic to our websites, where we provide our guests with information regarding each of our resorts, including services and amenities, reservations information, virtual tours and the opportunity to book/purchase multiple products for their vacations or other visits. We also enter into strategic alliances with companies to enhance the guest in-resort experience and to create opportunities for cross-marketing.</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Lodging segment, we promote our hotels and lodging properties through marketing and sales programs, which include marketing directly to many of our guests through our digital channels (search, social and display), promotional programs and print media advertising. We also promote comprehensive vacation experiences through various package offerings and promotions (combining lodging, lift tickets, ski school lessons, ski rental equipment, transportation and dining), all of which are designed to drive traffic to our websites and central reservations call center. Sales made through our websites and call center allow us to transact directly with our guests, enabling us to further expand our customer base for future analytics and marketing. Where appropriate, we market our resort properties in conjunction with our mountain resort marketing efforts. Additionally, our individual hotels have active sales forces to generate conference and group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Ski resort operations are highly seasonal in nature, with a typical ski season in North America generally beginning in mid-November and running through mid-April. In an effort to partially mitigate the concentration of our revenue in the winter months in North America, we offer several non-ski related activities in the summer months such as sightseeing, mountain biking, guided hiking, 4x4 Jeep tours, golf (included in the operations of the Lodging segment) and our Epic Discovery program. These activities also help attract destination conference and group business to our resorts in our off-season. In addition, the operating results of Perisher, with its ski season from June through early October, partially counterbalance the concentration of our revenues during this seasonally low period.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17" w:right="239" w:bottom="144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 Additionally, we operate ten golf courses: The Canyons Golf Course at Park City, The Beaver Creek Golf Club, The Keystone Ranch Golf Course, The River Course at Keystone, JHG&amp;TC near Jackson, Wyoming, The Northstar Resort Golf Course, the Tom Fazio and Greg Norman courses at Red Sky Ranch near the Beaver Creek Resort and the Okemo Valley Golf Club and Tater Hill Golf Club in Vermont.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Stewardship and Social Responsibility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Environmental stewardship is a core philosophy for us. Our resorts operate in some of the world’s greatest natural environments, and we are compelled to care for and conserve them. Through our corporate social responsibility and sustainability program, Epic Promise, we focus on resource conservation, forest health and building stronger local communities through contributions to local non-profit organizations. Our environmental stewardship efforts are diverse and touch nearly every area of our operations. In 2017, we launched our Commitment to Zero, a pledge to have a net zero operating footprint by 2030. This commitment includes achieving zero net emissions by finding operational energy efficiencies and investing in renewable energy, zero waste to landfills by diverting 100 percent of waste from our operations and zero net operating impact to forests and wildlife habitat by restoring an acre of forest for every acre displaced by our operations.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a result of this commitment, Vail Resorts was accepted as the first travel and tourism company into </w:t>
      </w:r>
      <w:r>
        <w:rPr>
          <w:rFonts w:ascii="Arial" w:cs="Arial" w:eastAsia="Arial" w:hAnsi="Arial"/>
          <w:sz w:val="16"/>
          <w:szCs w:val="16"/>
          <w:i w:val="1"/>
          <w:iCs w:val="1"/>
          <w:color w:val="auto"/>
        </w:rPr>
        <w:t>RE100</w:t>
      </w:r>
      <w:r>
        <w:rPr>
          <w:rFonts w:ascii="Arial" w:cs="Arial" w:eastAsia="Arial" w:hAnsi="Arial"/>
          <w:sz w:val="16"/>
          <w:szCs w:val="16"/>
          <w:color w:val="auto"/>
        </w:rPr>
        <w:t>, a collaborative initiative uniting more than 100 global and influential businesses which are committed to 100 percent renewable electricity. In addition, we have partnered with several organizations to help raise resources for local environmental programs, including The Nature Conservancy, the National Forest Foundation, The Tahoe Fund, Mountain Trails Foundation in Park City and the EnviroFund at Whistler Blackcomb. We encourage our employees to help protect the environment and support their local community with over 20,000 volunteer hours donated annually. Our charitable giving focuses on supporting education and youth programs, encouraging innovation in, and implementation of, environmental stewardship practices and enhancing the quality of life in the communities in which we operate.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our EpicPromise Foundation (the “Foundation”), which was established in 2015, is a private charitable foundation funded by annual contributions from the Company and its employees. The Foundation supports all Vail Resorts’ employees and their families via grants for emergency relief and scholarships. For more information on both the Foundation and our environmental stewardship, visit www.EpicPromise.com. Information on our websites does not constitute part of this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fiscal year end, we employed approximately 6,100 year-round employees. During the height of our most recent operating seasons, we employed approximately 27,200 additional seasonal employees. In addition, we employed approximately 400 year-round employees and 100 seasonal employees on behalf of the owners of our managed hotel properties. We consider our employee relations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will continue to do so where appropriate. We also seek to maintain our trade secrets and confidential information by nondisclosure policies and through the use of appropriate confidentiality agreements and contractual provisions.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 xml:space="preserve">In the highly competitive industry in which we operate, trademarks, service marks, trade names and logos are very important in the sales and marketing of our mountain resorts and urban ski areas, lodging properties and services. We seek to register and protect our trademarks, service marks, trade names and logos and have obtained a significant number of registrations for those trademarks. We believe our brands have become synonymous in the travel and leisure industry with a reputation for excellence in service and authentic hospitality. Among other national and international trademark registrations, the Company owns U.S. federal registrations for </w:t>
      </w:r>
      <w:r>
        <w:rPr>
          <w:rFonts w:ascii="Arial" w:cs="Arial" w:eastAsia="Arial" w:hAnsi="Arial"/>
          <w:sz w:val="17"/>
          <w:szCs w:val="17"/>
          <w:i w:val="1"/>
          <w:iCs w:val="1"/>
          <w:color w:val="auto"/>
        </w:rPr>
        <w:t>Epic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Epic Pass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Vail Resorts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Vail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Beaver Creek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Breckenridge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Heavenly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The Company also owns Canadian and U.S. trademark registrations for the </w:t>
      </w:r>
      <w:r>
        <w:rPr>
          <w:rFonts w:ascii="Arial" w:cs="Arial" w:eastAsia="Arial" w:hAnsi="Arial"/>
          <w:sz w:val="17"/>
          <w:szCs w:val="17"/>
          <w:i w:val="1"/>
          <w:iCs w:val="1"/>
          <w:color w:val="auto"/>
        </w:rPr>
        <w:t>Whistler Blackcomb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name and logo. The Company licenses the right to use the federally registered trademark </w:t>
      </w:r>
      <w:r>
        <w:rPr>
          <w:rFonts w:ascii="Arial" w:cs="Arial" w:eastAsia="Arial" w:hAnsi="Arial"/>
          <w:sz w:val="17"/>
          <w:szCs w:val="17"/>
          <w:i w:val="1"/>
          <w:iCs w:val="1"/>
          <w:color w:val="auto"/>
        </w:rPr>
        <w:t>Northstar California</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from CLP Northstar, LLC.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3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Regulation and Legislation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Forest Service Resorts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Regulation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operations of Breckenridge, Vail Mountain, Keystone, Beaver Creek, Crested Butte, Stevens Pass, Heavenly and Kirkwood are conducted primarily on land under the jurisdiction of the Forest Service (collectively,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the Forest Service has the authority to review and approve the location, design and construction of improvements in the permit area and many operational matters.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Use Permits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Forest Service Resorts operates under a SUP, and the acreage and expiration date information for each SUP is as follows:</w:t>
      </w:r>
    </w:p>
    <w:p>
      <w:pPr>
        <w:spacing w:after="0" w:line="289" w:lineRule="exact"/>
        <w:rPr>
          <w:sz w:val="20"/>
          <w:szCs w:val="20"/>
          <w:color w:val="auto"/>
        </w:rPr>
      </w:pPr>
    </w:p>
    <w:tbl>
      <w:tblPr>
        <w:tblLayout w:type="fixed"/>
        <w:tblInd w:w="2960" w:type="dxa"/>
        <w:tblCellMar>
          <w:top w:w="0" w:type="dxa"/>
          <w:left w:w="0" w:type="dxa"/>
          <w:bottom w:w="0" w:type="dxa"/>
          <w:right w:w="0" w:type="dxa"/>
        </w:tblCellMar>
      </w:tblPr>
      <w:tr>
        <w:trPr>
          <w:trHeight w:val="234"/>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Forest Service Resort</w:t>
            </w:r>
          </w:p>
        </w:tc>
        <w:tc>
          <w:tcPr>
            <w:tcW w:w="1120" w:type="dxa"/>
            <w:vAlign w:val="bottom"/>
          </w:tcPr>
          <w:p>
            <w:pPr>
              <w:ind w:left="320"/>
              <w:spacing w:after="0"/>
              <w:rPr>
                <w:sz w:val="20"/>
                <w:szCs w:val="20"/>
                <w:color w:val="auto"/>
              </w:rPr>
            </w:pPr>
            <w:r>
              <w:rPr>
                <w:rFonts w:ascii="Arial" w:cs="Arial" w:eastAsia="Arial" w:hAnsi="Arial"/>
                <w:sz w:val="18"/>
                <w:szCs w:val="18"/>
                <w:b w:val="1"/>
                <w:bCs w:val="1"/>
                <w:color w:val="auto"/>
              </w:rPr>
              <w:t>Acres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7"/>
        </w:trPr>
        <w:tc>
          <w:tcPr>
            <w:tcW w:w="2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Breckenridge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5,702</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2029</w:t>
            </w:r>
          </w:p>
        </w:tc>
      </w:tr>
      <w:tr>
        <w:trPr>
          <w:trHeight w:val="243"/>
        </w:trPr>
        <w:tc>
          <w:tcPr>
            <w:tcW w:w="2220" w:type="dxa"/>
            <w:vAlign w:val="bottom"/>
          </w:tcPr>
          <w:p>
            <w:pPr>
              <w:jc w:val="center"/>
              <w:spacing w:after="0"/>
              <w:rPr>
                <w:sz w:val="20"/>
                <w:szCs w:val="20"/>
                <w:color w:val="auto"/>
              </w:rPr>
            </w:pPr>
            <w:r>
              <w:rPr>
                <w:rFonts w:ascii="Arial" w:cs="Arial" w:eastAsia="Arial" w:hAnsi="Arial"/>
                <w:sz w:val="18"/>
                <w:szCs w:val="18"/>
                <w:color w:val="auto"/>
                <w:w w:val="95"/>
              </w:rPr>
              <w:t>Vail Mountain</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12,353</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December 1, 2031</w:t>
            </w:r>
          </w:p>
        </w:tc>
      </w:tr>
      <w:tr>
        <w:trPr>
          <w:trHeight w:val="27"/>
        </w:trPr>
        <w:tc>
          <w:tcPr>
            <w:tcW w:w="2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Keystone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8,376</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2032</w:t>
            </w:r>
          </w:p>
        </w:tc>
      </w:tr>
      <w:tr>
        <w:trPr>
          <w:trHeight w:val="243"/>
        </w:trPr>
        <w:tc>
          <w:tcPr>
            <w:tcW w:w="2220" w:type="dxa"/>
            <w:vAlign w:val="bottom"/>
          </w:tcPr>
          <w:p>
            <w:pPr>
              <w:jc w:val="center"/>
              <w:spacing w:after="0"/>
              <w:rPr>
                <w:sz w:val="20"/>
                <w:szCs w:val="20"/>
                <w:color w:val="auto"/>
              </w:rPr>
            </w:pPr>
            <w:r>
              <w:rPr>
                <w:rFonts w:ascii="Arial" w:cs="Arial" w:eastAsia="Arial" w:hAnsi="Arial"/>
                <w:sz w:val="18"/>
                <w:szCs w:val="18"/>
                <w:color w:val="auto"/>
                <w:w w:val="89"/>
              </w:rPr>
              <w:t>Beaver Creek</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3,849</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November 8, 2039</w:t>
            </w:r>
          </w:p>
        </w:tc>
      </w:tr>
      <w:tr>
        <w:trPr>
          <w:trHeight w:val="27"/>
        </w:trPr>
        <w:tc>
          <w:tcPr>
            <w:tcW w:w="2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Crested Butte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4,350</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27, 2058</w:t>
            </w:r>
          </w:p>
        </w:tc>
      </w:tr>
      <w:tr>
        <w:trPr>
          <w:trHeight w:val="243"/>
        </w:trPr>
        <w:tc>
          <w:tcPr>
            <w:tcW w:w="2220" w:type="dxa"/>
            <w:vAlign w:val="bottom"/>
          </w:tcPr>
          <w:p>
            <w:pPr>
              <w:jc w:val="center"/>
              <w:spacing w:after="0"/>
              <w:rPr>
                <w:sz w:val="20"/>
                <w:szCs w:val="20"/>
                <w:color w:val="auto"/>
              </w:rPr>
            </w:pPr>
            <w:r>
              <w:rPr>
                <w:rFonts w:ascii="Arial" w:cs="Arial" w:eastAsia="Arial" w:hAnsi="Arial"/>
                <w:sz w:val="18"/>
                <w:szCs w:val="18"/>
                <w:color w:val="auto"/>
                <w:w w:val="83"/>
              </w:rPr>
              <w:t>Stevens Pass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2,443</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August 15, 2058</w:t>
            </w:r>
          </w:p>
        </w:tc>
      </w:tr>
      <w:tr>
        <w:trPr>
          <w:trHeight w:val="27"/>
        </w:trPr>
        <w:tc>
          <w:tcPr>
            <w:tcW w:w="2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Heavenly</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7,050</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May 1, 2042</w:t>
            </w:r>
          </w:p>
        </w:tc>
      </w:tr>
      <w:tr>
        <w:trPr>
          <w:trHeight w:val="243"/>
        </w:trPr>
        <w:tc>
          <w:tcPr>
            <w:tcW w:w="2220" w:type="dxa"/>
            <w:vAlign w:val="bottom"/>
          </w:tcPr>
          <w:p>
            <w:pPr>
              <w:jc w:val="center"/>
              <w:spacing w:after="0"/>
              <w:rPr>
                <w:sz w:val="20"/>
                <w:szCs w:val="20"/>
                <w:color w:val="auto"/>
              </w:rPr>
            </w:pPr>
            <w:r>
              <w:rPr>
                <w:rFonts w:ascii="Arial" w:cs="Arial" w:eastAsia="Arial" w:hAnsi="Arial"/>
                <w:sz w:val="18"/>
                <w:szCs w:val="18"/>
                <w:color w:val="auto"/>
                <w:w w:val="99"/>
              </w:rPr>
              <w:t>Kirkwood</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2,330</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1, 2052</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requesting a new SUP for each Forest Service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SUP contains a number of requirements, including indemnifying the Forest Service from third-party claims arising out of our operation under the SUP and compliance with applicable laws, such as those relating to water quality and endangered or threatened species. For use of the land authorized by the SUPs, we pay a fee to the Forest Service ranging from 1.5% to 4.0% of adjusted gross revenue for activities authorized by the SUPs. Included in the calculation are sales from, among other things, lift tickets, season passes, ski school lessons, food and beverage, certain summer activities, equipment rentals and retail merchandise.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7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Master Development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1986 Act requires a Master Development Plan (“MDP”) for each ski area that is granted a SUP, and all improvements that we propose to make on National Forest System lands under any of our SUPs must be included in a MDP, which describes the existing and proposed facilities, developments and area of activity within the permit area.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Private Land Resorts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operations of Park City, Northstar, Afton Alps, Mt. Brighton and Wilmot are conducted primarily on private land and are not under the jurisdiction of the Forest Service (collectively, the “Private Land Resorts”). While Beaver Creek also operates on Forest Service land, a significant portion of the skiable terrain, primarily in the lower main mountain, Western Hillside, Bachelor Gulch and Arrowhead Mountain areas, is located on land that we own.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not governed by federal regulation, the Private Land Resorts may be governed by local laws and regulations. For example, specific projects and master development plans at Northstar require approval by Placer County, California. Additionally, a portion of Park City is part of the Canyons Specially Planned Area (“SPA”) pursuant to a Summit County, Utah ordinance adopted in 1998, and a Development Agreement and Master Development Plan with affected property owners, developers and the county, the most recent versions of which were adopted in 1999. Other land use within the SPA is within the jurisdiction of Summit County, Utah. Land use at Park City is within the jurisdiction of Summit County, Utah and Park City Municipal Corporation. The portions of the resort located within Park City Municipal Corporation are subject to a Development Agreement with the municipality, the most recent version of which was entered into in 1998.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Whistler Blackcomb</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Whistler Blackcomb is made up of two mountains: Whistler Mountain and Blackcomb Mountain. Whistler Mountain and Blackcomb Mountain are located on Crown Land within the traditional territory of the Squamish and Lil’wat Nations. The relationship between Whistler Blackcomb and Her Majesty, the Queen in Right of British Columbia (the “Province”) is largely governed by Master Development Agreements (the “MDAs”) between the Province and Whistler Mountain Resort Limited Partnership (“Whistler LP”) with respect to Whistler Mountain, and between the Province and Blackcomb Skiing Enterprises Limited Partnership (“Blackcomb LP”) with respect to Blackcomb Mountain. Together, Whistler LP and Blackcomb LP are referred to as the “Partnerships.”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MDAs, which were entered into in February 2017, have a term of 60 years (expiring on February 23, 2077) and are replaceable for an additional 60 years by option exercisable by the Partnerships after the first 30 years of the initial term. In accordance with the MDAs, the Partnerships are obligated to pay annual fees to the Province at a percentage of gross revenues related to the operation of certain activities at Whistler Blackcomb.</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MDAs require that each of the mountains be developed, operated and maintained in accordance with its respective master plan, which contains requirements as to matters such as trail design and development, passenger lift development and environmental concerns. The MDAs grant a general license to use the Whistler Mountain lands and the Blackcomb Mountain lands for the operation and development of the Whistler Blackcomb. The MDAs also provide for the granting of specific tenures of land owned by the Province to the Whistler LP or the Blackcomb LP, as applicable, by way of rights-of-way, leases or licenses. Each Partnership is permitted to develop new improvements to Whistler Mountain or Blackcomb Mountain, as the case may be, within standard municipal type development control conditions. We are obligated to indemnify the Province from third-party claims arising out of our operations under the MDAs.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u w:val="single" w:color="auto"/>
          <w:color w:val="auto"/>
        </w:rPr>
        <w:t>Northeast Resorts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Stowe and Okemo operate partially on land that we own and partially on land we lease from the State of Vermont. With respect to Stowe, the land we own is on the Spruce Peak side of the resort while the land we lease from the State of Vermont is located on Mt. Mansfield in the Mt. Mansfield State Forest. The initial ten year term of the lease commenced in June 1967, and the lease provides for eight separate ten year extension options. The current term of the lease extends through June 2027, and there are three remaining ten year extension options. With respect to Okemo, we own the Jackson Gore base area land and lease most of the skiable terrain from the State of Vermont. The initial ten year term of the lease commenced in December 1963, and the lease provides for eight separate ten year extension options. The current term of the lease extends through December 2023, and there are three remaining ten year extension options. Under both leases, the land can be used for the development and operation of a ski area including ski trails, ski lifts, warming shelters, restaurants and maintenance facilities. For use of the land under the leases, we pay a fee to the State of Vermont based on revenue for activities authorized by the lease, such as lift tickets, season passes, food and beverage, summer activities and retail merchandise. We are obligated to indemnify the State of Vermont from third-party claims arising out of our operations under the lease.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Mount Sunapee lies within the Mount Sunapee State Park and operates on land that we lease from the State of New Hampshire. The initial twenty year term of the lease commenced in July 1998, and the lease provides for three separate ten year extension options. The current term of the lease extends through June 2028, and there are two remaining ten year extension options. The land can be managed and operated as a ski area and summer recreational facility, including all of its support activities, to provide year-round outdoor recreation. For use of the land under the lease, we pay a fee to the State of New Hampshire that includes both a base fee and a fee based on revenue from activities authorized by the lease, such as lift tickets, season passes, food and beverage, summer activities and retail merchandise. We are obligated to indemnify the State of New Hampshire from third-party claims arising out of our operations under the lease.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Perisher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Perisher is located in the Kosciuszko National Park, the largest national park in New South Wales, Australia. The resort includes four villages (Perisher Valley, Smiggin Holes, Guthega and Blue Cow) and their associated ski fields, as well as the site of the Skitube Alpine Railway at Bullock’s Flat, which is accredited in accordance with the Rail Safety National Law (NSW) No. 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Kosciusko National Park.</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 purposes, including for purposes related to sustainable visitor or tourist use and enjoyment. Under this power, the Minister has granted to Perisher a lease and a license of specified land within the Kosciusko National Park until June 30, 2048, with an option to renew for an additional period of 20 years. The Minister has also granted Perisher a lease of the parking lot at Perisher Valley that expires on December 31, 2025. Subject to certain conditions being met, the lease for the Perisher Valley parking lot can be extended until June 30, 2048, with an option to renew for a further 20 years. The lease and license provide for the payment of a minimum annual base rent with periodic increases in base rent over the term, turnover rent payments based on a percentage of certain gross revenue, remittance of park user fees and certain other charges, also subject to periodic increases over the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Concessionaire Agreements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GTLC operates three lodging properties, food and beverage services, retail, camping and other services within the Grand Teton National Park under a concessionaire agreement with the NPS. Our concessionaire agreement with the NPS for GTLC expires on December 31, 2021, and we pay a fee to the NPS of a percentage of the majority of our sales occurring in Grand Teton National Park.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Flagg Ranch Company, a wholly-owned subsidiary, provides lodging, food and beverage services, retail, service station, recreation and other services on the Parkway located between Grand Teton National Park and Yellowstone National Park. Our concession contract with the NPS for the Parkway expires on October 31, 2026, and we pay a fee to the NPS of a percentage of the majority of our sales occurring in the Parkway.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33" w:right="2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Upon expiration of these concession contracts, we will have to bid against other prospective concessionaires for award of a new contract. The NPS may suspend operations under the concession contract at any time if the NPS determines it is necessary to protect visitors or resources within the Grand Teton National Park or during a Federal Government shutdown. NPS may also terminate the concession contract for breach, following notice and a 15 day cure period or if it believes termination is necessary to protect visitors or resources within the Grand Teton National Park.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Environmental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Environmental Policy Act; California Environmental Quality Act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NEPA requires an assessment of the environmental impacts of “significant” proposed actions on National Forest land, such as expansion of a ski area, installation of new lifts or snowmaking facilities or construction of new trails or buildings. We must comply with NEPA when seeking Forest Service approval of such improvements, except in limited cases where projects are not expected to have environmental impacts, which can be submitted to a Categorical Exclusion. The Forest Service is responsible for preparing and compiling the required environmental studies, usually through third-party consultants. NEPA allows for different types of environmental studies, depending on, among other factors, the scope and size of the expected impact of the proposed project. An Environmental Assessment (“EA”) is typically used for projects where the environmental impacts are expected to be limited. For projects with more significant expected impacts, an Environmental Impact Statement (“EIS”) is more commonly required. An EIS is more detailed and broader in scope than an EA.</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requisite environmental study, the Forest Service is required to analyze alternatives to the proposed action (including not taking the proposed action), as well as impacts that may be unavoidable. Following completion of the requisite environmental study, the Forest Service may decide not to approve the proposed action or may decide to approve an alternative. In either case, we may be forced to abandon or alter our development or expansion plans.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Proposed actions at Kirkwood, Northstar and certain portions of Heavenly may also be subject to the California Environmental Quality Act (“CEQA”), which is similar to NEPA in that it requires the California governmental entity approving any proposed action at Kirkwood, Northstar, or on the California portion of Heavenly to study potential environmental impacts. Projects with significant expected impacts require an Environmental Impact Report while more limited projects may be approved based on a Mitigated Negative Declaration.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Forest &amp; Range Practices Act and Watershed Sustainability Act</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Forest &amp; Range Practices Act (“FRPA”) is the principal legislation that governs mountain resorts in British Columbia, including Whistler Blackcomb. The FRPA outlines how all forest and range practices and resource-based activities are to be conducted on Crown (Public) land in British Columbia, while ensuring protection of everything in and on the lands, such as plants, animals and ecosystems. All forest and range licensees’ activities are governed by FRPA and its regulations during all stages of planning, road building, logging, and reforestation, including removing timber for ski trail development. The FRPA is mostly based on self-compliance and does not specifically express standards for ski area development. Whistler Blackcomb is also subject to the Watershed Sustainability Act (“WSA”), which is the principal law for managing the diversion and use of water resources in British Columbia and is applicable to Whistler Blackcomb’s use of water for drinking consumption and snowmaking. The WSA requires Whistler Blackcomb to obtain certain approvals and conduct monitoring of its streams.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Vermont Land Use and Development Act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Specifically, in Vermont, the operations of Stowe and Okemo are subject to Vermont’s state-wide Land Use and Development Act known as “Act 250.” Act 250, administered by the Vermont Agency of Natural Resources, regulates the impacts of development to, among other things, waterways, air, wildlife and earth resources using ten criteria that are designed to safeguard the environment, community life and aesthetic character of Vermont. Stowe and Okemo each have a Master Plan detailing the development considerations within the resort boundary. All projects within each resort’s Master Plan have completed or will need to complete the Act 250 review process at the project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Planning and Assessment Act 1979 (NSW, Australia)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Environmental Planning and Assessment Act 1979 (NSW) (“EPA Act”) is the principal legislation regulating land use and development in New South Wales, Australia. Perisher relies on a suite of planning approvals (and existing use rights) granted under the EPA Act to operate the resort. Various types of development that facilitate commercial ski resort operations are also permitted to be carried out without planning approval pursuant to the State Environmental Planning Policy (Kosciusko National Park - Alpine Resorts) 2007 and the Snowy River Local Environmental Plan 2013. Strategic planning documents have been adopted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17" w:right="2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7"/>
          <w:szCs w:val="17"/>
          <w:color w:val="auto"/>
        </w:rPr>
        <w:t>to provide a framework for the assessment and approval of future development at the resort, including the Perisher Range Resorts Master Plan, Perisher Blue Ski Resort Ski Slope Master Plan and Kosciuszko National Park Plan of Management. Perisher holds a number of environmental approvals to regulate its operations, including an environment protection license for the sewage treatment plant at Bullock’s Flat and a suite of licenses for the storage of diesel, heating oil and propane in storage tanks across the resort. Perisher implemented an Environmental Management System to manage compliance with the environmental regulatory framework, and mitigate potential environmental risks arising from its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 Local and Other Regulations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Various federal, state, local and provincial regulations also govern our resort operations, including liquor licensing and food safety regulations applicable to our food and beverage operations and safety standards relating to our lift operations and heli-ski operations at Whistler Blackcomb. In addition, each resort is subject to and must comply with state, county, regional and local government land use regulations and restrictions, including, for example, employee housing ordinances, zoning and density restrictions, noise ordinances, and wildlife, water and air quality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Water and Snowmaking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supply of water for operation of our ski areas for domestic and snowmaking purposes and for real estate development. Availability of water depends on existence of adequate water rights, as well as physical delivery of the water when and where it is needed. To provide a level of predictability in dates of operation and favorable snow surface conditions at our ski areas, we rely on snowmaking, which requires a significant volume of water, most of which is viewed as a non-consumptive use. Approximately 80% of the water is returned to the watershed at spring runoff. Examples of our water sources include:</w:t>
      </w:r>
    </w:p>
    <w:p>
      <w:pPr>
        <w:spacing w:after="0" w:line="188"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Colorado, we own or have ownership interests in water rights in reservoir companies, reservoirs, surface streams, groundwater wells and other sources.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Park City receives water for snowmaking from the Park City Municipal Corporation and Summit Water Distribution Company pursuant to various long-term agreements.</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Whistler Blackcomb receives water rights used for snowmaking through licenses from the Province which describe annual allowable volumes on a number of its mountain creeks, and Whistler Blackcomb typically uses only a small percentage of its licensed water.</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Heavenly’s primary sources of water purchased for domestic and snowmaking uses are the South Tahoe Public Utility District and Kingsbury General Improvement District, which are California and Nevada utilities, respectively.</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Northstar obtains water through a cooperative arrangement with the Northstar Community Services District (“NCSD”). Together with the NCSD, we, through our lease with affiliates of EPR Properties, control surface water rights that we use for snowmaking.</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Kirkwood co-owns with the Forest Service surface water rights sufficient for current and planned snowmaking at the resort. Kirkwood’s water is stored in nearby Caples Lake under contract with its owner/operator.</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Afton Alps, Mt. Brighton and Wilmot rely on on-site water wells and reservoirs for snowmaking.</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Perisher is also subject to the Water Act of 1912 (NSW) (“NSW Water Act”), which regulates the use of water sources (such as rivers, lakes and groundwater aquifers) in the Kosciuszko National Park. Perisher relies on six water licenses issued under the NSW Water Act and a water extraction agreement with an independent third party for the purposes of extracting water for snowmaking.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 “Exchange Act”). These reports, proxy statements and other information are available free of charge on our corporate website </w:t>
      </w:r>
      <w:r>
        <w:rPr>
          <w:rFonts w:ascii="Arial" w:cs="Arial" w:eastAsia="Arial" w:hAnsi="Arial"/>
          <w:sz w:val="17"/>
          <w:szCs w:val="17"/>
          <w:u w:val="single" w:color="auto"/>
          <w:color w:val="auto"/>
        </w:rPr>
        <w:t>www.vailresorts.com</w:t>
      </w:r>
      <w:r>
        <w:rPr>
          <w:rFonts w:ascii="Arial" w:cs="Arial" w:eastAsia="Arial" w:hAnsi="Arial"/>
          <w:sz w:val="17"/>
          <w:szCs w:val="17"/>
          <w:color w:val="auto"/>
        </w:rPr>
        <w:t xml:space="preserve"> as soon as reasonably practicable after they are electronically filed with or furnished to the SEC. Information on our websites does not constitute part of this document. Materials filed with or furnished to the SEC are also made available on its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Copies of any materials we file with the SEC can be obtained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SEC’s public reference room at 100 F Street, N.E., Washington, D.C. 20549. Information on the operation of the public reference room is available by calling the SEC at 1-800-SEC-0330.</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operations and financial results are subject to various risks and uncertainties that could adversely affect our financial position, results of operations and cash flows. The risks described below should carefully be considered together with the other information contained in this report.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1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We are subject to the risk of prolonged weakness in general economic conditions including adverse effects on the overall travel and leisure related industries. </w:t>
      </w:r>
      <w:r>
        <w:rPr>
          <w:rFonts w:ascii="Arial" w:cs="Arial" w:eastAsia="Arial" w:hAnsi="Arial"/>
          <w:sz w:val="17"/>
          <w:szCs w:val="17"/>
          <w:color w:val="auto"/>
        </w:rPr>
        <w:t>Skiing, travel and tourism are discretionary recreational activities that can entail a relatively high cost of participation and may be adversely</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by economic slowdown or recession. Economic conditions in North America, Europe and parts of the rest of the world, including high unemployment, erosion of consumer confidence, sovereign debt issues and financial instability in the global markets, may potentially have negative effects on the travel and leisure industry and on our results of operations. As a result of these and other economic uncertainties, we have previously experienced and may experience in the future, among other items, a change in booking trends such that guest reservations are made much closer to the actual date of stay, a decrease in the length of stay and/or a decrease in group bookings. We cannot predict what impact these uncertainties may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This could further be exacerbated by the fact that we charge some of the highest prices for single day lift tickets and ancillary services in the ski industry. In the event of a decrease in visitation and overall guest spending we may be required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it could impact the volume of international visitation.</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We are vulnerable to unfavorable weather conditions and the impact of natural disasters. </w:t>
      </w:r>
      <w:r>
        <w:rPr>
          <w:rFonts w:ascii="Arial" w:cs="Arial" w:eastAsia="Arial" w:hAnsi="Arial"/>
          <w:sz w:val="16"/>
          <w:szCs w:val="16"/>
          <w:color w:val="auto"/>
        </w:rPr>
        <w:t>Our ability to attract guests to our resorts is influenced by</w:t>
      </w:r>
      <w:r>
        <w:rPr>
          <w:rFonts w:ascii="Arial" w:cs="Arial" w:eastAsia="Arial" w:hAnsi="Arial"/>
          <w:sz w:val="16"/>
          <w:szCs w:val="16"/>
          <w:b w:val="1"/>
          <w:bCs w:val="1"/>
          <w:color w:val="auto"/>
        </w:rPr>
        <w:t xml:space="preserve"> </w:t>
      </w:r>
      <w:r>
        <w:rPr>
          <w:rFonts w:ascii="Arial" w:cs="Arial" w:eastAsia="Arial" w:hAnsi="Arial"/>
          <w:sz w:val="16"/>
          <w:szCs w:val="16"/>
          <w:color w:val="auto"/>
        </w:rPr>
        <w:t>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 snowmaking and could render snowmaking, wholly or partially, ineffective in maintaining quality skiing conditions, including in areas which are not accessible by snowmaking equipment. In addition, a severe and prolonged drought could affect our otherwise adequate snowmaking water supplies or increase the cost of snowmaking. Excessive natural snowfall may significantly increase the costs incurred to groom trails and may make it difficult for guests to access our mountain resorts. In the past 20 years, our resorts in the Rocky Mountain region of Colorado and Utah, the Sierra Nevada Mountains in Lake Tahoe and the Coast Mountains in British Columbia, Canada have averaged between 20 and 39 feet of annual snowfall, which is significantly in excess of the average for North American ski resorts. However, there can be no assurance that our resorts will receive seasonal snowfalls near their historical average in the future. For example, we experienced historically low snowfall across our western U.S. resorts for the first half of the 2017/2018 ski season, with snowfall in Vail, Beaver Creek and Park City through January 31, 2018 at the lowest levels recorded in over 30 years while Tahoe was more than 50% below the 20-year average. Past snowfall levels or consistency of snow conditions can impact the levels of sales of season passes.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typically prevail at such resorts for a given season. The potential effects of climate change could also have a material adverse effect on our results of operations as warmer overall temperatures would likely adversely affect snowfall, which in turn would likely adversely affect skier visits and our revenue and profits. Although we have created geographic diversification to help mitigate the impact of weather variability, there is no way for us to predict future weather patterns or the impact that weather patterns may have on our results of operations or visitation.</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would take several years for the environment to recover.</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Failure to maintain the integrity and security of our internal, employee or guest data could result in damages to our reputation and subject us to costs, fines or lawsuits. </w:t>
      </w:r>
      <w:r>
        <w:rPr>
          <w:rFonts w:ascii="Arial" w:cs="Arial" w:eastAsia="Arial" w:hAnsi="Arial"/>
          <w:sz w:val="18"/>
          <w:szCs w:val="18"/>
          <w:color w:val="auto"/>
        </w:rPr>
        <w:t>Our business relies on the use of large volumes of data. We collect and retain guest data, including credit card numbers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information, for various business purposes, including transactional marketing and promotional purposes. We also maintain personal information about our employees. We store and use data in a variety of information systems, including some systems maintained by service providers. Maintaining the integrity and security of that data can be costly and is critical to our business, and our guests and employees have a high expectation that we will adequately protect their personal information.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9" w:right="2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7"/>
          <w:szCs w:val="17"/>
          <w:b w:val="1"/>
          <w:bCs w:val="1"/>
          <w:color w:val="auto"/>
        </w:rPr>
        <w:t xml:space="preserve">Cyber-attacks could disrupt our business. </w:t>
      </w:r>
      <w:r>
        <w:rPr>
          <w:rFonts w:ascii="Arial" w:cs="Arial" w:eastAsia="Arial" w:hAnsi="Arial"/>
          <w:sz w:val="17"/>
          <w:szCs w:val="17"/>
          <w:color w:val="auto"/>
        </w:rPr>
        <w:t>Despite our efforts, information networks and systems are vulnerable to service interruptions or to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breaches from inadvertent or intentional actions by our employees or vendors, or from attacks by malicious third parties. In recent years, there has been a rise in the number of sophisticated cyber-attacks on network and information systems, and as a result, the risks associated with such an event continue to increase. We have experienced, and expect to continue to be subject to, cybersecurity threats and incidents, none of which has been material to us to date. Although we have taken, and continue to take steps to address these concerns by implementing network security and internal controls, there can be no assurance that a system interruption, security breach or unauthorized access will not occur. Cyber threats and attacks are constantly evolving and becoming more sophisticated, which increases the difficulty and cost of detecting and defending against them. Cyber threats and attacks can have cascading impacts across networks and systems. Those events may include process breakdowns, security architecture or design vulnerabilities, or may result from the acts of third parties, such as computer hackings, cyber-attacks, computer viruses, worms or other destructive or disruptive software, denial of service attacks, malicious social engineering or other malicious activities. Any such interruption, breach or unauthorized access to our network or systems could adversely affect our business operations and result in the loss of critical or sensitive confidential information or intellectual property, and could result in financial, legal, business and reputational harm to us. These events also could result in large expenditures to repair or replace the damaged properties, products, services, networks or information systems to protect them from similar events in the future.</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Leisure and business travel are particularly susceptible to various factors outside of our control, including terrorism, the uncertainty of military conflicts, outbreaks of contagious diseases, the cost and availability of travel options and change in consumer preferences. </w:t>
      </w:r>
      <w:r>
        <w:rPr>
          <w:rFonts w:ascii="Arial" w:cs="Arial" w:eastAsia="Arial" w:hAnsi="Arial"/>
          <w:sz w:val="16"/>
          <w:szCs w:val="16"/>
          <w:color w:val="auto"/>
        </w:rPr>
        <w:t>Our business is sensitive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willingness of our guests to travel. Acts of terrorism, the spread of contagious diseases, political events and developments in military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and availability of air services could cause a decrease in visitation by Destination guests to our resorts. A significant portion of our guests also travel by vehicle and higher gasoline prices could adversely impact our guests’ willingness to travel to our resorts. Higher cost of travel may also affect the amount that guests are willing to spend at our resorts and could negatively impact our revenue particularly for lodging, ski school, dining and retail/rental.</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success depends on our ability to attract visitors to our ski resorts. Changes in consumer tastes and preferences, particularly those affecting the popularity of skiing and snowboarding, and other social and demographic trends could adversely affect the number of skier visits during a ski season. A significant decline in skier visits compared to historical levels would have a material adverse effect on our business, prospects, financial condition, results of operations and cash flows.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Our business is highly seasonal. </w:t>
      </w:r>
      <w:r>
        <w:rPr>
          <w:rFonts w:ascii="Arial" w:cs="Arial" w:eastAsia="Arial" w:hAnsi="Arial"/>
          <w:sz w:val="17"/>
          <w:szCs w:val="17"/>
          <w:color w:val="auto"/>
        </w:rPr>
        <w:t>Our mountain and lodging operations are highly seasonal in nature. Peak operating season for our North American</w:t>
      </w:r>
      <w:r>
        <w:rPr>
          <w:rFonts w:ascii="Arial" w:cs="Arial" w:eastAsia="Arial" w:hAnsi="Arial"/>
          <w:sz w:val="17"/>
          <w:szCs w:val="17"/>
          <w:b w:val="1"/>
          <w:bCs w:val="1"/>
          <w:color w:val="auto"/>
        </w:rPr>
        <w:t xml:space="preserve"> </w:t>
      </w:r>
      <w:r>
        <w:rPr>
          <w:rFonts w:ascii="Arial" w:cs="Arial" w:eastAsia="Arial" w:hAnsi="Arial"/>
          <w:sz w:val="17"/>
          <w:szCs w:val="17"/>
          <w:color w:val="auto"/>
        </w:rPr>
        <w:t>mountain resorts is from late November to late April, and accordingly, revenue and profits from our mountain and most of our lodging operations are substantially lower and historically result in losses from late spring to late fall. Conversely, peak operating seasons for Perisher, GTLC and Flagg Ranch, mountain summer activities (including our Epic Discovery program), sightseeing and our golf courses generally occur from June to the end of September. Revenue and profits generated by Perisher, GTLC and Flagg Ranch, mountain summer activities/sightseeing and golf peak season operations are not nearly sufficient to fully offset our off-season losses from our other mountain and lodging operations. For Fiscal 2018, 78% of total combined Mountain and Lodging segment net revenue (excluding Lodging segment revenue associated with reimbursement of payroll costs) was earned during our second and third fiscal quarters. This seasonality is partially mitigated by the sale of season passes (which for Fiscal 2018 accounted for approximately 47% of the total lift revenue) predominately occurring during the period prior to the start of the ski season as the cash from those sales is collected in advance and revenue is mostly recognized in the second and third quarters. In addition, the timing of major holidays and school breaks can impact vacation patterns and therefore visitation at our mountain resorts and urban ski areas. If we were to experience an adverse event or realize a significant deterioration in our operating results during our peak periods (our fiscal second and third quarters) we would be unable to fully recover any significant declines due to the seasonality of our business. Operating results for any three-month period are not necessarily indicative of the results that may be achieved for any subsequent quarter or for a full fiscal year (see Notes to Consolidated Financial Statements).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legislation enacted in 2011, the Forest Service is authorized to permit year-round recreational activities on land owned by the Forest Service. This allows our mountain resorts on Forest Service land to offer more summer-season recreational opportunities, including our Epic Discovery program that we have launched at Heavenly, Vail and Breckenridge. We anticipate that as these summer activities mature, and with Whistler Blackcomb’s robust summer activities and the activities at our other resorts, we could realize substantial incremental summer guest visitation and revenue. However, our summer activities may not generate the projected revenue and profit margins we expect, and even if our future plans are successful, we do not expect that these enhanced summer operations will fully mitigate the seasonal losses that our mountain operations experience from late spring to late fall.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13" w:right="239" w:bottom="1440" w:gutter="0" w:footer="0" w:header="0"/>
        </w:sectPr>
      </w:pPr>
    </w:p>
    <w:bookmarkStart w:id="22" w:name="page23"/>
    <w:bookmarkEnd w:id="22"/>
    <w:p>
      <w:pPr>
        <w:jc w:val="both"/>
        <w:spacing w:after="0" w:line="281" w:lineRule="auto"/>
        <w:rPr>
          <w:sz w:val="20"/>
          <w:szCs w:val="20"/>
          <w:color w:val="auto"/>
        </w:rPr>
      </w:pPr>
      <w:r>
        <w:rPr>
          <w:rFonts w:ascii="Arial" w:cs="Arial" w:eastAsia="Arial" w:hAnsi="Arial"/>
          <w:sz w:val="17"/>
          <w:szCs w:val="17"/>
          <w:b w:val="1"/>
          <w:bCs w:val="1"/>
          <w:color w:val="auto"/>
        </w:rPr>
        <w:t xml:space="preserve">We face significant competition. </w:t>
      </w:r>
      <w:r>
        <w:rPr>
          <w:rFonts w:ascii="Arial" w:cs="Arial" w:eastAsia="Arial" w:hAnsi="Arial"/>
          <w:sz w:val="17"/>
          <w:szCs w:val="17"/>
          <w:color w:val="auto"/>
        </w:rPr>
        <w:t>The ski resort and lodging industries are highly competitive. The number of U.S. skier visits has generally ranged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51 million and 61 million annually over the last decade, with approximately 53.3 million visits for the 2017/2018 U.S. ski season. There are approximately 470 ski areas in the U.S. that serve local and destination guests, and these ski areas can be more or less impacted by weather conditions based on their location and snowmaking capabilities. The factors that we believe are important to customers include:</w:t>
      </w:r>
    </w:p>
    <w:p>
      <w:pPr>
        <w:spacing w:after="0" w:line="169" w:lineRule="exact"/>
        <w:rPr>
          <w:sz w:val="20"/>
          <w:szCs w:val="20"/>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to population centers;</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cost of transportation to ski areas;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quality of lodging options in resort areas;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ease of travel to ski areas (including direct flights by major airlines);</w:t>
      </w:r>
    </w:p>
    <w:p>
      <w:pPr>
        <w:spacing w:after="0" w:line="9" w:lineRule="exact"/>
        <w:rPr>
          <w:rFonts w:ascii="Arial" w:cs="Arial" w:eastAsia="Arial" w:hAnsi="Arial"/>
          <w:sz w:val="18"/>
          <w:szCs w:val="18"/>
          <w:color w:val="auto"/>
        </w:rPr>
      </w:pPr>
    </w:p>
    <w:p>
      <w:pPr>
        <w:ind w:left="1040" w:hanging="411"/>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of lift tickets and/or season passes and the magnitude, quality and price of related ancillary services (ski school, dining and retail/rental), amenities and lodging;</w:t>
      </w: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snowmaking facilities;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and quality of skiing and snowboarding offered;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duration of the ski season;</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 conditions;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reputation.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many competing options for our guests, including other major resorts in Colorado, Utah, California, Nevada, the Pacific Northwest, Southwest and British Columbia, Canada, and other major destination ski areas worldwide. Our guests can choose from any of these alternatives, as well as non-skiing vacation options and destinations around the world. In addition, other forms of leisure such as sporting events and participation in other competing indoor and outdoor recreational activities are available to potential guests.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RockResorts hotels, our other hotels and our property management business compete with numerous other hotel and property management companies that may have greater financial resources than we do and they may be able to adapt more quickly to changes in customer requirements or devote greater resources to promotion of their offerings than us.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The high fixed cost structure of mountain resort operations can result in significantly lower margins if revenues decline. </w:t>
      </w:r>
      <w:r>
        <w:rPr>
          <w:rFonts w:ascii="Arial" w:cs="Arial" w:eastAsia="Arial" w:hAnsi="Arial"/>
          <w:sz w:val="17"/>
          <w:szCs w:val="17"/>
          <w:color w:val="auto"/>
        </w:rPr>
        <w:t>The cost structure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mountain resort operations has a significant fixed component with variable expenses including, but not limited to, land use permit or lease fees and other resort related fees; credit card fees; retail/rental cost of sales; labor; and resort, dining and ski school operations. Any material declines in the economy, elevated geopolitical uncertainties and/or significant changes in historical snowfall patterns, as well as other risk factors discussed herein, could adversely affect revenue. As such, our margins, profits and cash flows may be materially reduced due to declines in revenue given our relatively high fixed cost structure. In addition, increases in wages and other labor costs, energy, healthcare, insurance, transportation and fuel, property taxes, minimum lease payments and other expenses included in our fixed cost structure may also reduce our margin, profits and cash flows.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We may not be able to fund resort capital expenditures. </w:t>
      </w:r>
      <w:r>
        <w:rPr>
          <w:rFonts w:ascii="Arial" w:cs="Arial" w:eastAsia="Arial" w:hAnsi="Arial"/>
          <w:sz w:val="17"/>
          <w:szCs w:val="17"/>
          <w:color w:val="auto"/>
        </w:rPr>
        <w:t>We regularly expend capital to construct, maintain and renovate our mountain resorts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properties in order to remain competitive, maintain the value and brand standards of our mountain resorts and properties and comply with applicable laws and regulations. We cannot always predict where capital will need to be expended in a given fiscal year and capital expenditures can increase due to forces beyond our control. We anticipate that resort capital expenditures will be approximately $150 million for calendar year 2018, excluding anticipated investments for U.S. summer related activities and one-time acquisition and integration related capital expenditures. We also expect to invest approximately $21 million in capital expenditures for the integration of Stevens Pass, Okemo, Mount Sunapee, Crested Butte, Stowe and the completion of Whistler Blackcomb integration, as well as approximately $3 million in calendar year 2018 for summer investments. Additionally, we plan to invest $35 million over the next two years related to the acquisitions of Stevens Pass, Okemo, Mount Sunapee and Crested Butte, in addition to an increase in annual ongoing capital expenditures of $7 million to support the addition of these four resorts. Our ability to fund capital expenditures will depend on our ability to generate sufficient cash flow from operations and/or to borrow from third parties in the debt or equity markets. We cannot provide assurances that our operations will be able to generate sufficient cash flow to fund such costs, or that we will be able to obtain sufficient financing on adequate terms, or at all. Our ability to generate cash flow and to obtain third-party financing will depend upon many factors, including:</w:t>
      </w:r>
    </w:p>
    <w:p>
      <w:pPr>
        <w:spacing w:after="0" w:line="184" w:lineRule="exact"/>
        <w:rPr>
          <w:sz w:val="20"/>
          <w:szCs w:val="20"/>
          <w:color w:val="auto"/>
        </w:rPr>
      </w:pPr>
    </w:p>
    <w:p>
      <w:pPr>
        <w:ind w:left="1040" w:hanging="41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the resort industry, the ski industry and the capital markets;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legislative and regulatory matters affecting our operations and business;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29"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Any inability to generate sufficient cash flows from operations or to obtain adequate third-party financing could cause us to delay or abandon certain projects and/or plans.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A disruption in our water supply would impact our snowmaking capabilities and operations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operations are heavily dependent upon our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supplies of water for snowmaking and to otherwise conduct our operations. Our mountain resorts are subject to federal, state, provincial and local laws and regulations relating to water rights. Changes in these laws and regulations may adversely affect our operations. For example, the Forest Service could develop new SUP language that could potentially affect our water rights, and recently the Forest Service finalized a new national water clause for all ski area SUPs. Although the recent change will not require any private water rights to be transferred to the Forest Service, future modified language could have an effect on our water rights. In addition, drought conditions may adversely affect our water supply. A significant change in law or policy or any other interference with our access to adequate supplies of water to support our current operations or an expansion of our operations would have a material adverse effect on our business, prospects, financial position, results of operations and cash flows.</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We rely on government permits and landlord approvals. </w:t>
      </w:r>
      <w:r>
        <w:rPr>
          <w:rFonts w:ascii="Arial" w:cs="Arial" w:eastAsia="Arial" w:hAnsi="Arial"/>
          <w:sz w:val="16"/>
          <w:szCs w:val="16"/>
          <w:color w:val="auto"/>
        </w:rPr>
        <w:t>Our resort operations require permits and approvals from certain federal, state, local and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authorities, including the Forest Service, the Province of British Columbia, U.S. Army Corps of Engineers, the States of Vermont and New Hampshire, NPS and the OEH, an agency of the New South Wales government. Virtually all of our ski trails and related activities, including our current and proposed comprehensive summer activities plan, at Vail Mountain, Breckenridge, Keystone, Crested Butte, Stevens Pass, Heavenly, Kirkwood and a majority of Beaver Creek are located on National Forest land. The Forest Service has granted us permits to use these lands, but maintains the right to review and approve many operational matters, as well as the location, design and construction of improvements in these areas. Currently, our permits expire on the following dates:</w:t>
      </w:r>
    </w:p>
    <w:p>
      <w:pPr>
        <w:spacing w:after="0" w:line="318" w:lineRule="exact"/>
        <w:rPr>
          <w:sz w:val="20"/>
          <w:szCs w:val="20"/>
          <w:color w:val="auto"/>
        </w:rPr>
      </w:pPr>
    </w:p>
    <w:tbl>
      <w:tblPr>
        <w:tblLayout w:type="fixed"/>
        <w:tblInd w:w="3500" w:type="dxa"/>
        <w:tblCellMar>
          <w:top w:w="0" w:type="dxa"/>
          <w:left w:w="0" w:type="dxa"/>
          <w:bottom w:w="0" w:type="dxa"/>
          <w:right w:w="0" w:type="dxa"/>
        </w:tblCellMar>
      </w:tblPr>
      <w:tr>
        <w:trPr>
          <w:trHeight w:val="234"/>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Forest Service Resort</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7"/>
        </w:trPr>
        <w:tc>
          <w:tcPr>
            <w:tcW w:w="2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Breckenridge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2029</w:t>
            </w:r>
          </w:p>
        </w:tc>
      </w:tr>
      <w:tr>
        <w:trPr>
          <w:trHeight w:val="243"/>
        </w:trPr>
        <w:tc>
          <w:tcPr>
            <w:tcW w:w="2260" w:type="dxa"/>
            <w:vAlign w:val="bottom"/>
          </w:tcPr>
          <w:p>
            <w:pPr>
              <w:jc w:val="center"/>
              <w:spacing w:after="0"/>
              <w:rPr>
                <w:sz w:val="20"/>
                <w:szCs w:val="20"/>
                <w:color w:val="auto"/>
              </w:rPr>
            </w:pPr>
            <w:r>
              <w:rPr>
                <w:rFonts w:ascii="Arial" w:cs="Arial" w:eastAsia="Arial" w:hAnsi="Arial"/>
                <w:sz w:val="18"/>
                <w:szCs w:val="18"/>
                <w:color w:val="auto"/>
                <w:w w:val="95"/>
              </w:rPr>
              <w:t>Vail Mountain</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December 1, 2031</w:t>
            </w:r>
          </w:p>
        </w:tc>
      </w:tr>
      <w:tr>
        <w:trPr>
          <w:trHeight w:val="27"/>
        </w:trPr>
        <w:tc>
          <w:tcPr>
            <w:tcW w:w="2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Keystone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2032</w:t>
            </w:r>
          </w:p>
        </w:tc>
      </w:tr>
      <w:tr>
        <w:trPr>
          <w:trHeight w:val="243"/>
        </w:trPr>
        <w:tc>
          <w:tcPr>
            <w:tcW w:w="2260" w:type="dxa"/>
            <w:vAlign w:val="bottom"/>
          </w:tcPr>
          <w:p>
            <w:pPr>
              <w:jc w:val="center"/>
              <w:spacing w:after="0"/>
              <w:rPr>
                <w:sz w:val="20"/>
                <w:szCs w:val="20"/>
                <w:color w:val="auto"/>
              </w:rPr>
            </w:pPr>
            <w:r>
              <w:rPr>
                <w:rFonts w:ascii="Arial" w:cs="Arial" w:eastAsia="Arial" w:hAnsi="Arial"/>
                <w:sz w:val="18"/>
                <w:szCs w:val="18"/>
                <w:color w:val="auto"/>
                <w:w w:val="90"/>
              </w:rPr>
              <w:t>Beaver Creek</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November 8, 2039</w:t>
            </w:r>
          </w:p>
        </w:tc>
      </w:tr>
      <w:tr>
        <w:trPr>
          <w:trHeight w:val="27"/>
        </w:trPr>
        <w:tc>
          <w:tcPr>
            <w:tcW w:w="2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Crested Butte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September 27, 2058</w:t>
            </w:r>
          </w:p>
        </w:tc>
      </w:tr>
      <w:tr>
        <w:trPr>
          <w:trHeight w:val="243"/>
        </w:trPr>
        <w:tc>
          <w:tcPr>
            <w:tcW w:w="2260" w:type="dxa"/>
            <w:vAlign w:val="bottom"/>
          </w:tcPr>
          <w:p>
            <w:pPr>
              <w:jc w:val="center"/>
              <w:spacing w:after="0"/>
              <w:rPr>
                <w:sz w:val="20"/>
                <w:szCs w:val="20"/>
                <w:color w:val="auto"/>
              </w:rPr>
            </w:pPr>
            <w:r>
              <w:rPr>
                <w:rFonts w:ascii="Arial" w:cs="Arial" w:eastAsia="Arial" w:hAnsi="Arial"/>
                <w:sz w:val="18"/>
                <w:szCs w:val="18"/>
                <w:color w:val="auto"/>
                <w:w w:val="83"/>
              </w:rPr>
              <w:t>Stevens Pass</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August 15, 2058</w:t>
            </w:r>
          </w:p>
        </w:tc>
      </w:tr>
      <w:tr>
        <w:trPr>
          <w:trHeight w:val="27"/>
        </w:trPr>
        <w:tc>
          <w:tcPr>
            <w:tcW w:w="2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Heavenly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May 1, 2042</w:t>
            </w:r>
          </w:p>
        </w:tc>
      </w:tr>
      <w:tr>
        <w:trPr>
          <w:trHeight w:val="243"/>
        </w:trPr>
        <w:tc>
          <w:tcPr>
            <w:tcW w:w="2260" w:type="dxa"/>
            <w:vAlign w:val="bottom"/>
          </w:tcPr>
          <w:p>
            <w:pPr>
              <w:jc w:val="center"/>
              <w:spacing w:after="0"/>
              <w:rPr>
                <w:sz w:val="20"/>
                <w:szCs w:val="20"/>
                <w:color w:val="auto"/>
              </w:rPr>
            </w:pPr>
            <w:r>
              <w:rPr>
                <w:rFonts w:ascii="Arial" w:cs="Arial" w:eastAsia="Arial" w:hAnsi="Arial"/>
                <w:sz w:val="18"/>
                <w:szCs w:val="18"/>
                <w:color w:val="auto"/>
                <w:w w:val="97"/>
              </w:rPr>
              <w:t>Kirkwood</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1, 2052</w:t>
            </w:r>
          </w:p>
        </w:tc>
      </w:tr>
    </w:tbl>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Forest Service can terminate or amend these permits if, in its opinion, such termination is required in the public interest. A termination or amendment of any of our permits could have a materially adverse effect on our business and operations. In order to undertake improvements and new development, we must apply for permits and other approvals. These efforts, if unsuccessful, could impact our expansion efforts. Furthermore, Congress may materially increase the fees we pay to the Forest Service for use of these National Forest lands. Additionally, our operations at Whistler Blackcomb are located on Crown Land within the traditional territory of the Squamish and Lil’wat Nations, and the operations and future development of both Whistler Mountain and Blackcomb Mountain are governed by Master Development Agreements, which expire on February 23, 2077. Stowe and Okemo are partially located on land we lease from the State of Vermont, and Mount Sunapee is located on land we lease from the State of New Hampshire. We are required to seek approval from such states for certain developments and improvements made to the resort. Our Northstar and Park City resorts are conducted pursuant to long-term leases with third parties who require us to operate the resorts in accordance with the terms of the leases and seek certain approvals from the respective landlords for improvements made to the resorts. The initial lease term for Northstar with affiliates of EPR Properties expires in January 2027 and allows for three 10-year renewal options. We entered into a transaction agreement, master lease agreement and ancillary transaction documents with affiliate companies of Talisker Corporation (“Talisker”), and the initial lease term for our Park City resort with Talisker expires in May 2063 and allows for six 50-year renewal options. We have a lease and a license for Perisher within the Kosciusko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 licenses related to the storage of diesel, heating oil and propane in storage tanks across the resort. Additionally, GTLC and Flagg Ranch operate under concessionaire agreements with the NPS that expire on December 31, 2021 and October 31, 2026, respectively. There is no guarantee that at the end of the initial lease/license or agreements under which we operate our resorts we will renew or, if desired, be able to negotiate new terms that are favorable to us. Additionally, our resorts that operate on privately-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17"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owned land are subject to local land use regulation and oversight by county and/or town government and may not be able to obtain the requisite approvals needed for resort improvements or expansions. Failure to comply with the provisions, obligations and terms (including renewal requirements and deadlines) of our material permits and leases could adversely impact our operating results.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We are subject to extensive environmental and health and safety laws and regulations in the ordinary course of business. </w:t>
      </w:r>
      <w:r>
        <w:rPr>
          <w:rFonts w:ascii="Arial" w:cs="Arial" w:eastAsia="Arial" w:hAnsi="Arial"/>
          <w:sz w:val="16"/>
          <w:szCs w:val="16"/>
          <w:color w:val="auto"/>
        </w:rPr>
        <w:t>Our operations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and in Vermont, our operations must comply with Act 250, which regulates the impacts of development to, among other things, waterways, air, wildlife and earth resources, and any projects must be completed pursuant to a Master Plan. In addition, most projects to improve, upgrade or expand our ski areas are subject to environmental review under the NEPA, FRPA, Act 250, the CEQA, the Australian NPW Act or the Australian EPA Act, as applicable. The NEPA and CEQA require the Forest Service, or other governmental entities, to study any proposal for potential environmental impacts and include various alternatives in its analysis. Our ski area improvement proposals may not be approved or may be approved with modifications that substantially increase the cost or decrease the desirability of implementing the project. Our facilities are subject to risks associated with mold and other indoor building contaminants. From time to time our operations are subject to inspections by environmental regulators or other regulatory agencies. We are also subject to worker health and safety requirements. We believe our operations are in substantial compliance with applicable material environmental, health and safety requirements. However, our efforts to comply do not eliminate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spacing w:after="0" w:line="3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Changes in security and privacy laws and regulations could increase our operating costs, increase our exposure to fines and litigation, and adversely affect our ability to market our products, properties and services effectively</w:t>
      </w:r>
      <w:r>
        <w:rPr>
          <w:rFonts w:ascii="Arial" w:cs="Arial" w:eastAsia="Arial" w:hAnsi="Arial"/>
          <w:sz w:val="17"/>
          <w:szCs w:val="17"/>
          <w:color w:val="auto"/>
        </w:rPr>
        <w:t>. The information, security, and privacy requirements imposed by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laws and governmental regulation and the requirements of the payment card industry are increasingly demanding in the U.S. and other jurisdictions where we operate. Maintaining compliance with applicable security and privacy regulations may increase our operating costs or impact our ability to market our products, properties and services to our guests. Additionally, we rely on a variety of direct marketing techniques, including email marketing, online advertising, and postal mailings. Changes in U.S. or international law affecting marketing, solicitation or privacy, could adversely affect our marketing activities and force changes in our marketing strategy or increase the costs of marketing.</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We rely on information technology to operate our businesses and maintain our competitiveness, and any failure to adapt to technological developments or industry trends could harm our business or competitive position. </w:t>
      </w:r>
      <w:r>
        <w:rPr>
          <w:rFonts w:ascii="Arial" w:cs="Arial" w:eastAsia="Arial" w:hAnsi="Arial"/>
          <w:sz w:val="17"/>
          <w:szCs w:val="17"/>
          <w:color w:val="auto"/>
        </w:rPr>
        <w:t>We depend on the use of sophisticated information technology and</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for central reservations, point of sale, marketing, customer relationship management and communication, procurement, maintaining the privacy of guest and employee data, administration and technologies we make available to our guests. We must continuously improve and upgrade our systems and infrastructure to offer enhanced products, services, features and functionality, while maintaining the reliability and integrity of our systems, network security and infrastructure. Our future success also depends on our ability to adapt our infrastructure to meet rapidly evolving consumer trends and demands and to respond to competitive service and product offerings. In addition, we may not be able to maintain our existing systems or replace or introduce new technologies and systems as quickly as we would like or in a cost-effective manner. Delays or difficulties implementing new or enhanced systems may keep us from achieving the desired results in a timely manner, to the extent anticipated, or at all. Any interruptions, outages or delays in our systems, or deterioration in their performance, could impair our ability to process transactions and could decrease the quality of service we offer to our guests. Also, we may be unable to devote adequate financial resources to new technologies and systems in the future. If any of these events occur, our business and financial performance could suffer.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We depend on a seasonal workforce. </w:t>
      </w:r>
      <w:r>
        <w:rPr>
          <w:rFonts w:ascii="Arial" w:cs="Arial" w:eastAsia="Arial" w:hAnsi="Arial"/>
          <w:sz w:val="17"/>
          <w:szCs w:val="17"/>
          <w:color w:val="auto"/>
        </w:rPr>
        <w:t>Our mountain and lodging operations are highly dependent on a large seasonal workforce. We recruit year-round to fill</w:t>
      </w:r>
      <w:r>
        <w:rPr>
          <w:rFonts w:ascii="Arial" w:cs="Arial" w:eastAsia="Arial" w:hAnsi="Arial"/>
          <w:sz w:val="17"/>
          <w:szCs w:val="17"/>
          <w:b w:val="1"/>
          <w:bCs w:val="1"/>
          <w:color w:val="auto"/>
        </w:rPr>
        <w:t xml:space="preserve"> </w:t>
      </w:r>
      <w:r>
        <w:rPr>
          <w:rFonts w:ascii="Arial" w:cs="Arial" w:eastAsia="Arial" w:hAnsi="Arial"/>
          <w:sz w:val="17"/>
          <w:szCs w:val="17"/>
          <w:color w:val="auto"/>
        </w:rPr>
        <w:t>thousands of seasonal staffing needs each season and work to manage seasonal wages and the timing of the hiring process to ensure the appropriate workforce is in place. Furthermore, we cannot guarantee that we will be able to recruit and hire adequate seasonal personnel as the business requires. Immigration law reform could also impact our workforce because we recruit and hire foreign nationals as part of our seasonal workforce. Increased seasonal wages or an inadequate workforce could have an adverse impact on our results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17"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b w:val="1"/>
          <w:bCs w:val="1"/>
          <w:color w:val="auto"/>
        </w:rPr>
        <w:t xml:space="preserve">We are subject to risks associated with our workforce, including increased labor costs. </w:t>
      </w:r>
      <w:r>
        <w:rPr>
          <w:rFonts w:ascii="Arial" w:cs="Arial" w:eastAsia="Arial" w:hAnsi="Arial"/>
          <w:sz w:val="17"/>
          <w:szCs w:val="17"/>
          <w:color w:val="auto"/>
        </w:rPr>
        <w:t>We are subject to various federal, state and foreign laws</w:t>
      </w:r>
      <w:r>
        <w:rPr>
          <w:rFonts w:ascii="Arial" w:cs="Arial" w:eastAsia="Arial" w:hAnsi="Arial"/>
          <w:sz w:val="17"/>
          <w:szCs w:val="17"/>
          <w:b w:val="1"/>
          <w:bCs w:val="1"/>
          <w:color w:val="auto"/>
        </w:rPr>
        <w:t xml:space="preserve"> </w:t>
      </w:r>
      <w:r>
        <w:rPr>
          <w:rFonts w:ascii="Arial" w:cs="Arial" w:eastAsia="Arial" w:hAnsi="Arial"/>
          <w:sz w:val="17"/>
          <w:szCs w:val="17"/>
          <w:color w:val="auto"/>
        </w:rPr>
        <w:t>governing matters such as minimum wage requirements, overtime compensation and other working conditions, work authorization requirements, discrimination and family and medical leave. Labor costs and labor-related benefits are primary components in the cost of our operations. Labor shortages, affordable employee housing shortages and increased employee turnover and health care mandates could also increase our labor costs and labor-related benefits. As minimum wage rates increase, including further potential federal and state legislative changes to the minimum wage rate (for example, the recent California legislation increasing minimum wage), we may need to increase not only the wages of our minimum wage employees but also the wages paid to employees at wage rates that are above the minimum wage. Additionally, new regulations governing the payment of overtime for salaried employees may be implemented, and we may incur additional costs to comply with the revised rules. From time to time, we have also experienced non-union employees attempting to unionize. While only a very small portion of our employees are unionized at present, we may experience additional union activity in the future, which could lead to disruptions in our business, increases in our operating costs and/or constraints on our operating flexibility. These potential labor impacts could adversely impact our results of operations.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If we do not retain our key personnel, our business may suffer. </w:t>
      </w:r>
      <w:r>
        <w:rPr>
          <w:rFonts w:ascii="Arial" w:cs="Arial" w:eastAsia="Arial" w:hAnsi="Arial"/>
          <w:sz w:val="18"/>
          <w:szCs w:val="18"/>
          <w:color w:val="auto"/>
        </w:rPr>
        <w:t>The success of our business is heavily dependent on the leadership of key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including our senior executive officers. If any of these persons were to leave, it could be difficult to replace them, and our business could be harmed. We do not maintain “key-man” life insurance on any of our employees.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We are subject to litigation in the ordinary course of business. </w:t>
      </w:r>
      <w:r>
        <w:rPr>
          <w:rFonts w:ascii="Arial" w:cs="Arial" w:eastAsia="Arial" w:hAnsi="Arial"/>
          <w:sz w:val="16"/>
          <w:szCs w:val="16"/>
          <w:color w:val="auto"/>
        </w:rPr>
        <w:t>We are, from time to time, subject to various asserted or unasserted legal proceedings and</w:t>
      </w:r>
      <w:r>
        <w:rPr>
          <w:rFonts w:ascii="Arial" w:cs="Arial" w:eastAsia="Arial" w:hAnsi="Arial"/>
          <w:sz w:val="16"/>
          <w:szCs w:val="16"/>
          <w:b w:val="1"/>
          <w:bCs w:val="1"/>
          <w:color w:val="auto"/>
        </w:rPr>
        <w:t xml:space="preserve"> </w:t>
      </w:r>
      <w:r>
        <w:rPr>
          <w:rFonts w:ascii="Arial" w:cs="Arial" w:eastAsia="Arial" w:hAnsi="Arial"/>
          <w:sz w:val="16"/>
          <w:szCs w:val="16"/>
          <w:color w:val="auto"/>
        </w:rPr>
        <w:t>claims. Any such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assure you that the outcome of all current or future litigation will not have a material adverse effect on us and our results of operations.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Our business depends on the quality and reputation of our brands, and any deterioration in the quality or reputation of these brands could have an adverse impact on our business. </w:t>
      </w:r>
      <w:r>
        <w:rPr>
          <w:rFonts w:ascii="Arial" w:cs="Arial" w:eastAsia="Arial" w:hAnsi="Arial"/>
          <w:sz w:val="18"/>
          <w:szCs w:val="18"/>
          <w:color w:val="auto"/>
        </w:rPr>
        <w:t>A negative public image or other adverse events could affect the reputation of one or more of our mountain resorts,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destination resorts, hotel properties and other businesses or more generally impact the reputation of our brands. If the reputation or perceived quality of our brands declines, our market share, reputation, 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There is a risk of accidents occurring at our mountain resorts or competing mountain resorts which may reduce visitation and negatively impact our operations. </w:t>
      </w:r>
      <w:r>
        <w:rPr>
          <w:rFonts w:ascii="Arial" w:cs="Arial" w:eastAsia="Arial" w:hAnsi="Arial"/>
          <w:sz w:val="17"/>
          <w:szCs w:val="17"/>
          <w:color w:val="auto"/>
        </w:rPr>
        <w:t>Our ability to attract and retain guests depends, in part, upon the external perceptions of the Company, the quality and safety of our resorts,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and activities, including summer activities, and our corporate and management integrity. While we maintain and promote an on-mountain safety program, there are inherent risks associated with our resort activities.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 The considerable expansion in the use of social media over recent years has compounded the impact of negative publicity. If any such incident occurs during a time of high seasonal demand, the effect could disproportionately impact our results of operations.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Our acquisitions, including Okemo, Crested Butte, Stevens Pass, Mount Sunapee or future acquisitions, might not be successful. </w:t>
      </w:r>
      <w:r>
        <w:rPr>
          <w:rFonts w:ascii="Arial" w:cs="Arial" w:eastAsia="Arial" w:hAnsi="Arial"/>
          <w:sz w:val="18"/>
          <w:szCs w:val="18"/>
          <w:color w:val="auto"/>
        </w:rPr>
        <w:t>We have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mountain resorts, hotel properties and other businesses complementary to our own, as well as developable land in proximity to our resorts. Acquisitions are complex to evaluate, execute and integrate. We cannot ensure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w:t>
      </w:r>
    </w:p>
    <w:p>
      <w:pPr>
        <w:spacing w:after="0" w:line="192" w:lineRule="exact"/>
        <w:rPr>
          <w:sz w:val="20"/>
          <w:szCs w:val="20"/>
          <w:color w:val="auto"/>
        </w:rPr>
      </w:pPr>
    </w:p>
    <w:p>
      <w:pPr>
        <w:ind w:left="1040" w:hanging="41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evaluation of the synergies and/or long-term benefits of an acquired business;</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integrate acquired businesses into our operations as planned;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our management’s attention;</w:t>
      </w:r>
    </w:p>
    <w:p>
      <w:pPr>
        <w:spacing w:after="0" w:line="9" w:lineRule="exact"/>
        <w:rPr>
          <w:rFonts w:ascii="Arial" w:cs="Arial" w:eastAsia="Arial" w:hAnsi="Arial"/>
          <w:sz w:val="18"/>
          <w:szCs w:val="18"/>
          <w:color w:val="auto"/>
        </w:rPr>
      </w:pPr>
    </w:p>
    <w:p>
      <w:pPr>
        <w:ind w:left="1040" w:right="340" w:hanging="411"/>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expenditures (including legal, accounting and due diligence expenses, higher administrative costs to support the acquired entities, information technology, personnel and other integration expenses);</w:t>
      </w:r>
    </w:p>
    <w:p>
      <w:pPr>
        <w:ind w:left="1040" w:hanging="41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increased debt leverage;</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issuance of dilutive equity securities;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13" w:right="239" w:bottom="1440" w:gutter="0" w:footer="0" w:header="0"/>
        </w:sectPr>
      </w:pPr>
    </w:p>
    <w:bookmarkStart w:id="26" w:name="page27"/>
    <w:bookmarkEnd w:id="26"/>
    <w:p>
      <w:pPr>
        <w:ind w:left="1040" w:hanging="41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arising from acquisition activity;</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goodwill or other intangible asset impairments;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problems or liabilities.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run the risk that any new acquisitions may fail to perform in accordance with expectations, and that estimates of the costs of improvements and integration for such properties may prove inaccurate.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We have recently acquired companies that were not subject to rules and regulations promulgated under the Sarbanes-Oxley Act of 2002, as amended (“Sarbanes-Oxley”), and, therefore, they may lack the internal controls of a U.S. public company, which could ultimately affect our ability to ensure compliance with the requirements of Section 404 of Sarbanes-Oxley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recently acquired companies that were not previously subject to the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promulgated under Sarbanes-Oxley and accordingly were not required to establish and maintain an internal control infrastructure meeting the standards promulgated under Sarbanes-Oxley. Our assessment of and conclusion on the effectiveness of our internal control over financial reporting as of July 31, 2018 did not include the internal controls of Okemo, Crested Butte, Stevens Pass and Mount Sunapee, all of which were acquired after our fiscal year ended July 31, 2018.</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management will continue to review and evaluate the effectiveness of our internal controls in light of these acquisitions, we cannot provide any assurances that there will be no significant deficiencies or material weaknesses in our internal control over financial reporting. Any significant deficiencies or material weaknesses in the internal control structure of our acquired businesses may cause significant deficiencies or material weaknesses in our internal control over financial reporting, which could have a material adverse effect on our business and our ability to comply with Section 404 of the Sarbanes-Oxley Act.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Our international operations subject us to additional risks. </w:t>
      </w:r>
      <w:r>
        <w:rPr>
          <w:rFonts w:ascii="Arial" w:cs="Arial" w:eastAsia="Arial" w:hAnsi="Arial"/>
          <w:sz w:val="18"/>
          <w:szCs w:val="18"/>
          <w:color w:val="auto"/>
        </w:rPr>
        <w:t>As a result of the acquisitions of Perisher and Whistler Blackcomb and potential future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acquisitions, we have increased our operations outside of the United States. We are accordingly subject to a number of risks relating to doing business internationally, any of which could significantly harm our business. These risks include:</w:t>
      </w:r>
    </w:p>
    <w:p>
      <w:pPr>
        <w:spacing w:after="0" w:line="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 on the transfer of funds to and from foreign countries, including potentially negative tax consequences;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political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compliance with international laws and regulations (including anti-corruption regulations, such as the U.S. Foreign Corrupt Practices Act);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data security;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 treaties and policies.</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Exchange rate fluctuations could result in significant foreign currency gains and losses and affect our business results. </w:t>
      </w:r>
      <w:r>
        <w:rPr>
          <w:rFonts w:ascii="Arial" w:cs="Arial" w:eastAsia="Arial" w:hAnsi="Arial"/>
          <w:sz w:val="16"/>
          <w:szCs w:val="16"/>
          <w:color w:val="auto"/>
        </w:rPr>
        <w:t>We are exposed to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translation risk because the results of Whistler Blackcomb and Perisher are reported in their local currencies, which we then translate to U.S. dollars for inclusion in our consolidated financial statements. As a result, changes in foreign exchange rates, in particular between the Canadian dollar, Australian dollar and the U.S. dollar, affect the amounts we record for our foreign assets, liabilities, revenues and expenses, and could have a negative effect on our financial results. We currently do not enter into hedging arrangements to minimize the impact of foreign currency fluctuations. We expect that our exposure to foreign currency exchange rate fluctuations will increase as Whistler Blackcomb and Perisher grow and if we acquire other international resorts.</w:t>
      </w:r>
    </w:p>
    <w:p>
      <w:pPr>
        <w:spacing w:after="0" w:line="15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We are subject to accounting and tax regulations and use certain estimates and judgments that may differ significantly from actual results, including adverse determinations by tax authorities. </w:t>
      </w:r>
      <w:r>
        <w:rPr>
          <w:rFonts w:ascii="Arial" w:cs="Arial" w:eastAsia="Arial" w:hAnsi="Arial"/>
          <w:sz w:val="16"/>
          <w:szCs w:val="16"/>
          <w:color w:val="auto"/>
        </w:rPr>
        <w:t>Implementation of existing and future legislation, rulings, standards and interpretations from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Standards Board (“FASB”)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 many methods, estimates and judgments in applying our accounting policies (see “Critical Accounting Policies” in Item 7 of this Form 10-K).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taxes in multiple jurisdictions. Due to economic and political conditions, tax rates in various jurisdictions may be subject to significant change. Our effective tax rates could be affected by changes in the mix of earnings in countries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differing statutory tax rates, changes in the valuation of deferred tax assets and liabilities, or changes in tax laws or their interpretation.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the examination of tax returns and other tax matters by the Internal Revenue Service (“IRS”) and other tax authorities and governmental bodies. We regularly assesses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The impact of recently enacted tax reform legislation in the U.S. on our business is uncertain. </w:t>
      </w:r>
      <w:r>
        <w:rPr>
          <w:rFonts w:ascii="Arial" w:cs="Arial" w:eastAsia="Arial" w:hAnsi="Arial"/>
          <w:sz w:val="16"/>
          <w:szCs w:val="16"/>
          <w:color w:val="auto"/>
        </w:rPr>
        <w:t>The recent enactment of the Tax Cuts and Jobs Act (the</w:t>
      </w:r>
      <w:r>
        <w:rPr>
          <w:rFonts w:ascii="Arial" w:cs="Arial" w:eastAsia="Arial" w:hAnsi="Arial"/>
          <w:sz w:val="16"/>
          <w:szCs w:val="16"/>
          <w:b w:val="1"/>
          <w:bCs w:val="1"/>
          <w:color w:val="auto"/>
        </w:rPr>
        <w:t xml:space="preserve"> </w:t>
      </w:r>
      <w:r>
        <w:rPr>
          <w:rFonts w:ascii="Arial" w:cs="Arial" w:eastAsia="Arial" w:hAnsi="Arial"/>
          <w:sz w:val="16"/>
          <w:szCs w:val="16"/>
          <w:color w:val="auto"/>
        </w:rPr>
        <w:t>“Tax Act”) has significantly changed U.S. federal income taxation of U.S. corporations by reducing the U.S. corporate income tax rate, limiting interest deductions, permitting immediate expensing of certain capital expenditures, adopting elements of a territorial tax system, imposing a one-time Transition Tax on all undistributed earnings and profits of certain U.S. owned foreign corporations, introducing new anti-base erosion provisions, revising the rules governing net operating losses and the rules governing foreign tax credits, repealing the performance-based compensation exception to the $1 million deduction limit on executive compensation and expanding the scope of employees to whom the limit applies, and eliminating the deductibility of certain fringe benefits, among other changes. Many of these changes are effective immediately, without any transition periods or grandfathering for existing transactions. The Tax Act is unclear in many respects and could be subject to potential amendments and technical corrections, as well as interpretations and implementation of regulations by the U.S. Treasury Department and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or how the changes will be viewed by foreign governments.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analysis and interpretation of the Tax Act is preliminary and ongoing, and our implementation may include judgments and estimates that differ from the final IRS regulations and could have a material impact on our financial statements. We have identified the change in the corporate tax rate, including its effects on the remeasurement of our net deferred tax liabilities, as well as the Transition Tax, and the related impact on our consolidated financial statements. There may be other material adverse effects resulting from the legislation that we have not yet identified. While some of the changes made by the Tax Act may adversely affect the Company in one or more reporting periods and prospectively, other changes may be beneficial. We continue to work with our tax advisors to determine the full impact that the recent tax legislation as a whole will have on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Capital Structure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Our stock price is highly volatile. </w:t>
      </w:r>
      <w:r>
        <w:rPr>
          <w:rFonts w:ascii="Arial" w:cs="Arial" w:eastAsia="Arial" w:hAnsi="Arial"/>
          <w:sz w:val="18"/>
          <w:szCs w:val="18"/>
          <w:color w:val="auto"/>
        </w:rPr>
        <w:t>The market price of our stock is highly volatile and subject to wide fluctuations in response to factors such as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some of which are beyond our control:</w:t>
      </w:r>
    </w:p>
    <w:p>
      <w:pPr>
        <w:spacing w:after="0" w:line="166" w:lineRule="exact"/>
        <w:rPr>
          <w:sz w:val="20"/>
          <w:szCs w:val="20"/>
          <w:color w:val="auto"/>
        </w:rPr>
      </w:pPr>
    </w:p>
    <w:p>
      <w:pPr>
        <w:ind w:left="1040" w:hanging="41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securities analysts and investors;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in valuations, including our real estate held for sale;</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overall travel, gaming, hospitality and leisure industries;</w:t>
      </w:r>
    </w:p>
    <w:p>
      <w:pPr>
        <w:spacing w:after="0" w:line="9" w:lineRule="exact"/>
        <w:rPr>
          <w:rFonts w:ascii="Arial" w:cs="Arial" w:eastAsia="Arial" w:hAnsi="Arial"/>
          <w:sz w:val="18"/>
          <w:szCs w:val="18"/>
          <w:color w:val="auto"/>
        </w:rPr>
      </w:pPr>
    </w:p>
    <w:p>
      <w:pPr>
        <w:ind w:left="1040" w:hanging="411"/>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 or such guidance provided by us;</w:t>
      </w:r>
    </w:p>
    <w:p>
      <w:pPr>
        <w:ind w:left="1040" w:right="20" w:hanging="411"/>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companies in the travel, gaming, hospitality and leisure industries of significant contracts, acquisitions, dispositions, strategic partnerships, joint ventures, capital commitments, plans, prospects, service offerings or operating results;</w:t>
      </w:r>
    </w:p>
    <w:p>
      <w:pPr>
        <w:ind w:left="1040" w:hanging="41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sales of our securities;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and volume fluctuations;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 factors as discussed herein;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unforeseen events</w:t>
      </w:r>
    </w:p>
    <w:p>
      <w:pPr>
        <w:spacing w:after="0" w:line="21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Stock markets in the U.S. have often experienced extreme price and volume fluctuations. Market fluctuations, as well as general political and economic conditions including acts of terrorism, military conflicts, prolonged economic uncertainty, a recession or interest rate or currency rate fluctuations, could adversely affect the market price of our stock.</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We cannot provide assurance that we will continue to increase dividend payments and/or pay dividends. </w:t>
      </w:r>
      <w:r>
        <w:rPr>
          <w:rFonts w:ascii="Arial" w:cs="Arial" w:eastAsia="Arial" w:hAnsi="Arial"/>
          <w:sz w:val="18"/>
          <w:szCs w:val="18"/>
          <w:color w:val="auto"/>
        </w:rPr>
        <w:t>In fiscal 2011, our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On March 7, 2018, our Board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17" w:right="239" w:bottom="1440" w:gutter="0" w:footer="0" w:header="0"/>
        </w:sectPr>
      </w:pPr>
    </w:p>
    <w:bookmarkStart w:id="28" w:name="page29"/>
    <w:bookmarkEnd w:id="28"/>
    <w:p>
      <w:pPr>
        <w:jc w:val="both"/>
        <w:spacing w:after="0" w:line="288" w:lineRule="auto"/>
        <w:rPr>
          <w:sz w:val="20"/>
          <w:szCs w:val="20"/>
          <w:color w:val="auto"/>
        </w:rPr>
      </w:pPr>
      <w:r>
        <w:rPr>
          <w:rFonts w:ascii="Arial" w:cs="Arial" w:eastAsia="Arial" w:hAnsi="Arial"/>
          <w:sz w:val="16"/>
          <w:szCs w:val="16"/>
          <w:color w:val="auto"/>
        </w:rPr>
        <w:t>Directors approved an increase to our quarterly cash dividend to $1.47 per share, subject to quarterly declaration. This dividend is anticipated to be funded through cash flow from operations, available cash on hand and borrowings under the revolver portion of the Eighth Amended and Restated Credit Agreement (“Vail Holdings Credit Agreement”). Although we anticipate paying regular quarterly dividends on our common stock for the foreseeable future, the declaration of dividends is subject to the discretion of our Board of Directors, and is limited by applicable state law concepts of available funds for distribution, as well as contractual restrictions. As a result, the amount, if any, of the dividends to be paid in the future will depend upon a number of factors, including our available cash on hand, anticipated cash needs, overall financial condition, restrictions contained in our senior credit facility, the Vail Holdings Credit Agreement, any future contractual restrictions, future prospects for earnings and cash flows, as well as other factors considered relevant by our Board of Directors. In addition, our Board of Directors may also suspend the payment of dividends at any time if it deems such action to be in the best interests of the Company and its stockholders. If we do not pay dividends, the price of our common stock must appreciate for investors to realize a gain on their investment in Vail Resorts, Inc. This appreciation may not occur and our stock may in fact depreciate in value.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Anti-takeover provisions affecting us could prevent or delay a change of control that is beneficial to our stockholders. </w:t>
      </w:r>
      <w:r>
        <w:rPr>
          <w:rFonts w:ascii="Arial" w:cs="Arial" w:eastAsia="Arial" w:hAnsi="Arial"/>
          <w:sz w:val="18"/>
          <w:szCs w:val="18"/>
          <w:color w:val="auto"/>
        </w:rPr>
        <w:t>Provisions of our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spacing w:after="0" w:line="184" w:lineRule="exact"/>
        <w:rPr>
          <w:sz w:val="20"/>
          <w:szCs w:val="20"/>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defer or prevent a change in control of our Company;</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discourage bids for our securities at a premium over the market price;</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affect the market price of, and the voting and other rights of the holders of our securities; or</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impede the ability of the holders of our securities to change our management.</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Our indebtedness could adversely affect our financial health and prevent us from fulfilling our obligations. </w:t>
      </w:r>
      <w:r>
        <w:rPr>
          <w:rFonts w:ascii="Arial" w:cs="Arial" w:eastAsia="Arial" w:hAnsi="Arial"/>
          <w:sz w:val="16"/>
          <w:szCs w:val="16"/>
          <w:color w:val="auto"/>
        </w:rPr>
        <w:t>As of July 31, 2018, we had $1,276.1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of outstanding indebtedness, which includes $334.5 million for the Canyons Lease obligation. This amount also consists of $684.4 million of borrowings from the term loan facility under the Vail Holdings Credit Agreement used to pay the cash portion of the consideration and payment of associated fees and expenses of the Whistler Blackcomb acquisition, $130.0 million borrowings under the revolver portion of the Vail Holdings Credit Agreement, and $65.4 million of borrowings under Whistler Blackcomb’s credit facility. In August 2018, we entered into our Eighth Amended and Restated Credit Agreement and increased the term loan facility by approximately $265.6 million, of which $70.0 million was borrowed on August 15, 2018 in connection with the closing of the Stevens Pass acquisition with the remainder borrowed on September 27, 2018 in connection with the closing of the Triple Peaks acquisition. Our borrowings under the Vail Holdings Credit Agreement are subject to interest rate changes substantially increasing our risk to changes in interest rates. Borrowings under the Vail Holdings Credit Agreement, including the term loan facility, currently bear interest at a rate of LIBOR plus 1.25% on an annual basis. Interest rate margins may fluctuate based upon the ratio of our Net Funded Debt to Adjusted EBITDA on a trailing four-quarter basis. We also have, on a cumulative basis, minimum lease payment obligations under operating leases of approximately $332.9 million as of July 31, 2018. Our level of indebtedness and minimum lease payment obligations could have important consequences. For example, it could:</w:t>
      </w:r>
    </w:p>
    <w:p>
      <w:pPr>
        <w:spacing w:after="0" w:line="173" w:lineRule="exact"/>
        <w:rPr>
          <w:sz w:val="20"/>
          <w:szCs w:val="20"/>
          <w:color w:val="auto"/>
        </w:rPr>
      </w:pPr>
    </w:p>
    <w:p>
      <w:pPr>
        <w:ind w:left="1040" w:hanging="41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 w:lineRule="exact"/>
        <w:rPr>
          <w:rFonts w:ascii="Arial" w:cs="Arial" w:eastAsia="Arial" w:hAnsi="Arial"/>
          <w:sz w:val="18"/>
          <w:szCs w:val="18"/>
          <w:color w:val="auto"/>
        </w:rPr>
      </w:pPr>
    </w:p>
    <w:p>
      <w:pPr>
        <w:jc w:val="both"/>
        <w:ind w:left="1040" w:hanging="411"/>
        <w:spacing w:after="0" w:line="250"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including the annual payments under the Canyons lease, thereby reducing the availability of our cash flow to fund working capital, capital expenditures, real estate developments, marketing efforts and other general corporate purposes;</w:t>
      </w:r>
    </w:p>
    <w:p>
      <w:pPr>
        <w:spacing w:after="0" w:line="1" w:lineRule="exact"/>
        <w:rPr>
          <w:rFonts w:ascii="Arial" w:cs="Arial" w:eastAsia="Arial" w:hAnsi="Arial"/>
          <w:sz w:val="18"/>
          <w:szCs w:val="18"/>
          <w:color w:val="auto"/>
        </w:rPr>
      </w:pPr>
    </w:p>
    <w:p>
      <w:pPr>
        <w:ind w:left="1040" w:hanging="41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able to incur substantial additional indebtedness in the future. The terms of our senior credit facility do not fully prohibit us from doing so. If we incur additional debt, the related risks that we face could intensify.</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Restrictions imposed by the terms of our indebtedness may prevent or limit our future business plans. </w:t>
      </w:r>
      <w:r>
        <w:rPr>
          <w:rFonts w:ascii="Arial" w:cs="Arial" w:eastAsia="Arial" w:hAnsi="Arial"/>
          <w:sz w:val="17"/>
          <w:szCs w:val="17"/>
          <w:color w:val="auto"/>
        </w:rPr>
        <w:t>The operating and financial restrictions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in our credit agreements may adversely affect our ability to finance future operations or capital needs or to engage in other business activities and strategic initiatives that may be in our long-term best interests. For example, the credit agreements contain a number of restrictive covenants that impose significant operating and financial restrictions on us, including restrictions on our ability to, among other things:</w:t>
      </w:r>
    </w:p>
    <w:p>
      <w:pPr>
        <w:spacing w:after="0" w:line="169" w:lineRule="exact"/>
        <w:rPr>
          <w:sz w:val="20"/>
          <w:szCs w:val="20"/>
          <w:color w:val="auto"/>
        </w:rPr>
      </w:pPr>
    </w:p>
    <w:p>
      <w:pPr>
        <w:ind w:left="1040" w:hanging="41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additional debt or sell preferred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17" w:right="239" w:bottom="1440" w:gutter="0" w:footer="0" w:header="0"/>
        </w:sectPr>
      </w:pPr>
    </w:p>
    <w:bookmarkStart w:id="29" w:name="page30"/>
    <w:bookmarkEnd w:id="29"/>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repurchase our stock and make other restricted payments;</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certain types of investments;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sales of assets and subsidiary stock;</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sales-leaseback transactions;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guarantees of debt;</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all or substantially all of our assets or enter into merger or consolidation transactions; and</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capital expenditures.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there can be no assurance that we will meet the financial covenants contained in our credit agreements. If we breach any of these restrictions or covenants, or suffer a material adverse change which restricts our borrowing ability under our senior credit facility, we would not be able to borrow funds thereunder without a waiver. Any inability to borrow could have an adverse effect on our business, financial condition and results of operations. In addition, a breach, if uncured, could cause a default under the senior credit facility and our other debt. Our indebtedness may then become immediately due and payable. We may not have or be able to obtain sufficient funds to make these accelerated payments.</w:t>
      </w:r>
    </w:p>
    <w:p>
      <w:pPr>
        <w:spacing w:after="0" w:line="16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We cannot guarantee that we will repurchase our common stock pursuant to our share repurchase program or that our share repurchase program will enhance long-term stockholder value. Share repurchases could also increase the volatility of the price of our common stock and could diminish our cash reserves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March 2006, our Board of Directors approved a share repurchase program, authorizing the Company to repurchase up to 3,000,000</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In July 2008, the Board of Directors increased the authorization by an additional 3,000,000 shares, and in December 2015, the Board increased the authorization by an additional 1,500,000 shares for a total authorization to repurchase shares of up to 7,500,000 shares. Since inception of its share repurchase program through July 31, 2018, the Company has repurchased 5,551,716 shares at a cost of approximately $273.0 million. As of July 31, 2018, 1,948,284 shares remained available to repurchase under the existing share repurchase program which has no expiration date.</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our Board of Directors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the trading price of our common stock and the nature of other investment opportunities. The repurchase program may be limited, suspended or discontinued at any time without prior 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There can be no assurance that any share repurchases will enhance stockholder value because the market price of 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principal properties that we own or lease for use in our operations at fiscal year-end: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Location</w:t>
            </w:r>
          </w:p>
        </w:tc>
        <w:tc>
          <w:tcPr>
            <w:tcW w:w="2800" w:type="dxa"/>
            <w:vAlign w:val="bottom"/>
          </w:tcPr>
          <w:p>
            <w:pPr>
              <w:ind w:left="1600"/>
              <w:spacing w:after="0"/>
              <w:rPr>
                <w:sz w:val="20"/>
                <w:szCs w:val="20"/>
                <w:color w:val="auto"/>
              </w:rPr>
            </w:pPr>
            <w:r>
              <w:rPr>
                <w:rFonts w:ascii="Arial" w:cs="Arial" w:eastAsia="Arial" w:hAnsi="Arial"/>
                <w:sz w:val="16"/>
                <w:szCs w:val="16"/>
                <w:b w:val="1"/>
                <w:bCs w:val="1"/>
                <w:color w:val="auto"/>
              </w:rPr>
              <w:t>Ownership</w:t>
            </w:r>
          </w:p>
        </w:tc>
        <w:tc>
          <w:tcPr>
            <w:tcW w:w="5160" w:type="dxa"/>
            <w:vAlign w:val="bottom"/>
          </w:tcPr>
          <w:p>
            <w:pPr>
              <w:ind w:left="400"/>
              <w:spacing w:after="0"/>
              <w:rPr>
                <w:sz w:val="20"/>
                <w:szCs w:val="20"/>
                <w:color w:val="auto"/>
              </w:rPr>
            </w:pPr>
            <w:r>
              <w:rPr>
                <w:rFonts w:ascii="Arial" w:cs="Arial" w:eastAsia="Arial" w:hAnsi="Arial"/>
                <w:sz w:val="16"/>
                <w:szCs w:val="16"/>
                <w:b w:val="1"/>
                <w:bCs w:val="1"/>
                <w:color w:val="auto"/>
              </w:rPr>
              <w:t>Use</w:t>
            </w:r>
          </w:p>
        </w:tc>
      </w:tr>
      <w:tr>
        <w:trPr>
          <w:trHeight w:val="33"/>
        </w:trPr>
        <w:tc>
          <w:tcPr>
            <w:tcW w:w="3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13"/>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Afton Alps, MN</w:t>
            </w:r>
          </w:p>
        </w:tc>
        <w:tc>
          <w:tcPr>
            <w:tcW w:w="280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Ski resort operations, including ski lifts, ski trails, golf course,</w:t>
            </w:r>
          </w:p>
        </w:tc>
      </w:tr>
      <w:tr>
        <w:trPr>
          <w:trHeight w:val="219"/>
        </w:trPr>
        <w:tc>
          <w:tcPr>
            <w:tcW w:w="346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clubhouse, buildings, commercial space and other improvements</w:t>
            </w:r>
          </w:p>
        </w:tc>
      </w:tr>
      <w:tr>
        <w:trPr>
          <w:trHeight w:val="220"/>
        </w:trPr>
        <w:tc>
          <w:tcPr>
            <w:tcW w:w="3460" w:type="dxa"/>
            <w:vAlign w:val="bottom"/>
          </w:tcPr>
          <w:p>
            <w:pPr>
              <w:ind w:left="40"/>
              <w:spacing w:after="0"/>
              <w:rPr>
                <w:sz w:val="20"/>
                <w:szCs w:val="20"/>
                <w:color w:val="auto"/>
              </w:rPr>
            </w:pPr>
            <w:r>
              <w:rPr>
                <w:rFonts w:ascii="Arial" w:cs="Arial" w:eastAsia="Arial" w:hAnsi="Arial"/>
                <w:sz w:val="16"/>
                <w:szCs w:val="16"/>
                <w:color w:val="auto"/>
              </w:rPr>
              <w:t>Arrowhead Mountain, CO</w:t>
            </w:r>
          </w:p>
        </w:tc>
        <w:tc>
          <w:tcPr>
            <w:tcW w:w="2800" w:type="dxa"/>
            <w:vAlign w:val="bottom"/>
          </w:tcPr>
          <w:p>
            <w:pPr>
              <w:ind w:left="1600"/>
              <w:spacing w:after="0"/>
              <w:rPr>
                <w:sz w:val="20"/>
                <w:szCs w:val="20"/>
                <w:color w:val="auto"/>
              </w:rPr>
            </w:pPr>
            <w:r>
              <w:rPr>
                <w:rFonts w:ascii="Arial" w:cs="Arial" w:eastAsia="Arial" w:hAnsi="Arial"/>
                <w:sz w:val="16"/>
                <w:szCs w:val="16"/>
                <w:color w:val="auto"/>
              </w:rPr>
              <w:t>Owned</w:t>
            </w:r>
          </w:p>
        </w:tc>
        <w:tc>
          <w:tcPr>
            <w:tcW w:w="5160" w:type="dxa"/>
            <w:vAlign w:val="bottom"/>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r>
      <w:tr>
        <w:trPr>
          <w:trHeight w:val="206"/>
        </w:trPr>
        <w:tc>
          <w:tcPr>
            <w:tcW w:w="3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rPr>
              <w:t>improvements, property management and commercial space</w:t>
            </w:r>
          </w:p>
        </w:tc>
      </w:tr>
      <w:tr>
        <w:trPr>
          <w:trHeight w:val="33"/>
        </w:trPr>
        <w:tc>
          <w:tcPr>
            <w:tcW w:w="3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BC Housing RiverEdge, CO</w:t>
            </w:r>
          </w:p>
        </w:tc>
        <w:tc>
          <w:tcPr>
            <w:tcW w:w="280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26% 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Employee housing facilities</w:t>
            </w:r>
          </w:p>
        </w:tc>
      </w:tr>
      <w:tr>
        <w:trPr>
          <w:trHeight w:val="220"/>
        </w:trPr>
        <w:tc>
          <w:tcPr>
            <w:tcW w:w="3460" w:type="dxa"/>
            <w:vAlign w:val="bottom"/>
          </w:tcPr>
          <w:p>
            <w:pPr>
              <w:ind w:left="40"/>
              <w:spacing w:after="0"/>
              <w:rPr>
                <w:sz w:val="20"/>
                <w:szCs w:val="20"/>
                <w:color w:val="auto"/>
              </w:rPr>
            </w:pPr>
            <w:r>
              <w:rPr>
                <w:rFonts w:ascii="Arial" w:cs="Arial" w:eastAsia="Arial" w:hAnsi="Arial"/>
                <w:sz w:val="16"/>
                <w:szCs w:val="16"/>
                <w:color w:val="auto"/>
              </w:rPr>
              <w:t>Bachelor Gulch Village, CO</w:t>
            </w:r>
          </w:p>
        </w:tc>
        <w:tc>
          <w:tcPr>
            <w:tcW w:w="2800" w:type="dxa"/>
            <w:vAlign w:val="bottom"/>
          </w:tcPr>
          <w:p>
            <w:pPr>
              <w:ind w:left="1600"/>
              <w:spacing w:after="0"/>
              <w:rPr>
                <w:sz w:val="20"/>
                <w:szCs w:val="20"/>
                <w:color w:val="auto"/>
              </w:rPr>
            </w:pPr>
            <w:r>
              <w:rPr>
                <w:rFonts w:ascii="Arial" w:cs="Arial" w:eastAsia="Arial" w:hAnsi="Arial"/>
                <w:sz w:val="16"/>
                <w:szCs w:val="16"/>
                <w:color w:val="auto"/>
              </w:rPr>
              <w:t>Owned</w:t>
            </w:r>
          </w:p>
        </w:tc>
        <w:tc>
          <w:tcPr>
            <w:tcW w:w="5160" w:type="dxa"/>
            <w:vAlign w:val="bottom"/>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r>
      <w:tr>
        <w:trPr>
          <w:trHeight w:val="206"/>
        </w:trPr>
        <w:tc>
          <w:tcPr>
            <w:tcW w:w="3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rPr>
              <w:t>improvements, property management and commercial space</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1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Location</w:t>
            </w:r>
          </w:p>
        </w:tc>
        <w:tc>
          <w:tcPr>
            <w:tcW w:w="2080" w:type="dxa"/>
            <w:vAlign w:val="bottom"/>
          </w:tcPr>
          <w:p>
            <w:pPr>
              <w:ind w:left="880"/>
              <w:spacing w:after="0"/>
              <w:rPr>
                <w:sz w:val="20"/>
                <w:szCs w:val="20"/>
                <w:color w:val="auto"/>
              </w:rPr>
            </w:pPr>
            <w:r>
              <w:rPr>
                <w:rFonts w:ascii="Arial" w:cs="Arial" w:eastAsia="Arial" w:hAnsi="Arial"/>
                <w:sz w:val="16"/>
                <w:szCs w:val="16"/>
                <w:b w:val="1"/>
                <w:bCs w:val="1"/>
                <w:color w:val="auto"/>
              </w:rPr>
              <w:t>Ownership</w:t>
            </w:r>
          </w:p>
        </w:tc>
        <w:tc>
          <w:tcPr>
            <w:tcW w:w="5160" w:type="dxa"/>
            <w:vAlign w:val="bottom"/>
          </w:tcPr>
          <w:p>
            <w:pPr>
              <w:ind w:left="400"/>
              <w:spacing w:after="0"/>
              <w:rPr>
                <w:sz w:val="20"/>
                <w:szCs w:val="20"/>
                <w:color w:val="auto"/>
              </w:rPr>
            </w:pPr>
            <w:r>
              <w:rPr>
                <w:rFonts w:ascii="Arial" w:cs="Arial" w:eastAsia="Arial" w:hAnsi="Arial"/>
                <w:sz w:val="16"/>
                <w:szCs w:val="16"/>
                <w:b w:val="1"/>
                <w:bCs w:val="1"/>
                <w:color w:val="auto"/>
              </w:rPr>
              <w:t>Use</w:t>
            </w:r>
          </w:p>
        </w:tc>
        <w:tc>
          <w:tcPr>
            <w:tcW w:w="0" w:type="dxa"/>
            <w:vAlign w:val="bottom"/>
          </w:tcPr>
          <w:p>
            <w:pPr>
              <w:spacing w:after="0"/>
              <w:rPr>
                <w:sz w:val="1"/>
                <w:szCs w:val="1"/>
                <w:color w:val="auto"/>
              </w:rPr>
            </w:pPr>
          </w:p>
        </w:tc>
      </w:tr>
      <w:tr>
        <w:trPr>
          <w:trHeight w:val="33"/>
        </w:trPr>
        <w:tc>
          <w:tcPr>
            <w:tcW w:w="4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Beaver Creek Resort, CO</w:t>
            </w:r>
          </w:p>
        </w:tc>
        <w:tc>
          <w:tcPr>
            <w:tcW w:w="2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2"/>
              </w:rPr>
              <w:t>improvements, property management, commercial space and real estate</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held for sale or development</w:t>
            </w:r>
          </w:p>
        </w:tc>
        <w:tc>
          <w:tcPr>
            <w:tcW w:w="0" w:type="dxa"/>
            <w:vAlign w:val="bottom"/>
          </w:tcPr>
          <w:p>
            <w:pPr>
              <w:spacing w:after="0"/>
              <w:rPr>
                <w:sz w:val="1"/>
                <w:szCs w:val="1"/>
                <w:color w:val="auto"/>
              </w:rPr>
            </w:pPr>
          </w:p>
        </w:tc>
      </w:tr>
      <w:tr>
        <w:trPr>
          <w:trHeight w:val="220"/>
        </w:trPr>
        <w:tc>
          <w:tcPr>
            <w:tcW w:w="4180" w:type="dxa"/>
            <w:vAlign w:val="bottom"/>
          </w:tcPr>
          <w:p>
            <w:pPr>
              <w:ind w:left="40"/>
              <w:spacing w:after="0"/>
              <w:rPr>
                <w:sz w:val="20"/>
                <w:szCs w:val="20"/>
                <w:color w:val="auto"/>
              </w:rPr>
            </w:pPr>
            <w:r>
              <w:rPr>
                <w:rFonts w:ascii="Arial" w:cs="Arial" w:eastAsia="Arial" w:hAnsi="Arial"/>
                <w:sz w:val="16"/>
                <w:szCs w:val="16"/>
                <w:color w:val="auto"/>
              </w:rPr>
              <w:t>Beaver Creek Mountain, CO (3,849</w:t>
            </w:r>
          </w:p>
        </w:tc>
        <w:tc>
          <w:tcPr>
            <w:tcW w:w="2080" w:type="dxa"/>
            <w:vAlign w:val="bottom"/>
          </w:tcPr>
          <w:p>
            <w:pPr>
              <w:ind w:left="880"/>
              <w:spacing w:after="0"/>
              <w:rPr>
                <w:sz w:val="20"/>
                <w:szCs w:val="20"/>
                <w:color w:val="auto"/>
              </w:rPr>
            </w:pPr>
            <w:r>
              <w:rPr>
                <w:rFonts w:ascii="Arial" w:cs="Arial" w:eastAsia="Arial" w:hAnsi="Arial"/>
                <w:sz w:val="16"/>
                <w:szCs w:val="16"/>
                <w:color w:val="auto"/>
              </w:rPr>
              <w:t>SUP</w:t>
            </w:r>
          </w:p>
        </w:tc>
        <w:tc>
          <w:tcPr>
            <w:tcW w:w="5160" w:type="dxa"/>
            <w:vAlign w:val="bottom"/>
          </w:tcPr>
          <w:p>
            <w:pPr>
              <w:ind w:left="400"/>
              <w:spacing w:after="0"/>
              <w:rPr>
                <w:sz w:val="20"/>
                <w:szCs w:val="20"/>
                <w:color w:val="auto"/>
              </w:rPr>
            </w:pPr>
            <w:r>
              <w:rPr>
                <w:rFonts w:ascii="Arial" w:cs="Arial" w:eastAsia="Arial" w:hAnsi="Arial"/>
                <w:sz w:val="16"/>
                <w:szCs w:val="16"/>
                <w:color w:val="auto"/>
              </w:rPr>
              <w:t>Ski trails, ski lifts, buildings and other improvements</w:t>
            </w:r>
          </w:p>
        </w:tc>
        <w:tc>
          <w:tcPr>
            <w:tcW w:w="0" w:type="dxa"/>
            <w:vAlign w:val="bottom"/>
          </w:tcPr>
          <w:p>
            <w:pPr>
              <w:spacing w:after="0"/>
              <w:rPr>
                <w:sz w:val="1"/>
                <w:szCs w:val="1"/>
                <w:color w:val="auto"/>
              </w:rPr>
            </w:pPr>
          </w:p>
        </w:tc>
      </w:tr>
      <w:tr>
        <w:trPr>
          <w:trHeight w:val="206"/>
        </w:trPr>
        <w:tc>
          <w:tcPr>
            <w:tcW w:w="4180" w:type="dxa"/>
            <w:vAlign w:val="bottom"/>
          </w:tcPr>
          <w:p>
            <w:pPr>
              <w:ind w:left="40"/>
              <w:spacing w:after="0"/>
              <w:rPr>
                <w:sz w:val="20"/>
                <w:szCs w:val="20"/>
                <w:color w:val="auto"/>
              </w:rPr>
            </w:pPr>
            <w:r>
              <w:rPr>
                <w:rFonts w:ascii="Arial" w:cs="Arial" w:eastAsia="Arial" w:hAnsi="Arial"/>
                <w:sz w:val="16"/>
                <w:szCs w:val="16"/>
                <w:color w:val="auto"/>
              </w:rPr>
              <w:t>acres)</w:t>
            </w:r>
          </w:p>
        </w:tc>
        <w:tc>
          <w:tcPr>
            <w:tcW w:w="20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Beaver Creek Mountain Resort, CO</w:t>
            </w:r>
          </w:p>
        </w:tc>
        <w:tc>
          <w:tcPr>
            <w:tcW w:w="2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3"/>
              </w:rPr>
              <w:t>Golf course, clubhouse, commercial space and residential condominium</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units</w:t>
            </w:r>
          </w:p>
        </w:tc>
        <w:tc>
          <w:tcPr>
            <w:tcW w:w="0" w:type="dxa"/>
            <w:vAlign w:val="bottom"/>
          </w:tcPr>
          <w:p>
            <w:pPr>
              <w:spacing w:after="0"/>
              <w:rPr>
                <w:sz w:val="1"/>
                <w:szCs w:val="1"/>
                <w:color w:val="auto"/>
              </w:rPr>
            </w:pPr>
          </w:p>
        </w:tc>
      </w:tr>
      <w:tr>
        <w:trPr>
          <w:trHeight w:val="220"/>
        </w:trPr>
        <w:tc>
          <w:tcPr>
            <w:tcW w:w="4180" w:type="dxa"/>
            <w:vAlign w:val="bottom"/>
          </w:tcPr>
          <w:p>
            <w:pPr>
              <w:ind w:left="40"/>
              <w:spacing w:after="0"/>
              <w:rPr>
                <w:sz w:val="20"/>
                <w:szCs w:val="20"/>
                <w:color w:val="auto"/>
              </w:rPr>
            </w:pPr>
            <w:r>
              <w:rPr>
                <w:rFonts w:ascii="Arial" w:cs="Arial" w:eastAsia="Arial" w:hAnsi="Arial"/>
                <w:sz w:val="16"/>
                <w:szCs w:val="16"/>
                <w:color w:val="auto"/>
              </w:rPr>
              <w:t>Breckenridge Ski Resort, CO</w:t>
            </w:r>
          </w:p>
        </w:tc>
        <w:tc>
          <w:tcPr>
            <w:tcW w:w="2080" w:type="dxa"/>
            <w:vAlign w:val="bottom"/>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w w:val="92"/>
              </w:rPr>
              <w:t>improvements, property management, commercial space and real estate</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rPr>
              <w:t>held for sale or development</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Breckenridge Mountain, CO (5,702</w:t>
            </w:r>
          </w:p>
        </w:tc>
        <w:tc>
          <w:tcPr>
            <w:tcW w:w="2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SUP</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Ski trails, ski lifts, buildings and other improvements</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acres)</w:t>
            </w:r>
          </w:p>
        </w:tc>
        <w:tc>
          <w:tcPr>
            <w:tcW w:w="20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Breckenridge Terrace, CO</w:t>
            </w:r>
          </w:p>
        </w:tc>
        <w:tc>
          <w:tcPr>
            <w:tcW w:w="2080" w:type="dxa"/>
            <w:vAlign w:val="bottom"/>
          </w:tcPr>
          <w:p>
            <w:pPr>
              <w:ind w:left="880"/>
              <w:spacing w:after="0"/>
              <w:rPr>
                <w:sz w:val="20"/>
                <w:szCs w:val="20"/>
                <w:color w:val="auto"/>
              </w:rPr>
            </w:pPr>
            <w:r>
              <w:rPr>
                <w:rFonts w:ascii="Arial" w:cs="Arial" w:eastAsia="Arial" w:hAnsi="Arial"/>
                <w:sz w:val="16"/>
                <w:szCs w:val="16"/>
                <w:color w:val="auto"/>
              </w:rPr>
              <w:t>50% Owned</w:t>
            </w:r>
          </w:p>
        </w:tc>
        <w:tc>
          <w:tcPr>
            <w:tcW w:w="5160" w:type="dxa"/>
            <w:vAlign w:val="bottom"/>
          </w:tcPr>
          <w:p>
            <w:pPr>
              <w:ind w:left="400"/>
              <w:spacing w:after="0"/>
              <w:rPr>
                <w:sz w:val="20"/>
                <w:szCs w:val="20"/>
                <w:color w:val="auto"/>
              </w:rPr>
            </w:pPr>
            <w:r>
              <w:rPr>
                <w:rFonts w:ascii="Arial" w:cs="Arial" w:eastAsia="Arial" w:hAnsi="Arial"/>
                <w:sz w:val="16"/>
                <w:szCs w:val="16"/>
                <w:color w:val="auto"/>
              </w:rPr>
              <w:t>Employee housing facilities</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Broomfield, CO</w:t>
            </w:r>
          </w:p>
        </w:tc>
        <w:tc>
          <w:tcPr>
            <w:tcW w:w="2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Leased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Corporate offices</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Colter Bay Village, WY</w:t>
            </w:r>
          </w:p>
        </w:tc>
        <w:tc>
          <w:tcPr>
            <w:tcW w:w="7240" w:type="dxa"/>
            <w:vAlign w:val="bottom"/>
            <w:gridSpan w:val="2"/>
          </w:tcPr>
          <w:p>
            <w:pPr>
              <w:ind w:left="880"/>
              <w:spacing w:after="0"/>
              <w:rPr>
                <w:sz w:val="20"/>
                <w:szCs w:val="20"/>
                <w:color w:val="auto"/>
              </w:rPr>
            </w:pPr>
            <w:r>
              <w:rPr>
                <w:rFonts w:ascii="Arial" w:cs="Arial" w:eastAsia="Arial" w:hAnsi="Arial"/>
                <w:sz w:val="16"/>
                <w:szCs w:val="16"/>
                <w:color w:val="auto"/>
              </w:rPr>
              <w:t>Concessionaire contract Lodging and dining facilities</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Eagle-Vail, CO</w:t>
            </w:r>
          </w:p>
        </w:tc>
        <w:tc>
          <w:tcPr>
            <w:tcW w:w="2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Warehouse facility</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Edwards, CO</w:t>
            </w:r>
          </w:p>
        </w:tc>
        <w:tc>
          <w:tcPr>
            <w:tcW w:w="2080" w:type="dxa"/>
            <w:vAlign w:val="bottom"/>
          </w:tcPr>
          <w:p>
            <w:pPr>
              <w:ind w:left="880"/>
              <w:spacing w:after="0"/>
              <w:rPr>
                <w:sz w:val="20"/>
                <w:szCs w:val="20"/>
                <w:color w:val="auto"/>
              </w:rPr>
            </w:pPr>
            <w:r>
              <w:rPr>
                <w:rFonts w:ascii="Arial" w:cs="Arial" w:eastAsia="Arial" w:hAnsi="Arial"/>
                <w:sz w:val="16"/>
                <w:szCs w:val="16"/>
                <w:color w:val="auto"/>
              </w:rPr>
              <w:t>Leased</w:t>
            </w:r>
          </w:p>
        </w:tc>
        <w:tc>
          <w:tcPr>
            <w:tcW w:w="5160" w:type="dxa"/>
            <w:vAlign w:val="bottom"/>
          </w:tcPr>
          <w:p>
            <w:pPr>
              <w:ind w:left="400"/>
              <w:spacing w:after="0"/>
              <w:rPr>
                <w:sz w:val="20"/>
                <w:szCs w:val="20"/>
                <w:color w:val="auto"/>
              </w:rPr>
            </w:pPr>
            <w:r>
              <w:rPr>
                <w:rFonts w:ascii="Arial" w:cs="Arial" w:eastAsia="Arial" w:hAnsi="Arial"/>
                <w:sz w:val="16"/>
                <w:szCs w:val="16"/>
                <w:color w:val="auto"/>
              </w:rPr>
              <w:t>Administrative offices</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DoubleTree by Hilton Breckenridge, CO</w:t>
            </w:r>
          </w:p>
        </w:tc>
        <w:tc>
          <w:tcPr>
            <w:tcW w:w="2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Lodging, dining and conference facilities</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Headwaters Lodge &amp; Cabins at Flagg Ranch, WY</w:t>
            </w:r>
          </w:p>
        </w:tc>
        <w:tc>
          <w:tcPr>
            <w:tcW w:w="7240" w:type="dxa"/>
            <w:vAlign w:val="bottom"/>
            <w:gridSpan w:val="2"/>
          </w:tcPr>
          <w:p>
            <w:pPr>
              <w:ind w:left="880"/>
              <w:spacing w:after="0"/>
              <w:rPr>
                <w:sz w:val="20"/>
                <w:szCs w:val="20"/>
                <w:color w:val="auto"/>
              </w:rPr>
            </w:pPr>
            <w:r>
              <w:rPr>
                <w:rFonts w:ascii="Arial" w:cs="Arial" w:eastAsia="Arial" w:hAnsi="Arial"/>
                <w:sz w:val="16"/>
                <w:szCs w:val="16"/>
                <w:color w:val="auto"/>
              </w:rPr>
              <w:t>Concessionaire contract Lodging and dining facilities</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Heavenly Mountain Resort, CA &amp; NV</w:t>
            </w:r>
          </w:p>
        </w:tc>
        <w:tc>
          <w:tcPr>
            <w:tcW w:w="2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improvements and commercial space</w:t>
            </w:r>
          </w:p>
        </w:tc>
        <w:tc>
          <w:tcPr>
            <w:tcW w:w="0" w:type="dxa"/>
            <w:vAlign w:val="bottom"/>
          </w:tcPr>
          <w:p>
            <w:pPr>
              <w:spacing w:after="0"/>
              <w:rPr>
                <w:sz w:val="1"/>
                <w:szCs w:val="1"/>
                <w:color w:val="auto"/>
              </w:rPr>
            </w:pPr>
          </w:p>
        </w:tc>
      </w:tr>
      <w:tr>
        <w:trPr>
          <w:trHeight w:val="220"/>
        </w:trPr>
        <w:tc>
          <w:tcPr>
            <w:tcW w:w="4180" w:type="dxa"/>
            <w:vAlign w:val="bottom"/>
          </w:tcPr>
          <w:p>
            <w:pPr>
              <w:ind w:left="40"/>
              <w:spacing w:after="0"/>
              <w:rPr>
                <w:sz w:val="20"/>
                <w:szCs w:val="20"/>
                <w:color w:val="auto"/>
              </w:rPr>
            </w:pPr>
            <w:r>
              <w:rPr>
                <w:rFonts w:ascii="Arial" w:cs="Arial" w:eastAsia="Arial" w:hAnsi="Arial"/>
                <w:sz w:val="16"/>
                <w:szCs w:val="16"/>
                <w:color w:val="auto"/>
              </w:rPr>
              <w:t>Heavenly Mountain, CA &amp; NV</w:t>
            </w:r>
          </w:p>
        </w:tc>
        <w:tc>
          <w:tcPr>
            <w:tcW w:w="2080" w:type="dxa"/>
            <w:vAlign w:val="bottom"/>
          </w:tcPr>
          <w:p>
            <w:pPr>
              <w:ind w:left="880"/>
              <w:spacing w:after="0"/>
              <w:rPr>
                <w:sz w:val="20"/>
                <w:szCs w:val="20"/>
                <w:color w:val="auto"/>
              </w:rPr>
            </w:pPr>
            <w:r>
              <w:rPr>
                <w:rFonts w:ascii="Arial" w:cs="Arial" w:eastAsia="Arial" w:hAnsi="Arial"/>
                <w:sz w:val="16"/>
                <w:szCs w:val="16"/>
                <w:color w:val="auto"/>
              </w:rPr>
              <w:t>SUP</w:t>
            </w:r>
          </w:p>
        </w:tc>
        <w:tc>
          <w:tcPr>
            <w:tcW w:w="5160" w:type="dxa"/>
            <w:vAlign w:val="bottom"/>
          </w:tcPr>
          <w:p>
            <w:pPr>
              <w:ind w:left="400"/>
              <w:spacing w:after="0"/>
              <w:rPr>
                <w:sz w:val="20"/>
                <w:szCs w:val="20"/>
                <w:color w:val="auto"/>
              </w:rPr>
            </w:pPr>
            <w:r>
              <w:rPr>
                <w:rFonts w:ascii="Arial" w:cs="Arial" w:eastAsia="Arial" w:hAnsi="Arial"/>
                <w:sz w:val="16"/>
                <w:szCs w:val="16"/>
                <w:color w:val="auto"/>
              </w:rPr>
              <w:t>Ski trails, ski lifts, buildings and other improvements</w:t>
            </w:r>
          </w:p>
        </w:tc>
        <w:tc>
          <w:tcPr>
            <w:tcW w:w="0" w:type="dxa"/>
            <w:vAlign w:val="bottom"/>
          </w:tcPr>
          <w:p>
            <w:pPr>
              <w:spacing w:after="0"/>
              <w:rPr>
                <w:sz w:val="1"/>
                <w:szCs w:val="1"/>
                <w:color w:val="auto"/>
              </w:rPr>
            </w:pPr>
          </w:p>
        </w:tc>
      </w:tr>
      <w:tr>
        <w:trPr>
          <w:trHeight w:val="206"/>
        </w:trPr>
        <w:tc>
          <w:tcPr>
            <w:tcW w:w="4180" w:type="dxa"/>
            <w:vAlign w:val="bottom"/>
          </w:tcPr>
          <w:p>
            <w:pPr>
              <w:ind w:left="40"/>
              <w:spacing w:after="0"/>
              <w:rPr>
                <w:sz w:val="20"/>
                <w:szCs w:val="20"/>
                <w:color w:val="auto"/>
              </w:rPr>
            </w:pPr>
            <w:r>
              <w:rPr>
                <w:rFonts w:ascii="Arial" w:cs="Arial" w:eastAsia="Arial" w:hAnsi="Arial"/>
                <w:sz w:val="16"/>
                <w:szCs w:val="16"/>
                <w:color w:val="auto"/>
              </w:rPr>
              <w:t>(7,050 acres)</w:t>
            </w:r>
          </w:p>
        </w:tc>
        <w:tc>
          <w:tcPr>
            <w:tcW w:w="20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Jackson Hole Golf &amp; Tennis Club,</w:t>
            </w:r>
          </w:p>
        </w:tc>
        <w:tc>
          <w:tcPr>
            <w:tcW w:w="2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Golf course, clubhouse, tennis and dining facilities</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WY</w:t>
            </w:r>
          </w:p>
        </w:tc>
        <w:tc>
          <w:tcPr>
            <w:tcW w:w="20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Jackson Lake Lodge, WY</w:t>
            </w:r>
          </w:p>
        </w:tc>
        <w:tc>
          <w:tcPr>
            <w:tcW w:w="7240" w:type="dxa"/>
            <w:vAlign w:val="bottom"/>
            <w:gridSpan w:val="2"/>
          </w:tcPr>
          <w:p>
            <w:pPr>
              <w:ind w:left="880"/>
              <w:spacing w:after="0"/>
              <w:rPr>
                <w:sz w:val="20"/>
                <w:szCs w:val="20"/>
                <w:color w:val="auto"/>
              </w:rPr>
            </w:pPr>
            <w:r>
              <w:rPr>
                <w:rFonts w:ascii="Arial" w:cs="Arial" w:eastAsia="Arial" w:hAnsi="Arial"/>
                <w:sz w:val="16"/>
                <w:szCs w:val="16"/>
                <w:color w:val="auto"/>
              </w:rPr>
              <w:t>Concessionaire contract Lodging, dining and conference facilities</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7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Jenny Lake Lodge, WY</w:t>
            </w:r>
          </w:p>
        </w:tc>
        <w:tc>
          <w:tcPr>
            <w:tcW w:w="72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Concessionaire contract Lodging and dining facilities</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Keystone Conference Center, CO</w:t>
            </w:r>
          </w:p>
        </w:tc>
        <w:tc>
          <w:tcPr>
            <w:tcW w:w="2080" w:type="dxa"/>
            <w:vAlign w:val="bottom"/>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tcPr>
          <w:p>
            <w:pPr>
              <w:ind w:left="400"/>
              <w:spacing w:after="0"/>
              <w:rPr>
                <w:sz w:val="20"/>
                <w:szCs w:val="20"/>
                <w:color w:val="auto"/>
              </w:rPr>
            </w:pPr>
            <w:r>
              <w:rPr>
                <w:rFonts w:ascii="Arial" w:cs="Arial" w:eastAsia="Arial" w:hAnsi="Arial"/>
                <w:sz w:val="16"/>
                <w:szCs w:val="16"/>
                <w:color w:val="auto"/>
              </w:rPr>
              <w:t>Conference facility</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Keystone Lodge, CO</w:t>
            </w:r>
          </w:p>
        </w:tc>
        <w:tc>
          <w:tcPr>
            <w:tcW w:w="2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Lodging, spa, dining and conference facilities</w:t>
            </w:r>
          </w:p>
        </w:tc>
        <w:tc>
          <w:tcPr>
            <w:tcW w:w="0" w:type="dxa"/>
            <w:vAlign w:val="bottom"/>
          </w:tcPr>
          <w:p>
            <w:pPr>
              <w:spacing w:after="0"/>
              <w:rPr>
                <w:sz w:val="1"/>
                <w:szCs w:val="1"/>
                <w:color w:val="auto"/>
              </w:rPr>
            </w:pPr>
          </w:p>
        </w:tc>
      </w:tr>
      <w:tr>
        <w:trPr>
          <w:trHeight w:val="220"/>
        </w:trPr>
        <w:tc>
          <w:tcPr>
            <w:tcW w:w="4180" w:type="dxa"/>
            <w:vAlign w:val="bottom"/>
          </w:tcPr>
          <w:p>
            <w:pPr>
              <w:ind w:left="40"/>
              <w:spacing w:after="0"/>
              <w:rPr>
                <w:sz w:val="20"/>
                <w:szCs w:val="20"/>
                <w:color w:val="auto"/>
              </w:rPr>
            </w:pPr>
            <w:r>
              <w:rPr>
                <w:rFonts w:ascii="Arial" w:cs="Arial" w:eastAsia="Arial" w:hAnsi="Arial"/>
                <w:sz w:val="16"/>
                <w:szCs w:val="16"/>
                <w:color w:val="auto"/>
              </w:rPr>
              <w:t>Keystone Resort, CO</w:t>
            </w:r>
          </w:p>
        </w:tc>
        <w:tc>
          <w:tcPr>
            <w:tcW w:w="2080" w:type="dxa"/>
            <w:vAlign w:val="bottom"/>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w w:val="91"/>
              </w:rPr>
              <w:t>improvements, commercial space, property management, dining and real</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rPr>
              <w:t>estate held for sale or development</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Keystone Mountain, CO (8,376 acres)</w:t>
            </w:r>
          </w:p>
        </w:tc>
        <w:tc>
          <w:tcPr>
            <w:tcW w:w="2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SUP</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Ski trails, ski lifts, buildings and other improvements</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Keystone Ranch, CO</w:t>
            </w:r>
          </w:p>
        </w:tc>
        <w:tc>
          <w:tcPr>
            <w:tcW w:w="2080" w:type="dxa"/>
            <w:vAlign w:val="bottom"/>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tcPr>
          <w:p>
            <w:pPr>
              <w:ind w:left="400"/>
              <w:spacing w:after="0"/>
              <w:rPr>
                <w:sz w:val="20"/>
                <w:szCs w:val="20"/>
                <w:color w:val="auto"/>
              </w:rPr>
            </w:pPr>
            <w:r>
              <w:rPr>
                <w:rFonts w:ascii="Arial" w:cs="Arial" w:eastAsia="Arial" w:hAnsi="Arial"/>
                <w:sz w:val="16"/>
                <w:szCs w:val="16"/>
                <w:color w:val="auto"/>
              </w:rPr>
              <w:t>Golf course, clubhouse and dining facilities</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Kirkwood Mountain Resort, CA</w:t>
            </w:r>
          </w:p>
        </w:tc>
        <w:tc>
          <w:tcPr>
            <w:tcW w:w="2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8"/>
              </w:rPr>
              <w:t>Ski resort operations, including ski lifts, ski trails, buildings and other</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improvements, property management and commercial space</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Kirkwood Mountain, CA (2,330 acres)</w:t>
            </w:r>
          </w:p>
        </w:tc>
        <w:tc>
          <w:tcPr>
            <w:tcW w:w="2080" w:type="dxa"/>
            <w:vAlign w:val="bottom"/>
          </w:tcPr>
          <w:p>
            <w:pPr>
              <w:ind w:left="880"/>
              <w:spacing w:after="0"/>
              <w:rPr>
                <w:sz w:val="20"/>
                <w:szCs w:val="20"/>
                <w:color w:val="auto"/>
              </w:rPr>
            </w:pPr>
            <w:r>
              <w:rPr>
                <w:rFonts w:ascii="Arial" w:cs="Arial" w:eastAsia="Arial" w:hAnsi="Arial"/>
                <w:sz w:val="16"/>
                <w:szCs w:val="16"/>
                <w:color w:val="auto"/>
              </w:rPr>
              <w:t>SUP</w:t>
            </w:r>
          </w:p>
        </w:tc>
        <w:tc>
          <w:tcPr>
            <w:tcW w:w="5160" w:type="dxa"/>
            <w:vAlign w:val="bottom"/>
          </w:tcPr>
          <w:p>
            <w:pPr>
              <w:ind w:left="400"/>
              <w:spacing w:after="0"/>
              <w:rPr>
                <w:sz w:val="20"/>
                <w:szCs w:val="20"/>
                <w:color w:val="auto"/>
              </w:rPr>
            </w:pPr>
            <w:r>
              <w:rPr>
                <w:rFonts w:ascii="Arial" w:cs="Arial" w:eastAsia="Arial" w:hAnsi="Arial"/>
                <w:sz w:val="16"/>
                <w:szCs w:val="16"/>
                <w:color w:val="auto"/>
              </w:rPr>
              <w:t>Ski trails, ski lifts, buildings and other improvements</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Mt. Brighton, MI</w:t>
            </w:r>
          </w:p>
        </w:tc>
        <w:tc>
          <w:tcPr>
            <w:tcW w:w="2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Ski resort operations, including ski lifts, ski trails, golf course,</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clubhouse, buildings, commercial space and other improvements</w:t>
            </w:r>
          </w:p>
        </w:tc>
        <w:tc>
          <w:tcPr>
            <w:tcW w:w="0" w:type="dxa"/>
            <w:vAlign w:val="bottom"/>
          </w:tcPr>
          <w:p>
            <w:pPr>
              <w:spacing w:after="0"/>
              <w:rPr>
                <w:sz w:val="1"/>
                <w:szCs w:val="1"/>
                <w:color w:val="auto"/>
              </w:rPr>
            </w:pPr>
          </w:p>
        </w:tc>
      </w:tr>
      <w:tr>
        <w:trPr>
          <w:trHeight w:val="220"/>
        </w:trPr>
        <w:tc>
          <w:tcPr>
            <w:tcW w:w="4180" w:type="dxa"/>
            <w:vAlign w:val="bottom"/>
          </w:tcPr>
          <w:p>
            <w:pPr>
              <w:ind w:left="40"/>
              <w:spacing w:after="0"/>
              <w:rPr>
                <w:sz w:val="20"/>
                <w:szCs w:val="20"/>
                <w:color w:val="auto"/>
              </w:rPr>
            </w:pPr>
            <w:r>
              <w:rPr>
                <w:rFonts w:ascii="Arial" w:cs="Arial" w:eastAsia="Arial" w:hAnsi="Arial"/>
                <w:sz w:val="16"/>
                <w:szCs w:val="16"/>
                <w:color w:val="auto"/>
              </w:rPr>
              <w:t>Northstar California Resort, CA</w:t>
            </w:r>
          </w:p>
        </w:tc>
        <w:tc>
          <w:tcPr>
            <w:tcW w:w="2080" w:type="dxa"/>
            <w:vAlign w:val="bottom"/>
          </w:tcPr>
          <w:p>
            <w:pPr>
              <w:ind w:left="880"/>
              <w:spacing w:after="0" w:line="220" w:lineRule="exact"/>
              <w:rPr>
                <w:sz w:val="20"/>
                <w:szCs w:val="20"/>
                <w:color w:val="auto"/>
              </w:rPr>
            </w:pPr>
            <w:r>
              <w:rPr>
                <w:rFonts w:ascii="Arial" w:cs="Arial" w:eastAsia="Arial" w:hAnsi="Arial"/>
                <w:sz w:val="16"/>
                <w:szCs w:val="16"/>
                <w:color w:val="auto"/>
              </w:rPr>
              <w:t xml:space="preserve">Leased </w:t>
            </w:r>
            <w:r>
              <w:rPr>
                <w:rFonts w:ascii="Arial" w:cs="Arial" w:eastAsia="Arial" w:hAnsi="Arial"/>
                <w:sz w:val="21"/>
                <w:szCs w:val="21"/>
                <w:color w:val="auto"/>
                <w:vertAlign w:val="superscript"/>
              </w:rPr>
              <w:t>(1)</w:t>
            </w:r>
          </w:p>
        </w:tc>
        <w:tc>
          <w:tcPr>
            <w:tcW w:w="5160" w:type="dxa"/>
            <w:vAlign w:val="bottom"/>
          </w:tcPr>
          <w:p>
            <w:pPr>
              <w:ind w:left="400"/>
              <w:spacing w:after="0"/>
              <w:rPr>
                <w:sz w:val="20"/>
                <w:szCs w:val="20"/>
                <w:color w:val="auto"/>
              </w:rPr>
            </w:pPr>
            <w:r>
              <w:rPr>
                <w:rFonts w:ascii="Arial" w:cs="Arial" w:eastAsia="Arial" w:hAnsi="Arial"/>
                <w:sz w:val="16"/>
                <w:szCs w:val="16"/>
                <w:color w:val="auto"/>
              </w:rPr>
              <w:t>Ski trails, ski lifts, golf course, commercial space, dining facilities,</w:t>
            </w:r>
          </w:p>
        </w:tc>
        <w:tc>
          <w:tcPr>
            <w:tcW w:w="0" w:type="dxa"/>
            <w:vAlign w:val="bottom"/>
          </w:tcPr>
          <w:p>
            <w:pPr>
              <w:spacing w:after="0"/>
              <w:rPr>
                <w:sz w:val="1"/>
                <w:szCs w:val="1"/>
                <w:color w:val="auto"/>
              </w:rPr>
            </w:pPr>
          </w:p>
        </w:tc>
      </w:tr>
      <w:tr>
        <w:trPr>
          <w:trHeight w:val="206"/>
        </w:trPr>
        <w:tc>
          <w:tcPr>
            <w:tcW w:w="4180" w:type="dxa"/>
            <w:vAlign w:val="bottom"/>
          </w:tcPr>
          <w:p>
            <w:pPr>
              <w:ind w:left="40"/>
              <w:spacing w:after="0"/>
              <w:rPr>
                <w:sz w:val="20"/>
                <w:szCs w:val="20"/>
                <w:color w:val="auto"/>
              </w:rPr>
            </w:pPr>
            <w:r>
              <w:rPr>
                <w:rFonts w:ascii="Arial" w:cs="Arial" w:eastAsia="Arial" w:hAnsi="Arial"/>
                <w:sz w:val="16"/>
                <w:szCs w:val="16"/>
                <w:color w:val="auto"/>
              </w:rPr>
              <w:t>(7,200 acres)</w:t>
            </w:r>
          </w:p>
        </w:tc>
        <w:tc>
          <w:tcPr>
            <w:tcW w:w="208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rPr>
              <w:t>buildings and other improvements</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Northstar Village, CA</w:t>
            </w:r>
          </w:p>
        </w:tc>
        <w:tc>
          <w:tcPr>
            <w:tcW w:w="2080" w:type="dxa"/>
            <w:vAlign w:val="bottom"/>
            <w:shd w:val="clear" w:color="auto" w:fill="CCEEFF"/>
          </w:tcPr>
          <w:p>
            <w:pPr>
              <w:ind w:left="880"/>
              <w:spacing w:after="0" w:line="220" w:lineRule="exact"/>
              <w:rPr>
                <w:sz w:val="20"/>
                <w:szCs w:val="20"/>
                <w:color w:val="auto"/>
              </w:rPr>
            </w:pPr>
            <w:r>
              <w:rPr>
                <w:rFonts w:ascii="Arial" w:cs="Arial" w:eastAsia="Arial" w:hAnsi="Arial"/>
                <w:sz w:val="16"/>
                <w:szCs w:val="16"/>
                <w:color w:val="auto"/>
              </w:rPr>
              <w:t xml:space="preserve">Leased </w:t>
            </w:r>
            <w:r>
              <w:rPr>
                <w:rFonts w:ascii="Arial" w:cs="Arial" w:eastAsia="Arial" w:hAnsi="Arial"/>
                <w:sz w:val="21"/>
                <w:szCs w:val="21"/>
                <w:color w:val="auto"/>
                <w:vertAlign w:val="superscript"/>
              </w:rPr>
              <w:t>(1)</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9"/>
              </w:rPr>
              <w:t>Commercial space, ski resort operations, dining facilities, buildings,</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property management and other improvements</w:t>
            </w:r>
          </w:p>
        </w:tc>
        <w:tc>
          <w:tcPr>
            <w:tcW w:w="0" w:type="dxa"/>
            <w:vAlign w:val="bottom"/>
          </w:tcPr>
          <w:p>
            <w:pPr>
              <w:spacing w:after="0"/>
              <w:rPr>
                <w:sz w:val="1"/>
                <w:szCs w:val="1"/>
                <w:color w:val="auto"/>
              </w:rPr>
            </w:pPr>
          </w:p>
        </w:tc>
      </w:tr>
      <w:tr>
        <w:trPr>
          <w:trHeight w:val="220"/>
        </w:trPr>
        <w:tc>
          <w:tcPr>
            <w:tcW w:w="4180" w:type="dxa"/>
            <w:vAlign w:val="bottom"/>
          </w:tcPr>
          <w:p>
            <w:pPr>
              <w:ind w:left="40"/>
              <w:spacing w:after="0"/>
              <w:rPr>
                <w:sz w:val="20"/>
                <w:szCs w:val="20"/>
                <w:color w:val="auto"/>
              </w:rPr>
            </w:pPr>
            <w:r>
              <w:rPr>
                <w:rFonts w:ascii="Arial" w:cs="Arial" w:eastAsia="Arial" w:hAnsi="Arial"/>
                <w:sz w:val="16"/>
                <w:szCs w:val="16"/>
                <w:color w:val="auto"/>
              </w:rPr>
              <w:t>Park City Mountain, UT</w:t>
            </w:r>
          </w:p>
        </w:tc>
        <w:tc>
          <w:tcPr>
            <w:tcW w:w="2080" w:type="dxa"/>
            <w:vAlign w:val="bottom"/>
          </w:tcPr>
          <w:p>
            <w:pPr>
              <w:ind w:left="880"/>
              <w:spacing w:after="0" w:line="220" w:lineRule="exact"/>
              <w:rPr>
                <w:sz w:val="20"/>
                <w:szCs w:val="20"/>
                <w:color w:val="auto"/>
              </w:rPr>
            </w:pPr>
            <w:r>
              <w:rPr>
                <w:rFonts w:ascii="Arial" w:cs="Arial" w:eastAsia="Arial" w:hAnsi="Arial"/>
                <w:sz w:val="16"/>
                <w:szCs w:val="16"/>
                <w:color w:val="auto"/>
              </w:rPr>
              <w:t xml:space="preserve">Leased </w:t>
            </w:r>
            <w:r>
              <w:rPr>
                <w:rFonts w:ascii="Arial" w:cs="Arial" w:eastAsia="Arial" w:hAnsi="Arial"/>
                <w:sz w:val="21"/>
                <w:szCs w:val="21"/>
                <w:color w:val="auto"/>
                <w:vertAlign w:val="superscript"/>
              </w:rPr>
              <w:t>(2)</w:t>
            </w:r>
          </w:p>
        </w:tc>
        <w:tc>
          <w:tcPr>
            <w:tcW w:w="5160" w:type="dxa"/>
            <w:vAlign w:val="bottom"/>
          </w:tcPr>
          <w:p>
            <w:pPr>
              <w:ind w:left="400"/>
              <w:spacing w:after="0"/>
              <w:rPr>
                <w:sz w:val="20"/>
                <w:szCs w:val="20"/>
                <w:color w:val="auto"/>
              </w:rPr>
            </w:pPr>
            <w:r>
              <w:rPr>
                <w:rFonts w:ascii="Arial" w:cs="Arial" w:eastAsia="Arial" w:hAnsi="Arial"/>
                <w:sz w:val="16"/>
                <w:szCs w:val="16"/>
                <w:color w:val="auto"/>
                <w:w w:val="95"/>
              </w:rPr>
              <w:t>Ski resort operations including ski lifts, ski trails, buildings, commercial</w:t>
            </w:r>
          </w:p>
        </w:tc>
        <w:tc>
          <w:tcPr>
            <w:tcW w:w="0" w:type="dxa"/>
            <w:vAlign w:val="bottom"/>
          </w:tcPr>
          <w:p>
            <w:pPr>
              <w:spacing w:after="0"/>
              <w:rPr>
                <w:sz w:val="1"/>
                <w:szCs w:val="1"/>
                <w:color w:val="auto"/>
              </w:rPr>
            </w:pPr>
          </w:p>
        </w:tc>
      </w:tr>
      <w:tr>
        <w:trPr>
          <w:trHeight w:val="206"/>
        </w:trPr>
        <w:tc>
          <w:tcPr>
            <w:tcW w:w="4180" w:type="dxa"/>
            <w:vAlign w:val="bottom"/>
            <w:vMerge w:val="restart"/>
          </w:tcPr>
          <w:p>
            <w:pPr>
              <w:ind w:left="40"/>
              <w:spacing w:after="0"/>
              <w:rPr>
                <w:sz w:val="20"/>
                <w:szCs w:val="20"/>
                <w:color w:val="auto"/>
              </w:rPr>
            </w:pPr>
            <w:r>
              <w:rPr>
                <w:rFonts w:ascii="Arial" w:cs="Arial" w:eastAsia="Arial" w:hAnsi="Arial"/>
                <w:sz w:val="16"/>
                <w:szCs w:val="16"/>
                <w:color w:val="auto"/>
              </w:rPr>
              <w:t>(8,900 acres)</w:t>
            </w:r>
          </w:p>
        </w:tc>
        <w:tc>
          <w:tcPr>
            <w:tcW w:w="208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w w:val="94"/>
              </w:rPr>
              <w:t>space, dining facilities, property management, conference facilities and</w:t>
            </w:r>
          </w:p>
        </w:tc>
        <w:tc>
          <w:tcPr>
            <w:tcW w:w="0" w:type="dxa"/>
            <w:vAlign w:val="bottom"/>
          </w:tcPr>
          <w:p>
            <w:pPr>
              <w:spacing w:after="0"/>
              <w:rPr>
                <w:sz w:val="1"/>
                <w:szCs w:val="1"/>
                <w:color w:val="auto"/>
              </w:rPr>
            </w:pPr>
          </w:p>
        </w:tc>
      </w:tr>
      <w:tr>
        <w:trPr>
          <w:trHeight w:val="54"/>
        </w:trPr>
        <w:tc>
          <w:tcPr>
            <w:tcW w:w="418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5160" w:type="dxa"/>
            <w:vAlign w:val="bottom"/>
            <w:vMerge w:val="restart"/>
          </w:tcPr>
          <w:p>
            <w:pPr>
              <w:ind w:left="400"/>
              <w:spacing w:after="0"/>
              <w:rPr>
                <w:sz w:val="20"/>
                <w:szCs w:val="20"/>
                <w:color w:val="auto"/>
              </w:rPr>
            </w:pPr>
            <w:r>
              <w:rPr>
                <w:rFonts w:ascii="Arial" w:cs="Arial" w:eastAsia="Arial" w:hAnsi="Arial"/>
                <w:sz w:val="16"/>
                <w:szCs w:val="16"/>
                <w:color w:val="auto"/>
                <w:w w:val="94"/>
              </w:rPr>
              <w:t>other improvements (including areas previously referred to as Canyons</w:t>
            </w:r>
          </w:p>
        </w:tc>
        <w:tc>
          <w:tcPr>
            <w:tcW w:w="0" w:type="dxa"/>
            <w:vAlign w:val="bottom"/>
          </w:tcPr>
          <w:p>
            <w:pPr>
              <w:spacing w:after="0"/>
              <w:rPr>
                <w:sz w:val="1"/>
                <w:szCs w:val="1"/>
                <w:color w:val="auto"/>
              </w:rPr>
            </w:pPr>
          </w:p>
        </w:tc>
      </w:tr>
      <w:tr>
        <w:trPr>
          <w:trHeight w:val="145"/>
        </w:trPr>
        <w:tc>
          <w:tcPr>
            <w:tcW w:w="4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Arial" w:cs="Arial" w:eastAsia="Arial" w:hAnsi="Arial"/>
                <w:sz w:val="16"/>
                <w:szCs w:val="16"/>
                <w:color w:val="auto"/>
              </w:rPr>
              <w:t>Resort, UT)</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Park City Mountain, UT</w:t>
            </w:r>
          </w:p>
        </w:tc>
        <w:tc>
          <w:tcPr>
            <w:tcW w:w="2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Owned</w:t>
            </w: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9"/>
              </w:rPr>
              <w:t>Ski trails, ski lifts, dining facilities, commercial space, buildings, real</w:t>
            </w:r>
          </w:p>
        </w:tc>
        <w:tc>
          <w:tcPr>
            <w:tcW w:w="0" w:type="dxa"/>
            <w:vAlign w:val="bottom"/>
          </w:tcPr>
          <w:p>
            <w:pPr>
              <w:spacing w:after="0"/>
              <w:rPr>
                <w:sz w:val="1"/>
                <w:szCs w:val="1"/>
                <w:color w:val="auto"/>
              </w:rPr>
            </w:pPr>
          </w:p>
        </w:tc>
      </w:tr>
      <w:tr>
        <w:trPr>
          <w:trHeight w:val="206"/>
        </w:trPr>
        <w:tc>
          <w:tcPr>
            <w:tcW w:w="4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(220 acres)</w:t>
            </w:r>
          </w:p>
        </w:tc>
        <w:tc>
          <w:tcPr>
            <w:tcW w:w="2080" w:type="dxa"/>
            <w:vAlign w:val="bottom"/>
            <w:shd w:val="clear" w:color="auto" w:fill="CCEEFF"/>
          </w:tcPr>
          <w:p>
            <w:pPr>
              <w:spacing w:after="0"/>
              <w:rPr>
                <w:sz w:val="17"/>
                <w:szCs w:val="17"/>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estate held for sale or development and other improvements</w:t>
            </w:r>
          </w:p>
        </w:tc>
        <w:tc>
          <w:tcPr>
            <w:tcW w:w="0" w:type="dxa"/>
            <w:vAlign w:val="bottom"/>
          </w:tcPr>
          <w:p>
            <w:pPr>
              <w:spacing w:after="0"/>
              <w:rPr>
                <w:sz w:val="1"/>
                <w:szCs w:val="1"/>
                <w:color w:val="auto"/>
              </w:rPr>
            </w:pPr>
          </w:p>
        </w:tc>
      </w:tr>
      <w:tr>
        <w:trPr>
          <w:trHeight w:val="54"/>
        </w:trPr>
        <w:tc>
          <w:tcPr>
            <w:tcW w:w="4180" w:type="dxa"/>
            <w:vAlign w:val="bottom"/>
            <w:vMerge w:val="continue"/>
            <w:shd w:val="clear" w:color="auto" w:fill="CCEEFF"/>
          </w:tcPr>
          <w:p>
            <w:pPr>
              <w:spacing w:after="0"/>
              <w:rPr>
                <w:sz w:val="4"/>
                <w:szCs w:val="4"/>
                <w:color w:val="auto"/>
              </w:rPr>
            </w:pPr>
          </w:p>
        </w:tc>
        <w:tc>
          <w:tcPr>
            <w:tcW w:w="2080" w:type="dxa"/>
            <w:vAlign w:val="bottom"/>
            <w:shd w:val="clear" w:color="auto" w:fill="CCEEFF"/>
          </w:tcPr>
          <w:p>
            <w:pPr>
              <w:spacing w:after="0"/>
              <w:rPr>
                <w:sz w:val="4"/>
                <w:szCs w:val="4"/>
                <w:color w:val="auto"/>
              </w:rPr>
            </w:pPr>
          </w:p>
        </w:tc>
        <w:tc>
          <w:tcPr>
            <w:tcW w:w="5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1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79" w:right="239" w:bottom="1440" w:gutter="0" w:footer="0" w:header="0"/>
        </w:sectPr>
      </w:pPr>
    </w:p>
    <w:bookmarkStart w:id="31" w:name="page32"/>
    <w:bookmarkEnd w:id="31"/>
    <w:p>
      <w:pPr>
        <w:ind w:left="40"/>
        <w:spacing w:after="0"/>
        <w:tabs>
          <w:tab w:leader="none" w:pos="4920" w:val="left"/>
          <w:tab w:leader="none" w:pos="672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b w:val="1"/>
          <w:bCs w:val="1"/>
          <w:color w:val="auto"/>
        </w:rPr>
        <w:t>Ownership</w:t>
      </w:r>
      <w:r>
        <w:rPr>
          <w:sz w:val="20"/>
          <w:szCs w:val="20"/>
          <w:color w:val="auto"/>
        </w:rPr>
        <w:tab/>
      </w:r>
      <w:r>
        <w:rPr>
          <w:rFonts w:ascii="Arial" w:cs="Arial" w:eastAsia="Arial" w:hAnsi="Arial"/>
          <w:sz w:val="14"/>
          <w:szCs w:val="14"/>
          <w:b w:val="1"/>
          <w:bCs w:val="1"/>
          <w:color w:val="auto"/>
        </w:rPr>
        <w:t>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Perisher Ski Resort, NSW, Australia</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(3,335 acres)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 Cliffs Lodge, CA</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800" w:right="480" w:hanging="1809"/>
        <w:spacing w:after="0" w:line="301" w:lineRule="auto"/>
        <w:rPr>
          <w:sz w:val="20"/>
          <w:szCs w:val="20"/>
          <w:color w:val="auto"/>
        </w:rPr>
      </w:pPr>
      <w:r>
        <w:rPr>
          <w:rFonts w:ascii="Arial" w:cs="Arial" w:eastAsia="Arial" w:hAnsi="Arial"/>
          <w:sz w:val="14"/>
          <w:szCs w:val="14"/>
          <w:color w:val="auto"/>
        </w:rPr>
        <w:t xml:space="preserve">Owned/Leased/Licensed </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Ski trails, ski lifts, dining facilities, commercial space, railway, buildings, lodging, conference facilities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22225</wp:posOffset>
            </wp:positionV>
            <wp:extent cx="72466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2"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Leased</w:t>
      </w:r>
      <w:r>
        <w:rPr>
          <w:sz w:val="20"/>
          <w:szCs w:val="20"/>
          <w:color w:val="auto"/>
        </w:rPr>
        <w:tab/>
      </w:r>
      <w:r>
        <w:rPr>
          <w:rFonts w:ascii="Arial" w:cs="Arial" w:eastAsia="Arial" w:hAnsi="Arial"/>
          <w:sz w:val="16"/>
          <w:szCs w:val="16"/>
          <w:color w:val="auto"/>
        </w:rPr>
        <w:t>Dining facilities, ski resort operations, commercial space,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administrative offices</w:t>
      </w:r>
    </w:p>
    <w:p>
      <w:pPr>
        <w:spacing w:after="0" w:line="69" w:lineRule="exact"/>
        <w:rPr>
          <w:sz w:val="20"/>
          <w:szCs w:val="20"/>
          <w:color w:val="auto"/>
        </w:rPr>
      </w:pPr>
    </w:p>
    <w:p>
      <w:pPr>
        <w:sectPr>
          <w:pgSz w:w="11900" w:h="16838" w:orient="portrait"/>
          <w:cols w:equalWidth="0" w:num="2">
            <w:col w:w="4220" w:space="720"/>
            <w:col w:w="6480"/>
          </w:cols>
          <w:pgMar w:left="240" w:top="1179"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740" w:type="dxa"/>
            <w:vAlign w:val="bottom"/>
          </w:tcPr>
          <w:p>
            <w:pPr>
              <w:ind w:left="40"/>
              <w:spacing w:after="0"/>
              <w:rPr>
                <w:sz w:val="20"/>
                <w:szCs w:val="20"/>
                <w:color w:val="auto"/>
              </w:rPr>
            </w:pPr>
            <w:r>
              <w:rPr>
                <w:rFonts w:ascii="Arial" w:cs="Arial" w:eastAsia="Arial" w:hAnsi="Arial"/>
                <w:sz w:val="16"/>
                <w:szCs w:val="16"/>
                <w:color w:val="auto"/>
              </w:rPr>
              <w:t>Red Sky Ranch, CO</w:t>
            </w:r>
          </w:p>
        </w:tc>
        <w:tc>
          <w:tcPr>
            <w:tcW w:w="1760" w:type="dxa"/>
            <w:vAlign w:val="bottom"/>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tcPr>
          <w:p>
            <w:pPr>
              <w:ind w:left="240"/>
              <w:spacing w:after="0"/>
              <w:rPr>
                <w:sz w:val="20"/>
                <w:szCs w:val="20"/>
                <w:color w:val="auto"/>
              </w:rPr>
            </w:pPr>
            <w:r>
              <w:rPr>
                <w:rFonts w:ascii="Arial" w:cs="Arial" w:eastAsia="Arial" w:hAnsi="Arial"/>
                <w:sz w:val="16"/>
                <w:szCs w:val="16"/>
                <w:color w:val="auto"/>
                <w:w w:val="94"/>
              </w:rPr>
              <w:t>Golf courses, clubhouses, dining facilities and real estate held for sale</w:t>
            </w:r>
          </w:p>
        </w:tc>
      </w:tr>
      <w:tr>
        <w:trPr>
          <w:trHeight w:val="206"/>
        </w:trPr>
        <w:tc>
          <w:tcPr>
            <w:tcW w:w="4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920" w:type="dxa"/>
            <w:vAlign w:val="bottom"/>
          </w:tcPr>
          <w:p>
            <w:pPr>
              <w:ind w:left="240"/>
              <w:spacing w:after="0"/>
              <w:rPr>
                <w:sz w:val="20"/>
                <w:szCs w:val="20"/>
                <w:color w:val="auto"/>
              </w:rPr>
            </w:pPr>
            <w:r>
              <w:rPr>
                <w:rFonts w:ascii="Arial" w:cs="Arial" w:eastAsia="Arial" w:hAnsi="Arial"/>
                <w:sz w:val="16"/>
                <w:szCs w:val="16"/>
                <w:color w:val="auto"/>
              </w:rPr>
              <w:t>or development</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River Course at Keystone, CO</w:t>
            </w: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Golf course and clubhouse</w:t>
            </w:r>
          </w:p>
        </w:tc>
      </w:tr>
      <w:tr>
        <w:trPr>
          <w:trHeight w:val="224"/>
        </w:trPr>
        <w:tc>
          <w:tcPr>
            <w:tcW w:w="4740" w:type="dxa"/>
            <w:vAlign w:val="bottom"/>
          </w:tcPr>
          <w:p>
            <w:pPr>
              <w:ind w:left="40"/>
              <w:spacing w:after="0"/>
              <w:rPr>
                <w:sz w:val="20"/>
                <w:szCs w:val="20"/>
                <w:color w:val="auto"/>
              </w:rPr>
            </w:pPr>
            <w:r>
              <w:rPr>
                <w:rFonts w:ascii="Arial" w:cs="Arial" w:eastAsia="Arial" w:hAnsi="Arial"/>
                <w:sz w:val="16"/>
                <w:szCs w:val="16"/>
                <w:color w:val="auto"/>
              </w:rPr>
              <w:t>Seasons at Avon, CO</w:t>
            </w:r>
          </w:p>
        </w:tc>
        <w:tc>
          <w:tcPr>
            <w:tcW w:w="1760" w:type="dxa"/>
            <w:vAlign w:val="bottom"/>
          </w:tcPr>
          <w:p>
            <w:pPr>
              <w:ind w:left="200"/>
              <w:spacing w:after="0"/>
              <w:rPr>
                <w:sz w:val="20"/>
                <w:szCs w:val="20"/>
                <w:color w:val="auto"/>
              </w:rPr>
            </w:pPr>
            <w:r>
              <w:rPr>
                <w:rFonts w:ascii="Arial" w:cs="Arial" w:eastAsia="Arial" w:hAnsi="Arial"/>
                <w:sz w:val="16"/>
                <w:szCs w:val="16"/>
                <w:color w:val="auto"/>
              </w:rPr>
              <w:t>Leased/50% Owned</w:t>
            </w:r>
          </w:p>
        </w:tc>
        <w:tc>
          <w:tcPr>
            <w:tcW w:w="4920" w:type="dxa"/>
            <w:vAlign w:val="bottom"/>
          </w:tcPr>
          <w:p>
            <w:pPr>
              <w:ind w:left="240"/>
              <w:spacing w:after="0"/>
              <w:rPr>
                <w:sz w:val="20"/>
                <w:szCs w:val="20"/>
                <w:color w:val="auto"/>
              </w:rPr>
            </w:pPr>
            <w:r>
              <w:rPr>
                <w:rFonts w:ascii="Arial" w:cs="Arial" w:eastAsia="Arial" w:hAnsi="Arial"/>
                <w:sz w:val="16"/>
                <w:szCs w:val="16"/>
                <w:color w:val="auto"/>
              </w:rPr>
              <w:t>Administrative offices and commercial space</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2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SSI Venture, LLC (“VRR”) Properties; CO, CA, NV, UT, MN &amp; BC,</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Owned/Leased</w:t>
            </w:r>
          </w:p>
        </w:tc>
        <w:tc>
          <w:tcPr>
            <w:tcW w:w="49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9"/>
              </w:rPr>
              <w:t>Approximately 260 rental and retail stores (of which approximately</w:t>
            </w:r>
          </w:p>
        </w:tc>
      </w:tr>
      <w:tr>
        <w:trPr>
          <w:trHeight w:val="203"/>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Canada</w:t>
            </w:r>
          </w:p>
        </w:tc>
        <w:tc>
          <w:tcPr>
            <w:tcW w:w="1760" w:type="dxa"/>
            <w:vAlign w:val="bottom"/>
            <w:shd w:val="clear" w:color="auto" w:fill="CCEEFF"/>
          </w:tcPr>
          <w:p>
            <w:pPr>
              <w:spacing w:after="0"/>
              <w:rPr>
                <w:sz w:val="17"/>
                <w:szCs w:val="17"/>
                <w:color w:val="auto"/>
              </w:rPr>
            </w:pPr>
          </w:p>
        </w:tc>
        <w:tc>
          <w:tcPr>
            <w:tcW w:w="49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1"/>
              </w:rPr>
              <w:t>125 stores are currently held under lease) for recreational products, and</w:t>
            </w:r>
          </w:p>
        </w:tc>
      </w:tr>
      <w:tr>
        <w:trPr>
          <w:trHeight w:val="219"/>
        </w:trPr>
        <w:tc>
          <w:tcPr>
            <w:tcW w:w="474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6 leased warehouses</w:t>
            </w:r>
          </w:p>
        </w:tc>
      </w:tr>
      <w:tr>
        <w:trPr>
          <w:trHeight w:val="224"/>
        </w:trPr>
        <w:tc>
          <w:tcPr>
            <w:tcW w:w="4740" w:type="dxa"/>
            <w:vAlign w:val="bottom"/>
          </w:tcPr>
          <w:p>
            <w:pPr>
              <w:ind w:left="40"/>
              <w:spacing w:after="0"/>
              <w:rPr>
                <w:sz w:val="20"/>
                <w:szCs w:val="20"/>
                <w:color w:val="auto"/>
              </w:rPr>
            </w:pPr>
            <w:r>
              <w:rPr>
                <w:rFonts w:ascii="Arial" w:cs="Arial" w:eastAsia="Arial" w:hAnsi="Arial"/>
                <w:sz w:val="16"/>
                <w:szCs w:val="16"/>
                <w:color w:val="auto"/>
              </w:rPr>
              <w:t>Ski Tip Lodge, CO</w:t>
            </w:r>
          </w:p>
        </w:tc>
        <w:tc>
          <w:tcPr>
            <w:tcW w:w="1760" w:type="dxa"/>
            <w:vAlign w:val="bottom"/>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tcPr>
          <w:p>
            <w:pPr>
              <w:ind w:left="240"/>
              <w:spacing w:after="0"/>
              <w:rPr>
                <w:sz w:val="20"/>
                <w:szCs w:val="20"/>
                <w:color w:val="auto"/>
              </w:rPr>
            </w:pPr>
            <w:r>
              <w:rPr>
                <w:rFonts w:ascii="Arial" w:cs="Arial" w:eastAsia="Arial" w:hAnsi="Arial"/>
                <w:sz w:val="16"/>
                <w:szCs w:val="16"/>
                <w:color w:val="auto"/>
              </w:rPr>
              <w:t>Lodging and dining facilities</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2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Mt. Mansfield, VT (approximately 1,400 acres)</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Leased</w:t>
            </w:r>
          </w:p>
        </w:tc>
        <w:tc>
          <w:tcPr>
            <w:tcW w:w="4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Ski trails, ski lifts, buildings and other improvements used for</w:t>
            </w:r>
          </w:p>
        </w:tc>
      </w:tr>
      <w:tr>
        <w:trPr>
          <w:trHeight w:val="219"/>
        </w:trPr>
        <w:tc>
          <w:tcPr>
            <w:tcW w:w="474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operation of Stowe Mountain Resort</w:t>
            </w:r>
          </w:p>
        </w:tc>
      </w:tr>
      <w:tr>
        <w:trPr>
          <w:trHeight w:val="220"/>
        </w:trPr>
        <w:tc>
          <w:tcPr>
            <w:tcW w:w="4740" w:type="dxa"/>
            <w:vAlign w:val="bottom"/>
          </w:tcPr>
          <w:p>
            <w:pPr>
              <w:ind w:left="40"/>
              <w:spacing w:after="0"/>
              <w:rPr>
                <w:sz w:val="20"/>
                <w:szCs w:val="20"/>
                <w:color w:val="auto"/>
              </w:rPr>
            </w:pPr>
            <w:r>
              <w:rPr>
                <w:rFonts w:ascii="Arial" w:cs="Arial" w:eastAsia="Arial" w:hAnsi="Arial"/>
                <w:sz w:val="16"/>
                <w:szCs w:val="16"/>
                <w:color w:val="auto"/>
              </w:rPr>
              <w:t>Stowe Mountain Resort, VT</w:t>
            </w:r>
          </w:p>
        </w:tc>
        <w:tc>
          <w:tcPr>
            <w:tcW w:w="1760" w:type="dxa"/>
            <w:vAlign w:val="bottom"/>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tcPr>
          <w:p>
            <w:pPr>
              <w:ind w:left="240"/>
              <w:spacing w:after="0"/>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206"/>
        </w:trPr>
        <w:tc>
          <w:tcPr>
            <w:tcW w:w="4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920" w:type="dxa"/>
            <w:vAlign w:val="bottom"/>
          </w:tcPr>
          <w:p>
            <w:pPr>
              <w:ind w:left="240"/>
              <w:spacing w:after="0"/>
              <w:rPr>
                <w:sz w:val="20"/>
                <w:szCs w:val="20"/>
                <w:color w:val="auto"/>
              </w:rPr>
            </w:pPr>
            <w:r>
              <w:rPr>
                <w:rFonts w:ascii="Arial" w:cs="Arial" w:eastAsia="Arial" w:hAnsi="Arial"/>
                <w:sz w:val="16"/>
                <w:szCs w:val="16"/>
                <w:color w:val="auto"/>
              </w:rPr>
              <w:t>improvements and commercial space</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Arrabelle at Vail Square, CO</w:t>
            </w: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Lodging, spa, dining and conference facilities</w:t>
            </w:r>
          </w:p>
        </w:tc>
      </w:tr>
      <w:tr>
        <w:trPr>
          <w:trHeight w:val="224"/>
        </w:trPr>
        <w:tc>
          <w:tcPr>
            <w:tcW w:w="4740" w:type="dxa"/>
            <w:vAlign w:val="bottom"/>
          </w:tcPr>
          <w:p>
            <w:pPr>
              <w:ind w:left="40"/>
              <w:spacing w:after="0"/>
              <w:rPr>
                <w:sz w:val="20"/>
                <w:szCs w:val="20"/>
                <w:color w:val="auto"/>
              </w:rPr>
            </w:pPr>
            <w:r>
              <w:rPr>
                <w:rFonts w:ascii="Arial" w:cs="Arial" w:eastAsia="Arial" w:hAnsi="Arial"/>
                <w:sz w:val="16"/>
                <w:szCs w:val="16"/>
                <w:color w:val="auto"/>
              </w:rPr>
              <w:t>The Lodge at Vail, CO</w:t>
            </w:r>
          </w:p>
        </w:tc>
        <w:tc>
          <w:tcPr>
            <w:tcW w:w="1760" w:type="dxa"/>
            <w:vAlign w:val="bottom"/>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tcPr>
          <w:p>
            <w:pPr>
              <w:ind w:left="240"/>
              <w:spacing w:after="0"/>
              <w:rPr>
                <w:sz w:val="20"/>
                <w:szCs w:val="20"/>
                <w:color w:val="auto"/>
              </w:rPr>
            </w:pPr>
            <w:r>
              <w:rPr>
                <w:rFonts w:ascii="Arial" w:cs="Arial" w:eastAsia="Arial" w:hAnsi="Arial"/>
                <w:sz w:val="16"/>
                <w:szCs w:val="16"/>
                <w:color w:val="auto"/>
              </w:rPr>
              <w:t>Lodging, spa, dining and conference facilities</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Osprey at Beaver Creek, CO</w:t>
            </w: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Lodging, dining and conference facilities</w:t>
            </w:r>
          </w:p>
        </w:tc>
      </w:tr>
      <w:tr>
        <w:trPr>
          <w:trHeight w:val="224"/>
        </w:trPr>
        <w:tc>
          <w:tcPr>
            <w:tcW w:w="4740" w:type="dxa"/>
            <w:vAlign w:val="bottom"/>
          </w:tcPr>
          <w:p>
            <w:pPr>
              <w:ind w:left="40"/>
              <w:spacing w:after="0"/>
              <w:rPr>
                <w:sz w:val="20"/>
                <w:szCs w:val="20"/>
                <w:color w:val="auto"/>
              </w:rPr>
            </w:pPr>
            <w:r>
              <w:rPr>
                <w:rFonts w:ascii="Arial" w:cs="Arial" w:eastAsia="Arial" w:hAnsi="Arial"/>
                <w:sz w:val="16"/>
                <w:szCs w:val="16"/>
                <w:color w:val="auto"/>
              </w:rPr>
              <w:t>The Tarnes at Beaver Creek, CO</w:t>
            </w:r>
          </w:p>
        </w:tc>
        <w:tc>
          <w:tcPr>
            <w:tcW w:w="1760" w:type="dxa"/>
            <w:vAlign w:val="bottom"/>
          </w:tcPr>
          <w:p>
            <w:pPr>
              <w:ind w:left="200"/>
              <w:spacing w:after="0"/>
              <w:rPr>
                <w:sz w:val="20"/>
                <w:szCs w:val="20"/>
                <w:color w:val="auto"/>
              </w:rPr>
            </w:pPr>
            <w:r>
              <w:rPr>
                <w:rFonts w:ascii="Arial" w:cs="Arial" w:eastAsia="Arial" w:hAnsi="Arial"/>
                <w:sz w:val="16"/>
                <w:szCs w:val="16"/>
                <w:color w:val="auto"/>
              </w:rPr>
              <w:t>31% Owned</w:t>
            </w:r>
          </w:p>
        </w:tc>
        <w:tc>
          <w:tcPr>
            <w:tcW w:w="4920" w:type="dxa"/>
            <w:vAlign w:val="bottom"/>
          </w:tcPr>
          <w:p>
            <w:pPr>
              <w:ind w:left="240"/>
              <w:spacing w:after="0"/>
              <w:rPr>
                <w:sz w:val="20"/>
                <w:szCs w:val="20"/>
                <w:color w:val="auto"/>
              </w:rPr>
            </w:pPr>
            <w:r>
              <w:rPr>
                <w:rFonts w:ascii="Arial" w:cs="Arial" w:eastAsia="Arial" w:hAnsi="Arial"/>
                <w:sz w:val="16"/>
                <w:szCs w:val="16"/>
                <w:color w:val="auto"/>
              </w:rPr>
              <w:t>Employee housing facilities</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Tenderfoot Housing, CO</w:t>
            </w: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50% Owned</w:t>
            </w:r>
          </w:p>
        </w:tc>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Employee housing facilities</w:t>
            </w:r>
          </w:p>
        </w:tc>
      </w:tr>
      <w:tr>
        <w:trPr>
          <w:trHeight w:val="224"/>
        </w:trPr>
        <w:tc>
          <w:tcPr>
            <w:tcW w:w="4740" w:type="dxa"/>
            <w:vAlign w:val="bottom"/>
          </w:tcPr>
          <w:p>
            <w:pPr>
              <w:ind w:left="40"/>
              <w:spacing w:after="0"/>
              <w:rPr>
                <w:sz w:val="20"/>
                <w:szCs w:val="20"/>
                <w:color w:val="auto"/>
              </w:rPr>
            </w:pPr>
            <w:r>
              <w:rPr>
                <w:rFonts w:ascii="Arial" w:cs="Arial" w:eastAsia="Arial" w:hAnsi="Arial"/>
                <w:sz w:val="16"/>
                <w:szCs w:val="16"/>
                <w:color w:val="auto"/>
              </w:rPr>
              <w:t>The Pines Lodge at Beaver Creek, CO</w:t>
            </w:r>
          </w:p>
        </w:tc>
        <w:tc>
          <w:tcPr>
            <w:tcW w:w="1760" w:type="dxa"/>
            <w:vAlign w:val="bottom"/>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tcPr>
          <w:p>
            <w:pPr>
              <w:ind w:left="240"/>
              <w:spacing w:after="0"/>
              <w:rPr>
                <w:sz w:val="20"/>
                <w:szCs w:val="20"/>
                <w:color w:val="auto"/>
              </w:rPr>
            </w:pPr>
            <w:r>
              <w:rPr>
                <w:rFonts w:ascii="Arial" w:cs="Arial" w:eastAsia="Arial" w:hAnsi="Arial"/>
                <w:sz w:val="16"/>
                <w:szCs w:val="16"/>
                <w:color w:val="auto"/>
              </w:rPr>
              <w:t>Lodging, dining and conference facilities</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Village Hotel, Breckenridge, CO</w:t>
            </w: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Lodging, dining, conference facilities and commercial space</w:t>
            </w:r>
          </w:p>
        </w:tc>
      </w:tr>
      <w:tr>
        <w:trPr>
          <w:trHeight w:val="220"/>
        </w:trPr>
        <w:tc>
          <w:tcPr>
            <w:tcW w:w="4740" w:type="dxa"/>
            <w:vAlign w:val="bottom"/>
          </w:tcPr>
          <w:p>
            <w:pPr>
              <w:ind w:left="40"/>
              <w:spacing w:after="0"/>
              <w:rPr>
                <w:sz w:val="20"/>
                <w:szCs w:val="20"/>
                <w:color w:val="auto"/>
              </w:rPr>
            </w:pPr>
            <w:r>
              <w:rPr>
                <w:rFonts w:ascii="Arial" w:cs="Arial" w:eastAsia="Arial" w:hAnsi="Arial"/>
                <w:sz w:val="16"/>
                <w:szCs w:val="16"/>
                <w:color w:val="auto"/>
              </w:rPr>
              <w:t>Vail Mountain, CO</w:t>
            </w:r>
          </w:p>
        </w:tc>
        <w:tc>
          <w:tcPr>
            <w:tcW w:w="1760" w:type="dxa"/>
            <w:vAlign w:val="bottom"/>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tcPr>
          <w:p>
            <w:pPr>
              <w:ind w:left="240"/>
              <w:spacing w:after="0"/>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203"/>
        </w:trPr>
        <w:tc>
          <w:tcPr>
            <w:tcW w:w="4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920" w:type="dxa"/>
            <w:vAlign w:val="bottom"/>
          </w:tcPr>
          <w:p>
            <w:pPr>
              <w:ind w:left="240"/>
              <w:spacing w:after="0"/>
              <w:rPr>
                <w:sz w:val="20"/>
                <w:szCs w:val="20"/>
                <w:color w:val="auto"/>
              </w:rPr>
            </w:pPr>
            <w:r>
              <w:rPr>
                <w:rFonts w:ascii="Arial" w:cs="Arial" w:eastAsia="Arial" w:hAnsi="Arial"/>
                <w:sz w:val="16"/>
                <w:szCs w:val="16"/>
                <w:color w:val="auto"/>
                <w:w w:val="90"/>
              </w:rPr>
              <w:t>improvements, property management, commercial space and real estate</w:t>
            </w:r>
          </w:p>
        </w:tc>
      </w:tr>
      <w:tr>
        <w:trPr>
          <w:trHeight w:val="206"/>
        </w:trPr>
        <w:tc>
          <w:tcPr>
            <w:tcW w:w="4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920" w:type="dxa"/>
            <w:vAlign w:val="bottom"/>
          </w:tcPr>
          <w:p>
            <w:pPr>
              <w:ind w:left="240"/>
              <w:spacing w:after="0"/>
              <w:rPr>
                <w:sz w:val="20"/>
                <w:szCs w:val="20"/>
                <w:color w:val="auto"/>
              </w:rPr>
            </w:pPr>
            <w:r>
              <w:rPr>
                <w:rFonts w:ascii="Arial" w:cs="Arial" w:eastAsia="Arial" w:hAnsi="Arial"/>
                <w:sz w:val="16"/>
                <w:szCs w:val="16"/>
                <w:color w:val="auto"/>
              </w:rPr>
              <w:t>held for sale or development</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Vail Mountain, CO (12,353 acres)</w:t>
            </w:r>
          </w:p>
        </w:tc>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SUP</w:t>
            </w:r>
          </w:p>
        </w:tc>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Ski trails, ski lifts, buildings and other improvements</w:t>
            </w:r>
          </w:p>
        </w:tc>
      </w:tr>
      <w:tr>
        <w:trPr>
          <w:trHeight w:val="220"/>
        </w:trPr>
        <w:tc>
          <w:tcPr>
            <w:tcW w:w="4740" w:type="dxa"/>
            <w:vAlign w:val="bottom"/>
          </w:tcPr>
          <w:p>
            <w:pPr>
              <w:ind w:left="40"/>
              <w:spacing w:after="0"/>
              <w:rPr>
                <w:sz w:val="20"/>
                <w:szCs w:val="20"/>
                <w:color w:val="auto"/>
              </w:rPr>
            </w:pPr>
            <w:r>
              <w:rPr>
                <w:rFonts w:ascii="Arial" w:cs="Arial" w:eastAsia="Arial" w:hAnsi="Arial"/>
                <w:sz w:val="16"/>
                <w:szCs w:val="16"/>
                <w:color w:val="auto"/>
              </w:rPr>
              <w:t>Whistler Blackcomb Resort, BC, Canada</w:t>
            </w:r>
          </w:p>
        </w:tc>
        <w:tc>
          <w:tcPr>
            <w:tcW w:w="1760" w:type="dxa"/>
            <w:vAlign w:val="bottom"/>
          </w:tcPr>
          <w:p>
            <w:pPr>
              <w:ind w:left="200"/>
              <w:spacing w:after="0"/>
              <w:rPr>
                <w:sz w:val="20"/>
                <w:szCs w:val="20"/>
                <w:color w:val="auto"/>
              </w:rPr>
            </w:pPr>
            <w:r>
              <w:rPr>
                <w:rFonts w:ascii="Arial" w:cs="Arial" w:eastAsia="Arial" w:hAnsi="Arial"/>
                <w:sz w:val="16"/>
                <w:szCs w:val="16"/>
                <w:color w:val="auto"/>
              </w:rPr>
              <w:t>75% Owned</w:t>
            </w:r>
          </w:p>
        </w:tc>
        <w:tc>
          <w:tcPr>
            <w:tcW w:w="4920" w:type="dxa"/>
            <w:vAlign w:val="bottom"/>
          </w:tcPr>
          <w:p>
            <w:pPr>
              <w:ind w:left="240"/>
              <w:spacing w:after="0"/>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203"/>
        </w:trPr>
        <w:tc>
          <w:tcPr>
            <w:tcW w:w="4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920" w:type="dxa"/>
            <w:vAlign w:val="bottom"/>
          </w:tcPr>
          <w:p>
            <w:pPr>
              <w:ind w:left="240"/>
              <w:spacing w:after="0"/>
              <w:rPr>
                <w:sz w:val="20"/>
                <w:szCs w:val="20"/>
                <w:color w:val="auto"/>
              </w:rPr>
            </w:pPr>
            <w:r>
              <w:rPr>
                <w:rFonts w:ascii="Arial" w:cs="Arial" w:eastAsia="Arial" w:hAnsi="Arial"/>
                <w:sz w:val="16"/>
                <w:szCs w:val="16"/>
                <w:color w:val="auto"/>
                <w:w w:val="90"/>
              </w:rPr>
              <w:t>improvements, property management, commercial space and real estate</w:t>
            </w:r>
          </w:p>
        </w:tc>
      </w:tr>
      <w:tr>
        <w:trPr>
          <w:trHeight w:val="206"/>
        </w:trPr>
        <w:tc>
          <w:tcPr>
            <w:tcW w:w="4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920" w:type="dxa"/>
            <w:vAlign w:val="bottom"/>
          </w:tcPr>
          <w:p>
            <w:pPr>
              <w:ind w:left="240"/>
              <w:spacing w:after="0"/>
              <w:rPr>
                <w:sz w:val="20"/>
                <w:szCs w:val="20"/>
                <w:color w:val="auto"/>
              </w:rPr>
            </w:pPr>
            <w:r>
              <w:rPr>
                <w:rFonts w:ascii="Arial" w:cs="Arial" w:eastAsia="Arial" w:hAnsi="Arial"/>
                <w:sz w:val="16"/>
                <w:szCs w:val="16"/>
                <w:color w:val="auto"/>
              </w:rPr>
              <w:t>held for sale or development</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2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Whistler Mountain and Blackcomb Mountain, BC, Canada</w:t>
            </w:r>
          </w:p>
        </w:tc>
        <w:tc>
          <w:tcPr>
            <w:tcW w:w="1760" w:type="dxa"/>
            <w:vAlign w:val="bottom"/>
            <w:shd w:val="clear" w:color="auto" w:fill="CCEEFF"/>
          </w:tcPr>
          <w:p>
            <w:pPr>
              <w:ind w:left="200"/>
              <w:spacing w:after="0" w:line="220" w:lineRule="exact"/>
              <w:rPr>
                <w:sz w:val="20"/>
                <w:szCs w:val="20"/>
                <w:color w:val="auto"/>
              </w:rPr>
            </w:pPr>
            <w:r>
              <w:rPr>
                <w:rFonts w:ascii="Arial" w:cs="Arial" w:eastAsia="Arial" w:hAnsi="Arial"/>
                <w:sz w:val="16"/>
                <w:szCs w:val="16"/>
                <w:color w:val="auto"/>
              </w:rPr>
              <w:t xml:space="preserve">MDA </w:t>
            </w:r>
            <w:r>
              <w:rPr>
                <w:rFonts w:ascii="Arial" w:cs="Arial" w:eastAsia="Arial" w:hAnsi="Arial"/>
                <w:sz w:val="21"/>
                <w:szCs w:val="21"/>
                <w:color w:val="auto"/>
                <w:vertAlign w:val="superscript"/>
              </w:rPr>
              <w:t>(4)</w:t>
            </w:r>
          </w:p>
        </w:tc>
        <w:tc>
          <w:tcPr>
            <w:tcW w:w="49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6"/>
              </w:rPr>
              <w:t>Ski resort operations, including ski lifts, ski trails, buildings and other</w:t>
            </w:r>
          </w:p>
        </w:tc>
      </w:tr>
      <w:tr>
        <w:trPr>
          <w:trHeight w:val="219"/>
        </w:trPr>
        <w:tc>
          <w:tcPr>
            <w:tcW w:w="474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improvements</w:t>
            </w:r>
          </w:p>
        </w:tc>
      </w:tr>
      <w:tr>
        <w:trPr>
          <w:trHeight w:val="224"/>
        </w:trPr>
        <w:tc>
          <w:tcPr>
            <w:tcW w:w="4740" w:type="dxa"/>
            <w:vAlign w:val="bottom"/>
          </w:tcPr>
          <w:p>
            <w:pPr>
              <w:ind w:left="40"/>
              <w:spacing w:after="0"/>
              <w:rPr>
                <w:sz w:val="20"/>
                <w:szCs w:val="20"/>
                <w:color w:val="auto"/>
              </w:rPr>
            </w:pPr>
            <w:r>
              <w:rPr>
                <w:rFonts w:ascii="Arial" w:cs="Arial" w:eastAsia="Arial" w:hAnsi="Arial"/>
                <w:sz w:val="16"/>
                <w:szCs w:val="16"/>
                <w:color w:val="auto"/>
              </w:rPr>
              <w:t>Whistler Blackcomb Resort, BC, Canada</w:t>
            </w:r>
          </w:p>
        </w:tc>
        <w:tc>
          <w:tcPr>
            <w:tcW w:w="1760" w:type="dxa"/>
            <w:vAlign w:val="bottom"/>
          </w:tcPr>
          <w:p>
            <w:pPr>
              <w:ind w:left="200"/>
              <w:spacing w:after="0"/>
              <w:rPr>
                <w:sz w:val="20"/>
                <w:szCs w:val="20"/>
                <w:color w:val="auto"/>
              </w:rPr>
            </w:pPr>
            <w:r>
              <w:rPr>
                <w:rFonts w:ascii="Arial" w:cs="Arial" w:eastAsia="Arial" w:hAnsi="Arial"/>
                <w:sz w:val="16"/>
                <w:szCs w:val="16"/>
                <w:color w:val="auto"/>
              </w:rPr>
              <w:t>Leased</w:t>
            </w:r>
          </w:p>
        </w:tc>
        <w:tc>
          <w:tcPr>
            <w:tcW w:w="4920" w:type="dxa"/>
            <w:vAlign w:val="bottom"/>
          </w:tcPr>
          <w:p>
            <w:pPr>
              <w:ind w:left="240"/>
              <w:spacing w:after="0"/>
              <w:rPr>
                <w:sz w:val="20"/>
                <w:szCs w:val="20"/>
                <w:color w:val="auto"/>
              </w:rPr>
            </w:pPr>
            <w:r>
              <w:rPr>
                <w:rFonts w:ascii="Arial" w:cs="Arial" w:eastAsia="Arial" w:hAnsi="Arial"/>
                <w:sz w:val="16"/>
                <w:szCs w:val="16"/>
                <w:color w:val="auto"/>
              </w:rPr>
              <w:t>Employee housing facilities</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24"/>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Wilmot Mountain, WI</w:t>
            </w:r>
          </w:p>
        </w:tc>
        <w:tc>
          <w:tcPr>
            <w:tcW w:w="1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w:t>
            </w:r>
          </w:p>
        </w:tc>
        <w:tc>
          <w:tcPr>
            <w:tcW w:w="4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Ski trails, ski lifts, buildings and other improvements</w:t>
            </w:r>
          </w:p>
        </w:tc>
      </w:tr>
      <w:tr>
        <w:trPr>
          <w:trHeight w:val="33"/>
        </w:trPr>
        <w:tc>
          <w:tcPr>
            <w:tcW w:w="4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Many of our properties are used across all segments in complementary and interdependent ways.</w:t>
      </w:r>
    </w:p>
    <w:p>
      <w:pPr>
        <w:spacing w:after="0" w:line="225" w:lineRule="exact"/>
        <w:rPr>
          <w:sz w:val="20"/>
          <w:szCs w:val="20"/>
          <w:color w:val="auto"/>
        </w:rPr>
      </w:pPr>
    </w:p>
    <w:p>
      <w:pPr>
        <w:jc w:val="both"/>
        <w:ind w:firstLine="8"/>
        <w:spacing w:after="0" w:line="259" w:lineRule="auto"/>
        <w:tabs>
          <w:tab w:leader="none" w:pos="42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operations of Northstar are conducted on land and with operating assets owned by affiliates of EPR Properties under operating leases which were assumed by us. The leases provide for the payment of a minimum annual base rent with periodic increases in base rent over the lease term. In addition, the leases provide for the payment of percentage rent based on a percentage of gross revenues generated at the property over certain thresholds. The initial term of the leases expires in fiscal 2027, and is subject to three 10-year renewal options.</w:t>
      </w:r>
    </w:p>
    <w:p>
      <w:pPr>
        <w:spacing w:after="0" w:line="186" w:lineRule="exact"/>
        <w:rPr>
          <w:rFonts w:ascii="Arial" w:cs="Arial" w:eastAsia="Arial" w:hAnsi="Arial"/>
          <w:sz w:val="18"/>
          <w:szCs w:val="18"/>
          <w:color w:val="auto"/>
        </w:rPr>
      </w:pPr>
    </w:p>
    <w:p>
      <w:pPr>
        <w:jc w:val="both"/>
        <w:ind w:firstLine="8"/>
        <w:spacing w:after="0" w:line="297" w:lineRule="auto"/>
        <w:tabs>
          <w:tab w:leader="none" w:pos="3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operations of portions of Park City are conducted pursuant to a long-term lease on land and with certain operating assets owned by TCFC LeaseCo, LLC and TCFC PropCo, LLC. The lease provides for the payment of a minimum annual base rent with periodic increases in base rent over the lease term and participating contingent payments of a percentage of the amount by which EBITDA for resort operations exceeds certain thresholds, also subject to periodic increases over the lease term. The initial term of the lease expires in fiscal 2063 and is subject to six 50-year renewal options. Additionally, in connection with the lease, we entered into certain ancillary agreements with third parties, including leases and easements, allowing for various resort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79" w:right="239" w:bottom="1440" w:gutter="0" w:footer="0" w:header="0"/>
          <w:type w:val="continuous"/>
        </w:sectPr>
      </w:pPr>
    </w:p>
    <w:bookmarkStart w:id="32" w:name="page33"/>
    <w:bookmarkEnd w:id="32"/>
    <w:p>
      <w:pPr>
        <w:jc w:val="both"/>
        <w:ind w:firstLine="8"/>
        <w:spacing w:after="0" w:line="257" w:lineRule="auto"/>
        <w:tabs>
          <w:tab w:leader="none" w:pos="4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operations of Perisher are conducted pursuant to a long-term lease and license of land and certain improvements owned by the government of New South Wales within Kosciuszko National Park pursuant to the National Parks and Wildlife Act of 1974. The lease and license provide for the payment of a minimum annual base rent with periodic increases in base rent over the term, turnover rent payments of a percentage of certain gross revenue, remittance of park user fees and certain other charges, also subject to periodic increases over the term. The initial term of the lease and license expires in 2048 and is subject to one 20-year renewal option.</w:t>
      </w:r>
    </w:p>
    <w:p>
      <w:pPr>
        <w:spacing w:after="0" w:line="188" w:lineRule="exact"/>
        <w:rPr>
          <w:rFonts w:ascii="Arial" w:cs="Arial" w:eastAsia="Arial" w:hAnsi="Arial"/>
          <w:sz w:val="18"/>
          <w:szCs w:val="18"/>
          <w:color w:val="auto"/>
        </w:rPr>
      </w:pPr>
    </w:p>
    <w:p>
      <w:pPr>
        <w:jc w:val="both"/>
        <w:ind w:right="20" w:firstLine="8"/>
        <w:spacing w:after="0" w:line="264" w:lineRule="auto"/>
        <w:tabs>
          <w:tab w:leader="none" w:pos="4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Whistler Mountain and Blackcomb Mountain are located on Crown Land within the traditional territory of the Squamish and Lil’wat Nations. The relationship between Whistler Blackcomb and the Province is largely governed by MDAs between the Province and Whistler LP with respect to Whistler Mountain, and between the Province and Blackcomb LP with respect to Blackcomb Mountain.</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2016, Kirkwood received a Notice of Violation (“NOV”) from the State of California Central Valley Regional Water Quality Control Board (the “Regional Water Board”) regarding the disposition of asphalt grindings used in parking lot surfacing in and around Kirkwood Creek. We have cooperated with the Regional Water Board staff and the California Department of Fish and Wildlife (“CDFW”) to satisfactorily resolve the matters identified in the NOV.</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13, 2017, Kirkwood entered into a Settlement Agreement and Stipulation for Entry of Administrative Liability Order (“Stipulated Order”) with the Regional Water Board and CDFW. Under the Stipulated Order, Kirkwood agreed to be responsible for monetary penalties and agency costs totaling approximately $0.8 million, of which approximately half will be fulfilled by a supplemental environmental project run by the National Fish and Wildlife Foundation. All of these amounts have been paid by third-party insurance. The remaining remediation work required by the Stipulated Order and requested by the agencies should be completed in calendar year 2018, depending on permits and weather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 to have a material impact on our results of operations or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1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Dividend Policy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“MTN.” As of September 24, 2018, 40,475,511 shares of common stock were outstanding, held by approximately 280 holders of record.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on the high and low sales prices of our common stock on the NYSE and the quarterly cash dividends declared per share of common stock for each quarterly period for the two most recently completed fiscal years.</w:t>
      </w:r>
    </w:p>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Cash</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3"/>
            <w:vMerge w:val="restart"/>
          </w:tcPr>
          <w:p>
            <w:pPr>
              <w:jc w:val="right"/>
              <w:ind w:right="750"/>
              <w:spacing w:after="0"/>
              <w:rPr>
                <w:sz w:val="20"/>
                <w:szCs w:val="20"/>
                <w:color w:val="auto"/>
              </w:rPr>
            </w:pPr>
            <w:r>
              <w:rPr>
                <w:rFonts w:ascii="Arial" w:cs="Arial" w:eastAsia="Arial" w:hAnsi="Arial"/>
                <w:sz w:val="18"/>
                <w:szCs w:val="18"/>
                <w:b w:val="1"/>
                <w:bCs w:val="1"/>
                <w:color w:val="auto"/>
              </w:rPr>
              <w:t>Market Price Per Share</w:t>
            </w:r>
          </w:p>
        </w:tc>
        <w:tc>
          <w:tcPr>
            <w:tcW w:w="3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Dividends</w:t>
            </w:r>
          </w:p>
        </w:tc>
        <w:tc>
          <w:tcPr>
            <w:tcW w:w="0" w:type="dxa"/>
            <w:vAlign w:val="bottom"/>
          </w:tcPr>
          <w:p>
            <w:pPr>
              <w:spacing w:after="0"/>
              <w:rPr>
                <w:sz w:val="1"/>
                <w:szCs w:val="1"/>
                <w:color w:val="auto"/>
              </w:rPr>
            </w:pPr>
          </w:p>
        </w:tc>
      </w:tr>
      <w:tr>
        <w:trPr>
          <w:trHeight w:val="167"/>
        </w:trPr>
        <w:tc>
          <w:tcPr>
            <w:tcW w:w="6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vMerge w:val="restart"/>
          </w:tcPr>
          <w:p>
            <w:pPr>
              <w:jc w:val="center"/>
              <w:ind w:right="190"/>
              <w:spacing w:after="0" w:line="194" w:lineRule="exact"/>
              <w:rPr>
                <w:sz w:val="20"/>
                <w:szCs w:val="20"/>
                <w:color w:val="auto"/>
              </w:rPr>
            </w:pPr>
            <w:r>
              <w:rPr>
                <w:rFonts w:ascii="Arial" w:cs="Arial" w:eastAsia="Arial" w:hAnsi="Arial"/>
                <w:sz w:val="18"/>
                <w:szCs w:val="18"/>
                <w:b w:val="1"/>
                <w:bCs w:val="1"/>
                <w:color w:val="auto"/>
                <w:w w:val="92"/>
              </w:rPr>
              <w:t>Declared</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High</w:t>
            </w:r>
          </w:p>
        </w:tc>
        <w:tc>
          <w:tcPr>
            <w:tcW w:w="48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380" w:type="dxa"/>
            <w:vAlign w:val="bottom"/>
          </w:tcPr>
          <w:p>
            <w:pPr>
              <w:spacing w:after="0"/>
              <w:rPr>
                <w:sz w:val="20"/>
                <w:szCs w:val="20"/>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2018</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July 31, 2018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291.61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221.56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30,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236.23</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200.68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January 31, 2018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237.77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204.86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232.71</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209.80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7"/>
        </w:trPr>
        <w:tc>
          <w:tcPr>
            <w:tcW w:w="60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2017</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31,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215.82</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197.11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April 30, 2017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200.92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170.94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31,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172.32</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October 31, 2016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162.95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142.04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7, 2018, our Board of Directors approved a 40% increase to our quarterly cash dividend to an annual rate of $5.88 per share, subject to quarterly declaration. This dividend is anticipated to be funded through cash flow from operations, available cash on hand and borrowings under the revolver portion of our Eighth Amended and Restated Credit Facility, dated as of August 15, 2018 (the “Amended Vail Holdings Credit Agreement”). Subject to the discretion of our Board of Directors, applicable law and contractual restrictions, we anticipate paying regular quarterly dividends on our common stock for the foreseeable future. The amount, if any, of the dividends to be paid in the future will depend upon our available cash on hand, anticipated cash needs, overall financial condition, restrictions contained in the Amended Vail Holdings Credit Agreement, future prospects for earnings and cash flows, as well as other factors considered relevant by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Equity Securities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did not repurchase any shares of common stock during the fourth quarter of the year ended July 31, 2018 (“Fiscal 2018”). The share repurchase program is conducted under authorizations made from time to time by our Board of Directors. On March 9, 2006, the Company’s Board of Directors approved a share repurchase program, authorizing the Company to repurchase up to 3,000,000 shares of common stock. On July 16, 2008, the Company’s Board of Directors increased the authorization by an additional 3,000,000 shares, and on December 4, 2015, the Company’s Board of Directors increased the authorization by an additional 1,500,000 shares for a total authorization to repurchase shares of up to 7,500,000 shares. Since inception of this stock repurchase program through July 31, 2018, the Company has repurchased 5,551,716 shares at a cost of approximately $273.0 million. As of July 31, 2018, 1,948,284 shares remained available to repurchase under the existing repurchase authorization. Repurchases under these authorizations may be made from time to time at prevailing prices as permitted by applicable laws, and subject to market conditions and other factors. These authorizations have no expiration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return graph below is presented for the period from the beginning of our fiscal year ended July 31, 2014 through the end of Fiscal 2018. The comparison assumes that $100 was invested at the beginning of the period in our common stock (“MTN”),</w:t>
      </w:r>
    </w:p>
    <w:p>
      <w:pPr>
        <w:sectPr>
          <w:pgSz w:w="11900" w:h="16838" w:orient="portrait"/>
          <w:cols w:equalWidth="0" w:num="1">
            <w:col w:w="11420"/>
          </w:cols>
          <w:pgMar w:left="240" w:top="101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012" w:right="239" w:bottom="1440" w:gutter="0" w:footer="0" w:header="0"/>
          <w:type w:val="continuous"/>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The Russell 2000, The Standard &amp; Poor’s 500 Stock Index and the Dow Jones U.S. Travel and Leisure Stock Index, with dividends reinvested where applicable. We include the Dow Jones U.S. Travel and Leisure Index as we believe we compete in the travel and leisure industry.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performance graph is not deemed filed with the Securities and Exchange Commission (“SEC”) and is not to be incorporated by reference into any of our filings under the Securities Act of 1933 or the Exchange Act, unless such filings specifically incorporate the performance graph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53340</wp:posOffset>
            </wp:positionV>
            <wp:extent cx="4511040" cy="248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1104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 presents selected historical consolidated financial data derived from our Consolidated Financial Statements for the periods indicated. The financial data for our fiscal years ended and as of July 31, 2014 through July 31, 2018 should be read in conjunction with those Consolidated Financial Statements, related notes thereto and Management’s Discussion and Analysis of Financial Condition and Results of Operations. The table presented below is unaudited. The data presented below is in thousands, except for diluted net income per share attributable to Vail Resorts, Inc., cash dividends declared per share, effective ticket price (“ETP”), average daily rate (“ADR”) and revenue per available room (“RevPAR”) amounts.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1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0"/>
              </w:rPr>
              <w:t>Year Ended July 31,</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0"/>
              <w:spacing w:after="0" w:line="264" w:lineRule="exact"/>
              <w:rPr>
                <w:sz w:val="20"/>
                <w:szCs w:val="20"/>
                <w:color w:val="auto"/>
              </w:rPr>
            </w:pPr>
            <w:r>
              <w:rPr>
                <w:rFonts w:ascii="Arial" w:cs="Arial" w:eastAsia="Arial" w:hAnsi="Arial"/>
                <w:sz w:val="18"/>
                <w:szCs w:val="18"/>
                <w:b w:val="1"/>
                <w:bCs w:val="1"/>
                <w:color w:val="auto"/>
                <w:w w:val="97"/>
              </w:rPr>
              <w:t xml:space="preserve">2018 </w:t>
            </w:r>
            <w:r>
              <w:rPr>
                <w:rFonts w:ascii="Arial" w:cs="Arial" w:eastAsia="Arial" w:hAnsi="Arial"/>
                <w:sz w:val="25"/>
                <w:szCs w:val="25"/>
                <w:color w:val="auto"/>
                <w:w w:val="97"/>
                <w:vertAlign w:val="superscript"/>
              </w:rPr>
              <w:t>(1)</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0"/>
              <w:spacing w:after="0" w:line="264" w:lineRule="exact"/>
              <w:rPr>
                <w:sz w:val="20"/>
                <w:szCs w:val="20"/>
                <w:color w:val="auto"/>
              </w:rPr>
            </w:pPr>
            <w:r>
              <w:rPr>
                <w:rFonts w:ascii="Arial" w:cs="Arial" w:eastAsia="Arial" w:hAnsi="Arial"/>
                <w:sz w:val="18"/>
                <w:szCs w:val="18"/>
                <w:b w:val="1"/>
                <w:bCs w:val="1"/>
                <w:color w:val="auto"/>
                <w:w w:val="97"/>
              </w:rPr>
              <w:t xml:space="preserve">2016 </w:t>
            </w:r>
            <w:r>
              <w:rPr>
                <w:rFonts w:ascii="Arial" w:cs="Arial" w:eastAsia="Arial" w:hAnsi="Arial"/>
                <w:sz w:val="25"/>
                <w:szCs w:val="25"/>
                <w:color w:val="auto"/>
                <w:w w:val="97"/>
                <w:vertAlign w:val="superscript"/>
              </w:rPr>
              <w:t>(1)</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0"/>
              <w:spacing w:after="0" w:line="264" w:lineRule="exact"/>
              <w:rPr>
                <w:sz w:val="20"/>
                <w:szCs w:val="20"/>
                <w:color w:val="auto"/>
              </w:rPr>
            </w:pPr>
            <w:r>
              <w:rPr>
                <w:rFonts w:ascii="Arial" w:cs="Arial" w:eastAsia="Arial" w:hAnsi="Arial"/>
                <w:sz w:val="18"/>
                <w:szCs w:val="18"/>
                <w:b w:val="1"/>
                <w:bCs w:val="1"/>
                <w:color w:val="auto"/>
                <w:w w:val="97"/>
              </w:rPr>
              <w:t xml:space="preserve">2015 </w:t>
            </w:r>
            <w:r>
              <w:rPr>
                <w:rFonts w:ascii="Arial" w:cs="Arial" w:eastAsia="Arial" w:hAnsi="Arial"/>
                <w:sz w:val="25"/>
                <w:szCs w:val="25"/>
                <w:color w:val="auto"/>
                <w:w w:val="97"/>
                <w:vertAlign w:val="superscript"/>
              </w:rPr>
              <w:t>(1)</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w w:val="97"/>
              </w:rPr>
              <w:t xml:space="preserve">2014 </w:t>
            </w:r>
            <w:r>
              <w:rPr>
                <w:rFonts w:ascii="Arial" w:cs="Arial" w:eastAsia="Arial" w:hAnsi="Arial"/>
                <w:sz w:val="25"/>
                <w:szCs w:val="25"/>
                <w:color w:val="auto"/>
                <w:w w:val="97"/>
                <w:vertAlign w:val="superscript"/>
              </w:rPr>
              <w:t>(1)</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2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2,011,553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1,907,218</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1,601,286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1,399,924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1,254,646</w:t>
            </w:r>
          </w:p>
        </w:tc>
      </w:tr>
      <w:tr>
        <w:trPr>
          <w:trHeight w:val="32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1,396,023</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1,322,841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1,152,496</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1,058,432</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994,174</w:t>
            </w:r>
          </w:p>
        </w:tc>
      </w:tr>
      <w:tr>
        <w:trPr>
          <w:trHeight w:val="32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(206,713)</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(205,121)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(165,811)</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(130,979)</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(143,209)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(68,725)</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(30,807)</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(40,360)</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(61,185)</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(73,191)</w:t>
            </w:r>
          </w:p>
        </w:tc>
      </w:tr>
      <w:tr>
        <w:trPr>
          <w:trHeight w:val="27"/>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benefit (provision) for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340,092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348,449</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242,619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149,328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44,072</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Income and Dividends: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401,230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231,718</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149,454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114,610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28,206</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attributable to Vail Resorts, Inc. </w:t>
            </w:r>
            <w:r>
              <w:rPr>
                <w:rFonts w:ascii="Arial" w:cs="Arial" w:eastAsia="Arial" w:hAnsi="Arial"/>
                <w:sz w:val="25"/>
                <w:szCs w:val="25"/>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379,898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210,553</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149,754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114,754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28,478</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0"/>
              </w:rPr>
              <w:t xml:space="preserve">Diluted net income per share attributable to Vail Resorts, Inc. </w:t>
            </w:r>
            <w:r>
              <w:rPr>
                <w:rFonts w:ascii="Arial" w:cs="Arial" w:eastAsia="Arial" w:hAnsi="Arial"/>
                <w:sz w:val="25"/>
                <w:szCs w:val="25"/>
                <w:color w:val="auto"/>
                <w:w w:val="90"/>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5.046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3.726</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2.865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2.075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Mountain</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Skier visits</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12,345</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10,032</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8,466</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7,688</w:t>
            </w:r>
          </w:p>
        </w:tc>
      </w:tr>
      <w:tr>
        <w:trPr>
          <w:trHeight w:val="270"/>
        </w:trPr>
        <w:tc>
          <w:tcPr>
            <w:tcW w:w="4700" w:type="dxa"/>
            <w:vAlign w:val="bottom"/>
          </w:tcPr>
          <w:p>
            <w:pPr>
              <w:ind w:left="220"/>
              <w:spacing w:after="0" w:line="270" w:lineRule="exact"/>
              <w:rPr>
                <w:sz w:val="20"/>
                <w:szCs w:val="20"/>
                <w:color w:val="auto"/>
              </w:rPr>
            </w:pPr>
            <w:r>
              <w:rPr>
                <w:rFonts w:ascii="Arial" w:cs="Arial" w:eastAsia="Arial" w:hAnsi="Arial"/>
                <w:sz w:val="18"/>
                <w:szCs w:val="18"/>
                <w:color w:val="auto"/>
              </w:rPr>
              <w:t xml:space="preserve">ETP </w:t>
            </w:r>
            <w:r>
              <w:rPr>
                <w:rFonts w:ascii="Arial" w:cs="Arial" w:eastAsia="Arial" w:hAnsi="Arial"/>
                <w:sz w:val="25"/>
                <w:szCs w:val="25"/>
                <w:color w:val="auto"/>
                <w:vertAlign w:val="superscript"/>
              </w:rPr>
              <w:t>(4)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71.31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67.93</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65.59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63.37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58.18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Lodging</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220"/>
              <w:spacing w:after="0" w:line="269" w:lineRule="exact"/>
              <w:rPr>
                <w:sz w:val="20"/>
                <w:szCs w:val="20"/>
                <w:color w:val="auto"/>
              </w:rPr>
            </w:pPr>
            <w:r>
              <w:rPr>
                <w:rFonts w:ascii="Arial" w:cs="Arial" w:eastAsia="Arial" w:hAnsi="Arial"/>
                <w:sz w:val="31"/>
                <w:szCs w:val="31"/>
                <w:color w:val="auto"/>
                <w:vertAlign w:val="subscript"/>
              </w:rPr>
              <w:t>ADR</w:t>
            </w:r>
            <w:r>
              <w:rPr>
                <w:rFonts w:ascii="Arial" w:cs="Arial" w:eastAsia="Arial" w:hAnsi="Arial"/>
                <w:sz w:val="12"/>
                <w:szCs w:val="12"/>
                <w:color w:val="auto"/>
              </w:rPr>
              <w:t>(5)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300.90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302.80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280.38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270.84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257.14</w:t>
            </w:r>
          </w:p>
        </w:tc>
      </w:tr>
      <w:tr>
        <w:trPr>
          <w:trHeight w:val="270"/>
        </w:trPr>
        <w:tc>
          <w:tcPr>
            <w:tcW w:w="470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RevPAR</w:t>
            </w:r>
            <w:r>
              <w:rPr>
                <w:rFonts w:ascii="Arial" w:cs="Arial" w:eastAsia="Arial" w:hAnsi="Arial"/>
                <w:sz w:val="25"/>
                <w:szCs w:val="25"/>
                <w:color w:val="auto"/>
                <w:vertAlign w:val="superscript"/>
              </w:rPr>
              <w:t>(6)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131.08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122.61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112.67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Real Estate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Real estate held for sale and investment</w:t>
            </w:r>
            <w:r>
              <w:rPr>
                <w:rFonts w:ascii="Arial" w:cs="Arial" w:eastAsia="Arial" w:hAnsi="Arial"/>
                <w:sz w:val="25"/>
                <w:szCs w:val="25"/>
                <w:color w:val="auto"/>
                <w:vertAlign w:val="superscript"/>
              </w:rPr>
              <w:t>(7)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103,405</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111,088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129,825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157,858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Balance Sheet Data</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178,145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117,389</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67,897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35,459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44,406</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4,064,984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4,110,718</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2,482,018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2,487,292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2,169,552</w:t>
            </w: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Long-term debt, net (including long-term debt due within one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1,272,732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1,272,421</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700,263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814,501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622,325</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5"/>
                <w:szCs w:val="25"/>
                <w:color w:val="auto"/>
                <w:vertAlign w:val="superscript"/>
              </w:rPr>
              <w:t>(10)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1,094,587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1,155,032</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632,366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779,042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577,919</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Vail Resorts, Inc. stockholders’ equity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1,589,434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1,571,156</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874,540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866,568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820,843</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Notes to Selected Financial Data:</w:t>
      </w:r>
    </w:p>
    <w:p>
      <w:pPr>
        <w:spacing w:after="0" w:line="113" w:lineRule="exact"/>
        <w:rPr>
          <w:sz w:val="20"/>
          <w:szCs w:val="20"/>
          <w:color w:val="auto"/>
        </w:rPr>
      </w:pPr>
    </w:p>
    <w:p>
      <w:pPr>
        <w:ind w:left="660" w:hanging="652"/>
        <w:spacing w:after="0" w:line="272" w:lineRule="auto"/>
        <w:tabs>
          <w:tab w:leader="none" w:pos="660"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We have made several mountain resort acquisitions during the past five years, which impacts comparability between years, including Stowe (acquired June 2017); Whistler Blackcomb (acquired in October 2016); Perisher (acquired in June 2015) and Park City Mountain Resort (acquired in September 2014).</w:t>
      </w:r>
    </w:p>
    <w:p>
      <w:pPr>
        <w:spacing w:after="0" w:line="1" w:lineRule="exact"/>
        <w:rPr>
          <w:rFonts w:ascii="Arial" w:cs="Arial" w:eastAsia="Arial" w:hAnsi="Arial"/>
          <w:sz w:val="15"/>
          <w:szCs w:val="15"/>
          <w:i w:val="1"/>
          <w:iCs w:val="1"/>
          <w:color w:val="auto"/>
        </w:rPr>
      </w:pPr>
    </w:p>
    <w:p>
      <w:pPr>
        <w:ind w:left="660" w:right="20" w:hanging="652"/>
        <w:spacing w:after="0" w:line="246" w:lineRule="auto"/>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and net income per share were positively impacted during the year ended July 31, 2018 as a result of comprehensive U.S. tax legislation and excess tax benefits from employee share award exercises, as discussed subsequently in this document.</w:t>
      </w:r>
    </w:p>
    <w:p>
      <w:pPr>
        <w:ind w:left="660" w:right="20" w:hanging="652"/>
        <w:spacing w:after="0" w:line="246" w:lineRule="auto"/>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A skier visit represents a person purchasing a ticket or utilizing a pass to access a mountain resort or urban ski area for any part of one day during a winter ski season and includes complimentary access.</w:t>
      </w:r>
    </w:p>
    <w:p>
      <w:pPr>
        <w:ind w:left="660" w:hanging="652"/>
        <w:spacing w:after="0"/>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ETP is calculated by dividing lift revenue by total skier visits during the respective periods.</w:t>
      </w:r>
    </w:p>
    <w:p>
      <w:pPr>
        <w:spacing w:after="0" w:line="5" w:lineRule="exact"/>
        <w:rPr>
          <w:rFonts w:ascii="Arial" w:cs="Arial" w:eastAsia="Arial" w:hAnsi="Arial"/>
          <w:sz w:val="16"/>
          <w:szCs w:val="16"/>
          <w:i w:val="1"/>
          <w:iCs w:val="1"/>
          <w:color w:val="auto"/>
        </w:rPr>
      </w:pPr>
    </w:p>
    <w:p>
      <w:pPr>
        <w:ind w:left="660" w:hanging="652"/>
        <w:spacing w:after="0" w:line="246" w:lineRule="auto"/>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ADR is calculated by dividing total room revenue (includes both owned room and managed condominium unit revenue) by the number of occupied rooms during the respective periods.</w:t>
      </w:r>
    </w:p>
    <w:p>
      <w:pPr>
        <w:ind w:left="660" w:hanging="652"/>
        <w:spacing w:after="0" w:line="246" w:lineRule="auto"/>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RevPAR is calculated by dividing total room revenue (includes both owned room and managed condominium unit revenue) by the number of rooms that are available to guests during the respective periods.</w:t>
      </w:r>
    </w:p>
    <w:p>
      <w:pPr>
        <w:ind w:left="660" w:hanging="652"/>
        <w:spacing w:after="0"/>
        <w:tabs>
          <w:tab w:leader="none" w:pos="660"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Real estate held for sale and investment includes all land, development costs and other improvements associated with real estate held for sale and investment.</w:t>
      </w:r>
    </w:p>
    <w:p>
      <w:pPr>
        <w:spacing w:after="0" w:line="16" w:lineRule="exact"/>
        <w:rPr>
          <w:rFonts w:ascii="Arial" w:cs="Arial" w:eastAsia="Arial" w:hAnsi="Arial"/>
          <w:sz w:val="15"/>
          <w:szCs w:val="15"/>
          <w:i w:val="1"/>
          <w:iCs w:val="1"/>
          <w:color w:val="auto"/>
        </w:rPr>
      </w:pPr>
    </w:p>
    <w:p>
      <w:pPr>
        <w:ind w:left="660" w:hanging="652"/>
        <w:spacing w:after="0"/>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Cash and cash equivalents exclude restricted cash.</w:t>
      </w:r>
    </w:p>
    <w:p>
      <w:pPr>
        <w:spacing w:after="0" w:line="5" w:lineRule="exact"/>
        <w:rPr>
          <w:rFonts w:ascii="Arial" w:cs="Arial" w:eastAsia="Arial" w:hAnsi="Arial"/>
          <w:sz w:val="16"/>
          <w:szCs w:val="16"/>
          <w:i w:val="1"/>
          <w:iCs w:val="1"/>
          <w:color w:val="auto"/>
        </w:rPr>
      </w:pPr>
    </w:p>
    <w:p>
      <w:pPr>
        <w:ind w:left="1300" w:hanging="1292"/>
        <w:spacing w:after="0" w:line="257" w:lineRule="auto"/>
        <w:tabs>
          <w:tab w:leader="none" w:pos="652"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We adopted a new accounting pronouncement as of July 31, 2016, which requires that deferred tax assets and liabilities be classified as noncurrent on the balance sheet. This adoption was applied prospectively and, as such, prior periods have not been adjusted.</w:t>
      </w:r>
    </w:p>
    <w:p>
      <w:pPr>
        <w:sectPr>
          <w:pgSz w:w="11900" w:h="16838" w:orient="portrait"/>
          <w:cols w:equalWidth="0" w:num="1">
            <w:col w:w="11420"/>
          </w:cols>
          <w:pgMar w:left="240" w:top="117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175" w:right="239" w:bottom="1440" w:gutter="0" w:footer="0" w:header="0"/>
          <w:type w:val="continuous"/>
        </w:sectPr>
      </w:pPr>
    </w:p>
    <w:bookmarkStart w:id="36" w:name="page37"/>
    <w:bookmarkEnd w:id="36"/>
    <w:p>
      <w:pPr>
        <w:ind w:left="1292" w:hanging="1292"/>
        <w:spacing w:after="0" w:line="261" w:lineRule="auto"/>
        <w:tabs>
          <w:tab w:leader="none" w:pos="644"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Net Debt, a non-GAAP financial measure, is defined as long-term debt, net plus long-term debt due within one year less cash and cash equivalents. Refer to the end of the Results of Operations section of Item 7. “Management’s Discussion and Analysis of Financial Condition and Results of Operations” for a reconciliation of Net Debt to long-term debt, net.</w:t>
      </w: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92"/>
          </w:cols>
          <w:pgMar w:left="248" w:top="1021" w:right="259" w:bottom="1440" w:gutter="0" w:footer="0" w:header="0"/>
        </w:sectPr>
      </w:pPr>
    </w:p>
    <w:bookmarkStart w:id="37" w:name="page38"/>
    <w:bookmarkEnd w:id="37"/>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include, but are not limited to, those discussed in Item 1A, “Risk Factors” in this Form 10-K. The following discussion and analysis should be read in conjunction with the Forward-Looking Statements section and Item 1A, “Risk Factors” each included in this Form 10-K.</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defined under generally accepted accounting principles (“GAAP”). We utilize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Reported EBITDA to net income attributable to Vail Resorts, Inc. and Net Debt to long-term debt, net.</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net change in cash and cash equivalents or other financial statement data presented in the Consolidated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 The Mountain, Lodging and Real Estate segments represented approximately 85.6%, 14.2% and 0.2%, respectively, of our net revenue for Fiscal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1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Mountain segment, as of July 31, 2018, was comprised of the operations of eleven mountain resort properties and three urban ski areas including:</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Mountain Resorts:</w:t>
            </w: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Vail Mountain Resort (“Vail Mountain”)</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Breckenridge Ski Resort (“Breckenridge”)</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Keystone Resort (“Keystone”)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Beaver Creek Resort (“Beaver Creek”)</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Park City Resort (“Park City”)</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Heavenly Mountain Resort (“Heavenly”)</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Northstar Resort (“Northstar”)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Kirkwood Mountain Resort (“Kirkwood”)</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Perisher Ski Resort (“Perisher”)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Stowe Mountain Resort (“Stowe”)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Urban Ski Areas (“Urban”):</w:t>
            </w: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Wilmot Mountain (“Wilmot”)</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Afton Alps Ski Area (“Afton Alps”)</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Mount Brighton Ski Area (“Mt. Brighton”)</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Perisher, including lodging and transportation operations. Mountain segment revenue is seasonal, with the majority of revenue earned from our North American mountain resorts and Urban ski areas occurring in our second and third fiscal quarters and the majority of revenue earned from Perisher occurring in our first and fourth fiscal quarters. Our North American mountain resorts were open for business for the 2017/2018 ski season primarily from mid-November through mid-April, which is the peak operating season for the Mountain segment. Our single largest source of Mountain segment revenue is the sale of lift tickets (including season passes), which represented approximately 51%, 51% and 50% of Mountain segment net revenue for Fiscal 2018, the fiscal year ended July 31, 2017 (“Fiscal 2017”) and the fiscal year ended July 31, 2016 (“Fiscal 2016”), respectively.</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Lift revenue is driven by volume and pricing. Pricing is impacted by both absolute pricing, as well as the demographic mix of guests, which impacts the price points at which various products are purchased. The demographic mix of guests that visit our U.S. mountain resorts is divided into two primary categories: (1) out-of-state and international (“Destination”) guests and (2) in-state and local (“Local”) guests. For both the 2017/2018 and 2016/2017 U.S. ski seasons, Destination guests comprised approximately 61% of our U.S. mountain resort skier visits, while Local guests comprised approximately 39% of our U.S. mountain resort skier visits, which compares to approximately 58% and 42%, respectively, for the 2015/2016 U.S. ski season. Destination guests generally purchase our higher-priced lift ticket products and utilize more ancillary services such as ski school, dining and retail/rental, as well as lodging at or around our mountain resorts. Destination guest visitation is less likely to be impacted by changes in the weather but may be more impacted by adverse economic conditions or the global geopolitical climate. Local guests tend to be more value-oriented and weather sensitive.</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offer a variety of season pass products for all of our mountain resorts and ski areas (collectively, “Resorts”), marketed towards both Destination and Local guests. Our season pass product offerings range from providing access to one or a combination of our Resorts to our Epic Pass, which allows pass holders unlimited and unrestricted access to all of our Resorts and ski areas. Our season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season passes. Additionally, we have entered into strategic long-term season pass alliance agreements with third-party mountain resorts, including Telluride Ski Resort and Arapahoe Basin in Colorado, Hakuba Valley in Japan and Resorts of the Canadian Rockies in Canada, which further increases the value proposition of our season pass products. As such, our season pass program drives strong customer loyalty; mitigates exposure to more weather sensitive guests; generates additional ancillary spending; and provides cash flow in advance of winter season operations. In addition, our season pass program attracts new guests to our Resorts. All of our season pass products, including the Epic Pass, are predominately sold prior to the start of the ski season. Season pass revenue, although primarily collected prior to the ski season, is recognized in the Consolidated Statements of Operations throughout the ski season (see Notes to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16"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Lift revenue consists of season pass lift revenue (“pass revenue”) and non-season pass lift revenue (“non-pass revenue”). Approximately 47%, 43% and 40% of total lift revenue was derived from pass revenue for Fiscal 2018, Fiscal 2017 and Fiscal 2016,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 associated with visitation.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mountain resorts; (iii) National Park Service (“NPS”) concessionaire properties including Grand Teton Lodging Company (“GTLC”); (iv) a Colorado resort ground transportation company; and (v) mountain resort golf courses.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performance of our lodging properties (including managed condominium units and our Colorado resort ground transportation company) proximate to our mountain resorts is closely aligned with the performance of the Mountain segment and generally experiences similar seasonal trends, particularly with respect to visitation by Destination guests. Revenues from such properties represented approximately 68%, 68% and 69% of Lodging segment net revenue (excluding Lodging segment revenue associated with reimbursement of payroll costs) for Fiscal 2018, Fiscal 2017 and Fiscal 2016,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We have identified the following significant factors (as well as uncertainties associated with such factors) that could impact our future financial performance:</w:t>
      </w:r>
    </w:p>
    <w:p>
      <w:pPr>
        <w:spacing w:after="0" w:line="140" w:lineRule="exact"/>
        <w:rPr>
          <w:sz w:val="20"/>
          <w:szCs w:val="20"/>
          <w:color w:val="auto"/>
        </w:rPr>
      </w:pPr>
    </w:p>
    <w:p>
      <w:pPr>
        <w:jc w:val="both"/>
        <w:ind w:left="820" w:hanging="650"/>
        <w:spacing w:after="0" w:line="287"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resulting in a more stabilized stream of lift revenue. In March 2018, we began our pre-season pass sales program for the 2018/2019 North American ski season. Through September 23, 2018, North American ski season pass sales increased approximately 25% in units and 15% in sales dollars as compared to the period in the prior year through September 24, 2017, including all military pass sales in both periods and excluding pass sales from Stevens Pass and Triple Peaks in both periods and adjusted to eliminate the impact of foreign currency by applying current period exchange rates to the prior period for Whistler Blackcomb pass sales. Growth in our total season pass sales dollars was lower than our unit growth, given the inclusion of the new Military Epic Pass, which is available at a substantial discount to our Epic Pass. The average price increase on all non-military passes was approximately 4.5%. Excluding sales of military passes to new purchasers who were not pass holders last year, season pass sales increased approximately 9% in units and 12% in sales dollars over the comparable period in 2017. We cannot predict if this favorable trend will continue for the entire duration of the fall 2018 North American pass sales campaign,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17" w:right="239" w:bottom="1440" w:gutter="0" w:footer="0" w:header="0"/>
        </w:sectPr>
      </w:pPr>
    </w:p>
    <w:bookmarkStart w:id="40" w:name="page41"/>
    <w:bookmarkEnd w:id="40"/>
    <w:p>
      <w:pPr>
        <w:ind w:left="650"/>
        <w:spacing w:after="0"/>
        <w:rPr>
          <w:sz w:val="20"/>
          <w:szCs w:val="20"/>
          <w:color w:val="auto"/>
        </w:rPr>
      </w:pPr>
      <w:r>
        <w:rPr>
          <w:rFonts w:ascii="Arial" w:cs="Arial" w:eastAsia="Arial" w:hAnsi="Arial"/>
          <w:sz w:val="18"/>
          <w:szCs w:val="18"/>
          <w:color w:val="auto"/>
        </w:rPr>
        <w:t>nor can we predict the overall impact that season pass sales will have on lift revenue for the 2018/2019 North American ski season.</w:t>
      </w:r>
    </w:p>
    <w:p>
      <w:pPr>
        <w:spacing w:after="0" w:line="239" w:lineRule="exact"/>
        <w:rPr>
          <w:sz w:val="20"/>
          <w:szCs w:val="20"/>
          <w:color w:val="auto"/>
        </w:rPr>
      </w:pPr>
    </w:p>
    <w:p>
      <w:pPr>
        <w:jc w:val="both"/>
        <w:ind w:left="650" w:hanging="650"/>
        <w:spacing w:after="0" w:line="312" w:lineRule="auto"/>
        <w:tabs>
          <w:tab w:leader="none" w:pos="6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Fiscal 2018, our lift revenue was favorably impacted by non-pass price increases at our mountain resorts that were implemented for the 2017/2018 North American ski season. Non-pass prices for the 2018/2019 North American ski season have not yet been finalized; and, as such, there can be no assurances as to the level of price increases, if any, which will occur and the impact that pricing may have on visitation or revenue.</w:t>
      </w:r>
    </w:p>
    <w:p>
      <w:pPr>
        <w:spacing w:after="0" w:line="146" w:lineRule="exact"/>
        <w:rPr>
          <w:rFonts w:ascii="Arial" w:cs="Arial" w:eastAsia="Arial" w:hAnsi="Arial"/>
          <w:sz w:val="16"/>
          <w:szCs w:val="16"/>
          <w:color w:val="auto"/>
        </w:rPr>
      </w:pPr>
    </w:p>
    <w:p>
      <w:pPr>
        <w:jc w:val="both"/>
        <w:ind w:left="650" w:hanging="650"/>
        <w:spacing w:after="0" w:line="291" w:lineRule="auto"/>
        <w:tabs>
          <w:tab w:leader="none" w:pos="6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Fiscal 2018 results for our Mountain segment showed improvement over Fiscal 2017 largely due to strong pass sales growth for the 2017/2018 North American ski season, the incremental operations of Stowe (acquired in June 2017) and excellent conditions at Whistler Blackcomb throughout most of the season. However, we experienced historically low snowfall levels across our western U.S. resorts for the first half of the 2017/2018 North American ski season, including the key Christmas holiday period, which had an adverse impact on skier visitation and our results of operations. We cannot predict whether our resorts will experience normal snowfall conditions for the upcoming 2018/2019 North American ski season nor can we estimate the impact there may be to advance bookings, guest travel, season pass sales, lift revenue (excluding season passes), retail/rental sales or other ancillary services revenue next ski season as a result of past snowfall conditions.</w:t>
      </w:r>
    </w:p>
    <w:p>
      <w:pPr>
        <w:spacing w:after="0" w:line="167" w:lineRule="exact"/>
        <w:rPr>
          <w:rFonts w:ascii="Arial" w:cs="Arial" w:eastAsia="Arial" w:hAnsi="Arial"/>
          <w:sz w:val="16"/>
          <w:szCs w:val="16"/>
          <w:color w:val="auto"/>
        </w:rPr>
      </w:pPr>
    </w:p>
    <w:p>
      <w:pPr>
        <w:jc w:val="both"/>
        <w:ind w:left="650" w:hanging="650"/>
        <w:spacing w:after="0" w:line="297" w:lineRule="auto"/>
        <w:tabs>
          <w:tab w:leader="none" w:pos="6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Key North American economic indicators have remained steady into 2018, including strong consumer confidence and declines in the unemployment rate. However, the growth in the North American economy may be impacted by economic challenges in North America or declining or slowing growth in economies outside of North America, accompanied by devaluation of currencies, rising inflation, trade tariffs and lower commodity prices. Given these economic uncertainties, we cannot predict what the impact will be on overall travel and leisure spending or more specifically, on our guest visitation, guest spending or other related trends for the upcoming 2018/2019 North American ski season.</w:t>
      </w:r>
    </w:p>
    <w:p>
      <w:pPr>
        <w:spacing w:after="0" w:line="158" w:lineRule="exact"/>
        <w:rPr>
          <w:rFonts w:ascii="Arial" w:cs="Arial" w:eastAsia="Arial" w:hAnsi="Arial"/>
          <w:sz w:val="16"/>
          <w:szCs w:val="16"/>
          <w:color w:val="auto"/>
        </w:rPr>
      </w:pPr>
    </w:p>
    <w:p>
      <w:pPr>
        <w:jc w:val="both"/>
        <w:ind w:left="650" w:hanging="650"/>
        <w:spacing w:after="0" w:line="268" w:lineRule="auto"/>
        <w:tabs>
          <w:tab w:leader="none" w:pos="6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transitions the U.S. tax system to a new territorial system and lowers the statutory federal corporate income tax rate from 35% to 21%. The reduction of the statutory federal corporate tax rate to 21% became effective on January 1, 2018. In Fiscal 2018, our U.S. blended federal statutory income tax rate was approximately 27% (August 2017 through December 2017 at 35% and January 2018 through July 2018 at 21%), which will be reduced to 21% in the year ending July 31, 2019 and thereafter. As a result of the Tax Act, we recorded a one-time, provisional net tax benefit of approximately $61.0 million on our Consolidated Statement of Operations during Fiscal 2018. Due to the reduction in the federal corporate tax rate, we remeasured our U.S. net deferred tax liabilities as of the effective date of the Tax Act. The U.S. net deferred tax liabilities remeasurement resulted in a one-time tax benefit estimated to be approximately $67.0 million, which was recorded during Fiscal 2018. Also, in transitioning to the new territorial tax system, the Tax Act requires us to include certain foreign earnings of non-U.S. subsidiaries in our Fiscal 2018 taxable income. Such foreign earnings are subject to a one-time tax referred to as the “Transition Tax,” which was estimated to be $6.0 million, and was recorded during Fiscal 2018. The above-mentioned accounting impacts of the deferred tax remeasurement and Transition Tax are provisional, based on currently available information and technical guidance on the interpretation of the new law. The provisional accounting impacts may change in future reporting periods until the accounting analysis is finalized, which will occur no later than December 22, 2018, as permitted by the SEC. For further discussion related to the Tax Act see “Other Items” within MD&amp;A and Notes to Consolidated Financial Statements.</w:t>
      </w:r>
    </w:p>
    <w:p>
      <w:pPr>
        <w:spacing w:after="0" w:line="183" w:lineRule="exact"/>
        <w:rPr>
          <w:rFonts w:ascii="Arial" w:cs="Arial" w:eastAsia="Arial" w:hAnsi="Arial"/>
          <w:sz w:val="17"/>
          <w:szCs w:val="17"/>
          <w:color w:val="auto"/>
        </w:rPr>
      </w:pPr>
    </w:p>
    <w:p>
      <w:pPr>
        <w:jc w:val="both"/>
        <w:ind w:left="650" w:hanging="650"/>
        <w:spacing w:after="0" w:line="270" w:lineRule="auto"/>
        <w:tabs>
          <w:tab w:leader="none" w:pos="6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 of July 31, 2018, we had $178.1 million in cash and cash equivalents, as well as $185.1 million available under the revolver component of the Vail Holdings Credit Agreement (which represents the total commitment of $400.0 million less outstanding borrowings of $130.0 million and certain letters of credit outstanding of $84.9 million). Additionally, we have a credit facility which supports the liquidity needs of Whistler Blackcomb (the “Whistler Credit Agreement”). As of July 31, 2018 we had C$214.1 million ($164.6 million) available under the revolver component of the Whistler Credit Agreement (which represents the total commitment of C$300.0 million ($230.7 million) less outstanding borrowings of C$85.0 million ($65.4 million) and a letter of credit outstanding of C$0.9 million ($0.7 million)). On August 15, 2018, we further amended our Vail Holdings Credit Agreement, dated May 1, 2015, in the form of an Eighth Amended and Restated Credit Agreement (the “Amended Vail Holdings Credit Agreement”) to provide for an incremental term loan of $265.6 million, increasing the capacity of the term loan to $950.0 million, to fund the acquisitions of Stevens Pass and Triple Peaks, as discussed and defined below.</w:t>
      </w:r>
    </w:p>
    <w:p>
      <w:pPr>
        <w:spacing w:after="0" w:line="181" w:lineRule="exact"/>
        <w:rPr>
          <w:rFonts w:ascii="Arial" w:cs="Arial" w:eastAsia="Arial" w:hAnsi="Arial"/>
          <w:sz w:val="17"/>
          <w:szCs w:val="17"/>
          <w:color w:val="auto"/>
        </w:rPr>
      </w:pPr>
    </w:p>
    <w:p>
      <w:pPr>
        <w:jc w:val="both"/>
        <w:ind w:left="650"/>
        <w:spacing w:after="0" w:line="264" w:lineRule="auto"/>
        <w:rPr>
          <w:rFonts w:ascii="Arial" w:cs="Arial" w:eastAsia="Arial" w:hAnsi="Arial"/>
          <w:sz w:val="17"/>
          <w:szCs w:val="17"/>
          <w:color w:val="auto"/>
        </w:rPr>
      </w:pPr>
      <w:r>
        <w:rPr>
          <w:rFonts w:ascii="Arial" w:cs="Arial" w:eastAsia="Arial" w:hAnsi="Arial"/>
          <w:sz w:val="18"/>
          <w:szCs w:val="18"/>
          <w:color w:val="auto"/>
        </w:rPr>
        <w:t>We believe that the terms of our Amended Vail Holdings Credit Agreement and Whistler Credit Agreement allow for sufficient flexibility in our ability to make future acquisitions, investments, distributions to stockholders and incur additional debt. This, combined with the continued positive cash flow from operating activities of our Mountain and</w:t>
      </w:r>
    </w:p>
    <w:p>
      <w:pPr>
        <w:spacing w:after="0" w:line="208"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50"/>
          </w:cols>
          <w:pgMar w:left="410" w:top="1044" w:right="239" w:bottom="1440" w:gutter="0" w:footer="0" w:header="0"/>
        </w:sectPr>
      </w:pPr>
    </w:p>
    <w:bookmarkStart w:id="41" w:name="page42"/>
    <w:bookmarkEnd w:id="41"/>
    <w:p>
      <w:pPr>
        <w:jc w:val="both"/>
        <w:ind w:left="820"/>
        <w:spacing w:after="0" w:line="264" w:lineRule="auto"/>
        <w:rPr>
          <w:sz w:val="20"/>
          <w:szCs w:val="20"/>
          <w:color w:val="auto"/>
        </w:rPr>
      </w:pPr>
      <w:r>
        <w:rPr>
          <w:rFonts w:ascii="Arial" w:cs="Arial" w:eastAsia="Arial" w:hAnsi="Arial"/>
          <w:sz w:val="18"/>
          <w:szCs w:val="18"/>
          <w:color w:val="auto"/>
        </w:rPr>
        <w:t>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181" w:lineRule="exact"/>
        <w:rPr>
          <w:sz w:val="20"/>
          <w:szCs w:val="20"/>
          <w:color w:val="auto"/>
        </w:rPr>
      </w:pPr>
    </w:p>
    <w:p>
      <w:pPr>
        <w:jc w:val="both"/>
        <w:ind w:left="820" w:hanging="650"/>
        <w:spacing w:after="0" w:line="269" w:lineRule="auto"/>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August 15, 2018, through a wholly-owned subsidiary, we acquired Stevens Pass Resort in the State of Washington (“Stevens Pass”) from Ski Resort Holdings, LLC for a total purchase price of $64.0 million. We borrowed $70.0 million on August 15, 2018 under the term loan of our Amended Vail Holdings Credit Agreement, as discussed above, primarily to fund the acquisition of Stevens Pass. Additionally, on September 27, 2018, we acquired Triple Peaks, LLC (“Triple Peaks”), the parent company of Okemo Mountain Resort in Vermont (“Okemo”), Crested Butte Mountain Resort in Colorado (“Crested Butte”), and Mount Sunapee Resort in New Hampshire (“Mount Sunapee”), for a cash purchase price of approximately $74.0 million, after adjustments for certain agreed-upon terms. In addition, at closing, Triple Peaks paid $155.0 million to pay off the leases that all three resorts had with Ski Resort Holdings, LLC, an affiliate of Oz Real Estate, with funds provided by the Company. We borrowed the remainder of the term loan increase, as discussed above, to fund the acquisition. Additionally, we obtained a new Special Use Permit from the U.S. Forest Service for Crested Butte, and assumed the state land leases for Okemo and Mount Sunapee. We expect that the acquisitions of Stevens Pass and Triple Peaks will positively contribute to our results of operations; however, we cannot predict whether we will realize all of the synergies expected from the operations of Stevens Pass and Triple Peaks and the ultimate impact the new resorts will have on our future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Shown below is a summary of operating results for Fiscal 2018, Fiscal 2017 and Fiscal 2016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Year Ended July 31,</w:t>
            </w: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591,605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566,338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424,415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112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25,006</w:t>
            </w:r>
          </w:p>
        </w:tc>
        <w:tc>
          <w:tcPr>
            <w:tcW w:w="22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27,087</w:t>
            </w:r>
          </w:p>
        </w:tc>
        <w:tc>
          <w:tcPr>
            <w:tcW w:w="4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28,169</w:t>
            </w:r>
          </w:p>
        </w:tc>
      </w:tr>
      <w:tr>
        <w:trPr>
          <w:trHeight w:val="27"/>
        </w:trPr>
        <w:tc>
          <w:tcPr>
            <w:tcW w:w="5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Reported EBITDA</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616,611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593,425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452,584</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Reported EBITDA</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957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c>
          <w:tcPr>
            <w:tcW w:w="4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2,784</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benefit (provision) for income taxes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340,092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348,449</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242,619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89"/>
              </w:rPr>
              <w:t>379,898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210,553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149,754</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discussion of segment results, including reconciliations of segment Reported EBITDA to net income attributable to Vail Resorts, Inc., and other items can be found below.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sections titled “Fiscal 2018 compared to Fiscal 2017” and “Fiscal 2017 compared to Fiscal 2016” in each of the Mountain and Lodging segment discussions below provide comparisons of financial and operating performance for Fiscal 2018 to Fiscal 2017 and Fiscal 2017 to Fiscal 2016, respectively, unless otherwise noted.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1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Mountain segment operating results for Fiscal 2018, Fiscal 2017 and Fiscal 2016 are presented by category as follows (in thousands, except ETP):</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Percentage</w:t>
            </w:r>
          </w:p>
        </w:tc>
        <w:tc>
          <w:tcPr>
            <w:tcW w:w="1160" w:type="dxa"/>
            <w:vAlign w:val="bottom"/>
          </w:tcPr>
          <w:p>
            <w:pPr>
              <w:spacing w:after="0"/>
              <w:rPr>
                <w:sz w:val="20"/>
                <w:szCs w:val="20"/>
                <w:color w:val="auto"/>
              </w:rPr>
            </w:pPr>
          </w:p>
        </w:tc>
      </w:tr>
      <w:tr>
        <w:trPr>
          <w:trHeight w:val="270"/>
        </w:trPr>
        <w:tc>
          <w:tcPr>
            <w:tcW w:w="3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Year Ended July 31,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Increase/(Decrease)</w:t>
            </w:r>
          </w:p>
        </w:tc>
      </w:tr>
      <w:tr>
        <w:trPr>
          <w:trHeight w:val="27"/>
        </w:trPr>
        <w:tc>
          <w:tcPr>
            <w:tcW w:w="3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8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2018/2017</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2017/2016</w:t>
            </w:r>
          </w:p>
        </w:tc>
      </w:tr>
      <w:tr>
        <w:trPr>
          <w:trHeight w:val="27"/>
        </w:trPr>
        <w:tc>
          <w:tcPr>
            <w:tcW w:w="3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Lift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880,293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818,341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658,047</w:t>
            </w:r>
          </w:p>
        </w:tc>
        <w:tc>
          <w:tcPr>
            <w:tcW w:w="100" w:type="dxa"/>
            <w:vAlign w:val="bottom"/>
          </w:tcPr>
          <w:p>
            <w:pPr>
              <w:spacing w:after="0"/>
              <w:rPr>
                <w:sz w:val="21"/>
                <w:szCs w:val="21"/>
                <w:color w:val="auto"/>
              </w:rPr>
            </w:pPr>
          </w:p>
        </w:tc>
        <w:tc>
          <w:tcPr>
            <w:tcW w:w="2080" w:type="dxa"/>
            <w:vAlign w:val="bottom"/>
          </w:tcPr>
          <w:p>
            <w:pPr>
              <w:jc w:val="right"/>
              <w:ind w:right="450"/>
              <w:spacing w:after="0"/>
              <w:rPr>
                <w:sz w:val="20"/>
                <w:szCs w:val="20"/>
                <w:color w:val="auto"/>
              </w:rPr>
            </w:pPr>
            <w:r>
              <w:rPr>
                <w:rFonts w:ascii="Arial" w:cs="Arial" w:eastAsia="Arial" w:hAnsi="Arial"/>
                <w:sz w:val="18"/>
                <w:szCs w:val="18"/>
                <w:color w:val="auto"/>
              </w:rPr>
              <w:t>7.6 %</w:t>
            </w: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189,910</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177,748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143,249</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6.8 %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Dining</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161,402</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150,587</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121,008</w:t>
            </w:r>
          </w:p>
        </w:tc>
        <w:tc>
          <w:tcPr>
            <w:tcW w:w="100" w:type="dxa"/>
            <w:vAlign w:val="bottom"/>
          </w:tcPr>
          <w:p>
            <w:pPr>
              <w:spacing w:after="0"/>
              <w:rPr>
                <w:sz w:val="21"/>
                <w:szCs w:val="21"/>
                <w:color w:val="auto"/>
              </w:rPr>
            </w:pPr>
          </w:p>
        </w:tc>
        <w:tc>
          <w:tcPr>
            <w:tcW w:w="2080" w:type="dxa"/>
            <w:vAlign w:val="bottom"/>
          </w:tcPr>
          <w:p>
            <w:pPr>
              <w:jc w:val="right"/>
              <w:ind w:right="450"/>
              <w:spacing w:after="0"/>
              <w:rPr>
                <w:sz w:val="20"/>
                <w:szCs w:val="20"/>
                <w:color w:val="auto"/>
              </w:rPr>
            </w:pPr>
            <w:r>
              <w:rPr>
                <w:rFonts w:ascii="Arial" w:cs="Arial" w:eastAsia="Arial" w:hAnsi="Arial"/>
                <w:sz w:val="18"/>
                <w:szCs w:val="18"/>
                <w:color w:val="auto"/>
              </w:rPr>
              <w:t>7.2 %</w:t>
            </w: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296,466</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293,428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241,134</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194,851</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171,682</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141,166</w:t>
            </w:r>
          </w:p>
        </w:tc>
        <w:tc>
          <w:tcPr>
            <w:tcW w:w="100" w:type="dxa"/>
            <w:vAlign w:val="bottom"/>
          </w:tcPr>
          <w:p>
            <w:pPr>
              <w:spacing w:after="0"/>
              <w:rPr>
                <w:sz w:val="21"/>
                <w:szCs w:val="21"/>
                <w:color w:val="auto"/>
              </w:rPr>
            </w:pPr>
          </w:p>
        </w:tc>
        <w:tc>
          <w:tcPr>
            <w:tcW w:w="2080" w:type="dxa"/>
            <w:vAlign w:val="bottom"/>
          </w:tcPr>
          <w:p>
            <w:pPr>
              <w:jc w:val="right"/>
              <w:ind w:right="450"/>
              <w:spacing w:after="0"/>
              <w:rPr>
                <w:sz w:val="20"/>
                <w:szCs w:val="20"/>
                <w:color w:val="auto"/>
              </w:rPr>
            </w:pPr>
            <w:r>
              <w:rPr>
                <w:rFonts w:ascii="Arial" w:cs="Arial" w:eastAsia="Arial" w:hAnsi="Arial"/>
                <w:sz w:val="18"/>
                <w:szCs w:val="18"/>
                <w:color w:val="auto"/>
              </w:rPr>
              <w:t>13.5 %</w:t>
            </w: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3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1,722,922</w:t>
            </w:r>
          </w:p>
        </w:tc>
        <w:tc>
          <w:tcPr>
            <w:tcW w:w="4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1,611,786</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1,304,604</w:t>
            </w:r>
          </w:p>
        </w:tc>
        <w:tc>
          <w:tcPr>
            <w:tcW w:w="1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6.9 %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169"/>
        </w:trPr>
        <w:tc>
          <w:tcPr>
            <w:tcW w:w="34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Labor and labor-related benefits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443,891</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403,020</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338,250</w:t>
            </w:r>
          </w:p>
        </w:tc>
        <w:tc>
          <w:tcPr>
            <w:tcW w:w="100" w:type="dxa"/>
            <w:vAlign w:val="bottom"/>
          </w:tcPr>
          <w:p>
            <w:pPr>
              <w:spacing w:after="0"/>
              <w:rPr>
                <w:sz w:val="21"/>
                <w:szCs w:val="21"/>
                <w:color w:val="auto"/>
              </w:rPr>
            </w:pPr>
          </w:p>
        </w:tc>
        <w:tc>
          <w:tcPr>
            <w:tcW w:w="2080" w:type="dxa"/>
            <w:vAlign w:val="bottom"/>
          </w:tcPr>
          <w:p>
            <w:pPr>
              <w:jc w:val="right"/>
              <w:ind w:right="450"/>
              <w:spacing w:after="0"/>
              <w:rPr>
                <w:sz w:val="20"/>
                <w:szCs w:val="20"/>
                <w:color w:val="auto"/>
              </w:rPr>
            </w:pPr>
            <w:r>
              <w:rPr>
                <w:rFonts w:ascii="Arial" w:cs="Arial" w:eastAsia="Arial" w:hAnsi="Arial"/>
                <w:sz w:val="18"/>
                <w:szCs w:val="18"/>
                <w:color w:val="auto"/>
              </w:rPr>
              <w:t>10.1 %</w:t>
            </w:r>
          </w:p>
        </w:tc>
        <w:tc>
          <w:tcPr>
            <w:tcW w:w="11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 cost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111,198</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112,902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93,946</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Resort related fees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87,111</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83,503</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68,890</w:t>
            </w:r>
          </w:p>
        </w:tc>
        <w:tc>
          <w:tcPr>
            <w:tcW w:w="100" w:type="dxa"/>
            <w:vAlign w:val="bottom"/>
          </w:tcPr>
          <w:p>
            <w:pPr>
              <w:spacing w:after="0"/>
              <w:rPr>
                <w:sz w:val="21"/>
                <w:szCs w:val="21"/>
                <w:color w:val="auto"/>
              </w:rPr>
            </w:pPr>
          </w:p>
        </w:tc>
        <w:tc>
          <w:tcPr>
            <w:tcW w:w="2080" w:type="dxa"/>
            <w:vAlign w:val="bottom"/>
          </w:tcPr>
          <w:p>
            <w:pPr>
              <w:jc w:val="right"/>
              <w:ind w:right="450"/>
              <w:spacing w:after="0"/>
              <w:rPr>
                <w:sz w:val="20"/>
                <w:szCs w:val="20"/>
                <w:color w:val="auto"/>
              </w:rPr>
            </w:pPr>
            <w:r>
              <w:rPr>
                <w:rFonts w:ascii="Arial" w:cs="Arial" w:eastAsia="Arial" w:hAnsi="Arial"/>
                <w:sz w:val="18"/>
                <w:szCs w:val="18"/>
                <w:color w:val="auto"/>
              </w:rPr>
              <w:t>4.3 %</w:t>
            </w:r>
          </w:p>
        </w:tc>
        <w:tc>
          <w:tcPr>
            <w:tcW w:w="11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214,090</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199,582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173,640</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7.3 %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276,550</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248,324</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206,746</w:t>
            </w:r>
          </w:p>
        </w:tc>
        <w:tc>
          <w:tcPr>
            <w:tcW w:w="100" w:type="dxa"/>
            <w:vAlign w:val="bottom"/>
          </w:tcPr>
          <w:p>
            <w:pPr>
              <w:spacing w:after="0"/>
              <w:rPr>
                <w:sz w:val="21"/>
                <w:szCs w:val="21"/>
                <w:color w:val="auto"/>
              </w:rPr>
            </w:pPr>
          </w:p>
        </w:tc>
        <w:tc>
          <w:tcPr>
            <w:tcW w:w="2080" w:type="dxa"/>
            <w:vAlign w:val="bottom"/>
          </w:tcPr>
          <w:p>
            <w:pPr>
              <w:jc w:val="right"/>
              <w:ind w:right="450"/>
              <w:spacing w:after="0"/>
              <w:rPr>
                <w:sz w:val="20"/>
                <w:szCs w:val="20"/>
                <w:color w:val="auto"/>
              </w:rPr>
            </w:pPr>
            <w:r>
              <w:rPr>
                <w:rFonts w:ascii="Arial" w:cs="Arial" w:eastAsia="Arial" w:hAnsi="Arial"/>
                <w:sz w:val="18"/>
                <w:szCs w:val="18"/>
                <w:color w:val="auto"/>
              </w:rPr>
              <w:t>11.4 %</w:t>
            </w: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3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1,132,840</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1,047,331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881,472</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8.2 %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Mountain equity investment income,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1,523</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1,883</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2080" w:type="dxa"/>
            <w:vAlign w:val="bottom"/>
          </w:tcPr>
          <w:p>
            <w:pPr>
              <w:jc w:val="right"/>
              <w:ind w:right="430"/>
              <w:spacing w:after="0"/>
              <w:rPr>
                <w:sz w:val="20"/>
                <w:szCs w:val="20"/>
                <w:color w:val="auto"/>
              </w:rPr>
            </w:pPr>
            <w:r>
              <w:rPr>
                <w:rFonts w:ascii="Arial" w:cs="Arial" w:eastAsia="Arial" w:hAnsi="Arial"/>
                <w:sz w:val="18"/>
                <w:szCs w:val="18"/>
                <w:color w:val="auto"/>
              </w:rPr>
              <w:t>(19.1)%</w:t>
            </w:r>
          </w:p>
        </w:tc>
        <w:tc>
          <w:tcPr>
            <w:tcW w:w="116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
        </w:trPr>
        <w:tc>
          <w:tcPr>
            <w:tcW w:w="3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591,605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566,338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424,415</w:t>
            </w:r>
          </w:p>
        </w:tc>
        <w:tc>
          <w:tcPr>
            <w:tcW w:w="1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4.5 %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3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46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3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12,345</w:t>
            </w:r>
          </w:p>
        </w:tc>
        <w:tc>
          <w:tcPr>
            <w:tcW w:w="44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12,047</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10,032</w:t>
            </w:r>
          </w:p>
        </w:tc>
        <w:tc>
          <w:tcPr>
            <w:tcW w:w="100" w:type="dxa"/>
            <w:vAlign w:val="bottom"/>
          </w:tcPr>
          <w:p>
            <w:pPr>
              <w:spacing w:after="0"/>
              <w:rPr>
                <w:sz w:val="19"/>
                <w:szCs w:val="19"/>
                <w:color w:val="auto"/>
              </w:rPr>
            </w:pPr>
          </w:p>
        </w:tc>
        <w:tc>
          <w:tcPr>
            <w:tcW w:w="2080" w:type="dxa"/>
            <w:vAlign w:val="bottom"/>
          </w:tcPr>
          <w:p>
            <w:pPr>
              <w:jc w:val="right"/>
              <w:ind w:right="450"/>
              <w:spacing w:after="0"/>
              <w:rPr>
                <w:sz w:val="20"/>
                <w:szCs w:val="20"/>
                <w:color w:val="auto"/>
              </w:rPr>
            </w:pPr>
            <w:r>
              <w:rPr>
                <w:rFonts w:ascii="Arial" w:cs="Arial" w:eastAsia="Arial" w:hAnsi="Arial"/>
                <w:sz w:val="18"/>
                <w:szCs w:val="18"/>
                <w:color w:val="auto"/>
              </w:rPr>
              <w:t>2.5 %</w:t>
            </w: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67.93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5.0 %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3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$15.7 million, $15.0 million and $13.4 million of stock-based compensation expense for Fiscal 2018, Fiscal 2017 and Fiscal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compared to Fiscal 2017</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reflect an increase in Mountain Reported EBITDA of $25.3 million, or 4.5%, primarily as a result of strong North American pass sales growth for the 2017/2018 North American ski season and the incremental operations of Stowe (acquired in June 2017). Our results across all lines of business at our western U.S. resorts during Fiscal 2018 were impacted by challenging ski conditions as a result of historically low snowfall for the first half of the 2017/2018 ski season, although conditions progressively improved during the third quarter of Fiscal 2018. Total skier visitation increased 2.5%, which was primarily the result of incremental skier visitation at Stowe and an increase in skier visitation at Whistler Blackcomb and Perisher, partially offset by lower skier visitation to our western U.S. resorts. The Fiscal 2018 and Fiscal 2017 results include $10.2 million and $10.8 million of acquisition and integration related expenses, respectively.</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Lift revenue increased $62.0 million, or 7.6%, primarily due to an increase in pass revenue and incremental revenue from Stowe. Pass revenue increased 17.7%, which was driven by a combination of an increase in both pricing and units sold, which was favorably impacted by increased pass sales to Destination guests. Non-pass revenue was flat, which was primarily the result of incremental non-pass revenue from Stowe and an increase in non-pass revenue from Whistler Blackcomb, as well as an increase in ETP excluding season pass holders of 2.4%, offset by a decrease in non-pass skier visitation at our western U.S. resorts. Total ETP increased $3.38, or 5.0%, primarily due to price increases in both our lift ticket products and season pass products and slightly lower average visitation by season pass holders during the 2017/2018 North American ski season as compared with the 2016/2017 North American ski season.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Ski school revenue increased $12.2 million, or 6.8%, primarily as a result of increased revenue at Whistler Blackcomb and Park City, as well as incremental revenue from Stowe. Dining revenue increased $10.8 million, or 7.2%, primarily as a result of incremental revenue from Stowe and increased revenue from Whistler Blackcomb, reflecting a full year of operations as compared to Fiscal 2017, which included operations from the date of acquisition, October 17, 2016, through July 31, 2017. However, these increases were partially offset by lower revenue at our western U.S. resorts, which experienced delays in the opening of certain</w:t>
      </w:r>
    </w:p>
    <w:p>
      <w:pPr>
        <w:sectPr>
          <w:pgSz w:w="11900" w:h="16838" w:orient="portrait"/>
          <w:cols w:equalWidth="0" w:num="1">
            <w:col w:w="11420"/>
          </w:cols>
          <w:pgMar w:left="240" w:top="1017"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017"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color w:val="auto"/>
        </w:rPr>
        <w:t>on-mountain dining venues as a result of challenging weather conditions for the first half of the 2017/2018 North American ski season.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Retail/rental revenue increased $3.0 million, or 1.0%, of which rental revenue increased $2.9 million, or 3.2%, and retail revenue was relatively flat. Both rental and retail revenue were positively impacted by an increase in revenue at Whistler Blackcomb and incremental revenue from Stowe, partially offset by decreased revenue at stores proximate to our western U.S. resorts and other city stores.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For Fiscal 2018, other revenue increased $23.2 million, or 13.5%, primarily attributable to incremental summer activities and events revenue at Whistler Blackcomb and the inclusion of Stowe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for Fiscal 2018 increased $85.5 million, or 8.2%, which was primarily attributable to the inclusion of Stowe operations and incremental operating expenses from Whistler Blackcomb as a result of reflecting a full year of operations as compared to Fiscal 2017, which included operations from the date of acquisition, October 17, 2016, through July 31, 2017.</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and labor-related benefits increased 10.1% primarily due to incremental expense from Whistler Blackcomb and Stowe, as well as normal wage adjustments, partially offset by lower performance-based variable compensation. Resort related fees increased 4.3% primarily due to higher revenue on which those fees are based and incremental expenses from Stowe. General and administrative expense increased 7.3% due to higher corporate overhead costs, including incremental expenses from Stowe, partially offset by lower estimated performance-based variable compensation. Other expense increased 11.4% primarily due to incremental expenses from Whistler Blackcomb and Stowe, as well as increases in repairs and maintenance expense, utilities expense (primarily related to increased snowmaking operations), food and beverage cost of sales commensurate with increases in dining revenue and property taxes, partially offset by a decrease in rent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 compared to Fiscal 2016</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reflected an increase in Mountain Reported EBITDA of $141.9 million, or 33.4%, primarily due to the operations of Whistler Blackcomb, which was included in our consolidated results prospectively from the acquisition date (acquired in October 2016), partially offset by $10.8 million of acquisition and integration related expenses. Additionally, Stowe was acquired in June 2017 and its off-season operations were included in our consolidated results prospectively from the acquisition date. Excluding acquisition and integration related expenses and the operations of Whistler Blackcomb and Stowe, Mountain Reported EBITDA increased 9.1%. Our results reflected strong U.S. season pass sales growth for the 2016/2017 North American ski season. However, our Fiscal 2017 results were tempered by poor early ski season conditions prior to the holiday period at our U.S. resorts which drove lower skier visitation during the early ski season.</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Lift revenue increased $160.3 million, or 24.4%, primarily due to incremental lift revenue from Whistler Blackcomb. Excluding Whistler Blackcomb, total lift revenue increased 6.4% of which non-pass revenue decreased 1.5% and pass revenue increased 18.3%. The decrease in non-pass revenue, excluding Whistler Blackcomb, was primarily the result of a decrease in non-pass skier visitation to our U.S. resorts, primarily due to continued shifting of Destination guests to season passes and poor early season conditions in Colorado, partially offset by an increase in ETP excluding season pass holders of 6.5%. The increase in pass revenue, excluding Whistler Blackcomb, was due to a combination of both an increase in pricing and units sold and was favorably impacted by increased pass sales to Destination guests. The change in total ETP was negatively impacted by the inclusion of Whistler Blackcomb’s ETP in our Fiscal 2017 results, which was lower on a U.S. dollar basis than the Company average. Total ETP, excluding Whistler Blackcomb, increased $7.49, or 11.4%, due primarily to price increases in both our lift ticket products at our U.S. mountain resorts and season pass products, and lower average visitation by U.S. season pass holders during the 2016/2017 U.S. ski season as compared with the 2015/2016 U.S. ski season.</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Ski school revenue increased $34.5 million, or 24.1%, primarily due to incremental ski school revenue from Whistler Blackcomb. Excluding Whistler Blackcomb, ski school revenue increased 2.7%, primarily due to increases in pricing. Dining revenue increased $29.6 million, or 24.4%, due to incremental revenue from Whistler Blackcomb. Excluding Whistler Blackcomb, dining revenue increased 0.6%.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17" w:right="2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17"/>
          <w:szCs w:val="17"/>
          <w:color w:val="auto"/>
        </w:rPr>
        <w:t>Retail/rental revenue increased $52.3 million, or 21.7%, primarily due to incremental retail/rental revenue from Whistler Blackcomb. Excluding Whistler Blackcomb, retail revenue increased 2.1% and rental revenue increased 0.8%. The increase in retail revenue was primarily attributable to strong sales at pre-ski season sales events at our stores in Colorado and higher sales volumes at stores proximate to our Tahoe and Park City resorts.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2017, other revenue increased $30.5 million, or 21.6%, primarily attributable to incremental revenue from Whistler Blackcomb. Excluding Whistler Blackcomb and Stowe, other revenue increased 2.2% primarily due to an increase in summer activities revenue from our U.S. mountain resorts, including the expansion of our on-mountain Epic Discovery summer activities offerings.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for Fiscal 2017 increased $165.9 million, or 18.8%, which was primarily attributable to incremental operating expenses from Whistler Blackcomb, as well as $10.8 million of acquisition and integration related expenses. Excluding incremental operating expenses of Whistler Blackcomb and Stowe and acquisition and integration related activities, operating expense increased 1.7%.</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provides information about the changes in operating expenses for Fiscal 2017, excluding acquisition and integration related expenses and the operations of Whistler Blackcomb and Stowe. Labor and labor-related benefits increased 2.8% primarily due to normal wage adjustments and increased staffing levels at our U.S. resorts to support the expansion of our on-mountain Epic Discovery summer activities offerings, partially offset by lower performance-based variable compensation. Retail cost of sales increased 1.3%, compared to an increase in retail sales of 2.0%. Resort related fees increased 3.5% due to overall increases in revenue upon which those fees are based. General and administrative expense increased 1.3% due to increased corporate overhead costs. Other expense decreased 0.2% primarily due to decreased professional services expense and repairs and maintenance expense, partially offset by increased rent expense and utilities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1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Lodging segment operating results for Fiscal 2018, Fiscal 2017 and Fiscal 2016 are presented by category as follows (in thousands, except ADR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Percentage</w:t>
            </w:r>
          </w:p>
        </w:tc>
        <w:tc>
          <w:tcPr>
            <w:tcW w:w="1200" w:type="dxa"/>
            <w:vAlign w:val="bottom"/>
          </w:tcPr>
          <w:p>
            <w:pPr>
              <w:spacing w:after="0"/>
              <w:rPr>
                <w:sz w:val="20"/>
                <w:szCs w:val="20"/>
                <w:color w:val="auto"/>
              </w:rPr>
            </w:pPr>
          </w:p>
        </w:tc>
      </w:tr>
      <w:tr>
        <w:trPr>
          <w:trHeight w:val="270"/>
        </w:trPr>
        <w:tc>
          <w:tcPr>
            <w:tcW w:w="3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Year Ended July 31,</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Increase/(Decrease)</w:t>
            </w:r>
          </w:p>
        </w:tc>
      </w:tr>
      <w:tr>
        <w:trPr>
          <w:trHeight w:val="27"/>
        </w:trPr>
        <w:tc>
          <w:tcPr>
            <w:tcW w:w="3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1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2018/2017</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2017/2016</w:t>
            </w:r>
          </w:p>
        </w:tc>
      </w:tr>
      <w:tr>
        <w:trPr>
          <w:trHeight w:val="27"/>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65,252</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63,939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63,520</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2.1 %</w:t>
            </w:r>
          </w:p>
        </w:tc>
        <w:tc>
          <w:tcPr>
            <w:tcW w:w="120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70,198</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65,694</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61,934</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6.9 %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Dining</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48,554</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48,449</w:t>
            </w: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49,225</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0.2 %</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21,111</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22,173</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22,205</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Golf</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18,110</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17,837</w:t>
            </w: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17,519</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1.5 %</w:t>
            </w:r>
          </w:p>
        </w:tc>
        <w:tc>
          <w:tcPr>
            <w:tcW w:w="12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47,577</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46,238</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47,833</w:t>
            </w:r>
          </w:p>
        </w:tc>
        <w:tc>
          <w:tcPr>
            <w:tcW w:w="1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2.9 %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34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270,802</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264,330</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262,236</w:t>
            </w: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2.4 %</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cost reimbursements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13,841</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14,184</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12,318</w:t>
            </w:r>
          </w:p>
        </w:tc>
        <w:tc>
          <w:tcPr>
            <w:tcW w:w="1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37"/>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284,643</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278,514</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274,554</w:t>
            </w: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2.2 %</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Labor and labor-related benefits</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121,733</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117,183</w:t>
            </w: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114,404</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3.9 %</w:t>
            </w:r>
          </w:p>
        </w:tc>
        <w:tc>
          <w:tcPr>
            <w:tcW w:w="12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37,716</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37,217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35,351</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86,347</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82,843</w:t>
            </w: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84,312</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4.2 %</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245,796</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237,243</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234,067</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3.6 %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Reimbursed payroll costs</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13,841</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14,184</w:t>
            </w: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12,318</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(2.4)%</w:t>
            </w:r>
          </w:p>
        </w:tc>
        <w:tc>
          <w:tcPr>
            <w:tcW w:w="1200" w:type="dxa"/>
            <w:vAlign w:val="bottom"/>
          </w:tcPr>
          <w:p>
            <w:pPr>
              <w:jc w:val="right"/>
              <w:spacing w:after="0"/>
              <w:rPr>
                <w:sz w:val="20"/>
                <w:szCs w:val="20"/>
                <w:color w:val="auto"/>
              </w:rPr>
            </w:pPr>
            <w:r>
              <w:rPr>
                <w:rFonts w:ascii="Arial" w:cs="Arial" w:eastAsia="Arial" w:hAnsi="Arial"/>
                <w:sz w:val="18"/>
                <w:szCs w:val="18"/>
                <w:color w:val="auto"/>
              </w:rPr>
              <w:t>15.1 %</w:t>
            </w:r>
          </w:p>
        </w:tc>
      </w:tr>
      <w:tr>
        <w:trPr>
          <w:trHeight w:val="27"/>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259,637</w:t>
            </w: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251,427</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246,385</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3.3 %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7"/>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25,006</w:t>
            </w:r>
          </w:p>
        </w:tc>
        <w:tc>
          <w:tcPr>
            <w:tcW w:w="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27,087</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28,169</w:t>
            </w: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(7.7)%</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6"/>
        </w:trPr>
        <w:tc>
          <w:tcPr>
            <w:tcW w:w="3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ADR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250.50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245.31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227.27</w:t>
            </w:r>
          </w:p>
        </w:tc>
        <w:tc>
          <w:tcPr>
            <w:tcW w:w="100" w:type="dxa"/>
            <w:vAlign w:val="bottom"/>
          </w:tcPr>
          <w:p>
            <w:pPr>
              <w:spacing w:after="0"/>
              <w:rPr>
                <w:sz w:val="21"/>
                <w:szCs w:val="21"/>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2.1 %</w:t>
            </w: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168.14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153.13</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3.1 %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336.29</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347.64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325.38</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RevPar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116.26</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113.08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21"/>
                <w:szCs w:val="21"/>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2.8 %</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Owned hotel and managed condominium</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statistics (combined):</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ADR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300.90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302.80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280.38</w:t>
            </w:r>
          </w:p>
        </w:tc>
        <w:tc>
          <w:tcPr>
            <w:tcW w:w="100" w:type="dxa"/>
            <w:vAlign w:val="bottom"/>
          </w:tcPr>
          <w:p>
            <w:pPr>
              <w:spacing w:after="0"/>
              <w:rPr>
                <w:sz w:val="21"/>
                <w:szCs w:val="21"/>
                <w:color w:val="auto"/>
              </w:rPr>
            </w:pPr>
          </w:p>
        </w:tc>
        <w:tc>
          <w:tcPr>
            <w:tcW w:w="2100" w:type="dxa"/>
            <w:vAlign w:val="bottom"/>
          </w:tcPr>
          <w:p>
            <w:pPr>
              <w:jc w:val="right"/>
              <w:ind w:right="390"/>
              <w:spacing w:after="0"/>
              <w:rPr>
                <w:sz w:val="20"/>
                <w:szCs w:val="20"/>
                <w:color w:val="auto"/>
              </w:rPr>
            </w:pPr>
            <w:r>
              <w:rPr>
                <w:rFonts w:ascii="Arial" w:cs="Arial" w:eastAsia="Arial" w:hAnsi="Arial"/>
                <w:sz w:val="18"/>
                <w:szCs w:val="18"/>
                <w:color w:val="auto"/>
              </w:rPr>
              <w:t>(0.6)%</w:t>
            </w: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127.95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2.4 %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3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Lodging Reported EBITDA includes $3.2 million, $3.2 million and $3.1 million of stock-based compensation expense for Fiscal 2018, Fiscal 2017 and Fiscal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compared to Fiscal 2017</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Lodging Reported EBITDA for Fiscal 2018 decreased $2.1 million, or 7.7% primarily due to general cost increases and a one-time benefit recorded in Fiscal 2017 for association fees with respect to a lodging property at Park City.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owned hotel rooms increased $1.3 million, or 2.1%, primarily due to an increase in occupancy at Flagg Ranch, which incurred an early closure in Fiscal 2017 as a result of a forest fire in Grand Teton National Park, as well as an increase in revenue at GTLC, partially offset by decreased revenue at our owned Colorado lodging properties as a result of lower winter visitation. Revenue from managed condominium rooms increased $4.5 million, or 6.9%, primarily due to increased revenue at our Colorado managed properties as a result of increased demand, partially offset by a decrease in ADR, as well as incremental revenue from a Park City lodging property which was temporally closed for renovations in the prior year. Additionally, managed condominium rooms revenue was positively impacted by incremental revenue at Whistler Blackcomb.</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017" w:right="239" w:bottom="1440" w:gutter="0" w:footer="0" w:header="0"/>
          <w:type w:val="continuous"/>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Transportation revenue decreased $1.1 million, or 4.8%, primarily due to decreased passenger volume. Other revenue increased $1.3 million, or 2.9%, primarily due to increases in conference services revenue and ancillary revenue, partially offset by a business interruption insurance recovery recorded in Fiscal 2017 related to the early closure of our Flagg Ranch property in September 2016, as discussed above.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(excluding reimbursed payroll costs) increased $8.6 million, or 3.6%. Labor and labor-related benefits increased $4.6 million, or 3.9%, primarily resulting from higher labor expense for Park City and Flagg Ranch, which were both closed for a portion of the prior year period, incremental expenses from Whistler Blackcomb and normal wage increases, partially offset by lower performance-based variable compensation. Other expense increased $3.5 million, or 4.2%, primarily due to a one-time benefit for association fees with respect to a lodging property at Park City that was recorded in Fiscal 2017, as well as increases in variable operating expenses and an increase in property taxes.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from payroll cost reimbursements and the corresponding reimbursed payroll costs relates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 compared to Fiscal 2016</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Lodging Reported EBITDA for Fiscal 2017 decreased $1.1 million, or 3.8%. Lodging Reported EBITDA for Fiscal 2017 included the operations of Whistler Blackcomb prospectively since the date of acquisition and was impacted by a reduction of revenue and EBITDA from the sale of a hotel property in Keystone in November 2016, which we continue to manage under a property management agreement. Included in Lodging Reported EBITDA for Fiscal 2016 was the recognition of a $3.5 million termination fee (included in other revenue) associated with the termination of the management agreement at Half Moon in Montego Bay, Jamaica (“Half Moon Termination Fee”). Excluding Whistler Blackcomb operations from Fiscal 2017, operations from the hotel property in Keystone from both periods and the Half Moon Termination Fee from Fiscal 2016, Lodging Reported EBITDA increased 9.2%, which was primarily attributable to an increase in revenue at GTLC and increased ADR at our Colorado managed condominium rooms.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from owned hotel rooms increased $0.4 million, or 0.7%, primarily due to an increase in revenue at GTLC and at our owned Colorado lodging properties during Fiscal 2017. These increases were partially offset by a decrease in revenue associated with the sale of a hotel property in Keystone, as discussed above, as well as lower revenue due to the early closure of our Flagg Ranch property as a result of a forest fire near Grand Teton National Park in September 2016. Revenue from managed condominium rooms increased $3.8 million, or 6.1%, primarily due to revenue from Whistler Blackcomb and increased ADR at our Colorado managed properties, partially offset by the temporary closure of a lodging property at Park City for renovations.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Dining revenue for Fiscal 2017 decreased $0.8 million, or 1.6%, primarily due to the temporary closure of a lodging property at Park City for renovations, partially offset by increased dining revenue at our Colorado lodging properties. Excluding the Half Moon Termination Fee from Fiscal 2016, other revenue increased $1.9 million, or 4.2%, primarily due to a business interruption insurance recovery related to the early closure of our Flagg Ranch property in September 2016, as discussed above, as well as an increase in revenue from our central reservations booking service.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(excluding reimbursed payroll costs) increased $3.2 million, or 1.4%. Labor and labor-related benefits increased $2.8 million, or 2.4%, primarily resulting from Whistler Blackcomb labor expense and normal wage increases. General and administrative expense increased $1.9 million, or 5.3% due to higher corporate overhead costs. Other expense decreased $1.5 million, or 1.7%, primarily due to a one-time benefit for association fees with respect to a lodging property at Park City.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from payroll cost reimbursements and the corresponding reimbursed payroll costs relates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1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Real Estate segment operating results for Fiscal 2018, Fiscal 2017 and Fiscal 2016 are presented by category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Percentage</w:t>
            </w:r>
          </w:p>
        </w:tc>
        <w:tc>
          <w:tcPr>
            <w:tcW w:w="1200" w:type="dxa"/>
            <w:vAlign w:val="bottom"/>
          </w:tcPr>
          <w:p>
            <w:pPr>
              <w:spacing w:after="0"/>
              <w:rPr>
                <w:sz w:val="20"/>
                <w:szCs w:val="20"/>
                <w:color w:val="auto"/>
              </w:rPr>
            </w:pPr>
          </w:p>
        </w:tc>
      </w:tr>
      <w:tr>
        <w:trPr>
          <w:trHeight w:val="270"/>
        </w:trPr>
        <w:tc>
          <w:tcPr>
            <w:tcW w:w="3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Year Ended July 31,</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Increase/(Decrease)</w:t>
            </w:r>
          </w:p>
        </w:tc>
      </w:tr>
      <w:tr>
        <w:trPr>
          <w:trHeight w:val="27"/>
        </w:trPr>
        <w:tc>
          <w:tcPr>
            <w:tcW w:w="3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1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2018/2017</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2017/2016</w:t>
            </w:r>
          </w:p>
        </w:tc>
      </w:tr>
      <w:tr>
        <w:trPr>
          <w:trHeight w:val="27"/>
        </w:trPr>
        <w:tc>
          <w:tcPr>
            <w:tcW w:w="3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3,988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16,918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22,128</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(76.4)%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7"/>
        </w:trPr>
        <w:tc>
          <w:tcPr>
            <w:tcW w:w="3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operating expense:</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 of sales (including sales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3,927</w:t>
            </w: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14,534</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17,682</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(73.0)%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(381)</w:t>
            </w:r>
          </w:p>
        </w:tc>
        <w:tc>
          <w:tcPr>
            <w:tcW w:w="4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9,549</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6,957</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(104.0)%</w:t>
            </w:r>
          </w:p>
        </w:tc>
        <w:tc>
          <w:tcPr>
            <w:tcW w:w="1200" w:type="dxa"/>
            <w:vAlign w:val="bottom"/>
          </w:tcPr>
          <w:p>
            <w:pPr>
              <w:jc w:val="right"/>
              <w:spacing w:after="0"/>
              <w:rPr>
                <w:sz w:val="20"/>
                <w:szCs w:val="20"/>
                <w:color w:val="auto"/>
              </w:rPr>
            </w:pPr>
            <w:r>
              <w:rPr>
                <w:rFonts w:ascii="Arial" w:cs="Arial" w:eastAsia="Arial" w:hAnsi="Arial"/>
                <w:sz w:val="18"/>
                <w:szCs w:val="18"/>
                <w:color w:val="auto"/>
              </w:rPr>
              <w:t>37.3 %</w:t>
            </w:r>
          </w:p>
        </w:tc>
      </w:tr>
      <w:tr>
        <w:trPr>
          <w:trHeight w:val="27"/>
        </w:trPr>
        <w:tc>
          <w:tcPr>
            <w:tcW w:w="3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3,546</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24,083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24,639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(85.3)%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Gain on sale of real property</w:t>
            </w:r>
          </w:p>
        </w:tc>
        <w:tc>
          <w:tcPr>
            <w:tcW w:w="90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515</w:t>
            </w:r>
          </w:p>
        </w:tc>
        <w:tc>
          <w:tcPr>
            <w:tcW w:w="4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6,766</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(92.4)%</w:t>
            </w:r>
          </w:p>
        </w:tc>
        <w:tc>
          <w:tcPr>
            <w:tcW w:w="1200" w:type="dxa"/>
            <w:vAlign w:val="bottom"/>
          </w:tcPr>
          <w:p>
            <w:pPr>
              <w:jc w:val="right"/>
              <w:spacing w:after="0"/>
              <w:rPr>
                <w:sz w:val="20"/>
                <w:szCs w:val="20"/>
                <w:color w:val="auto"/>
              </w:rPr>
            </w:pPr>
            <w:r>
              <w:rPr>
                <w:rFonts w:ascii="Arial" w:cs="Arial" w:eastAsia="Arial" w:hAnsi="Arial"/>
                <w:sz w:val="18"/>
                <w:szCs w:val="18"/>
                <w:color w:val="auto"/>
              </w:rPr>
              <w:t>27.8 %</w:t>
            </w:r>
          </w:p>
        </w:tc>
      </w:tr>
      <w:tr>
        <w:trPr>
          <w:trHeight w:val="27"/>
        </w:trPr>
        <w:tc>
          <w:tcPr>
            <w:tcW w:w="3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339.8 %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0"/>
        </w:trPr>
        <w:tc>
          <w:tcPr>
            <w:tcW w:w="3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Real Estate Reported EBITDA includes $0.1 million, $0.1 million and $0.5 million of stock-based compensation expense for Fiscal 2018, Fiscal 2017 and Fiscal 2016,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Real Estate operating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 During Fiscal 2018, we did not have any condominium units available for sale as all remaining units were sold in Fiscal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we closed on the sales of development land parcels for $3.5 million which were recorded within Real Estate net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net operating expense included the recognition of a $5.5 million benefit (non-cash in the current period) related to a legal</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settlement in Fiscal 2015 for which cash proceeds were received and established as a liability for estimated future remediation costs of a construction development. All known items have been remediated and, based on continued monitoring, the Company has concluded that the need for further remediation is remote. Additionally, other, net operating expense included general and administrative costs, such as labor and labor-related benefits and allocated corporate costs. Real Estate Reported EBITDA also included a gain on sale of real property of $0.5 million for the sale of a land parcel.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Real Estate segment net revenue was primarily driven by the closing of four condominium units at The Ritz-Carlton Residences, Vail ($13.6 million of revenue with an average selling price of $3.4 million and an average price per square foot of $1,345) and two condominium units at One Ski Hill Place in Breckenridge ($2.3 million of revenue with an average sales price of $1.1 million and an average price per square foot of $983). The average price per square foot of both of these projects is driven by their premier locations and the comprehensive and exclusive amenities related to these projects.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 included cost of sales of $13.4 million resulting from the closing of four condominium units at The Ritz-Carlton Residences, Vail (average cost per square foot of $1,131) and two condominium units at One Ski Hill Place (average cost per square foot of $838). Additionally, sales commissions of approximately $1.0 million were incurred commensurate with revenue recognized. Other operating expense of $9.5 million was primarily comprised of a $4.3 million one-time charge related to the resolution of a financial contingency to the Town of Vail for incremental parking capacity, as well as general and administrative costs, which includes marketing expense for the real estate available for sale, carrying costs for units available for sale and overhead costs, such as labor and labor-related benefits and allocated corporate costs.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recorded a gain on sale of real property of $6.5 million for a land parcel in Breckenridge which sold for $9.3 million during Fiscal 2017.</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1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Fiscal 2016</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Real Estate segment net revenue was driven primarily by the closing of five condominium units at The Ritz-Carlton Residences, Vail ($15.6 million of revenue with an average selling price per unit of $3.1 million and an average price per square foot of $1,421); two condominium units at One Ski Hill Place in Breckenridge ($2.5 million of revenue with an average selling price per unit of $1.2 million and an average price per square foot of $1,129); and the three remaining condominium units at Crystal Peak Lodge, in Breckenridge ($2.4 million of revenue with an average selling price of $0.8 million and an average price per square foot of $707). The average price per square foot for all three projects is primarily due to their premier locations and the comprehensive and exclusive amenities related to these projects.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expense included cost of sales of $15.6 million primarily resulting from the closing of five condominium units at The Ritz-Carlton Residences, Vail (average cost per square foot of $1,075); two condominium units at One Ski Hill Place (average cost per square foot of $931); and three condominium units at Crystal Peak Lodge (average cost per square foot of $513). The cost per square foot for the One Ski Hill Place and The Ritz-Carlton Residences, Vail projects is reflective of the high-end features and amenities and high construction costs associated with mountain resort development. Additionally, sales commissions of approximately $1.4 million were incurred commensurate with revenue recognized. Other operating expense of $7.0 million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recorded a gain on sale of real property of $5.3 million (net of $2.1 million in related land basis and cost) for various land parcels which sold for $7.4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segment operating results, the following material items contribute to our overall financial position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July 31,</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1"/>
              </w:rPr>
              <w:t>Percentage Increase/(Decrease)</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2018/2017</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2017/2016</w:t>
            </w:r>
          </w:p>
        </w:tc>
      </w:tr>
      <w:tr>
        <w:trPr>
          <w:trHeight w:val="27"/>
        </w:trPr>
        <w:tc>
          <w:tcPr>
            <w:tcW w:w="5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(204,462)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(161,488)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111.4 %</w:t>
            </w:r>
          </w:p>
        </w:tc>
        <w:tc>
          <w:tcPr>
            <w:tcW w:w="1220" w:type="dxa"/>
            <w:vAlign w:val="bottom"/>
          </w:tcPr>
          <w:p>
            <w:pPr>
              <w:jc w:val="right"/>
              <w:spacing w:after="0"/>
              <w:rPr>
                <w:sz w:val="20"/>
                <w:szCs w:val="20"/>
                <w:color w:val="auto"/>
              </w:rPr>
            </w:pPr>
            <w:r>
              <w:rPr>
                <w:rFonts w:ascii="Arial" w:cs="Arial" w:eastAsia="Arial" w:hAnsi="Arial"/>
                <w:sz w:val="18"/>
                <w:szCs w:val="18"/>
                <w:color w:val="auto"/>
              </w:rPr>
              <w:t>(288.1)%</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6,114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745.6 %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(63,226)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(54,089)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(42,366)</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16.9 %</w:t>
            </w:r>
          </w:p>
        </w:tc>
        <w:tc>
          <w:tcPr>
            <w:tcW w:w="1220" w:type="dxa"/>
            <w:vAlign w:val="bottom"/>
          </w:tcPr>
          <w:p>
            <w:pPr>
              <w:jc w:val="right"/>
              <w:spacing w:after="0"/>
              <w:rPr>
                <w:sz w:val="20"/>
                <w:szCs w:val="20"/>
                <w:color w:val="auto"/>
              </w:rPr>
            </w:pPr>
            <w:r>
              <w:rPr>
                <w:rFonts w:ascii="Arial" w:cs="Arial" w:eastAsia="Arial" w:hAnsi="Arial"/>
                <w:sz w:val="18"/>
                <w:szCs w:val="18"/>
                <w:color w:val="auto"/>
              </w:rPr>
              <w:t>27.7 %</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15,285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(158.7)%</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61,138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(116,731)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(93,165)</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152.4 %</w:t>
            </w:r>
          </w:p>
        </w:tc>
        <w:tc>
          <w:tcPr>
            <w:tcW w:w="1220" w:type="dxa"/>
            <w:vAlign w:val="bottom"/>
          </w:tcPr>
          <w:p>
            <w:pPr>
              <w:jc w:val="right"/>
              <w:spacing w:after="0"/>
              <w:rPr>
                <w:sz w:val="20"/>
                <w:szCs w:val="20"/>
                <w:color w:val="auto"/>
              </w:rPr>
            </w:pPr>
            <w:r>
              <w:rPr>
                <w:rFonts w:ascii="Arial" w:cs="Arial" w:eastAsia="Arial" w:hAnsi="Arial"/>
                <w:sz w:val="18"/>
                <w:szCs w:val="18"/>
                <w:color w:val="auto"/>
              </w:rPr>
              <w:t>25.3 %</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for both Fiscal 2018 and Fiscal 2017 increased over the applicable prior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the fixed asset base due to incremental capital expenditures, including assets acquired in the Whistler Blackcomb (acquired October 2016) and Stowe (acquired June 2017) acquisitions.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Change in fair value of contingent consideration</w:t>
      </w:r>
      <w:r>
        <w:rPr>
          <w:rFonts w:ascii="Arial" w:cs="Arial" w:eastAsia="Arial" w:hAnsi="Arial"/>
          <w:sz w:val="16"/>
          <w:szCs w:val="16"/>
          <w:color w:val="auto"/>
        </w:rPr>
        <w:t>. We recorded a gain of $1.9 million during Fiscal 2018 primarily related to a decrease in the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Contingent Consideration payment for Fiscal 2018. Additionally, losses of $16.3 million and $4.2 million were recorded during Fiscal 2017 and Fiscal 2016, respectively, related to increases in the estimated fair value of the future participating contingent payments under the lease for Park City. The fair value of contingent consideration is based on assumptions for EBITDA of Park City in future periods, as calculated under the lease on which participating payments are determined. The estimated fair value of the contingent consideration was $21.9 million and $27.4 million as of July 31, 2018 and 2017, respectively.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 income and other, net. </w:t>
      </w:r>
      <w:r>
        <w:rPr>
          <w:rFonts w:ascii="Arial" w:cs="Arial" w:eastAsia="Arial" w:hAnsi="Arial"/>
          <w:sz w:val="18"/>
          <w:szCs w:val="18"/>
          <w:color w:val="auto"/>
        </w:rPr>
        <w:t>Investment income and other, net increased for Fiscal 2017 compared to Fiscal 2016, primarily due to a $3.4 million gain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on short-term foreign currency forward contracts that were entered into in conjunction with funding the cash consideration required for the Whistler Blackcomb acquisition, a $0.9 million gain recorded for the sale of a lodging property and a $0.8 million non-cash gain recognized on an investment in Whistler Blackcomb shares that were held prior to the acquisition.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increased for Fiscal 2018 and Fiscal 2017 primarily due to interest expense associated with incremental term loan</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under the Vail Holdings Credit Agreement of $509.4 million which was used to fund the cash consideration portion of the Whistler Blackcomb acquisition in October 2016, as well as the Whistler Credit Agreement, which was assumed as part of the Whistler Blackcomb acquisition.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17" w:right="239" w:bottom="1440" w:gutter="0" w:footer="0" w:header="0"/>
        </w:sectPr>
      </w:pPr>
    </w:p>
    <w:bookmarkStart w:id="49" w:name="page50"/>
    <w:bookmarkEnd w:id="49"/>
    <w:p>
      <w:pPr>
        <w:jc w:val="both"/>
        <w:spacing w:after="0" w:line="302" w:lineRule="auto"/>
        <w:rPr>
          <w:sz w:val="20"/>
          <w:szCs w:val="20"/>
          <w:color w:val="auto"/>
        </w:rPr>
      </w:pPr>
      <w:r>
        <w:rPr>
          <w:rFonts w:ascii="Arial" w:cs="Arial" w:eastAsia="Arial" w:hAnsi="Arial"/>
          <w:sz w:val="16"/>
          <w:szCs w:val="16"/>
          <w:i w:val="1"/>
          <w:iCs w:val="1"/>
          <w:color w:val="auto"/>
        </w:rPr>
        <w:t xml:space="preserve">Foreign currency (loss) gain on intercompany loans. </w:t>
      </w:r>
      <w:r>
        <w:rPr>
          <w:rFonts w:ascii="Arial" w:cs="Arial" w:eastAsia="Arial" w:hAnsi="Arial"/>
          <w:sz w:val="16"/>
          <w:szCs w:val="16"/>
          <w:color w:val="auto"/>
        </w:rPr>
        <w:t>Foreign currency (loss) gain on intercompany loans for Fiscal 2018 and Fiscal 2017 was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intercompany loan from Vail Holdings, Inc. to Whistler Blackcomb in the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Benefit (provision) for income taxes. </w:t>
      </w:r>
      <w:r>
        <w:rPr>
          <w:rFonts w:ascii="Arial" w:cs="Arial" w:eastAsia="Arial" w:hAnsi="Arial"/>
          <w:sz w:val="17"/>
          <w:szCs w:val="17"/>
          <w:color w:val="auto"/>
        </w:rPr>
        <w:t>Our effective tax rate benefit (provision) was 18.0%, (33.5%) and (38.4%) in Fiscal 2018, Fiscal 2017 and Fiscal 2016,</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Our tax benefit (provision) and effective tax rate are driven primarily by the amount of pre-tax income, which is adjusted for items that are deductible/non-deductible for tax purposes only (i.e. permanent items), excess tax benefits from employee share awards, enacted tax legislation and taxable income generated by state and foreign jurisdictions that varies from the consolidated pre-tax income and the amount of net income attributable to noncontrolling interests. The change in the effective tax rate during Fiscal 2018 compared to Fiscal 2017 was primarily driven by the Tax Act and excess tax benefits from employee share awards that were exercised, as further discussed below. The decrease in the effective tax rate provision during Fiscal 2017 compared to Fiscal 2016 was primarily associated with the Whistler Blackcomb acquisition, where the Canadian statutory tax rate was lower than the U.S. statutory tax rate during Fiscal 2017 (prior to enactment of the Tax Act).</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Act. The Tax Act transitions the U.S. tax system to a new territorial system and lowers the statutory federal corporate income tax rate from 35% to 21%. The reduction of the statutory federal corporate tax rate to 21% became effective on January 1, 2018. As a result of the Tax Act, we recorded a one-time, provisional net tax benefit of approximately $61.0 million on our Consolidated Statement of Operations for Fiscal 2018. Due to the reduction in the federal corporate tax rate, we remeasured our U.S. net deferred tax liabilities as of the effective date of the Tax Act using the reduced statutory federal corporate income tax rate. The U.S. net deferred tax liabilities remeasurement resulted in a one-time tax benefit estimated to be approximately $67.0 million, which was recognized as a discrete item and was recorded within benefit (provision) for income taxes on our Consolidated Statement of Operations during Fiscal 2018. Also, in transitioning to the new territorial tax system, the Tax Act requires us to include certain foreign earnings of non-U.S. subsidiaries in our Fiscal 2018 taxable income. Such foreign earnings are subject to a one-time tax. The Transition Tax was estimated to be approximately $6.0 million and was recorded during Fiscal 2018. The above-mentioned accounting impacts of the deferred tax remeasurement and Transition Tax are provisional, based on currently available information and technical guidance on the interpretation of the new law. The provisional accounting impacts may change in future reporting periods until the accounting analysis is finalized, which will occur not later than the second quarter of fiscal 2019, as permitted by the SEC.</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Additionally, the change in the effective tax rate during Fiscal 2018 compared to Fiscal 2017 was also due to excess tax benefits from employee share awards that were exercised (stock appreciation awards) and that vested (restricted stock awards), which were recorded within benefit (provision) for income taxes during Fiscal 2018 as a result of new accounting guidance that was adopted prospectively as of August 1, 2017. The new guidance requires excess tax benefits to be recorded in the period realized as a discrete item within earnings rather than within equity. As a result of adopting this guidance, we recorded $71.1 million of excess tax benefits within benefit (provision) for income taxes on our Consolidated Statement of Operations for Fiscal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3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Reconciliation of Segment Earnings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from segment Reported EBITDA to net income attributable to Vail Resorts, Inc. for Fiscal 2018, Fiscal 2017 and Fiscal 2016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Year Ended July 31,</w:t>
            </w: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591,605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566,338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424,415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25,006</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27,087</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28,169</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Reported EBITDA</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616,611</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593,425</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452,584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957</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2,784</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Reported EBITDA</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617,568</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593,026</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455,368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(204,462)</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(189,157)</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(161,488)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 and other, net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(4,620)</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(6,430)</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1,854</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(16,300)</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1,944</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6,114</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(8,966)</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15,285</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(63,226)</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(54,089)</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(42,366)</w:t>
            </w:r>
          </w:p>
        </w:tc>
      </w:tr>
      <w:tr>
        <w:trPr>
          <w:trHeight w:val="237"/>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before benefit (provision) for income taxes</w:t>
            </w: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340,092</w:t>
            </w:r>
          </w:p>
        </w:tc>
        <w:tc>
          <w:tcPr>
            <w:tcW w:w="4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348,449</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242,619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61,138</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(116,731)</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(93,165)</w:t>
            </w:r>
          </w:p>
        </w:tc>
      </w:tr>
      <w:tr>
        <w:trPr>
          <w:trHeight w:val="237"/>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401,230</w:t>
            </w:r>
          </w:p>
        </w:tc>
        <w:tc>
          <w:tcPr>
            <w:tcW w:w="4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231,718</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149,454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(21,332)</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(21,165)</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37"/>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attributable to Vail Resorts, Inc.</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379,898</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210,553</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149,754</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Net Debt (defined as long-term debt, net plus long-term debt due within one year less cash and cash equivalents) to long-term debt, net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July 31,</w:t>
            </w:r>
          </w:p>
        </w:tc>
        <w:tc>
          <w:tcPr>
            <w:tcW w:w="13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7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1,234,277</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1,234,024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38,455</w:t>
            </w:r>
          </w:p>
        </w:tc>
        <w:tc>
          <w:tcPr>
            <w:tcW w:w="6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38,397</w:t>
            </w:r>
          </w:p>
        </w:tc>
      </w:tr>
      <w:tr>
        <w:trPr>
          <w:trHeight w:val="27"/>
        </w:trPr>
        <w:tc>
          <w:tcPr>
            <w:tcW w:w="7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1,272,732</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1,272,421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178,145</w:t>
            </w:r>
          </w:p>
        </w:tc>
        <w:tc>
          <w:tcPr>
            <w:tcW w:w="6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117,389</w:t>
            </w:r>
          </w:p>
        </w:tc>
      </w:tr>
      <w:tr>
        <w:trPr>
          <w:trHeight w:val="27"/>
        </w:trPr>
        <w:tc>
          <w:tcPr>
            <w:tcW w:w="7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1,094,587</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1,155,032</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and uses of cash for Fiscal 2018, Fiscal 2017 and Fiscal 2016 are presented by categories as follows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July 31,</w:t>
            </w:r>
          </w:p>
        </w:tc>
        <w:tc>
          <w:tcPr>
            <w:tcW w:w="94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551,625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473,189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436,977</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(134,579)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(682,836)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(124,016)</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(350,715)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255,617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(281,432)</w:t>
            </w:r>
          </w:p>
        </w:tc>
      </w:tr>
      <w:tr>
        <w:trPr>
          <w:trHeight w:val="27"/>
        </w:trPr>
        <w:tc>
          <w:tcPr>
            <w:tcW w:w="7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we have lower cash available at our fiscal year-end (as well as at the end of our first fiscal quarter of each year) as compared to our second and third fiscal quarter-ends, primarily due to the seasonality of our Mountain segment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generated $551.6 million of cash from operating activities during Fiscal 2018, an increase of $78.4 million when compared to $473.2 million of cash generated during Fiscal 2017. The increase in operating cash flows was primarily a result of improved</w:t>
      </w:r>
    </w:p>
    <w:p>
      <w:pPr>
        <w:sectPr>
          <w:pgSz w:w="11900" w:h="16838" w:orient="portrait"/>
          <w:cols w:equalWidth="0" w:num="1">
            <w:col w:w="11420"/>
          </w:cols>
          <w:pgMar w:left="240" w:top="1017"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017" w:right="239" w:bottom="1440" w:gutter="0" w:footer="0" w:header="0"/>
          <w:type w:val="continuous"/>
        </w:sectPr>
      </w:pPr>
    </w:p>
    <w:bookmarkStart w:id="51" w:name="page52"/>
    <w:bookmarkEnd w:id="51"/>
    <w:p>
      <w:pPr>
        <w:jc w:val="both"/>
        <w:spacing w:after="0" w:line="291" w:lineRule="auto"/>
        <w:rPr>
          <w:sz w:val="20"/>
          <w:szCs w:val="20"/>
          <w:color w:val="auto"/>
        </w:rPr>
      </w:pPr>
      <w:r>
        <w:rPr>
          <w:rFonts w:ascii="Arial" w:cs="Arial" w:eastAsia="Arial" w:hAnsi="Arial"/>
          <w:sz w:val="16"/>
          <w:szCs w:val="16"/>
          <w:color w:val="auto"/>
        </w:rPr>
        <w:t>Mountain segment operating results in Fiscal 2018, including operating benefits from the recent acquisitions of Stowe and Whistler Blackcomb, as compared to Fiscal 2017. Additionally, the increase in operating cash flows was a result of an increase in accounts payable and a decrease in estimated tax payments primarily as a result of an increase in excess tax benefits from employee share awards that vested (restricted stock awards) or were exercised (stock appreciation awards), as applicable, during Fiscal 2018 and the enactment of the Tax Act. These increases were partially offset by an increase in cash interest payments during Fiscal 2018 from incremental term loan borrowings under our Vail Holdings Credit Agreement and borrowings under the Whistler Credit Agreement. Additionally, we generated $3.3 million of proceeds from real estate development land parcel sales during Fiscal 2018 compared to $14.9 million in proceeds (net of sales commissions and deposits previously received) from real estate development project closings that occurred in Fiscal 2017.</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used in investing activities for Fiscal 2018 decreased by $548.3 million, primarily due to cash payments during Fiscal 2017 related to the acquisitions of Whistler Blackcomb for $512.3 million, net of cash acquired (cash portion of consideration), and Stowe for $40.7 million, as well as a decrease in capital expenditures of $3.8 million during Fiscal 2018 compared to Fiscal 2017, partially offset by a reduction in cash received from the sale of real property.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financing activities increased $606.3 million during Fiscal 2018, compared to Fiscal 2017, primarily due to the reduction of net proceeds from borrowings under our Vail Holdings Credit Agreement during Fiscal 2017, which was used to fund a portion of the cash consideration for the Whistler Blackcomb acquisition. Cash payments made on behalf of employees for taxes related to exercises of share awards increased $87.8 million and dividends paid increased $57.9 million during Fiscal 2018, compared to Fiscal 2017. Additionally, cash outflows related to repurchases of common stock in Fiscal 2018 increased by $25.6 million as compared to Fiscal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compared to Fiscal 2016</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generated $473.2 million of cash from operating activities during Fiscal 2017, an increase of $36.2 million when compared to $437.0 million of cash generated during Fiscal 2016. The increase in operating cash flows was primarily a result of improved Mountain segment operating results in Fiscal 2017 (including Whistler Blackcomb operations, partially offset by transaction, transition and integration costs) compared to Fiscal 2016. These increases in operating cash inflows were partially offset by an increase in estimated domestic and foreign income tax payments of $27.4 million made during Fiscal 2017 compared Fiscal 2016, a decrease in accounts payable, an increase in cash interest payments due to incremental term loan borrowings under our Vail Holdings Credit Agreement and assumed borrowings under the Whistler Credit Agreement during Fiscal 2017, and receipt of a $4.5 million key money deposit related to the termination of the Half Moon management agreement in Fiscal 2016. Additionally, we generated $14.9 million of proceeds from real estate development project closings during Fiscal 2017 compared to $19.7 million in proceeds from real estate development project closings that occurred in Fiscal 2016 (each year net of sales commissions and deposits previously received).</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investing activities increased by $558.8 million during Fiscal 2017, primarily due to cash payments of $553.2 million, net of cash acquired, related to the acquisitions of Whistler Blackcomb for $512.3 million and Stowe for $40.7 million, and an increase in capital expenditures of $35.2 million during Fiscal 2017. These increases were partially offset by the acquisition of Wilmot for $20.2 million during Fiscal 2016.</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provided by financing activities increased $537.0 million during Fiscal 2017, primarily due to incremental term loan borrowings under our Vail Holdings Credit Agreement of $509.4 million used to fund a portion of the cash consideration for the Whistler Blackcomb acquisition, partially offset by an increase of $18.8 million in term loan payments during Fiscal 2017, and a decrease in net payments under the revolver portion of our Vail Holdings Credit Agreement of $85.0 million during Fiscal 2017. Additionally, in Fiscal 2017, we realized a $53.6 million reduction of cash outflows related to repurchases of common stock during Fiscal 2016. These net increases in cash inflows from financing activities were partially offset by an increase in net payments under the revolver portion of the Whistler Credit Agreement of $37.0 million, an increase in dividends paid of $42.4 million during Fiscal 2017 and an increase in cash payments for employee taxes related to exercises of share awards of $6.1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Adoption of Revised Accounting Guidance and U.S. Tax Reform</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the adoption of revised accounting guidance related to employee stock based compensation, we prospectively presented, beginning on August 1, 2017, excess tax benefits from the vesting or exercise of employee awards, as applicable, as operating activities on our Consolidated Statement of Cash Flows. Additionally, as of August 1, 2017, we retrospectively presented cash paid to taxing authorities on an employee’s behalf as financing activities on our Consolidated Statements of Cash Flows, which resulted in decreases of approximately $16.3 million and $10.2 million, respectively, to cash provided by financing activities with a corresponding increase to cash provided by operating activities for Fiscal 2017 and Fiscal 2016, as shown below (in thousands).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16"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Fiscal 2017</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7080" w:type="dxa"/>
            <w:vAlign w:val="bottom"/>
          </w:tcPr>
          <w:p>
            <w:pPr>
              <w:spacing w:after="0"/>
              <w:rPr>
                <w:sz w:val="13"/>
                <w:szCs w:val="13"/>
                <w:color w:val="auto"/>
              </w:rPr>
            </w:pPr>
          </w:p>
        </w:tc>
        <w:tc>
          <w:tcPr>
            <w:tcW w:w="1440" w:type="dxa"/>
            <w:vAlign w:val="bottom"/>
            <w:gridSpan w:val="2"/>
          </w:tcPr>
          <w:p>
            <w:pPr>
              <w:jc w:val="right"/>
              <w:ind w:right="30"/>
              <w:spacing w:after="0" w:line="153" w:lineRule="exact"/>
              <w:rPr>
                <w:sz w:val="20"/>
                <w:szCs w:val="20"/>
                <w:color w:val="auto"/>
              </w:rPr>
            </w:pPr>
            <w:r>
              <w:rPr>
                <w:rFonts w:ascii="Arial" w:cs="Arial" w:eastAsia="Arial" w:hAnsi="Arial"/>
                <w:sz w:val="14"/>
                <w:szCs w:val="14"/>
                <w:b w:val="1"/>
                <w:bCs w:val="1"/>
                <w:color w:val="auto"/>
                <w:w w:val="95"/>
              </w:rPr>
              <w:t>Previously Reported</w:t>
            </w:r>
          </w:p>
        </w:tc>
        <w:tc>
          <w:tcPr>
            <w:tcW w:w="240" w:type="dxa"/>
            <w:vAlign w:val="bottom"/>
          </w:tcPr>
          <w:p>
            <w:pPr>
              <w:spacing w:after="0"/>
              <w:rPr>
                <w:sz w:val="13"/>
                <w:szCs w:val="13"/>
                <w:color w:val="auto"/>
              </w:rPr>
            </w:pPr>
          </w:p>
        </w:tc>
        <w:tc>
          <w:tcPr>
            <w:tcW w:w="124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Tax Payments</w:t>
            </w:r>
          </w:p>
        </w:tc>
        <w:tc>
          <w:tcPr>
            <w:tcW w:w="180" w:type="dxa"/>
            <w:vAlign w:val="bottom"/>
          </w:tcPr>
          <w:p>
            <w:pPr>
              <w:spacing w:after="0"/>
              <w:rPr>
                <w:sz w:val="13"/>
                <w:szCs w:val="13"/>
                <w:color w:val="auto"/>
              </w:rPr>
            </w:pPr>
          </w:p>
        </w:tc>
        <w:tc>
          <w:tcPr>
            <w:tcW w:w="124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0"/>
              </w:rPr>
              <w:t>Revised Reported</w:t>
            </w:r>
          </w:p>
        </w:tc>
      </w:tr>
      <w:tr>
        <w:trPr>
          <w:trHeight w:val="192"/>
        </w:trPr>
        <w:tc>
          <w:tcPr>
            <w:tcW w:w="7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5"/>
              </w:rPr>
              <w:t>(Previous Guidance)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(New Guidance)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456,914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16,275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473,189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flows used in investing activities (no change)</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(682,836)</w:t>
            </w:r>
          </w:p>
        </w:tc>
        <w:tc>
          <w:tcPr>
            <w:tcW w:w="24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(682,836)</w:t>
            </w:r>
          </w:p>
        </w:tc>
      </w:tr>
      <w:tr>
        <w:trPr>
          <w:trHeight w:val="27"/>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271,892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(16,275)</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255,617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(no change)</w:t>
            </w:r>
          </w:p>
        </w:tc>
        <w:tc>
          <w:tcPr>
            <w:tcW w:w="3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3,522</w:t>
            </w:r>
          </w:p>
        </w:tc>
        <w:tc>
          <w:tcPr>
            <w:tcW w:w="24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3,522</w:t>
            </w:r>
          </w:p>
        </w:tc>
      </w:tr>
      <w:tr>
        <w:trPr>
          <w:trHeight w:val="27"/>
        </w:trPr>
        <w:tc>
          <w:tcPr>
            <w:tcW w:w="7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 (no change)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49,492</w:t>
            </w:r>
          </w:p>
        </w:tc>
      </w:tr>
      <w:tr>
        <w:trPr>
          <w:trHeight w:val="20"/>
        </w:trPr>
        <w:tc>
          <w:tcPr>
            <w:tcW w:w="7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488"/>
        </w:trPr>
        <w:tc>
          <w:tcPr>
            <w:tcW w:w="70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Fiscal 2016</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2"/>
        </w:trPr>
        <w:tc>
          <w:tcPr>
            <w:tcW w:w="7080" w:type="dxa"/>
            <w:vAlign w:val="bottom"/>
          </w:tcPr>
          <w:p>
            <w:pPr>
              <w:spacing w:after="0"/>
              <w:rPr>
                <w:sz w:val="13"/>
                <w:szCs w:val="13"/>
                <w:color w:val="auto"/>
              </w:rPr>
            </w:pPr>
          </w:p>
        </w:tc>
        <w:tc>
          <w:tcPr>
            <w:tcW w:w="1440" w:type="dxa"/>
            <w:vAlign w:val="bottom"/>
            <w:gridSpan w:val="2"/>
          </w:tcPr>
          <w:p>
            <w:pPr>
              <w:jc w:val="right"/>
              <w:ind w:right="30"/>
              <w:spacing w:after="0" w:line="153" w:lineRule="exact"/>
              <w:rPr>
                <w:sz w:val="20"/>
                <w:szCs w:val="20"/>
                <w:color w:val="auto"/>
              </w:rPr>
            </w:pPr>
            <w:r>
              <w:rPr>
                <w:rFonts w:ascii="Arial" w:cs="Arial" w:eastAsia="Arial" w:hAnsi="Arial"/>
                <w:sz w:val="14"/>
                <w:szCs w:val="14"/>
                <w:b w:val="1"/>
                <w:bCs w:val="1"/>
                <w:color w:val="auto"/>
                <w:w w:val="95"/>
              </w:rPr>
              <w:t>Previously Reported</w:t>
            </w:r>
          </w:p>
        </w:tc>
        <w:tc>
          <w:tcPr>
            <w:tcW w:w="240" w:type="dxa"/>
            <w:vAlign w:val="bottom"/>
          </w:tcPr>
          <w:p>
            <w:pPr>
              <w:spacing w:after="0"/>
              <w:rPr>
                <w:sz w:val="13"/>
                <w:szCs w:val="13"/>
                <w:color w:val="auto"/>
              </w:rPr>
            </w:pPr>
          </w:p>
        </w:tc>
        <w:tc>
          <w:tcPr>
            <w:tcW w:w="124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Tax Payments</w:t>
            </w:r>
          </w:p>
        </w:tc>
        <w:tc>
          <w:tcPr>
            <w:tcW w:w="180" w:type="dxa"/>
            <w:vAlign w:val="bottom"/>
          </w:tcPr>
          <w:p>
            <w:pPr>
              <w:spacing w:after="0"/>
              <w:rPr>
                <w:sz w:val="13"/>
                <w:szCs w:val="13"/>
                <w:color w:val="auto"/>
              </w:rPr>
            </w:pPr>
          </w:p>
        </w:tc>
        <w:tc>
          <w:tcPr>
            <w:tcW w:w="124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0"/>
              </w:rPr>
              <w:t>Revised Reported</w:t>
            </w:r>
          </w:p>
        </w:tc>
      </w:tr>
      <w:tr>
        <w:trPr>
          <w:trHeight w:val="192"/>
        </w:trPr>
        <w:tc>
          <w:tcPr>
            <w:tcW w:w="7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5"/>
              </w:rPr>
              <w:t>(Previous Guidance)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(New Guidance)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426,762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10,215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436,977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flows used in investing activities (no change)</w:t>
            </w: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(124,016)</w:t>
            </w:r>
          </w:p>
        </w:tc>
        <w:tc>
          <w:tcPr>
            <w:tcW w:w="24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(124,016)</w:t>
            </w:r>
          </w:p>
        </w:tc>
      </w:tr>
      <w:tr>
        <w:trPr>
          <w:trHeight w:val="27"/>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(271,217)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(10,215)</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(281,432)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(no change)</w:t>
            </w:r>
          </w:p>
        </w:tc>
        <w:tc>
          <w:tcPr>
            <w:tcW w:w="3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909</w:t>
            </w:r>
          </w:p>
        </w:tc>
      </w:tr>
      <w:tr>
        <w:trPr>
          <w:trHeight w:val="27"/>
        </w:trPr>
        <w:tc>
          <w:tcPr>
            <w:tcW w:w="7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 (no change)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32,438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32,438</w:t>
            </w:r>
          </w:p>
        </w:tc>
      </w:tr>
      <w:tr>
        <w:trPr>
          <w:trHeight w:val="20"/>
        </w:trPr>
        <w:tc>
          <w:tcPr>
            <w:tcW w:w="7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this revised accounting guidance did not have an impact on our total cash flows for Fiscal 2017 or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Tax Reform</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Beginning with our taxable year ending December 31, 2018, we expect to realize an increase in our operating cash flows as a result of the Tax Act, which will reduce our statutory federal corporate income tax rate from 35% to 21%. We expect that incremental cash flows generated from the reduction of the statutory federal corporate income tax rate and the accelerated deductibility of capital expenditures will be approximately $40.0 million in calendar 2018. We plan to use those incremental cash flows to reinvest in wages for our employees, in capital for our resorts and by increasing our return of capital to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$178.1 million of cash and cash equivalents as of July 31, 2018, compared to $117.4 million as of July 31, 2017. We generated $551.6 million of cash from operating activities during Fiscal 2018 compared to $473.2 million and $437.0 million generated during Fiscal 2017 and Fiscal 2016, respectively. We currently anticipate that our Mountain and Lodging segment operating results will continue to provide a significant source of future operating cash flows (primarily those generated in our second and third fiscal quarters).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our $178.1 million of cash and cash equivalents at July 31, 2018, we had $185.1 million available under the revolver component of our Vail Holdings Credit Agreement as of July 31, 2018 (which represents the total commitment of $400.0 million less outstanding borrowings of $130.0 million and certain letters of credit outstanding of $84.9 million). Also, to further support the liquidity needs of Whistler Blackcomb, we had C$214.1 million ($164.6 million) available under the revolver component of our Whistler Credit Agreement (which represents the total commitment of C$300.0 million ($230.7 million) less outstanding borrowings of C$85.0 million ($65.4 million) and a letter of credit outstanding of C$0.9 million ($0.7 million)). On August 15, 2018, we amended and restated in its entirety our Vail Holdings Credit Agreement. The Amended Vail Holdings Credit Agreement provides for (i) a revolving loan facility in an aggregate principal amount of $400.0 million and (ii) a term loan facility in an aggregate principal amount of up to $950.0 million, increased from the existing term loan facility of $684.4 million as of July 31, 2018. Additionally, key modifications to the Amended Vail Holdings Credit Agreement included, among other things, the extension of the maturity date on the revolving credit facility to August 2023. We expect that our liquidity needs in the near term will be met by continued use of operating cash flows and borrowings under both the Amended Vail Holdings Credit Agreement and Whistler Credit Agreement. The Amended Vail Holdings Credit Agreement and the Whistler Credit Agreement provide adequate flexibility and are priced favorably with any new borrowings currently priced at LIBOR plus 1.25% and Bankers Acceptance Rate plus 1.75%,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3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and throughout our owned hotels. We evaluate additional discretionary capital improvements based on an expected level of return on investment. We currently anticipate we will spend approximately $150.0 million on resort capital expenditures during calendar year 2018, excluding anticipated investments for U.S. summer related activities and one-time acquisition and integration related capital expenditures. This estimated spending includes normal inflation on our capital investments at our resorts. Included in these estimated capital expenditures are approximately $80.0 million of maintenance capital expenditures, which are necessary to maintain appearance and level of service appropriate to our resort operations. Discretionary expenditures for calendar year 2018 include, among other projects, an investment of approximately $40.0 million (C$52.0 million) at Whistler Blackcomb which will include a new gondola at Whistler Blackcomb running from the base to the top of Blackcomb Mountain, replacing the Wizard and Solar four person chairs with a single state-of-the-art gondola, a new 6 person Emerald chairlift and an upgraded 4 person Catskinner chairlift. We will also be investing in upgrading the fixed grip High Meadow chair at Park City to a four person high speed lift; expanding Cloud Dine restaurant at Park City by adding 200 additional seats and upgrading the Park City Mid-Mountain Lodge; replacing the Galaxy two-person chairlift at Heavenly with a three-person chairlift; and upgrading the Leichhardt T-bar at Perisher to a four-person chairlift. We also expect to invest approximately $21.0 million in capital expenditures for the integration of Stevens Pass, Okemo, Mount Sunapee, Crested Butte, Stowe and the completion of Whistler Blackcomb integration, as well as approximately $3.0 million in calendar year 2018 for summer investments. Additionally, we plan to invest $35.0 million over the next two years in projects related to Stevens Pass, Okemo, Mount Sunapee and Crested Butte, in addition to an increase in annual ongoing capital expenditures of $7.0 million to support the addition of these four resorts.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$53.0 million was spent for capital expenditures in calendar year 2018 as of July 31, 2018, leaving approximately $97.0 million to spend in the remainder of calendar year 2018, excluding anticipated investments for U.S. summer related activities and one-time acquisition and integration related capital expenditures. We currently plan to utilize cash on hand, borrowings available under our credit agreements and/or cash flow generated from future operations to provide the cash necessary to complete our capital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 of Stevens Pass, Okemo, Mount Sunapee and Crested Butte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15, 2018, through a wholly-owned subsidiary, we acquired Stevens Pass in the State of Washington from Ski Resort Holdings, LLC for a total purchase price of $64.0 million. We borrowed $70.0 million on August 15, 2018 under the term loan of our Amended Vail Holdings Credit Agreement, as discussed above, primarily to fund the acquisition of Stevens Pass, and borrowed the remainder of the increase to fund the acquisition of Triple Peaks on September 27, 2018, which was acquired for a cash purchase price of approximately $74.0 million, after adjustments for certain agreed-upon terms. In addition, at closing, Triple Peaks paid $155.0 million to pay off the leases that all three resorts had with Ski Resort Holdings, LLC, an affiliate of Oz Real Estate, with funds provided by us. We obtained a new Special Use Permit from the U.S. Forest Service for Crested Butte, and assumed the state land leases for Okemo and Mount Sunapee.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July 31, 2018, principal payments on the majority of our long-term debt ($1,160.5 million of the total $1,276.1 million debt outstanding as of July 31, 2018) are not due until fiscal year 2022 and beyond (the maturity date of the Amended Vail Holdings Credit Agreement was extended on August 15, 2018, as discussed above). As of July 31, 2018 and 2017, total long-term debt, net (including long-term debt due within one year) was $1,272.7 million and $1,272.4 million, respectively. Net Debt (defined as long-term debt, net plus long-term debt due within one year less cash and cash equivalents) decreased from $1,155.0 million as of July 31, 2017 to $1,094.6 million as of July 31, 2018, primarily due to an increase in cash and cash equivalents. In addition, we exercised our right under the Whistler Credit Agreement, with the consent of the lender parties thereto, to extend the maturity date of our Whistler Credit Agreement to November 2022 during Fiscal 2018. There were no other changes to the terms of the Whistler Credit Agreement.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debt service requirements can be impacted by changing interest rates as we had $932.3 million of variable-rate debt outstanding as of July 31, 2018. A 100-basis point change in LIBOR would cause our annual interest payments to change by approximately $9.3 million. Additionally, the annual payments associated with the financing of the Canyons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17" w:right="2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long term liquidity needs depend upon operating results that impact the borrowing capacity under our credit agreements, which can be mitigated by adjustments to capital expenditures, the flexibility of investment activities and the ability to obtain favorable future financing. We can respond to liquidity impacts of changes in the business and economic environment by managing our capital expenditures, the timing of new real estate development activity and the payment of our regular quarterly cash dividend of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share repurchase program is conducted under authorizations made from time to time by our Board of Directors. On March 6, 2006, our Board of Directors initially authorized the repurchase of up to 3,000,000 shares of Vail Resorts common stock (“Vail Shares”) and later authorized additional repurchases of up to 3,000,000 additional Vail Shares (July 16, 2008) and 1,500,000 Vail Shares (December 4, 2015), for a total authorization to repurchase shares of up to 7,500,000 Vail Shares. During Fiscal 2018, we repurchased 115,422 shares of common stock at a cost of $25.8 million. Since the inception of this stock repurchase program through July 31, 2018, we have repurchased 5,551,716 Vail Shares at a cost of approximately $273.0 million. As of July 31, 2018, 1,948,284 Vail Shares remained available to repurchase under the existing repurchase authorization. Vail Shares purchased pursuant to the repurchase program will be held as treasury shares and may be used for the issuance of shares under the Company’s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year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7, 2018, our Board of Directors approved a 40% increase in our quarterly cash dividend to $1.47 per share (or approximately $59.6 million per quarter based upon shares outstanding as of July 31, 2018). For the year ended July 31, 2018, we paid cash dividends of $5.046 per share ($204.2 million in the aggregate.) These dividends were funded through available cash on hand and borrowing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Amended Vail Holdings Credit Agreement, future prospects for earnings and cash flows, as well as other factors considered relevant by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Amended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Amended Vail Holdings Credit Agreement is primarily determined by the Net Funded Debt to Adjusted EBITDA ratio, which is based on our segment operating performance, as defined in the Amended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 compliance with all restrictive financial covenants in our debt instruments as of July 31, 2018. We expect that we will continue to meet all applicable financial maintenance covenants in our credit agreements throughout the year ending July 31, 2019. However, there can be no assurance that we will continue to meet such financial covenants. If such covenants are not met, we would be required to seek a waiver or amendment from the banks participating in our credit agreements. There can be no assurance that such waiver or amendment would be granted, which could have a material adverse impact on our liquidity.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01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our ongoing operations, we enter into arrangements that obligate us to make future payments under contracts such as debt agreements, lease agreements and construction agreements in conjunction with our resort capital expenditures. Debt obligations, which totaled $1,276.1 million as of July 31, 2018, are recognized as liabilities in our Consolidated Balance Sheet. Obligations under construction contracts are not recognized as liabilities in our Consolidated Balance Sheet until services and/or goods are received which is in accordance with GAAP. Additionally, operating lease and service contract obligations, which totaled $359.1 million as of July 31, 2018, are not recognized as liabilities in our Consolidated Balance Sheet, which is in accordance with GAAP. A summary of our contractual obligations as of July 31, 2018 is presented below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Payments Due by Period</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Fiscal</w:t>
            </w:r>
          </w:p>
        </w:tc>
        <w:tc>
          <w:tcPr>
            <w:tcW w:w="40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2-3</w:t>
            </w:r>
          </w:p>
        </w:tc>
        <w:tc>
          <w:tcPr>
            <w:tcW w:w="40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More than</w:t>
            </w:r>
          </w:p>
        </w:tc>
      </w:tr>
      <w:tr>
        <w:trPr>
          <w:trHeight w:val="270"/>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720" w:type="dxa"/>
            <w:vAlign w:val="bottom"/>
          </w:tcPr>
          <w:p>
            <w:pPr>
              <w:spacing w:after="0"/>
              <w:rPr>
                <w:sz w:val="23"/>
                <w:szCs w:val="23"/>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3"/>
                <w:szCs w:val="23"/>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years</w:t>
            </w:r>
          </w:p>
        </w:tc>
        <w:tc>
          <w:tcPr>
            <w:tcW w:w="40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3"/>
                <w:szCs w:val="23"/>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5 years</w:t>
            </w:r>
          </w:p>
        </w:tc>
      </w:tr>
      <w:tr>
        <w:trPr>
          <w:trHeight w:val="27"/>
        </w:trPr>
        <w:tc>
          <w:tcPr>
            <w:tcW w:w="3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6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Long-Term Debt (Outstanding Principal) </w:t>
            </w:r>
            <w:r>
              <w:rPr>
                <w:rFonts w:ascii="Arial" w:cs="Arial" w:eastAsia="Arial" w:hAnsi="Arial"/>
                <w:sz w:val="25"/>
                <w:szCs w:val="25"/>
                <w:color w:val="auto"/>
                <w:vertAlign w:val="superscript"/>
              </w:rPr>
              <w:t>(1)</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1,276,082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38,455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77,096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769,595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390,936</w:t>
            </w:r>
          </w:p>
        </w:tc>
      </w:tr>
      <w:tr>
        <w:trPr>
          <w:trHeight w:val="270"/>
        </w:trPr>
        <w:tc>
          <w:tcPr>
            <w:tcW w:w="3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Interest </w:t>
            </w:r>
            <w:r>
              <w:rPr>
                <w:rFonts w:ascii="Arial" w:cs="Arial" w:eastAsia="Arial" w:hAnsi="Arial"/>
                <w:sz w:val="25"/>
                <w:szCs w:val="25"/>
                <w:color w:val="auto"/>
                <w:vertAlign w:val="superscript"/>
              </w:rPr>
              <w:t>(1)</w:t>
            </w:r>
          </w:p>
        </w:tc>
        <w:tc>
          <w:tcPr>
            <w:tcW w:w="720" w:type="dxa"/>
            <w:vAlign w:val="bottom"/>
          </w:tcPr>
          <w:p>
            <w:pPr>
              <w:spacing w:after="0"/>
              <w:rPr>
                <w:sz w:val="23"/>
                <w:szCs w:val="23"/>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1,480</w:t>
            </w:r>
          </w:p>
        </w:tc>
        <w:tc>
          <w:tcPr>
            <w:tcW w:w="2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3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511</w:t>
            </w:r>
          </w:p>
        </w:tc>
      </w:tr>
      <w:tr>
        <w:trPr>
          <w:trHeight w:val="270"/>
        </w:trPr>
        <w:tc>
          <w:tcPr>
            <w:tcW w:w="3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Canyons Obligation </w:t>
            </w:r>
            <w:r>
              <w:rPr>
                <w:rFonts w:ascii="Arial" w:cs="Arial" w:eastAsia="Arial" w:hAnsi="Arial"/>
                <w:sz w:val="25"/>
                <w:szCs w:val="25"/>
                <w:color w:val="auto"/>
                <w:vertAlign w:val="superscript"/>
              </w:rPr>
              <w:t>(2)</w:t>
            </w:r>
          </w:p>
        </w:tc>
        <w:tc>
          <w:tcPr>
            <w:tcW w:w="7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1,645,267</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27,708</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57,089</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59,395</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1,501,075</w:t>
            </w:r>
          </w:p>
        </w:tc>
      </w:tr>
      <w:tr>
        <w:trPr>
          <w:trHeight w:val="270"/>
        </w:trPr>
        <w:tc>
          <w:tcPr>
            <w:tcW w:w="3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Leases and Service Contracts </w:t>
            </w:r>
            <w:r>
              <w:rPr>
                <w:rFonts w:ascii="Arial" w:cs="Arial" w:eastAsia="Arial" w:hAnsi="Arial"/>
                <w:sz w:val="25"/>
                <w:szCs w:val="25"/>
                <w:color w:val="auto"/>
                <w:vertAlign w:val="superscript"/>
              </w:rPr>
              <w:t>(3)</w:t>
            </w:r>
          </w:p>
        </w:tc>
        <w:tc>
          <w:tcPr>
            <w:tcW w:w="720" w:type="dxa"/>
            <w:vAlign w:val="bottom"/>
          </w:tcPr>
          <w:p>
            <w:pPr>
              <w:spacing w:after="0"/>
              <w:rPr>
                <w:sz w:val="23"/>
                <w:szCs w:val="23"/>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359,116</w:t>
            </w:r>
          </w:p>
        </w:tc>
        <w:tc>
          <w:tcPr>
            <w:tcW w:w="2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57,320</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80,198</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66,188</w:t>
            </w:r>
          </w:p>
        </w:tc>
        <w:tc>
          <w:tcPr>
            <w:tcW w:w="3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155,410</w:t>
            </w:r>
          </w:p>
        </w:tc>
      </w:tr>
      <w:tr>
        <w:trPr>
          <w:trHeight w:val="270"/>
        </w:trPr>
        <w:tc>
          <w:tcPr>
            <w:tcW w:w="360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 Obligations and Other </w:t>
            </w:r>
            <w:r>
              <w:rPr>
                <w:rFonts w:ascii="Arial" w:cs="Arial" w:eastAsia="Arial" w:hAnsi="Arial"/>
                <w:sz w:val="25"/>
                <w:szCs w:val="25"/>
                <w:color w:val="auto"/>
                <w:vertAlign w:val="superscript"/>
              </w:rPr>
              <w:t>(4)</w:t>
            </w:r>
          </w:p>
        </w:tc>
        <w:tc>
          <w:tcPr>
            <w:tcW w:w="7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455,396</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348,652</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83,137</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23,187</w:t>
            </w: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3,737,341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472,362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297,926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895,934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2,071,119</w:t>
            </w:r>
          </w:p>
        </w:tc>
      </w:tr>
      <w:tr>
        <w:trPr>
          <w:trHeight w:val="27"/>
        </w:trPr>
        <w:tc>
          <w:tcPr>
            <w:tcW w:w="3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660" w:hanging="652"/>
        <w:spacing w:after="0" w:line="272" w:lineRule="auto"/>
        <w:tabs>
          <w:tab w:leader="none" w:pos="66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The fixed-rate interest payments, as well as long-term debt payments, included in the table above, assume that all debt outstanding as of July 31, 2018 will be held to maturity. Interest payments associated with variable-rate debt have not been included in the table. Assuming that our $932.3 million of variable-rate long-term debt as of July 31, 2018 is held to maturity and utilizing interest rates in effect at July 31, 2018, our annual interest payments (including commitment fees and letter of credit fees) on variable rate long-term debt as of July 31, 2018 is anticipated to be approximately $29.8 million for Fiscal 2019, approximately $28.6 million for Fiscal 2020 and approximately $27.4 million for at least each of the next three years subsequent to Fiscal 2020. The future annual interest obligations noted herein are estimated only in relation to debt outstanding as of July 31, 2018 and do not reflect interest obligations on potential future debt.</w:t>
      </w:r>
    </w:p>
    <w:p>
      <w:pPr>
        <w:spacing w:after="0" w:line="123" w:lineRule="exact"/>
        <w:rPr>
          <w:rFonts w:ascii="Arial" w:cs="Arial" w:eastAsia="Arial" w:hAnsi="Arial"/>
          <w:sz w:val="17"/>
          <w:szCs w:val="17"/>
          <w:i w:val="1"/>
          <w:iCs w:val="1"/>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Reflects interest expense payments associated with the remaining lease term of the Canyons obligation, initially 50 years, assuming a 2% per annum (floor) increase in payments. Any potential increases to the annual fixed payment above the 2% floor due to inflation linked index of CPI less 1% have been excluded.</w:t>
      </w:r>
    </w:p>
    <w:p>
      <w:pPr>
        <w:spacing w:after="0" w:line="127" w:lineRule="exact"/>
        <w:rPr>
          <w:rFonts w:ascii="Arial" w:cs="Arial" w:eastAsia="Arial" w:hAnsi="Arial"/>
          <w:sz w:val="18"/>
          <w:szCs w:val="18"/>
          <w:i w:val="1"/>
          <w:iCs w:val="1"/>
          <w:color w:val="auto"/>
        </w:rPr>
      </w:pPr>
    </w:p>
    <w:p>
      <w:pPr>
        <w:ind w:left="660" w:right="20" w:hanging="652"/>
        <w:spacing w:after="0" w:line="277" w:lineRule="auto"/>
        <w:tabs>
          <w:tab w:leader="none" w:pos="6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The payments under noncancelable operating leases included in the table above reflect the applicable minimum lease payments and exclude any potential contingent rent payments.</w:t>
      </w:r>
    </w:p>
    <w:p>
      <w:pPr>
        <w:spacing w:after="0" w:line="116" w:lineRule="exact"/>
        <w:rPr>
          <w:rFonts w:ascii="Arial" w:cs="Arial" w:eastAsia="Arial" w:hAnsi="Arial"/>
          <w:sz w:val="18"/>
          <w:szCs w:val="18"/>
          <w:i w:val="1"/>
          <w:iCs w:val="1"/>
          <w:color w:val="auto"/>
        </w:rPr>
      </w:pPr>
    </w:p>
    <w:p>
      <w:pPr>
        <w:jc w:val="both"/>
        <w:ind w:left="660" w:hanging="652"/>
        <w:spacing w:after="0" w:line="302" w:lineRule="auto"/>
        <w:tabs>
          <w:tab w:leader="none" w:pos="66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Purchase obligations and other primarily include amounts which are classified as trade payables, accrued payroll and benefits, accrued fees and assessments, contingent consideration liability, accrued taxes (including taxes for uncertain tax positions) on our Consolidated Balance Sheet as of July 31, 2018; and, other commitments for goods and services not yet received, including construction contracts and minimum commitments under season pass alliance agreements, not included on our Consolidated Balance Sheet as of July 31, 2018 in accordance with GAAP.</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us to select appropriate accounting policies and to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013"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or judgments that are complex or subjective. We have reviewed these critical accounting policies and related disclosures with our Audit Committee of the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Other intangible assets are evaluated for impairment only when there is evidence that events or changes in circumstances indicate that the carrying amount of these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Application of the goodwill and indefinite-lived intangible asset impairment test requires judgment, including the identification of reporting units, assignment of assets and liabilities to reporting units, assignment of goodwill to reporting units and determination of the estimated fair value of reporting units and indefinite-lived intangible assets. We determine the estimated fair value of our reporting units using a discounted cash flow analysis. The estimated fair value of indefinite-lived intangible assets is primarily determined using the income approach based upon estimated future revenue streams.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the useful life over which cash flows will occur (including terminal multiples), determination of the respective weighted average cost of capital and market participant assumptions. Changes in these estimates and assumptions could materially affect the determination of estimated fair value and impairment for each reporting unit or indefinite-lived intangible asset. We evaluate our reporting units on an annual basis and allocate goodwill to our reporting units based on the reporting units expected to benefit from the acquisition generating the 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indefinite-lived intangible assets are tested for impairment at least annually as of May 1. Based upon our annual impairment test performed during the fourth fiscal quarter of Fiscal 2018, the estimated fair value of our reporting units and indefinite-lived intangible assets were in excess of their respective carrying values, and as such no impairment of goodwill or indefinite-lived intangible assets existed.</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determinations require considerable judgment and are sensitive to changes in underlying assumptions and factors. As a result, there can be no assurance that the estimates and assumptions made for purposes of the annual goodwill impairment test will prove to be an accurate prediction of the future.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is adversely impacted; and (3) volatility in the equity and debt markets which could result in a higher discount rate.</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While historical performance and current expectations have resulted in estimated fair values of our reporting units in excess of carrying values, if our assumptions are not realized, it is possible that an impairment charge may need to be recorded in the future. However, it is not possible at this time to determine if an impairment charge would result or if such a charge would be material. As of July 31, 2018, we had $1,475.7 million of goodwill and $221.5 million of indefinite-lived intangible assets recorded on our Consolidated Balance Sheet. There can be no assurance that the estimates and assumptions made for purposes of the annual goodwill impairment tests for goodwill will prove to be an accurate prediction of the future.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7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Tax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including those enacted under the Tax Act.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realized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estimates of our tax contingencies reserve contain uncertainty because management must use judgment to estimate the potential exposure associated with our various filing positions.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the estimates and judgments discussed herein are reasonable and we have adequate reserves for our tax contingencies for uncertain tax positions. Our reserves for uncertain tax positions, including any income tax related interest and penalties ($83.4 million as of July 31, 2018), relate to the treatment of the Talisker lease payments as payments of debt obligations and that the tax basis in Canyons goodwill is deductible. Actual results could differ and we may be exposed to increases or decreases in those reserves and tax provisions that could be material.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Depreciable Lives of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Mountain and lodging operational assets, furniture and fixtures, computer equipment, software, vehicles and leasehold improvements are primarily depreciated using the straight-line method over the estimated useful life of the asset. Assets may become obsolete or require replacement before the end of their useful life in which the remaining book value would be written-off or we could incur costs to remove or dispose of assets no longer in use.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estimates of our useful lives of the assets contain uncertainty because management must use judgment to estimate the useful life of the asset.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believe the estimates and judgments discussed herein are reasonable, actual results could differ, and we may be exposed to increased expense related to depreciable assets disposed of, removed or taken out of service prior to its originally estimated useful life, which may be material. A 10% decrease in the estimated useful lives of depreciable assets would have increased depreciation expense by approximately $15.9 million for Fiscal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7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component of our growth strategy has been to acquire and integrate businesses that complement our existing operations. We account for business combinations in accordance with the guidance for business combinations and related literature.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the net assets acquired or the excess of the aggregate estimated fair values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(where available). Valuations are performed by management or independent valuation specialists under management’s supervision, where appropriate.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 and Uncertainties</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Accounting for business combinations requires our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contingent consideration, including estimating the likelihood and timing of achieving the relevant thresholds for contingent consideration payments, requires the use of subjective judgments. We estimate the fair value of the Park City contingent consideration payments using an option pricing valuation model which incorporates, among other factors, projected achievement of specified financial performance measures, discounts rates, volatility, credit risk and estimation of the long-term rate of growth for the respective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in our Consolidated Statements of Operations.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 the fair value of contingent consideration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long-term growth rates, among other factors, that may impact the timing and amount of contingent consideration payments until the term of the agreement has expired or the contingency is resolved. Increases in the fair value of contingent consideration are recorded as losses in our Consolidated Statements of Operations, while decreases in fair value are recorded as gains.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Refer to the Summary of Significant Accounting Policies within the Notes to Consolidated Financial Statements for a discussion of new accounting standards.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cannot accurately determine the precise effect of inflation on our operations, management does not believe inflation has had a material effect on the results of operations in the last three fiscal years. When the costs of operating resorts increase, we generally have been able to pass the increase on to our customers. However, there can be no assurance that increases in labor and other operating costs due to inflation will not have an impact on our future profitability.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2013, we entered into a long-term lease pursuant to which we assumed the operations of Canyons which includes the ski terrain and related amenities. The lease has an initial term of 50 years with six 50-year renewal options. The lease provides for $25.0 million in annual payments, which increase each year by an inflation linked index of CPI less 1%, with a floor of 2% per annum. As lease payments increase annually, there can be no assurance that these increases will be offset by increased cash flow generated from operations at Park City.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7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mountain and lodging operations are seasonal in nature. In particular, revenue and profits for our North America mountain and most of our lodging operations are substantially lower and historically result in losses from late spring to late fall. Conversely, peak operating seasons for our NPS concessionaire properties, our mountain resort golf courses and Perisher’s ski season occur during the North American summer months while the North American winter months result in operating losses. Revenue and profits generated by NPS concessionaire properties summer operations, golf operations and Perisher’s ski operations are not sufficient to fully offset our off-season losses from our North American mountain and other lodging operations. During Fiscal 2018, 78%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pacing w:after="0" w:line="16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market risk is limited primarily to the fluctuating interest rates associated with variable rate indebtedness. At July 31,</w:t>
      </w:r>
      <w:r>
        <w:rPr>
          <w:rFonts w:ascii="Arial" w:cs="Arial" w:eastAsia="Arial" w:hAnsi="Arial"/>
          <w:sz w:val="17"/>
          <w:szCs w:val="17"/>
          <w:i w:val="1"/>
          <w:iCs w:val="1"/>
          <w:color w:val="auto"/>
        </w:rPr>
        <w:t xml:space="preserve"> </w:t>
      </w:r>
      <w:r>
        <w:rPr>
          <w:rFonts w:ascii="Arial" w:cs="Arial" w:eastAsia="Arial" w:hAnsi="Arial"/>
          <w:sz w:val="17"/>
          <w:szCs w:val="17"/>
          <w:color w:val="auto"/>
        </w:rPr>
        <w:t>2018, we had $932.3 million of variable rate indebtedness, representing approximately 73% of our total debt outstanding, at an average interest rate during Fiscal 2018 of 2.8%. Based on variable-rate borrowings outstanding as of July 31, 2018, a 100-basis point (or 1.0%) change in LIBOR would result in our annual interest payments changing by $9.3 million. Our market risk exposure fluctuates based on changes in underlying interest rates.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have foreign currency transaction exposure from an intercompany loan to Whistler Blackcomb that is not deemed to be permanently invested, which has and could materially change due to fluctuations in the Canadian dollar exchange rate. The results of Whistler Blackcomb and Perisher are reported in Canadian dollars and Australian dollars respectively, which we then translate to U.S. dollars for inclusion in our consolidated financial statements. We do not currently enter into hedging arrangements to minimize the impact of foreign currency fluctuations on our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gains, and foreign currency (loss) gain on intercompany loans, recognized in comprehensive income (in thousands):</w:t>
      </w:r>
    </w:p>
    <w:p>
      <w:pPr>
        <w:spacing w:after="0" w:line="275"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Year Ended July 31,</w:t>
            </w:r>
          </w:p>
        </w:tc>
        <w:tc>
          <w:tcPr>
            <w:tcW w:w="114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2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ind w:right="65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42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272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(61,957)</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64,152</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27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(8,966)</w:t>
            </w:r>
          </w:p>
        </w:tc>
        <w:tc>
          <w:tcPr>
            <w:tcW w:w="2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15,285</w:t>
            </w:r>
          </w:p>
        </w:tc>
      </w:tr>
      <w:tr>
        <w:trPr>
          <w:trHeight w:val="27"/>
        </w:trPr>
        <w:tc>
          <w:tcPr>
            <w:tcW w:w="4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69"/>
        </w:trPr>
        <w:tc>
          <w:tcPr>
            <w:tcW w:w="4260" w:type="dxa"/>
            <w:vAlign w:val="bottom"/>
          </w:tcPr>
          <w:p>
            <w:pPr>
              <w:spacing w:after="0"/>
              <w:rPr>
                <w:sz w:val="24"/>
                <w:szCs w:val="24"/>
                <w:color w:val="auto"/>
              </w:rPr>
            </w:pPr>
          </w:p>
        </w:tc>
        <w:tc>
          <w:tcPr>
            <w:tcW w:w="1560" w:type="dxa"/>
            <w:vAlign w:val="bottom"/>
          </w:tcPr>
          <w:p>
            <w:pPr>
              <w:jc w:val="right"/>
              <w:ind w:right="770"/>
              <w:spacing w:after="0"/>
              <w:rPr>
                <w:sz w:val="20"/>
                <w:szCs w:val="20"/>
                <w:color w:val="auto"/>
              </w:rPr>
            </w:pPr>
            <w:r>
              <w:rPr>
                <w:rFonts w:ascii="Arial" w:cs="Arial" w:eastAsia="Arial" w:hAnsi="Arial"/>
                <w:sz w:val="18"/>
                <w:szCs w:val="18"/>
                <w:color w:val="auto"/>
              </w:rPr>
              <w:t>58</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60" w:name="page61"/>
    <w:bookmarkEnd w:id="60"/>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Vail Resorts,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for the Years Ended July 31, 2018, 2017 and 2016</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11"/>
          </w:tcPr>
          <w:p>
            <w:pPr>
              <w:ind w:left="40"/>
              <w:spacing w:after="0"/>
              <w:rPr>
                <w:rFonts w:ascii="Arial" w:cs="Arial" w:eastAsia="Arial" w:hAnsi="Arial"/>
                <w:sz w:val="18"/>
                <w:szCs w:val="18"/>
                <w:i w:val="1"/>
                <w:iCs w:val="1"/>
                <w:color w:val="0000FF"/>
                <w:w w:val="98"/>
              </w:rPr>
            </w:pPr>
            <w:hyperlink w:anchor="page62">
              <w:r>
                <w:rPr>
                  <w:rFonts w:ascii="Arial" w:cs="Arial" w:eastAsia="Arial" w:hAnsi="Arial"/>
                  <w:sz w:val="18"/>
                  <w:szCs w:val="18"/>
                  <w:i w:val="1"/>
                  <w:iCs w:val="1"/>
                  <w:color w:val="0000FF"/>
                  <w:w w:val="98"/>
                </w:rPr>
                <w:t>Management’s Report on Internal Control Over Financial Reporting</w:t>
              </w:r>
            </w:hyperlink>
          </w:p>
        </w:tc>
        <w:tc>
          <w:tcPr>
            <w:tcW w:w="6120" w:type="dxa"/>
            <w:vAlign w:val="bottom"/>
            <w:gridSpan w:val="3"/>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300" w:type="dxa"/>
            <w:vAlign w:val="bottom"/>
            <w:gridSpan w:val="11"/>
          </w:tcPr>
          <w:p>
            <w:pPr>
              <w:ind w:left="40"/>
              <w:spacing w:after="0" w:line="202" w:lineRule="exact"/>
              <w:rPr>
                <w:rFonts w:ascii="Arial" w:cs="Arial" w:eastAsia="Arial" w:hAnsi="Arial"/>
                <w:sz w:val="18"/>
                <w:szCs w:val="18"/>
                <w:i w:val="1"/>
                <w:iCs w:val="1"/>
                <w:color w:val="0000FF"/>
              </w:rPr>
            </w:pPr>
            <w:hyperlink w:anchor="page63">
              <w:r>
                <w:rPr>
                  <w:rFonts w:ascii="Arial" w:cs="Arial" w:eastAsia="Arial" w:hAnsi="Arial"/>
                  <w:sz w:val="18"/>
                  <w:szCs w:val="18"/>
                  <w:i w:val="1"/>
                  <w:iCs w:val="1"/>
                  <w:color w:val="0000FF"/>
                </w:rPr>
                <w:t>Report of Independent Registered Public Accounting Firm</w:t>
              </w:r>
            </w:hyperlink>
          </w:p>
        </w:tc>
        <w:tc>
          <w:tcPr>
            <w:tcW w:w="6120" w:type="dxa"/>
            <w:vAlign w:val="bottom"/>
            <w:gridSpan w:val="3"/>
          </w:tcPr>
          <w:p>
            <w:pPr>
              <w:jc w:val="right"/>
              <w:ind w:right="20"/>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61</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5300" w:type="dxa"/>
            <w:vAlign w:val="bottom"/>
            <w:gridSpan w:val="11"/>
          </w:tcPr>
          <w:p>
            <w:pPr>
              <w:ind w:left="40"/>
              <w:spacing w:after="0"/>
              <w:rPr>
                <w:sz w:val="20"/>
                <w:szCs w:val="20"/>
                <w:color w:val="auto"/>
              </w:rPr>
            </w:pPr>
            <w:r>
              <w:rPr>
                <w:rFonts w:ascii="Arial" w:cs="Arial" w:eastAsia="Arial" w:hAnsi="Arial"/>
                <w:sz w:val="18"/>
                <w:szCs w:val="18"/>
                <w:i w:val="1"/>
                <w:iCs w:val="1"/>
                <w:color w:val="auto"/>
              </w:rPr>
              <w:t>Consolidated Financial Statements</w:t>
            </w:r>
          </w:p>
        </w:tc>
        <w:tc>
          <w:tcPr>
            <w:tcW w:w="5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202" w:lineRule="exact"/>
              <w:rPr>
                <w:rFonts w:ascii="Arial" w:cs="Arial" w:eastAsia="Arial" w:hAnsi="Arial"/>
                <w:sz w:val="18"/>
                <w:szCs w:val="18"/>
                <w:color w:val="0000FF"/>
                <w:w w:val="87"/>
              </w:rPr>
            </w:pPr>
            <w:hyperlink w:anchor="page65">
              <w:r>
                <w:rPr>
                  <w:rFonts w:ascii="Arial" w:cs="Arial" w:eastAsia="Arial" w:hAnsi="Arial"/>
                  <w:sz w:val="18"/>
                  <w:szCs w:val="18"/>
                  <w:color w:val="0000FF"/>
                  <w:w w:val="87"/>
                </w:rPr>
                <w:t>Consolidated Balance Sheets</w:t>
              </w:r>
            </w:hyperlink>
          </w:p>
        </w:tc>
        <w:tc>
          <w:tcPr>
            <w:tcW w:w="3040" w:type="dxa"/>
            <w:vAlign w:val="bottom"/>
            <w:gridSpan w:val="8"/>
            <w:shd w:val="clear" w:color="auto" w:fill="CCEEFF"/>
          </w:tcPr>
          <w:p>
            <w:pPr>
              <w:spacing w:after="0"/>
              <w:rPr>
                <w:sz w:val="17"/>
                <w:szCs w:val="17"/>
                <w:color w:val="auto"/>
              </w:rPr>
            </w:pPr>
          </w:p>
        </w:tc>
        <w:tc>
          <w:tcPr>
            <w:tcW w:w="612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9"/>
          </w:tcPr>
          <w:p>
            <w:pPr>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Consolidated Statements of Operations</w:t>
              </w:r>
            </w:hyperlink>
          </w:p>
        </w:tc>
        <w:tc>
          <w:tcPr>
            <w:tcW w:w="6120" w:type="dxa"/>
            <w:vAlign w:val="bottom"/>
            <w:gridSpan w:val="3"/>
          </w:tcPr>
          <w:p>
            <w:pPr>
              <w:jc w:val="right"/>
              <w:ind w:right="20"/>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120" w:type="dxa"/>
            <w:vAlign w:val="bottom"/>
            <w:gridSpan w:val="9"/>
            <w:shd w:val="clear" w:color="auto" w:fill="CCEEFF"/>
          </w:tcPr>
          <w:p>
            <w:pPr>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Consolidated Statements of Comprehensive Income</w:t>
              </w:r>
            </w:hyperlink>
          </w:p>
        </w:tc>
        <w:tc>
          <w:tcPr>
            <w:tcW w:w="612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6"/>
          </w:tcPr>
          <w:p>
            <w:pPr>
              <w:spacing w:after="0" w:line="202" w:lineRule="exact"/>
              <w:rPr>
                <w:rFonts w:ascii="Arial" w:cs="Arial" w:eastAsia="Arial" w:hAnsi="Arial"/>
                <w:sz w:val="18"/>
                <w:szCs w:val="18"/>
                <w:color w:val="0000FF"/>
                <w:w w:val="95"/>
              </w:rPr>
            </w:pPr>
            <w:hyperlink w:anchor="page68">
              <w:r>
                <w:rPr>
                  <w:rFonts w:ascii="Arial" w:cs="Arial" w:eastAsia="Arial" w:hAnsi="Arial"/>
                  <w:sz w:val="18"/>
                  <w:szCs w:val="18"/>
                  <w:color w:val="0000FF"/>
                  <w:w w:val="95"/>
                </w:rPr>
                <w:t>Consolidated Statements of Stockholders’ Equity</w:t>
              </w:r>
            </w:hyperlink>
          </w:p>
        </w:tc>
        <w:tc>
          <w:tcPr>
            <w:tcW w:w="1400" w:type="dxa"/>
            <w:vAlign w:val="bottom"/>
            <w:gridSpan w:val="3"/>
          </w:tcPr>
          <w:p>
            <w:pPr>
              <w:spacing w:after="0"/>
              <w:rPr>
                <w:sz w:val="17"/>
                <w:szCs w:val="17"/>
                <w:color w:val="auto"/>
              </w:rPr>
            </w:pPr>
          </w:p>
        </w:tc>
        <w:tc>
          <w:tcPr>
            <w:tcW w:w="6120" w:type="dxa"/>
            <w:vAlign w:val="bottom"/>
            <w:gridSpan w:val="3"/>
          </w:tcPr>
          <w:p>
            <w:pPr>
              <w:jc w:val="right"/>
              <w:ind w:right="2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60" w:type="dxa"/>
            <w:vAlign w:val="bottom"/>
            <w:gridSpan w:val="3"/>
            <w:shd w:val="clear" w:color="auto" w:fill="CCEEFF"/>
          </w:tcPr>
          <w:p>
            <w:pPr>
              <w:spacing w:after="0" w:line="202" w:lineRule="exact"/>
              <w:rPr>
                <w:rFonts w:ascii="Arial" w:cs="Arial" w:eastAsia="Arial" w:hAnsi="Arial"/>
                <w:sz w:val="18"/>
                <w:szCs w:val="18"/>
                <w:color w:val="0000FF"/>
                <w:w w:val="88"/>
              </w:rPr>
            </w:pPr>
            <w:hyperlink w:anchor="page69">
              <w:r>
                <w:rPr>
                  <w:rFonts w:ascii="Arial" w:cs="Arial" w:eastAsia="Arial" w:hAnsi="Arial"/>
                  <w:sz w:val="18"/>
                  <w:szCs w:val="18"/>
                  <w:color w:val="0000FF"/>
                  <w:w w:val="88"/>
                </w:rPr>
                <w:t>Consolidated Statements of Cash Flows</w:t>
              </w:r>
            </w:hyperlink>
          </w:p>
        </w:tc>
        <w:tc>
          <w:tcPr>
            <w:tcW w:w="2260" w:type="dxa"/>
            <w:vAlign w:val="bottom"/>
            <w:gridSpan w:val="6"/>
            <w:shd w:val="clear" w:color="auto" w:fill="CCEEFF"/>
          </w:tcPr>
          <w:p>
            <w:pPr>
              <w:spacing w:after="0"/>
              <w:rPr>
                <w:sz w:val="17"/>
                <w:szCs w:val="17"/>
                <w:color w:val="auto"/>
              </w:rPr>
            </w:pPr>
          </w:p>
        </w:tc>
        <w:tc>
          <w:tcPr>
            <w:tcW w:w="612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67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9"/>
          </w:tcPr>
          <w:p>
            <w:pPr>
              <w:spacing w:after="0" w:line="202" w:lineRule="exact"/>
              <w:rPr>
                <w:rFonts w:ascii="Arial" w:cs="Arial" w:eastAsia="Arial" w:hAnsi="Arial"/>
                <w:sz w:val="18"/>
                <w:szCs w:val="18"/>
                <w:color w:val="0000FF"/>
              </w:rPr>
            </w:pPr>
            <w:hyperlink w:anchor="page70">
              <w:r>
                <w:rPr>
                  <w:rFonts w:ascii="Arial" w:cs="Arial" w:eastAsia="Arial" w:hAnsi="Arial"/>
                  <w:sz w:val="18"/>
                  <w:szCs w:val="18"/>
                  <w:color w:val="0000FF"/>
                </w:rPr>
                <w:t>Notes to Consolidated Financial Statements</w:t>
              </w:r>
            </w:hyperlink>
          </w:p>
        </w:tc>
        <w:tc>
          <w:tcPr>
            <w:tcW w:w="6120" w:type="dxa"/>
            <w:vAlign w:val="bottom"/>
            <w:gridSpan w:val="3"/>
          </w:tcPr>
          <w:p>
            <w:pPr>
              <w:jc w:val="right"/>
              <w:ind w:right="20"/>
              <w:spacing w:after="0" w:line="202" w:lineRule="exact"/>
              <w:rPr>
                <w:rFonts w:ascii="Arial" w:cs="Arial" w:eastAsia="Arial" w:hAnsi="Arial"/>
                <w:sz w:val="18"/>
                <w:szCs w:val="18"/>
                <w:color w:val="0000FF"/>
              </w:rPr>
            </w:pPr>
            <w:hyperlink w:anchor="page70">
              <w:r>
                <w:rPr>
                  <w:rFonts w:ascii="Arial" w:cs="Arial" w:eastAsia="Arial" w:hAnsi="Arial"/>
                  <w:sz w:val="18"/>
                  <w:szCs w:val="18"/>
                  <w:color w:val="0000FF"/>
                </w:rPr>
                <w:t>68</w:t>
              </w:r>
            </w:hyperlink>
          </w:p>
        </w:tc>
      </w:tr>
      <w:tr>
        <w:trPr>
          <w:trHeight w:val="507"/>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jc w:val="right"/>
              <w:ind w:right="5330"/>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13"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Vail Resorts, Inc.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including the Company’s Chief Executive Officer and Chief Financial Officer, assessed the effectiveness of the Company’s internal control over financial reporting as of July 31, 2018. In making this assessment, management used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Based on this assessment, management concluded that, as of July 31, 2018, the Company’s internal control over financial reporting was effective.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independent registered public accounting firm, PricewaterhouseCoopers LLP, has issued an attestation report on the effectiveness of the Company’s internal control over financial reporting as of July 31, 2018, as stated in the Report of Independent Registered Public Accounting Firm on the following page.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01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Vail Resorts,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Vail Resorts, Inc. and its subsidiaries as of July 31, 2018 and July 31, 2017, and the related consolidated statements of operations, of comprehensive income, of stockholders’ equity and of cash flows for each of the three years in the period ended July 31, 2018, including the related notes (collectively referred to as the “consolidated financial statements”). We also have audited the Company's internal control over financial reporting as of July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July 31, 2018 and July 31, 2017</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their operations and their cash flows for each of the three years in the period ended July 31, 2018 in conformity with accounting principles generally accepted in the United States of America. Also in our opinion, the Company maintained, in all material respects, effective internal control over financial reporting as of July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013"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1017"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178,145</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117,389</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6,895</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10,273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$1,278 and $750, respectively</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230,829</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186,913</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Inventories, net of reserves of $1,534 and $1,518, respectively</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85,588</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84,814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37,279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33,681</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538,736</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433,070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1,627,219</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1,714,154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99,385</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103,405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charges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43,386</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45,414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Goodwill, net (Note 6)</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1,475,686</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1,519,743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 (Note 6)</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280,572</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294,932</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4,064,984</w:t>
            </w:r>
          </w:p>
        </w:tc>
        <w:tc>
          <w:tcPr>
            <w:tcW w:w="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4,110,718</w:t>
            </w:r>
          </w:p>
        </w:tc>
      </w:tr>
      <w:tr>
        <w:trPr>
          <w:trHeight w:val="34"/>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 (Note 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504,533</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467,669</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50,632</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98,491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due within one year (Note 4)</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38,455</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38,397</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593,620</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604,557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(Note 4)</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1,234,277</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1,234,024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long-term liabilities (Note 6)</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291,506</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301,736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(Note 9)</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133,918</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171,442</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2,253,321</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2,311,759</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25,000 shares authorized, no shares issued and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w w:val="96"/>
              </w:rPr>
              <w:t>Common stock, $0.01 par value, 100,000 shares authorized and 46,021 and 45,448 shares issued,</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4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5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Exchangeable shares, $0.01 par value, 58 and 69 shares issued and outstanding, respectively (Note 5)</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1,137,467</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1,222,510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44,395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726,722</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550,985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 5,552 and 5,436 shares, respectively (Note 14)</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(272,989)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(247,189)</w:t>
            </w:r>
          </w:p>
        </w:tc>
      </w:tr>
      <w:tr>
        <w:trPr>
          <w:trHeight w:val="237"/>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Vail Resorts, Inc. stockholders’ equity</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1,589,434</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1,571,156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222,229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227,803</w:t>
            </w:r>
          </w:p>
        </w:tc>
      </w:tr>
      <w:tr>
        <w:trPr>
          <w:trHeight w:val="237"/>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1,811,663</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1,798,959</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4,064,984</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4,110,718</w:t>
            </w:r>
          </w:p>
        </w:tc>
      </w:tr>
      <w:tr>
        <w:trPr>
          <w:trHeight w:val="27"/>
        </w:trPr>
        <w:tc>
          <w:tcPr>
            <w:tcW w:w="77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013"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Mountain and Lodging services and other</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1,584,310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1,477,654</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1,228,716</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Mountain and Lodging retail and dining</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423,255</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412,646</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350,442</w:t>
            </w:r>
          </w:p>
        </w:tc>
      </w:tr>
      <w:tr>
        <w:trPr>
          <w:trHeight w:val="237"/>
        </w:trPr>
        <w:tc>
          <w:tcPr>
            <w:tcW w:w="5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Resort net revenue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2,007,565</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1,890,300</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1,579,158</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16,918</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22,128</w:t>
            </w:r>
          </w:p>
        </w:tc>
      </w:tr>
      <w:tr>
        <w:trPr>
          <w:trHeight w:val="237"/>
        </w:trPr>
        <w:tc>
          <w:tcPr>
            <w:tcW w:w="5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net revenue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2,011,553</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1,907,218</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1,601,286</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Operating expense (exclusive of depreciation and amortization shown separately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Mountain and Lodging operating expense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966,566</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891,135</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775,590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Mountain and Lodging retail and dining cost of products sold</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174,105</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170,824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143,276</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251,806</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236,799</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208,991</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operating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1,392,477</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1,298,758</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1,127,857</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Real Estate,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24,083</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24,639</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1,396,023</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1,322,841</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1,152,496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(204,462)</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(189,157)</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(161,488)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Gain on sale of real property</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6,766</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5,295</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 (Note 8)</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Loss on disposal of fixed assets and other, net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(4,620)</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(6,430)</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(5,418)</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408,817</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379,256</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282,979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Mountain equity investment income,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1,883</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1,283</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Foreign currency (loss) gain on intercompany loans (Note 4)</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(8,966)</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15,285</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(63,226)</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(54,089)</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(42,366)</w:t>
            </w:r>
          </w:p>
        </w:tc>
      </w:tr>
      <w:tr>
        <w:trPr>
          <w:trHeight w:val="237"/>
        </w:trPr>
        <w:tc>
          <w:tcPr>
            <w:tcW w:w="59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before benefit (provision) for income taxes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340,092</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348,449</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242,619</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 (Note 9)</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61,138</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(116,731)</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(93,165)</w:t>
            </w:r>
          </w:p>
        </w:tc>
      </w:tr>
      <w:tr>
        <w:trPr>
          <w:trHeight w:val="237"/>
        </w:trPr>
        <w:tc>
          <w:tcPr>
            <w:tcW w:w="59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401,230</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231,718</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149,454</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(21,332)</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(21,165)</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379,898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210,553</w:t>
            </w:r>
          </w:p>
        </w:tc>
        <w:tc>
          <w:tcPr>
            <w:tcW w:w="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149,754</w:t>
            </w:r>
          </w:p>
        </w:tc>
      </w:tr>
      <w:tr>
        <w:trPr>
          <w:trHeight w:val="34"/>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3):</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net income per share attributable to Vail Resorts, Inc.</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4.13</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net income per share attributable to Vail Resorts, Inc.</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Cash dividends declared per share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5.046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3.726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01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Year Ended July 31,</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401,230</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231,718</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149,454</w:t>
            </w:r>
          </w:p>
        </w:tc>
      </w:tr>
      <w:tr>
        <w:trPr>
          <w:trHeight w:val="229"/>
        </w:trPr>
        <w:tc>
          <w:tcPr>
            <w:tcW w:w="6640" w:type="dxa"/>
            <w:vAlign w:val="bottom"/>
          </w:tcPr>
          <w:p>
            <w:pPr>
              <w:ind w:left="40"/>
              <w:spacing w:after="0"/>
              <w:rPr>
                <w:sz w:val="20"/>
                <w:szCs w:val="20"/>
                <w:color w:val="auto"/>
              </w:rPr>
            </w:pPr>
            <w:r>
              <w:rPr>
                <w:rFonts w:ascii="Arial" w:cs="Arial" w:eastAsia="Arial" w:hAnsi="Arial"/>
                <w:sz w:val="18"/>
                <w:szCs w:val="18"/>
                <w:color w:val="auto"/>
                <w:w w:val="96"/>
              </w:rPr>
              <w:t>Foreign currency translation adjustments and other (net of tax of $1,981, ($2,831) and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640" w:type="dxa"/>
            <w:vAlign w:val="bottom"/>
          </w:tcPr>
          <w:p>
            <w:pPr>
              <w:ind w:left="40"/>
              <w:spacing w:after="0"/>
              <w:rPr>
                <w:sz w:val="20"/>
                <w:szCs w:val="20"/>
                <w:color w:val="auto"/>
              </w:rPr>
            </w:pPr>
            <w:r>
              <w:rPr>
                <w:rFonts w:ascii="Arial" w:cs="Arial" w:eastAsia="Arial" w:hAnsi="Arial"/>
                <w:sz w:val="18"/>
                <w:szCs w:val="18"/>
                <w:color w:val="auto"/>
              </w:rPr>
              <w:t>($1,905), respectively)</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(61,957)</w:t>
            </w:r>
          </w:p>
        </w:tc>
        <w:tc>
          <w:tcPr>
            <w:tcW w:w="3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64,152</w:t>
            </w:r>
          </w:p>
        </w:tc>
        <w:tc>
          <w:tcPr>
            <w:tcW w:w="3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3,363</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339,273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295,870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152,817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(5,997)</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(39,372)</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Vail Resorts, Inc.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333,276</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256,498</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153,117</w:t>
            </w:r>
          </w:p>
        </w:tc>
      </w:tr>
      <w:tr>
        <w:trPr>
          <w:trHeight w:val="27"/>
        </w:trPr>
        <w:tc>
          <w:tcPr>
            <w:tcW w:w="66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013" w:right="2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Total Vail</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Resorts, Inc.</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 in</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7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9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1"/>
              </w:rPr>
              <w:t>Noncontrolling Stockholders’</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Interests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6"/>
              </w:rPr>
              <w:t>Vail</w:t>
            </w: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9"/>
              </w:rPr>
              <w:t>Exchangeable</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Resorts</w:t>
            </w:r>
          </w:p>
        </w:tc>
        <w:tc>
          <w:tcPr>
            <w:tcW w:w="94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2015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  623,510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$440,748</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 (193,192)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866,568</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880,586</w:t>
            </w:r>
          </w:p>
        </w:tc>
        <w:tc>
          <w:tcPr>
            <w:tcW w:w="0" w:type="dxa"/>
            <w:vAlign w:val="bottom"/>
          </w:tcPr>
          <w:p>
            <w:pPr>
              <w:spacing w:after="0"/>
              <w:rPr>
                <w:sz w:val="1"/>
                <w:szCs w:val="1"/>
                <w:color w:val="auto"/>
              </w:rPr>
            </w:pPr>
          </w:p>
        </w:tc>
      </w:tr>
      <w:tr>
        <w:trPr>
          <w:trHeight w:val="218"/>
        </w:trPr>
        <w:tc>
          <w:tcPr>
            <w:tcW w:w="2400" w:type="dxa"/>
            <w:vAlign w:val="bottom"/>
          </w:tcPr>
          <w:p>
            <w:pPr>
              <w:ind w:left="160"/>
              <w:spacing w:after="0"/>
              <w:rPr>
                <w:sz w:val="20"/>
                <w:szCs w:val="20"/>
                <w:color w:val="auto"/>
              </w:rPr>
            </w:pPr>
            <w:r>
              <w:rPr>
                <w:rFonts w:ascii="Arial" w:cs="Arial" w:eastAsia="Arial" w:hAnsi="Arial"/>
                <w:sz w:val="14"/>
                <w:szCs w:val="14"/>
                <w:color w:val="auto"/>
              </w:rPr>
              <w:t>Comprehensive income (loss):</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68865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137160"/>
                    </a:xfrm>
                    <a:prstGeom prst="rect">
                      <a:avLst/>
                    </a:prstGeom>
                    <a:noFill/>
                  </pic:spPr>
                </pic:pic>
              </a:graphicData>
            </a:graphic>
          </wp:anchor>
        </w:drawing>
      </w:r>
    </w:p>
    <w:p>
      <w:pPr>
        <w:sectPr>
          <w:pgSz w:w="11900" w:h="16838" w:orient="portrait"/>
          <w:cols w:equalWidth="0" w:num="1">
            <w:col w:w="10840"/>
          </w:cols>
          <w:pgMar w:left="540" w:top="1337" w:right="519" w:bottom="1440" w:gutter="0" w:footer="0" w:header="0"/>
        </w:sectPr>
      </w:pPr>
    </w:p>
    <w:p>
      <w:pPr>
        <w:spacing w:after="0" w:line="6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income (loss)</w:t>
      </w:r>
    </w:p>
    <w:p>
      <w:pPr>
        <w:spacing w:after="0" w:line="55" w:lineRule="exact"/>
        <w:rPr>
          <w:sz w:val="20"/>
          <w:szCs w:val="20"/>
          <w:color w:val="auto"/>
        </w:rPr>
      </w:pPr>
    </w:p>
    <w:p>
      <w:pPr>
        <w:ind w:left="260" w:right="200"/>
        <w:spacing w:after="0" w:line="253" w:lineRule="auto"/>
        <w:rPr>
          <w:sz w:val="20"/>
          <w:szCs w:val="20"/>
          <w:color w:val="auto"/>
        </w:rPr>
      </w:pPr>
      <w:r>
        <w:rPr>
          <w:rFonts w:ascii="Arial" w:cs="Arial" w:eastAsia="Arial" w:hAnsi="Arial"/>
          <w:sz w:val="14"/>
          <w:szCs w:val="14"/>
          <w:color w:val="auto"/>
        </w:rPr>
        <w:t>Foreign currency translation adjustments and other, net of tax</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comprehensive income (loss)</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Stock-based compensation (Note 15)</w:t>
      </w:r>
    </w:p>
    <w:p>
      <w:pPr>
        <w:spacing w:after="0" w:line="55" w:lineRule="exact"/>
        <w:rPr>
          <w:sz w:val="20"/>
          <w:szCs w:val="20"/>
          <w:color w:val="auto"/>
        </w:rPr>
      </w:pPr>
    </w:p>
    <w:p>
      <w:pPr>
        <w:ind w:left="160"/>
        <w:spacing w:after="0" w:line="238" w:lineRule="auto"/>
        <w:rPr>
          <w:sz w:val="20"/>
          <w:szCs w:val="20"/>
          <w:color w:val="auto"/>
        </w:rPr>
      </w:pPr>
      <w:r>
        <w:rPr>
          <w:rFonts w:ascii="Arial" w:cs="Arial" w:eastAsia="Arial" w:hAnsi="Arial"/>
          <w:sz w:val="14"/>
          <w:szCs w:val="14"/>
          <w:color w:val="auto"/>
        </w:rPr>
        <w:t>Issuance of shares under share award plan, net of shares withheld for employee taxes (Note 15)</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jc w:val="right"/>
              <w:ind w:right="288"/>
              <w:spacing w:after="0"/>
              <w:rPr>
                <w:sz w:val="20"/>
                <w:szCs w:val="20"/>
                <w:color w:val="auto"/>
              </w:rPr>
            </w:pPr>
            <w:r>
              <w:rPr>
                <w:rFonts w:ascii="Arial" w:cs="Arial" w:eastAsia="Arial" w:hAnsi="Arial"/>
                <w:sz w:val="14"/>
                <w:szCs w:val="14"/>
                <w:color w:val="auto"/>
                <w:w w:val="85"/>
              </w:rPr>
              <w:t>—</w:t>
            </w:r>
          </w:p>
        </w:tc>
        <w:tc>
          <w:tcPr>
            <w:tcW w:w="70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149,754</w:t>
            </w:r>
          </w:p>
        </w:tc>
        <w:tc>
          <w:tcPr>
            <w:tcW w:w="560" w:type="dxa"/>
            <w:vAlign w:val="bottom"/>
          </w:tcPr>
          <w:p>
            <w:pPr>
              <w:ind w:left="3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149,754</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149,454</w:t>
            </w:r>
          </w:p>
        </w:tc>
      </w:tr>
      <w:tr>
        <w:trPr>
          <w:trHeight w:val="284"/>
        </w:trPr>
        <w:tc>
          <w:tcPr>
            <w:tcW w:w="500" w:type="dxa"/>
            <w:vAlign w:val="bottom"/>
          </w:tcPr>
          <w:p>
            <w:pPr>
              <w:jc w:val="right"/>
              <w:ind w:right="288"/>
              <w:spacing w:after="0"/>
              <w:rPr>
                <w:sz w:val="20"/>
                <w:szCs w:val="20"/>
                <w:color w:val="auto"/>
              </w:rPr>
            </w:pPr>
            <w:r>
              <w:rPr>
                <w:rFonts w:ascii="Arial" w:cs="Arial" w:eastAsia="Arial" w:hAnsi="Arial"/>
                <w:sz w:val="14"/>
                <w:szCs w:val="14"/>
                <w:color w:val="auto"/>
                <w:w w:val="85"/>
              </w:rPr>
              <w:t>—</w:t>
            </w:r>
          </w:p>
        </w:tc>
        <w:tc>
          <w:tcPr>
            <w:tcW w:w="70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3,363</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tcPr>
          <w:p>
            <w:pPr>
              <w:ind w:left="3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3,363</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3,363</w:t>
            </w:r>
          </w:p>
        </w:tc>
      </w:tr>
      <w:tr>
        <w:trPr>
          <w:trHeight w:val="93"/>
        </w:trPr>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211"/>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153,117</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152,817</w:t>
            </w:r>
          </w:p>
        </w:tc>
      </w:tr>
      <w:tr>
        <w:trPr>
          <w:trHeight w:val="39"/>
        </w:trPr>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4"/>
        </w:trPr>
        <w:tc>
          <w:tcPr>
            <w:tcW w:w="500" w:type="dxa"/>
            <w:vAlign w:val="bottom"/>
          </w:tcPr>
          <w:p>
            <w:pPr>
              <w:jc w:val="right"/>
              <w:ind w:right="288"/>
              <w:spacing w:after="0"/>
              <w:rPr>
                <w:sz w:val="20"/>
                <w:szCs w:val="20"/>
                <w:color w:val="auto"/>
              </w:rPr>
            </w:pPr>
            <w:r>
              <w:rPr>
                <w:rFonts w:ascii="Arial" w:cs="Arial" w:eastAsia="Arial" w:hAnsi="Arial"/>
                <w:sz w:val="14"/>
                <w:szCs w:val="14"/>
                <w:color w:val="auto"/>
                <w:w w:val="85"/>
              </w:rPr>
              <w:t>—</w:t>
            </w:r>
          </w:p>
        </w:tc>
        <w:tc>
          <w:tcPr>
            <w:tcW w:w="70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17,025</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tcPr>
          <w:p>
            <w:pPr>
              <w:ind w:left="3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17,025</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17,025</w:t>
            </w:r>
          </w:p>
        </w:tc>
      </w:tr>
      <w:tr>
        <w:trPr>
          <w:trHeight w:val="365"/>
        </w:trPr>
        <w:tc>
          <w:tcPr>
            <w:tcW w:w="50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70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(10,216)</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tcPr>
          <w:p>
            <w:pPr>
              <w:ind w:left="3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48"/>
              <w:spacing w:after="0"/>
              <w:rPr>
                <w:sz w:val="20"/>
                <w:szCs w:val="20"/>
                <w:color w:val="auto"/>
              </w:rPr>
            </w:pPr>
            <w:r>
              <w:rPr>
                <w:rFonts w:ascii="Arial" w:cs="Arial" w:eastAsia="Arial" w:hAnsi="Arial"/>
                <w:sz w:val="14"/>
                <w:szCs w:val="14"/>
                <w:color w:val="auto"/>
              </w:rPr>
              <w:t>(10,215)</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-532130</wp:posOffset>
            </wp:positionV>
            <wp:extent cx="68865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-214630</wp:posOffset>
            </wp:positionV>
            <wp:extent cx="688657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6575" cy="31750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2820" w:space="520"/>
            <w:col w:w="7500"/>
          </w:cols>
          <w:pgMar w:left="540" w:top="1337" w:right="51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040" w:type="dxa"/>
            <w:vAlign w:val="bottom"/>
          </w:tcPr>
          <w:p>
            <w:pPr>
              <w:ind w:left="160"/>
              <w:spacing w:after="0"/>
              <w:rPr>
                <w:sz w:val="20"/>
                <w:szCs w:val="20"/>
                <w:color w:val="auto"/>
              </w:rPr>
            </w:pPr>
            <w:r>
              <w:rPr>
                <w:rFonts w:ascii="Arial" w:cs="Arial" w:eastAsia="Arial" w:hAnsi="Arial"/>
                <w:sz w:val="14"/>
                <w:szCs w:val="14"/>
                <w:color w:val="auto"/>
              </w:rPr>
              <w:t>Tax benefit from share award plan</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5,667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5,667</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Repurchases of common stock (Note 14)</w:t>
            </w:r>
          </w:p>
        </w:tc>
        <w:tc>
          <w:tcPr>
            <w:tcW w:w="8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(53,787)</w:t>
            </w:r>
          </w:p>
        </w:tc>
        <w:tc>
          <w:tcPr>
            <w:tcW w:w="132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(53,787)</w:t>
            </w: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(53,787)</w:t>
            </w:r>
          </w:p>
        </w:tc>
        <w:tc>
          <w:tcPr>
            <w:tcW w:w="0" w:type="dxa"/>
            <w:vAlign w:val="bottom"/>
          </w:tcPr>
          <w:p>
            <w:pPr>
              <w:spacing w:after="0"/>
              <w:rPr>
                <w:sz w:val="1"/>
                <w:szCs w:val="1"/>
                <w:color w:val="auto"/>
              </w:rPr>
            </w:pPr>
          </w:p>
        </w:tc>
      </w:tr>
      <w:tr>
        <w:trPr>
          <w:trHeight w:val="191"/>
        </w:trPr>
        <w:tc>
          <w:tcPr>
            <w:tcW w:w="3040" w:type="dxa"/>
            <w:vAlign w:val="bottom"/>
          </w:tcPr>
          <w:p>
            <w:pPr>
              <w:ind w:left="160"/>
              <w:spacing w:after="0"/>
              <w:rPr>
                <w:sz w:val="20"/>
                <w:szCs w:val="20"/>
                <w:color w:val="auto"/>
              </w:rPr>
            </w:pPr>
            <w:r>
              <w:rPr>
                <w:rFonts w:ascii="Arial" w:cs="Arial" w:eastAsia="Arial" w:hAnsi="Arial"/>
                <w:sz w:val="14"/>
                <w:szCs w:val="14"/>
                <w:color w:val="auto"/>
              </w:rPr>
              <w:t>Dividends (Note 3)</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(103,835)</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(103,835)</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(103,835)</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Contributions from noncontrolling interests,</w:t>
            </w:r>
          </w:p>
        </w:tc>
        <w:tc>
          <w:tcPr>
            <w:tcW w:w="80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208</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01"/>
        </w:trPr>
        <w:tc>
          <w:tcPr>
            <w:tcW w:w="304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net</w:t>
            </w:r>
          </w:p>
        </w:tc>
        <w:tc>
          <w:tcPr>
            <w:tcW w:w="80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040" w:type="dxa"/>
            <w:vAlign w:val="bottom"/>
            <w:tcBorders>
              <w:bottom w:val="single" w:sz="8" w:color="auto"/>
            </w:tcBorders>
            <w:vMerge w:val="continue"/>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040" w:type="dxa"/>
            <w:vAlign w:val="bottom"/>
          </w:tcPr>
          <w:p>
            <w:pPr>
              <w:ind w:left="20"/>
              <w:spacing w:after="0"/>
              <w:rPr>
                <w:sz w:val="20"/>
                <w:szCs w:val="20"/>
                <w:color w:val="auto"/>
              </w:rPr>
            </w:pPr>
            <w:r>
              <w:rPr>
                <w:rFonts w:ascii="Arial" w:cs="Arial" w:eastAsia="Arial" w:hAnsi="Arial"/>
                <w:sz w:val="14"/>
                <w:szCs w:val="14"/>
                <w:color w:val="auto"/>
              </w:rPr>
              <w:t>Balance, July 31, 2016</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416</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635,986</w:t>
            </w:r>
          </w:p>
        </w:tc>
        <w:tc>
          <w:tcPr>
            <w:tcW w:w="860" w:type="dxa"/>
            <w:vAlign w:val="bottom"/>
          </w:tcPr>
          <w:p>
            <w:pPr>
              <w:jc w:val="right"/>
              <w:spacing w:after="0"/>
              <w:rPr>
                <w:sz w:val="20"/>
                <w:szCs w:val="20"/>
                <w:color w:val="auto"/>
              </w:rPr>
            </w:pPr>
            <w:r>
              <w:rPr>
                <w:rFonts w:ascii="Arial" w:cs="Arial" w:eastAsia="Arial" w:hAnsi="Arial"/>
                <w:sz w:val="14"/>
                <w:szCs w:val="14"/>
                <w:color w:val="auto"/>
              </w:rPr>
              <w:t>(1,550)</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486,667</w:t>
            </w:r>
          </w:p>
        </w:tc>
        <w:tc>
          <w:tcPr>
            <w:tcW w:w="720" w:type="dxa"/>
            <w:vAlign w:val="bottom"/>
          </w:tcPr>
          <w:p>
            <w:pPr>
              <w:jc w:val="right"/>
              <w:spacing w:after="0"/>
              <w:rPr>
                <w:sz w:val="20"/>
                <w:szCs w:val="20"/>
                <w:color w:val="auto"/>
              </w:rPr>
            </w:pPr>
            <w:r>
              <w:rPr>
                <w:rFonts w:ascii="Arial" w:cs="Arial" w:eastAsia="Arial" w:hAnsi="Arial"/>
                <w:sz w:val="14"/>
                <w:szCs w:val="14"/>
                <w:color w:val="auto"/>
              </w:rPr>
              <w:t>(246,979)</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874,540</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13,926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888,466</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Comprehensive income:</w:t>
            </w: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04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210,553</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210,553</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21,165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231,718</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4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Foreign currency translation adjustments,</w:t>
            </w:r>
          </w:p>
        </w:tc>
        <w:tc>
          <w:tcPr>
            <w:tcW w:w="80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45,945</w:t>
            </w:r>
          </w:p>
        </w:tc>
        <w:tc>
          <w:tcPr>
            <w:tcW w:w="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45,945</w:t>
            </w: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18,207</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64,152</w:t>
            </w:r>
          </w:p>
        </w:tc>
        <w:tc>
          <w:tcPr>
            <w:tcW w:w="0" w:type="dxa"/>
            <w:vAlign w:val="bottom"/>
          </w:tcPr>
          <w:p>
            <w:pPr>
              <w:spacing w:after="0"/>
              <w:rPr>
                <w:sz w:val="1"/>
                <w:szCs w:val="1"/>
                <w:color w:val="auto"/>
              </w:rPr>
            </w:pPr>
          </w:p>
        </w:tc>
      </w:tr>
      <w:tr>
        <w:trPr>
          <w:trHeight w:val="101"/>
        </w:trPr>
        <w:tc>
          <w:tcPr>
            <w:tcW w:w="304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rPr>
              <w:t>net of tax</w:t>
            </w:r>
          </w:p>
        </w:tc>
        <w:tc>
          <w:tcPr>
            <w:tcW w:w="80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040" w:type="dxa"/>
            <w:vAlign w:val="bottom"/>
            <w:vMerge w:val="continue"/>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040" w:type="dxa"/>
            <w:vAlign w:val="bottom"/>
          </w:tcPr>
          <w:p>
            <w:pPr>
              <w:ind w:left="360"/>
              <w:spacing w:after="0"/>
              <w:rPr>
                <w:sz w:val="20"/>
                <w:szCs w:val="20"/>
                <w:color w:val="auto"/>
              </w:rPr>
            </w:pPr>
            <w:r>
              <w:rPr>
                <w:rFonts w:ascii="Arial" w:cs="Arial" w:eastAsia="Arial" w:hAnsi="Arial"/>
                <w:sz w:val="14"/>
                <w:szCs w:val="14"/>
                <w:color w:val="auto"/>
              </w:rPr>
              <w:t>Total comprehensive income</w:t>
            </w: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256,498</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39,372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295,870</w:t>
            </w:r>
          </w:p>
        </w:tc>
        <w:tc>
          <w:tcPr>
            <w:tcW w:w="0" w:type="dxa"/>
            <w:vAlign w:val="bottom"/>
          </w:tcPr>
          <w:p>
            <w:pPr>
              <w:spacing w:after="0"/>
              <w:rPr>
                <w:sz w:val="1"/>
                <w:szCs w:val="1"/>
                <w:color w:val="auto"/>
              </w:rPr>
            </w:pPr>
          </w:p>
        </w:tc>
      </w:tr>
      <w:tr>
        <w:trPr>
          <w:trHeight w:val="39"/>
        </w:trPr>
        <w:tc>
          <w:tcPr>
            <w:tcW w:w="304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Stock-based compensation (Note 15)</w:t>
            </w:r>
          </w:p>
        </w:tc>
        <w:tc>
          <w:tcPr>
            <w:tcW w:w="8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18,315</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18,315</w:t>
            </w: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18,315</w:t>
            </w:r>
          </w:p>
        </w:tc>
        <w:tc>
          <w:tcPr>
            <w:tcW w:w="0" w:type="dxa"/>
            <w:vAlign w:val="bottom"/>
          </w:tcPr>
          <w:p>
            <w:pPr>
              <w:spacing w:after="0"/>
              <w:rPr>
                <w:sz w:val="1"/>
                <w:szCs w:val="1"/>
                <w:color w:val="auto"/>
              </w:rPr>
            </w:pPr>
          </w:p>
        </w:tc>
      </w:tr>
      <w:tr>
        <w:trPr>
          <w:trHeight w:val="191"/>
        </w:trPr>
        <w:tc>
          <w:tcPr>
            <w:tcW w:w="3040" w:type="dxa"/>
            <w:vAlign w:val="bottom"/>
          </w:tcPr>
          <w:p>
            <w:pPr>
              <w:ind w:left="160"/>
              <w:spacing w:after="0"/>
              <w:rPr>
                <w:sz w:val="20"/>
                <w:szCs w:val="20"/>
                <w:color w:val="auto"/>
              </w:rPr>
            </w:pPr>
            <w:r>
              <w:rPr>
                <w:rFonts w:ascii="Arial" w:cs="Arial" w:eastAsia="Arial" w:hAnsi="Arial"/>
                <w:sz w:val="14"/>
                <w:szCs w:val="14"/>
                <w:color w:val="auto"/>
              </w:rPr>
              <w:t>Shares issued for acquisition (Note 5)</w:t>
            </w: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33</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020" w:type="dxa"/>
            <w:vAlign w:val="bottom"/>
          </w:tcPr>
          <w:p>
            <w:pPr>
              <w:jc w:val="right"/>
              <w:ind w:right="328"/>
              <w:spacing w:after="0"/>
              <w:rPr>
                <w:sz w:val="20"/>
                <w:szCs w:val="20"/>
                <w:color w:val="auto"/>
              </w:rPr>
            </w:pPr>
            <w:r>
              <w:rPr>
                <w:rFonts w:ascii="Arial" w:cs="Arial" w:eastAsia="Arial" w:hAnsi="Arial"/>
                <w:sz w:val="14"/>
                <w:szCs w:val="14"/>
                <w:color w:val="auto"/>
              </w:rPr>
              <w:t>574,608</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574,645</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574,645</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Exchangeable share transfers</w:t>
            </w:r>
          </w:p>
        </w:tc>
        <w:tc>
          <w:tcPr>
            <w:tcW w:w="8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3</w:t>
            </w: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2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40" w:type="dxa"/>
            <w:vAlign w:val="bottom"/>
          </w:tcPr>
          <w:p>
            <w:pPr>
              <w:ind w:left="160"/>
              <w:spacing w:after="0" w:line="157" w:lineRule="exact"/>
              <w:rPr>
                <w:sz w:val="20"/>
                <w:szCs w:val="20"/>
                <w:color w:val="auto"/>
              </w:rPr>
            </w:pPr>
            <w:r>
              <w:rPr>
                <w:rFonts w:ascii="Arial" w:cs="Arial" w:eastAsia="Arial" w:hAnsi="Arial"/>
                <w:sz w:val="14"/>
                <w:szCs w:val="14"/>
                <w:color w:val="auto"/>
                <w:w w:val="96"/>
              </w:rPr>
              <w:t>Issuance of shares under share award plan, net</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60"/>
              <w:spacing w:after="0" w:line="149" w:lineRule="exact"/>
              <w:rPr>
                <w:sz w:val="20"/>
                <w:szCs w:val="20"/>
                <w:color w:val="auto"/>
              </w:rPr>
            </w:pPr>
            <w:r>
              <w:rPr>
                <w:rFonts w:ascii="Arial" w:cs="Arial" w:eastAsia="Arial" w:hAnsi="Arial"/>
                <w:sz w:val="14"/>
                <w:szCs w:val="14"/>
                <w:color w:val="auto"/>
              </w:rPr>
              <w:t>of shares withheld for employee taxes (Note</w:t>
            </w:r>
          </w:p>
        </w:tc>
        <w:tc>
          <w:tcPr>
            <w:tcW w:w="8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2</w:t>
            </w: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(16,277)</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(16,275)</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(16,275)</w:t>
            </w:r>
          </w:p>
        </w:tc>
        <w:tc>
          <w:tcPr>
            <w:tcW w:w="0" w:type="dxa"/>
            <w:vAlign w:val="bottom"/>
          </w:tcPr>
          <w:p>
            <w:pPr>
              <w:spacing w:after="0"/>
              <w:rPr>
                <w:sz w:val="1"/>
                <w:szCs w:val="1"/>
                <w:color w:val="auto"/>
              </w:rPr>
            </w:pPr>
          </w:p>
        </w:tc>
      </w:tr>
      <w:tr>
        <w:trPr>
          <w:trHeight w:val="182"/>
        </w:trPr>
        <w:tc>
          <w:tcPr>
            <w:tcW w:w="3040" w:type="dxa"/>
            <w:vAlign w:val="bottom"/>
          </w:tcPr>
          <w:p>
            <w:pPr>
              <w:ind w:left="160"/>
              <w:spacing w:after="0"/>
              <w:rPr>
                <w:sz w:val="20"/>
                <w:szCs w:val="20"/>
                <w:color w:val="auto"/>
              </w:rPr>
            </w:pPr>
            <w:r>
              <w:rPr>
                <w:rFonts w:ascii="Arial" w:cs="Arial" w:eastAsia="Arial" w:hAnsi="Arial"/>
                <w:sz w:val="14"/>
                <w:szCs w:val="14"/>
                <w:color w:val="auto"/>
              </w:rPr>
              <w:t>15)</w:t>
            </w: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68865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6575" cy="137160"/>
                    </a:xfrm>
                    <a:prstGeom prst="rect">
                      <a:avLst/>
                    </a:prstGeom>
                    <a:noFill/>
                  </pic:spPr>
                </pic:pic>
              </a:graphicData>
            </a:graphic>
          </wp:anchor>
        </w:drawing>
      </w:r>
    </w:p>
    <w:p>
      <w:pPr>
        <w:sectPr>
          <w:pgSz w:w="11900" w:h="16838" w:orient="portrait"/>
          <w:cols w:equalWidth="0" w:num="1">
            <w:col w:w="10840"/>
          </w:cols>
          <w:pgMar w:left="540" w:top="1337" w:right="519" w:bottom="1440" w:gutter="0" w:footer="0" w:header="0"/>
          <w:type w:val="continuous"/>
        </w:sectPr>
      </w:pPr>
    </w:p>
    <w:p>
      <w:pPr>
        <w:spacing w:after="0" w:line="20" w:lineRule="exact"/>
        <w:rPr>
          <w:sz w:val="20"/>
          <w:szCs w:val="20"/>
          <w:color w:val="auto"/>
        </w:rPr>
      </w:pPr>
    </w:p>
    <w:p>
      <w:pPr>
        <w:ind w:left="160" w:right="180"/>
        <w:spacing w:after="0" w:line="322" w:lineRule="auto"/>
        <w:rPr>
          <w:sz w:val="20"/>
          <w:szCs w:val="20"/>
          <w:color w:val="auto"/>
        </w:rPr>
      </w:pPr>
      <w:r>
        <w:rPr>
          <w:rFonts w:ascii="Arial" w:cs="Arial" w:eastAsia="Arial" w:hAnsi="Arial"/>
          <w:sz w:val="14"/>
          <w:szCs w:val="14"/>
          <w:color w:val="auto"/>
        </w:rPr>
        <w:t>Tax benefit from share award plan Repurchases of common stock (Note 14) Dividends (Note 3)</w:t>
      </w:r>
    </w:p>
    <w:p>
      <w:pPr>
        <w:ind w:left="160"/>
        <w:spacing w:after="0" w:line="253" w:lineRule="auto"/>
        <w:rPr>
          <w:sz w:val="20"/>
          <w:szCs w:val="20"/>
          <w:color w:val="auto"/>
        </w:rPr>
      </w:pPr>
      <w:r>
        <w:rPr>
          <w:rFonts w:ascii="Arial" w:cs="Arial" w:eastAsia="Arial" w:hAnsi="Arial"/>
          <w:sz w:val="14"/>
          <w:szCs w:val="14"/>
          <w:color w:val="auto"/>
        </w:rPr>
        <w:t>Acquisition of noncontrolling interest (Note 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9,878</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9,878</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9,878</w:t>
            </w:r>
          </w:p>
        </w:tc>
      </w:tr>
      <w:tr>
        <w:trPr>
          <w:trHeight w:val="216"/>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(210)</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(210)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16"/>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(146,235)</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(146,235)</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(146,235)</w:t>
            </w:r>
          </w:p>
        </w:tc>
      </w:tr>
      <w:tr>
        <w:trPr>
          <w:trHeight w:val="284"/>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182,579</w:t>
            </w:r>
          </w:p>
        </w:tc>
        <w:tc>
          <w:tcPr>
            <w:tcW w:w="740" w:type="dxa"/>
            <w:vAlign w:val="bottom"/>
          </w:tcPr>
          <w:p>
            <w:pPr>
              <w:jc w:val="right"/>
              <w:spacing w:after="0"/>
              <w:rPr>
                <w:sz w:val="20"/>
                <w:szCs w:val="20"/>
                <w:color w:val="auto"/>
              </w:rPr>
            </w:pPr>
            <w:r>
              <w:rPr>
                <w:rFonts w:ascii="Arial" w:cs="Arial" w:eastAsia="Arial" w:hAnsi="Arial"/>
                <w:sz w:val="14"/>
                <w:szCs w:val="14"/>
                <w:color w:val="auto"/>
              </w:rPr>
              <w:t>182,579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-300355</wp:posOffset>
            </wp:positionV>
            <wp:extent cx="68865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6575" cy="13716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2680" w:space="660"/>
            <w:col w:w="7500"/>
          </w:cols>
          <w:pgMar w:left="540" w:top="1337" w:right="5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2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Distributions to noncontrolling interests, net</w:t>
            </w:r>
          </w:p>
        </w:tc>
        <w:tc>
          <w:tcPr>
            <w:tcW w:w="2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(8,074)</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(8,074)</w:t>
            </w:r>
          </w:p>
        </w:tc>
        <w:tc>
          <w:tcPr>
            <w:tcW w:w="0" w:type="dxa"/>
            <w:vAlign w:val="bottom"/>
          </w:tcPr>
          <w:p>
            <w:pPr>
              <w:spacing w:after="0"/>
              <w:rPr>
                <w:sz w:val="1"/>
                <w:szCs w:val="1"/>
                <w:color w:val="auto"/>
              </w:rPr>
            </w:pPr>
          </w:p>
        </w:tc>
      </w:tr>
      <w:tr>
        <w:trPr>
          <w:trHeight w:val="187"/>
        </w:trPr>
        <w:tc>
          <w:tcPr>
            <w:tcW w:w="2860" w:type="dxa"/>
            <w:vAlign w:val="bottom"/>
          </w:tcPr>
          <w:p>
            <w:pPr>
              <w:ind w:left="20"/>
              <w:spacing w:after="0"/>
              <w:rPr>
                <w:sz w:val="20"/>
                <w:szCs w:val="20"/>
                <w:color w:val="auto"/>
              </w:rPr>
            </w:pPr>
            <w:r>
              <w:rPr>
                <w:rFonts w:ascii="Arial" w:cs="Arial" w:eastAsia="Arial" w:hAnsi="Arial"/>
                <w:sz w:val="14"/>
                <w:szCs w:val="14"/>
                <w:color w:val="auto"/>
              </w:rPr>
              <w:t>Balance, July 31, 2017</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454</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1,222,510</w:t>
            </w:r>
          </w:p>
        </w:tc>
        <w:tc>
          <w:tcPr>
            <w:tcW w:w="3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44,395</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550,985</w:t>
            </w:r>
          </w:p>
        </w:tc>
        <w:tc>
          <w:tcPr>
            <w:tcW w:w="760" w:type="dxa"/>
            <w:vAlign w:val="bottom"/>
          </w:tcPr>
          <w:p>
            <w:pPr>
              <w:jc w:val="right"/>
              <w:spacing w:after="0"/>
              <w:rPr>
                <w:sz w:val="20"/>
                <w:szCs w:val="20"/>
                <w:color w:val="auto"/>
              </w:rPr>
            </w:pPr>
            <w:r>
              <w:rPr>
                <w:rFonts w:ascii="Arial" w:cs="Arial" w:eastAsia="Arial" w:hAnsi="Arial"/>
                <w:sz w:val="14"/>
                <w:szCs w:val="14"/>
                <w:color w:val="auto"/>
              </w:rPr>
              <w:t>(247,189)</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1,571,156</w:t>
            </w:r>
          </w:p>
        </w:tc>
        <w:tc>
          <w:tcPr>
            <w:tcW w:w="2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227,803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1,798,959</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379,898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379,898</w:t>
            </w:r>
          </w:p>
        </w:tc>
        <w:tc>
          <w:tcPr>
            <w:tcW w:w="2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21,332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401,230</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(46,622)</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(46,622)</w:t>
            </w:r>
          </w:p>
        </w:tc>
        <w:tc>
          <w:tcPr>
            <w:tcW w:w="2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(15,335)</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(61,957)</w:t>
            </w:r>
          </w:p>
        </w:tc>
        <w:tc>
          <w:tcPr>
            <w:tcW w:w="0" w:type="dxa"/>
            <w:vAlign w:val="bottom"/>
          </w:tcPr>
          <w:p>
            <w:pPr>
              <w:spacing w:after="0"/>
              <w:rPr>
                <w:sz w:val="1"/>
                <w:szCs w:val="1"/>
                <w:color w:val="auto"/>
              </w:rPr>
            </w:pPr>
          </w:p>
        </w:tc>
      </w:tr>
      <w:tr>
        <w:trPr>
          <w:trHeight w:val="101"/>
        </w:trPr>
        <w:tc>
          <w:tcPr>
            <w:tcW w:w="286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rPr>
              <w:t>net of tax</w:t>
            </w:r>
          </w:p>
        </w:tc>
        <w:tc>
          <w:tcPr>
            <w:tcW w:w="260" w:type="dxa"/>
            <w:vAlign w:val="bottom"/>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8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86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360"/>
              <w:spacing w:after="0"/>
              <w:rPr>
                <w:sz w:val="20"/>
                <w:szCs w:val="20"/>
                <w:color w:val="auto"/>
              </w:rPr>
            </w:pPr>
            <w:r>
              <w:rPr>
                <w:rFonts w:ascii="Arial" w:cs="Arial" w:eastAsia="Arial" w:hAnsi="Arial"/>
                <w:sz w:val="14"/>
                <w:szCs w:val="14"/>
                <w:color w:val="auto"/>
              </w:rPr>
              <w:t>Total comprehensive income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333,276</w:t>
            </w:r>
          </w:p>
        </w:tc>
        <w:tc>
          <w:tcPr>
            <w:tcW w:w="2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5,997</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339,273</w:t>
            </w:r>
          </w:p>
        </w:tc>
        <w:tc>
          <w:tcPr>
            <w:tcW w:w="0" w:type="dxa"/>
            <w:vAlign w:val="bottom"/>
          </w:tcPr>
          <w:p>
            <w:pPr>
              <w:spacing w:after="0"/>
              <w:rPr>
                <w:sz w:val="1"/>
                <w:szCs w:val="1"/>
                <w:color w:val="auto"/>
              </w:rPr>
            </w:pPr>
          </w:p>
        </w:tc>
      </w:tr>
      <w:tr>
        <w:trPr>
          <w:trHeight w:val="39"/>
        </w:trPr>
        <w:tc>
          <w:tcPr>
            <w:tcW w:w="28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Stock-based compensation (Note 15)</w:t>
            </w:r>
          </w:p>
        </w:tc>
        <w:tc>
          <w:tcPr>
            <w:tcW w:w="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19,040</w:t>
            </w:r>
          </w:p>
        </w:tc>
        <w:tc>
          <w:tcPr>
            <w:tcW w:w="3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19,040</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19,040</w:t>
            </w:r>
          </w:p>
        </w:tc>
        <w:tc>
          <w:tcPr>
            <w:tcW w:w="0" w:type="dxa"/>
            <w:vAlign w:val="bottom"/>
          </w:tcPr>
          <w:p>
            <w:pPr>
              <w:spacing w:after="0"/>
              <w:rPr>
                <w:sz w:val="1"/>
                <w:szCs w:val="1"/>
                <w:color w:val="auto"/>
              </w:rPr>
            </w:pPr>
          </w:p>
        </w:tc>
      </w:tr>
      <w:tr>
        <w:trPr>
          <w:trHeight w:val="191"/>
        </w:trPr>
        <w:tc>
          <w:tcPr>
            <w:tcW w:w="2860" w:type="dxa"/>
            <w:vAlign w:val="bottom"/>
          </w:tcPr>
          <w:p>
            <w:pPr>
              <w:ind w:left="160"/>
              <w:spacing w:after="0"/>
              <w:rPr>
                <w:sz w:val="20"/>
                <w:szCs w:val="20"/>
                <w:color w:val="auto"/>
              </w:rPr>
            </w:pPr>
            <w:r>
              <w:rPr>
                <w:rFonts w:ascii="Arial" w:cs="Arial" w:eastAsia="Arial" w:hAnsi="Arial"/>
                <w:sz w:val="14"/>
                <w:szCs w:val="14"/>
                <w:color w:val="auto"/>
              </w:rPr>
              <w:t>Measurement period adjustment (Note 5)</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(1,776)</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0"/>
              </w:rPr>
              <w:t>Issuance of shares under share award plan, net</w:t>
            </w: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of shares withheld for employee taxes (Note</w:t>
            </w: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(104,083)</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(104,077)</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(104,077)</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160"/>
              <w:spacing w:after="0"/>
              <w:rPr>
                <w:sz w:val="20"/>
                <w:szCs w:val="20"/>
                <w:color w:val="auto"/>
              </w:rPr>
            </w:pPr>
            <w:r>
              <w:rPr>
                <w:rFonts w:ascii="Arial" w:cs="Arial" w:eastAsia="Arial" w:hAnsi="Arial"/>
                <w:sz w:val="14"/>
                <w:szCs w:val="14"/>
                <w:color w:val="auto"/>
              </w:rPr>
              <w:t>Repurchases of common stock (Note 14)</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(25,800)</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(25,800)</w:t>
            </w:r>
          </w:p>
        </w:tc>
        <w:tc>
          <w:tcPr>
            <w:tcW w:w="2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(25,800)</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Dividends (Note 3)</w:t>
            </w: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(204,161)</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(204,161)</w:t>
            </w: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(204,161)</w:t>
            </w:r>
          </w:p>
        </w:tc>
        <w:tc>
          <w:tcPr>
            <w:tcW w:w="0" w:type="dxa"/>
            <w:vAlign w:val="bottom"/>
          </w:tcPr>
          <w:p>
            <w:pPr>
              <w:spacing w:after="0"/>
              <w:rPr>
                <w:sz w:val="1"/>
                <w:szCs w:val="1"/>
                <w:color w:val="auto"/>
              </w:rPr>
            </w:pPr>
          </w:p>
        </w:tc>
      </w:tr>
      <w:tr>
        <w:trPr>
          <w:trHeight w:val="191"/>
        </w:trPr>
        <w:tc>
          <w:tcPr>
            <w:tcW w:w="2860" w:type="dxa"/>
            <w:vAlign w:val="bottom"/>
          </w:tcPr>
          <w:p>
            <w:pPr>
              <w:ind w:left="160"/>
              <w:spacing w:after="0"/>
              <w:rPr>
                <w:sz w:val="20"/>
                <w:szCs w:val="20"/>
                <w:color w:val="auto"/>
              </w:rPr>
            </w:pPr>
            <w:r>
              <w:rPr>
                <w:rFonts w:ascii="Arial" w:cs="Arial" w:eastAsia="Arial" w:hAnsi="Arial"/>
                <w:sz w:val="14"/>
                <w:szCs w:val="14"/>
                <w:color w:val="auto"/>
              </w:rPr>
              <w:t>Distributions to noncontrolling interests, net</w:t>
            </w: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(9,795)</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(9,795)</w:t>
            </w:r>
          </w:p>
        </w:tc>
        <w:tc>
          <w:tcPr>
            <w:tcW w:w="0" w:type="dxa"/>
            <w:vAlign w:val="bottom"/>
          </w:tcPr>
          <w:p>
            <w:pPr>
              <w:spacing w:after="0"/>
              <w:rPr>
                <w:sz w:val="1"/>
                <w:szCs w:val="1"/>
                <w:color w:val="auto"/>
              </w:rPr>
            </w:pPr>
          </w:p>
        </w:tc>
      </w:tr>
      <w:tr>
        <w:trPr>
          <w:trHeight w:val="26"/>
        </w:trPr>
        <w:tc>
          <w:tcPr>
            <w:tcW w:w="2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31, 2018</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$1,137,467</w:t>
            </w:r>
          </w:p>
        </w:tc>
        <w:tc>
          <w:tcPr>
            <w:tcW w:w="3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$726,722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 (272,989)</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1,589,434</w:t>
            </w:r>
          </w:p>
        </w:tc>
        <w:tc>
          <w:tcPr>
            <w:tcW w:w="2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222,229</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$ 1,811,663</w:t>
            </w:r>
          </w:p>
        </w:tc>
        <w:tc>
          <w:tcPr>
            <w:tcW w:w="0" w:type="dxa"/>
            <w:vAlign w:val="bottom"/>
          </w:tcPr>
          <w:p>
            <w:pPr>
              <w:spacing w:after="0"/>
              <w:rPr>
                <w:sz w:val="1"/>
                <w:szCs w:val="1"/>
                <w:color w:val="auto"/>
              </w:rPr>
            </w:pPr>
          </w:p>
        </w:tc>
      </w:tr>
      <w:tr>
        <w:trPr>
          <w:trHeight w:val="20"/>
        </w:trPr>
        <w:tc>
          <w:tcPr>
            <w:tcW w:w="2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840"/>
          </w:cols>
          <w:pgMar w:left="540" w:top="1337" w:right="519" w:bottom="1440" w:gutter="0" w:footer="0" w:header="0"/>
          <w:type w:val="continuous"/>
        </w:sect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840"/>
          </w:cols>
          <w:pgMar w:left="540" w:top="1337" w:right="51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Year Ended July 31,</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r>
      <w:tr>
        <w:trPr>
          <w:trHeight w:val="190"/>
        </w:trPr>
        <w:tc>
          <w:tcPr>
            <w:tcW w:w="5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80"/>
        </w:trPr>
        <w:tc>
          <w:tcPr>
            <w:tcW w:w="52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04"/>
        </w:trPr>
        <w:tc>
          <w:tcPr>
            <w:tcW w:w="520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401,230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231,718</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149,454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63373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0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204,462</w:t>
            </w:r>
          </w:p>
        </w:tc>
        <w:tc>
          <w:tcPr>
            <w:tcW w:w="5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189,157</w:t>
            </w:r>
          </w:p>
        </w:tc>
        <w:tc>
          <w:tcPr>
            <w:tcW w:w="5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161,488</w:t>
            </w:r>
          </w:p>
        </w:tc>
      </w:tr>
      <w:tr>
        <w:trPr>
          <w:trHeight w:val="222"/>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real estate sales</w:t>
            </w: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3,701</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13,097</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15,724</w:t>
            </w:r>
          </w:p>
        </w:tc>
      </w:tr>
      <w:tr>
        <w:trPr>
          <w:trHeight w:val="210"/>
        </w:trPr>
        <w:tc>
          <w:tcPr>
            <w:tcW w:w="470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19,040</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18,315</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17,025</w:t>
            </w:r>
          </w:p>
        </w:tc>
      </w:tr>
      <w:tr>
        <w:trPr>
          <w:trHeight w:val="222"/>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 net</w:t>
            </w: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(45,770)</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36,437</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7,626</w:t>
            </w:r>
          </w:p>
        </w:tc>
      </w:tr>
      <w:tr>
        <w:trPr>
          <w:trHeight w:val="210"/>
        </w:trPr>
        <w:tc>
          <w:tcPr>
            <w:tcW w:w="4700" w:type="dxa"/>
            <w:vAlign w:val="bottom"/>
          </w:tcPr>
          <w:p>
            <w:pPr>
              <w:ind w:left="380"/>
              <w:spacing w:after="0"/>
              <w:rPr>
                <w:sz w:val="20"/>
                <w:szCs w:val="20"/>
                <w:color w:val="auto"/>
              </w:rPr>
            </w:pPr>
            <w:r>
              <w:rPr>
                <w:rFonts w:ascii="Arial" w:cs="Arial" w:eastAsia="Arial" w:hAnsi="Arial"/>
                <w:sz w:val="14"/>
                <w:szCs w:val="14"/>
                <w:color w:val="auto"/>
              </w:rPr>
              <w:t>Canyons obligation accreted interest expense</w:t>
            </w:r>
          </w:p>
        </w:tc>
        <w:tc>
          <w:tcPr>
            <w:tcW w:w="10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5,723</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5,687</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5,644</w:t>
            </w:r>
          </w:p>
        </w:tc>
      </w:tr>
      <w:tr>
        <w:trPr>
          <w:trHeight w:val="222"/>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fair value of contingent consideration</w:t>
            </w: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16,300</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r>
      <w:tr>
        <w:trPr>
          <w:trHeight w:val="210"/>
        </w:trPr>
        <w:tc>
          <w:tcPr>
            <w:tcW w:w="4700" w:type="dxa"/>
            <w:vAlign w:val="bottom"/>
          </w:tcPr>
          <w:p>
            <w:pPr>
              <w:ind w:left="380"/>
              <w:spacing w:after="0"/>
              <w:rPr>
                <w:sz w:val="20"/>
                <w:szCs w:val="20"/>
                <w:color w:val="auto"/>
              </w:rPr>
            </w:pPr>
            <w:r>
              <w:rPr>
                <w:rFonts w:ascii="Arial" w:cs="Arial" w:eastAsia="Arial" w:hAnsi="Arial"/>
                <w:sz w:val="14"/>
                <w:szCs w:val="14"/>
                <w:color w:val="auto"/>
              </w:rPr>
              <w:t>Foreign currency loss (gain) on intercompany loans</w:t>
            </w:r>
          </w:p>
        </w:tc>
        <w:tc>
          <w:tcPr>
            <w:tcW w:w="10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8,966</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(15,285)</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sale of real property</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(6,766)</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(5,295)</w:t>
            </w:r>
          </w:p>
        </w:tc>
      </w:tr>
      <w:tr>
        <w:trPr>
          <w:trHeight w:val="197"/>
        </w:trPr>
        <w:tc>
          <w:tcPr>
            <w:tcW w:w="4700" w:type="dxa"/>
            <w:vAlign w:val="bottom"/>
          </w:tcPr>
          <w:p>
            <w:pPr>
              <w:ind w:left="380"/>
              <w:spacing w:after="0"/>
              <w:rPr>
                <w:sz w:val="20"/>
                <w:szCs w:val="20"/>
                <w:color w:val="auto"/>
              </w:rPr>
            </w:pPr>
            <w:r>
              <w:rPr>
                <w:rFonts w:ascii="Arial" w:cs="Arial" w:eastAsia="Arial" w:hAnsi="Arial"/>
                <w:sz w:val="14"/>
                <w:szCs w:val="14"/>
                <w:color w:val="auto"/>
              </w:rPr>
              <w:t>Other non-cash income, net</w:t>
            </w:r>
          </w:p>
        </w:tc>
        <w:tc>
          <w:tcPr>
            <w:tcW w:w="10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(13,784)</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(15,063)</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(8,044)</w:t>
            </w:r>
          </w:p>
        </w:tc>
      </w:tr>
      <w:tr>
        <w:trPr>
          <w:trHeight w:val="197"/>
        </w:trPr>
        <w:tc>
          <w:tcPr>
            <w:tcW w:w="4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assets and liabilities, net of effects of acquisitions:</w:t>
            </w: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80"/>
        </w:trPr>
        <w:tc>
          <w:tcPr>
            <w:tcW w:w="47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10"/>
        </w:trPr>
        <w:tc>
          <w:tcPr>
            <w:tcW w:w="4700" w:type="dxa"/>
            <w:vAlign w:val="bottom"/>
          </w:tcPr>
          <w:p>
            <w:pPr>
              <w:ind w:left="380"/>
              <w:spacing w:after="0"/>
              <w:rPr>
                <w:sz w:val="20"/>
                <w:szCs w:val="20"/>
                <w:color w:val="auto"/>
              </w:rPr>
            </w:pPr>
            <w:r>
              <w:rPr>
                <w:rFonts w:ascii="Arial" w:cs="Arial" w:eastAsia="Arial" w:hAnsi="Arial"/>
                <w:sz w:val="14"/>
                <w:szCs w:val="14"/>
                <w:color w:val="auto"/>
              </w:rPr>
              <w:t>Restricted cash</w:t>
            </w:r>
          </w:p>
        </w:tc>
        <w:tc>
          <w:tcPr>
            <w:tcW w:w="10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3,139</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2,206</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6,966</w:t>
            </w:r>
          </w:p>
        </w:tc>
      </w:tr>
      <w:tr>
        <w:trPr>
          <w:trHeight w:val="209"/>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 net</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(44,261)</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(36,291)</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(32,991)</w:t>
            </w:r>
          </w:p>
        </w:tc>
      </w:tr>
      <w:tr>
        <w:trPr>
          <w:trHeight w:val="210"/>
        </w:trPr>
        <w:tc>
          <w:tcPr>
            <w:tcW w:w="4700" w:type="dxa"/>
            <w:vAlign w:val="bottom"/>
          </w:tcPr>
          <w:p>
            <w:pPr>
              <w:ind w:left="380"/>
              <w:spacing w:after="0"/>
              <w:rPr>
                <w:sz w:val="20"/>
                <w:szCs w:val="20"/>
                <w:color w:val="auto"/>
              </w:rPr>
            </w:pPr>
            <w:r>
              <w:rPr>
                <w:rFonts w:ascii="Arial" w:cs="Arial" w:eastAsia="Arial" w:hAnsi="Arial"/>
                <w:sz w:val="14"/>
                <w:szCs w:val="14"/>
                <w:color w:val="auto"/>
              </w:rPr>
              <w:t>Inventories, net</w:t>
            </w:r>
          </w:p>
        </w:tc>
        <w:tc>
          <w:tcPr>
            <w:tcW w:w="10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(963)</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8,086</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(843)</w:t>
            </w:r>
          </w:p>
        </w:tc>
      </w:tr>
      <w:tr>
        <w:trPr>
          <w:trHeight w:val="222"/>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accrued liabilities</w:t>
            </w: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1,879</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(22,119)</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16,025</w:t>
            </w:r>
          </w:p>
        </w:tc>
      </w:tr>
      <w:tr>
        <w:trPr>
          <w:trHeight w:val="210"/>
        </w:trPr>
        <w:tc>
          <w:tcPr>
            <w:tcW w:w="470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10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42,007</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24,217</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36,557</w:t>
            </w:r>
          </w:p>
        </w:tc>
      </w:tr>
      <w:tr>
        <w:trPr>
          <w:trHeight w:val="209"/>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payable - excess tax benefit from share award plans</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(71,077)</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(9,878)</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(5,667)</w:t>
            </w:r>
          </w:p>
        </w:tc>
      </w:tr>
      <w:tr>
        <w:trPr>
          <w:trHeight w:val="210"/>
        </w:trPr>
        <w:tc>
          <w:tcPr>
            <w:tcW w:w="4700" w:type="dxa"/>
            <w:vAlign w:val="bottom"/>
          </w:tcPr>
          <w:p>
            <w:pPr>
              <w:ind w:left="380"/>
              <w:spacing w:after="0"/>
              <w:rPr>
                <w:sz w:val="20"/>
                <w:szCs w:val="20"/>
                <w:color w:val="auto"/>
              </w:rPr>
            </w:pPr>
            <w:r>
              <w:rPr>
                <w:rFonts w:ascii="Arial" w:cs="Arial" w:eastAsia="Arial" w:hAnsi="Arial"/>
                <w:sz w:val="14"/>
                <w:szCs w:val="14"/>
                <w:color w:val="auto"/>
              </w:rPr>
              <w:t>Income taxes payable - other</w:t>
            </w:r>
          </w:p>
        </w:tc>
        <w:tc>
          <w:tcPr>
            <w:tcW w:w="10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38,453</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27,954</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62,220</w:t>
            </w:r>
          </w:p>
        </w:tc>
      </w:tr>
      <w:tr>
        <w:trPr>
          <w:trHeight w:val="216"/>
        </w:trPr>
        <w:tc>
          <w:tcPr>
            <w:tcW w:w="4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Other assets and liabilities, net</w:t>
            </w:r>
          </w:p>
        </w:tc>
        <w:tc>
          <w:tcPr>
            <w:tcW w:w="10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1,249</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5,417</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6,888</w:t>
            </w:r>
          </w:p>
        </w:tc>
      </w:tr>
      <w:tr>
        <w:trPr>
          <w:trHeight w:val="210"/>
        </w:trPr>
        <w:tc>
          <w:tcPr>
            <w:tcW w:w="4700" w:type="dxa"/>
            <w:vAlign w:val="bottom"/>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10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551,625</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473,189</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436,977</w:t>
            </w:r>
          </w:p>
        </w:tc>
      </w:tr>
      <w:tr>
        <w:trPr>
          <w:trHeight w:val="19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80"/>
        </w:trPr>
        <w:tc>
          <w:tcPr>
            <w:tcW w:w="47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97"/>
        </w:trPr>
        <w:tc>
          <w:tcPr>
            <w:tcW w:w="4700" w:type="dxa"/>
            <w:vAlign w:val="bottom"/>
          </w:tcPr>
          <w:p>
            <w:pPr>
              <w:ind w:left="160"/>
              <w:spacing w:after="0"/>
              <w:rPr>
                <w:sz w:val="20"/>
                <w:szCs w:val="20"/>
                <w:color w:val="auto"/>
              </w:rPr>
            </w:pPr>
            <w:r>
              <w:rPr>
                <w:rFonts w:ascii="Arial" w:cs="Arial" w:eastAsia="Arial" w:hAnsi="Arial"/>
                <w:sz w:val="14"/>
                <w:szCs w:val="14"/>
                <w:color w:val="auto"/>
              </w:rPr>
              <w:t>Capital expenditures</w:t>
            </w:r>
          </w:p>
        </w:tc>
        <w:tc>
          <w:tcPr>
            <w:tcW w:w="10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(140,611)</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(144,432)</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(109,237)</w:t>
            </w:r>
          </w:p>
        </w:tc>
      </w:tr>
      <w:tr>
        <w:trPr>
          <w:trHeight w:val="209"/>
        </w:trPr>
        <w:tc>
          <w:tcPr>
            <w:tcW w:w="4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businesses, net of cash acquired</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(553,220)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(20,245)</w:t>
            </w:r>
          </w:p>
        </w:tc>
      </w:tr>
      <w:tr>
        <w:trPr>
          <w:trHeight w:val="210"/>
        </w:trPr>
        <w:tc>
          <w:tcPr>
            <w:tcW w:w="4700" w:type="dxa"/>
            <w:vAlign w:val="bottom"/>
          </w:tcPr>
          <w:p>
            <w:pPr>
              <w:ind w:left="160"/>
              <w:spacing w:after="0"/>
              <w:rPr>
                <w:sz w:val="20"/>
                <w:szCs w:val="20"/>
                <w:color w:val="auto"/>
              </w:rPr>
            </w:pPr>
            <w:r>
              <w:rPr>
                <w:rFonts w:ascii="Arial" w:cs="Arial" w:eastAsia="Arial" w:hAnsi="Arial"/>
                <w:sz w:val="14"/>
                <w:szCs w:val="14"/>
                <w:color w:val="auto"/>
              </w:rPr>
              <w:t>Cash received from sale of real property</w:t>
            </w:r>
          </w:p>
        </w:tc>
        <w:tc>
          <w:tcPr>
            <w:tcW w:w="10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515</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7,992</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7,386</w:t>
            </w:r>
          </w:p>
        </w:tc>
      </w:tr>
      <w:tr>
        <w:trPr>
          <w:trHeight w:val="216"/>
        </w:trPr>
        <w:tc>
          <w:tcPr>
            <w:tcW w:w="47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Other investing activities, net</w:t>
            </w:r>
          </w:p>
        </w:tc>
        <w:tc>
          <w:tcPr>
            <w:tcW w:w="10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6,873</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6,824</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(1,920)</w:t>
            </w:r>
          </w:p>
        </w:tc>
      </w:tr>
      <w:tr>
        <w:trPr>
          <w:trHeight w:val="196"/>
        </w:trPr>
        <w:tc>
          <w:tcPr>
            <w:tcW w:w="4700" w:type="dxa"/>
            <w:vAlign w:val="bottom"/>
          </w:tcPr>
          <w:p>
            <w:pPr>
              <w:ind w:left="60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(134,579)</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(682,836)</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(124,016)</w:t>
            </w:r>
          </w:p>
        </w:tc>
      </w:tr>
      <w:tr>
        <w:trPr>
          <w:trHeight w:val="19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80"/>
        </w:trPr>
        <w:tc>
          <w:tcPr>
            <w:tcW w:w="47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10"/>
        </w:trPr>
        <w:tc>
          <w:tcPr>
            <w:tcW w:w="4700" w:type="dxa"/>
            <w:vAlign w:val="bottom"/>
          </w:tcPr>
          <w:p>
            <w:pPr>
              <w:ind w:left="160"/>
              <w:spacing w:after="0"/>
              <w:rPr>
                <w:sz w:val="20"/>
                <w:szCs w:val="20"/>
                <w:color w:val="auto"/>
              </w:rPr>
            </w:pPr>
            <w:r>
              <w:rPr>
                <w:rFonts w:ascii="Arial" w:cs="Arial" w:eastAsia="Arial" w:hAnsi="Arial"/>
                <w:sz w:val="14"/>
                <w:szCs w:val="14"/>
                <w:color w:val="auto"/>
              </w:rPr>
              <w:t>Proceeds from borrowings under Vail Holdings Credit Agreement</w:t>
            </w:r>
          </w:p>
        </w:tc>
        <w:tc>
          <w:tcPr>
            <w:tcW w:w="10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225,000</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669,375</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210,000</w:t>
            </w:r>
          </w:p>
        </w:tc>
      </w:tr>
      <w:tr>
        <w:trPr>
          <w:trHeight w:val="222"/>
        </w:trPr>
        <w:tc>
          <w:tcPr>
            <w:tcW w:w="4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borrowings under Whistler Credit Agreement</w:t>
            </w: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46,513</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16,917</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4700" w:type="dxa"/>
            <w:vAlign w:val="bottom"/>
          </w:tcPr>
          <w:p>
            <w:pPr>
              <w:ind w:left="160"/>
              <w:spacing w:after="0"/>
              <w:rPr>
                <w:sz w:val="20"/>
                <w:szCs w:val="20"/>
                <w:color w:val="auto"/>
              </w:rPr>
            </w:pPr>
            <w:r>
              <w:rPr>
                <w:rFonts w:ascii="Arial" w:cs="Arial" w:eastAsia="Arial" w:hAnsi="Arial"/>
                <w:sz w:val="14"/>
                <w:szCs w:val="14"/>
                <w:color w:val="auto"/>
              </w:rPr>
              <w:t>Repayments of borrowings under Vail Holdings Credit Agreement</w:t>
            </w:r>
          </w:p>
        </w:tc>
        <w:tc>
          <w:tcPr>
            <w:tcW w:w="10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(182,500)</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(213,125)</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(329,375)</w:t>
            </w:r>
          </w:p>
        </w:tc>
      </w:tr>
      <w:tr>
        <w:trPr>
          <w:trHeight w:val="222"/>
        </w:trPr>
        <w:tc>
          <w:tcPr>
            <w:tcW w:w="4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Repayments of borrowings under Whistler Credit Agreement</w:t>
            </w: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(91,941)</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(53,889)</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4700" w:type="dxa"/>
            <w:vAlign w:val="bottom"/>
          </w:tcPr>
          <w:p>
            <w:pPr>
              <w:ind w:left="160"/>
              <w:spacing w:after="0"/>
              <w:rPr>
                <w:sz w:val="20"/>
                <w:szCs w:val="20"/>
                <w:color w:val="auto"/>
              </w:rPr>
            </w:pPr>
            <w:r>
              <w:rPr>
                <w:rFonts w:ascii="Arial" w:cs="Arial" w:eastAsia="Arial" w:hAnsi="Arial"/>
                <w:sz w:val="14"/>
                <w:szCs w:val="14"/>
                <w:color w:val="auto"/>
              </w:rPr>
              <w:t>Employee taxes paid for share award exercises</w:t>
            </w:r>
          </w:p>
        </w:tc>
        <w:tc>
          <w:tcPr>
            <w:tcW w:w="10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(104,077)</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(16,275)</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(10,215)</w:t>
            </w:r>
          </w:p>
        </w:tc>
      </w:tr>
      <w:tr>
        <w:trPr>
          <w:trHeight w:val="209"/>
        </w:trPr>
        <w:tc>
          <w:tcPr>
            <w:tcW w:w="4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Repurchases of common stock</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(53,787)</w:t>
            </w:r>
          </w:p>
        </w:tc>
      </w:tr>
      <w:tr>
        <w:trPr>
          <w:trHeight w:val="197"/>
        </w:trPr>
        <w:tc>
          <w:tcPr>
            <w:tcW w:w="4700" w:type="dxa"/>
            <w:vAlign w:val="bottom"/>
          </w:tcPr>
          <w:p>
            <w:pPr>
              <w:ind w:left="160"/>
              <w:spacing w:after="0"/>
              <w:rPr>
                <w:sz w:val="20"/>
                <w:szCs w:val="20"/>
                <w:color w:val="auto"/>
              </w:rPr>
            </w:pPr>
            <w:r>
              <w:rPr>
                <w:rFonts w:ascii="Arial" w:cs="Arial" w:eastAsia="Arial" w:hAnsi="Arial"/>
                <w:sz w:val="14"/>
                <w:szCs w:val="14"/>
                <w:color w:val="auto"/>
              </w:rPr>
              <w:t>Dividends paid</w:t>
            </w:r>
          </w:p>
        </w:tc>
        <w:tc>
          <w:tcPr>
            <w:tcW w:w="10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(204,161)</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(146,235)</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(103,835)</w:t>
            </w:r>
          </w:p>
        </w:tc>
      </w:tr>
      <w:tr>
        <w:trPr>
          <w:trHeight w:val="216"/>
        </w:trPr>
        <w:tc>
          <w:tcPr>
            <w:tcW w:w="47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Other financing activities, net</w:t>
            </w:r>
          </w:p>
        </w:tc>
        <w:tc>
          <w:tcPr>
            <w:tcW w:w="10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(13,749)</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5,780</w:t>
            </w:r>
          </w:p>
        </w:tc>
      </w:tr>
      <w:tr>
        <w:trPr>
          <w:trHeight w:val="210"/>
        </w:trPr>
        <w:tc>
          <w:tcPr>
            <w:tcW w:w="47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Net cash (used in) provided by financing activities</w:t>
            </w:r>
          </w:p>
        </w:tc>
        <w:tc>
          <w:tcPr>
            <w:tcW w:w="10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(350,715)</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255,617</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(281,432)</w:t>
            </w:r>
          </w:p>
        </w:tc>
      </w:tr>
      <w:tr>
        <w:trPr>
          <w:trHeight w:val="216"/>
        </w:trPr>
        <w:tc>
          <w:tcPr>
            <w:tcW w:w="4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Effect of exchange rate changes on cash and cash equivalents</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(5,575)</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3,522</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w:t>
            </w:r>
          </w:p>
        </w:tc>
      </w:tr>
      <w:tr>
        <w:trPr>
          <w:trHeight w:val="210"/>
        </w:trPr>
        <w:tc>
          <w:tcPr>
            <w:tcW w:w="4700" w:type="dxa"/>
            <w:vAlign w:val="bottom"/>
          </w:tcPr>
          <w:p>
            <w:pPr>
              <w:ind w:left="600"/>
              <w:spacing w:after="0"/>
              <w:rPr>
                <w:sz w:val="20"/>
                <w:szCs w:val="20"/>
                <w:color w:val="auto"/>
              </w:rPr>
            </w:pPr>
            <w:r>
              <w:rPr>
                <w:rFonts w:ascii="Arial" w:cs="Arial" w:eastAsia="Arial" w:hAnsi="Arial"/>
                <w:sz w:val="14"/>
                <w:szCs w:val="14"/>
                <w:color w:val="auto"/>
              </w:rPr>
              <w:t>Net increase in cash and cash equivalents</w:t>
            </w:r>
          </w:p>
        </w:tc>
        <w:tc>
          <w:tcPr>
            <w:tcW w:w="10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60,756</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49,492</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32,438</w:t>
            </w:r>
          </w:p>
        </w:tc>
      </w:tr>
      <w:tr>
        <w:trPr>
          <w:trHeight w:val="19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80"/>
        </w:trPr>
        <w:tc>
          <w:tcPr>
            <w:tcW w:w="47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10"/>
        </w:trPr>
        <w:tc>
          <w:tcPr>
            <w:tcW w:w="47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Beginning of period</w:t>
            </w: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117,389</w:t>
            </w:r>
          </w:p>
        </w:tc>
        <w:tc>
          <w:tcPr>
            <w:tcW w:w="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67,897</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35,459</w:t>
            </w:r>
          </w:p>
        </w:tc>
      </w:tr>
      <w:tr>
        <w:trPr>
          <w:trHeight w:val="223"/>
        </w:trPr>
        <w:tc>
          <w:tcPr>
            <w:tcW w:w="47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End of period</w:t>
            </w:r>
          </w:p>
        </w:tc>
        <w:tc>
          <w:tcPr>
            <w:tcW w:w="10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178,145</w:t>
            </w:r>
          </w:p>
        </w:tc>
        <w:tc>
          <w:tcPr>
            <w:tcW w:w="5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117,389</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67,897</w:t>
            </w:r>
          </w:p>
        </w:tc>
      </w:tr>
      <w:tr>
        <w:trPr>
          <w:trHeight w:val="210"/>
        </w:trPr>
        <w:tc>
          <w:tcPr>
            <w:tcW w:w="4700" w:type="dxa"/>
            <w:vAlign w:val="bottom"/>
          </w:tcPr>
          <w:p>
            <w:pPr>
              <w:ind w:left="280"/>
              <w:spacing w:after="0"/>
              <w:rPr>
                <w:sz w:val="20"/>
                <w:szCs w:val="20"/>
                <w:color w:val="auto"/>
              </w:rPr>
            </w:pPr>
            <w:r>
              <w:rPr>
                <w:rFonts w:ascii="Arial" w:cs="Arial" w:eastAsia="Arial" w:hAnsi="Arial"/>
                <w:sz w:val="14"/>
                <w:szCs w:val="14"/>
                <w:color w:val="auto"/>
              </w:rPr>
              <w:t>Cash paid for interest</w:t>
            </w:r>
          </w:p>
        </w:tc>
        <w:tc>
          <w:tcPr>
            <w:tcW w:w="10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53,842</w:t>
            </w:r>
          </w:p>
        </w:tc>
        <w:tc>
          <w:tcPr>
            <w:tcW w:w="5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46,454</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33,243</w:t>
            </w:r>
          </w:p>
        </w:tc>
      </w:tr>
      <w:tr>
        <w:trPr>
          <w:trHeight w:val="222"/>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net</w:t>
            </w:r>
          </w:p>
        </w:tc>
        <w:tc>
          <w:tcPr>
            <w:tcW w:w="10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16,945</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49,373</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21,994</w:t>
            </w: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Non-cash investing activities:</w:t>
            </w: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80"/>
        </w:trPr>
        <w:tc>
          <w:tcPr>
            <w:tcW w:w="4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1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capital expenditures</w:t>
            </w:r>
          </w:p>
        </w:tc>
        <w:tc>
          <w:tcPr>
            <w:tcW w:w="10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15,638</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14,631</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16,267</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980"/>
          </w:cols>
          <w:pgMar w:left="960" w:top="1229" w:right="9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9980"/>
          </w:cols>
          <w:pgMar w:left="960" w:top="1229" w:right="959" w:bottom="1440" w:gutter="0" w:footer="0" w:header="0"/>
          <w:type w:val="continuous"/>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800" w:hanging="792"/>
        <w:spacing w:after="0"/>
        <w:tabs>
          <w:tab w:leader="none" w:pos="8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as of July 31, 2018, the Company operated eleven mountain resort properties and three urban ski areas including: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Mountain Resorts:</w:t>
            </w: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Vail Mountain Resort (“Vail Mountain”)</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Breckenridge Ski Resort (“Breckenridge”)</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Keystone Resort (“Keystone”)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Beaver Creek Resort (“Beaver Creek”)</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Park City Resort (“Park City”)</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Heavenly Mountain Resort (“Heavenly”)</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Northstar Resort (“Northstar”)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Kirkwood Mountain Resort (“Kirkwood”)</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Perisher Ski Resort (“Perisher”)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Stowe Mountain Resort (“Stowe”)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Urban Ski Areas (“Urban”):</w:t>
            </w: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Wilmot Mountain (“Wilmot”)</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20" w:type="dxa"/>
            <w:vAlign w:val="bottom"/>
            <w:gridSpan w:val="2"/>
          </w:tcPr>
          <w:p>
            <w:pPr>
              <w:ind w:left="20"/>
              <w:spacing w:after="0"/>
              <w:rPr>
                <w:sz w:val="20"/>
                <w:szCs w:val="20"/>
                <w:color w:val="auto"/>
              </w:rPr>
            </w:pPr>
            <w:r>
              <w:rPr>
                <w:rFonts w:ascii="Arial" w:cs="Arial" w:eastAsia="Arial" w:hAnsi="Arial"/>
                <w:sz w:val="18"/>
                <w:szCs w:val="18"/>
                <w:i w:val="1"/>
                <w:iCs w:val="1"/>
                <w:color w:val="auto"/>
              </w:rPr>
              <w:t>Afton Alps Ski Area (“Afton Alps”)</w:t>
            </w:r>
          </w:p>
        </w:tc>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Mount Brighton Ski Area (“Mt. Brighton”)</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the Mountain segment includes ancillary services, primarily including ski school, dining and retail/rental operations, and for Perisher including lodging and transportation operations. The resorts located in the United States (“U.S.”), except for Northstar, Park City, Stowe and the Urban ski areas,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Perisher are conducted pursuant to a long-term lease and license on land owned by the government of New South Wales, Australia. Stowe operates on land owned by the Company as well as land it leases from the states the resorts operate in.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Company’s operating season at Perisher, its NPS concessionaire properties and its golf courses generally occur from June to early October.</w:t>
      </w:r>
    </w:p>
    <w:p>
      <w:pPr>
        <w:spacing w:after="0" w:line="17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the Company, its consolidated subsidiaries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Company has a controlling financial interest. Investments in which the Company does not have a controlling financial interest are accounted for under the equity method. All significant intercompany transactions have been eliminated in consolidation.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012" w:right="239" w:bottom="1440" w:gutter="0" w:footer="0" w:header="0"/>
        </w:sectPr>
      </w:pPr>
    </w:p>
    <w:bookmarkStart w:id="70" w:name="page71"/>
    <w:bookmarkEnd w:id="70"/>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all highly liquid investments with maturities of three months or less at the date of purchase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Accounts receivable</w:t>
      </w:r>
      <w:r>
        <w:rPr>
          <w:rFonts w:ascii="Arial" w:cs="Arial" w:eastAsia="Arial" w:hAnsi="Arial"/>
          <w:sz w:val="17"/>
          <w:szCs w:val="17"/>
          <w:color w:val="auto"/>
        </w:rPr>
        <w:t>-- The Company records trade accounts receivable in the normal course of business related to the sale of products or services. The</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 for 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Company’s inventories consist primarily of purchased retail goods, food and beverage items and spare parts. Inventories are stated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cost or net realizable value, determined using primarily an average weighted cost method. The Company records a reserve for estimated shrinkage and obsolete or unusable inventory.</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Property, plant and equipment is carried at cost net of accumulated depreciation. Repairs and maintenance are expensed as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Expenditures that improve the functionality of the related asset or extend the useful life are capitalized. When property, plant and equipment is retired or otherwise disposed of, the related gain or loss is included in operating income. Leasehold improvements are amortized on the straight-line method over the shorter of the remaining lease term or estimated useful life of the asset. Depreciation is calculated on the straight-line method, including property, plant and equipment under capital leases, generally based on the following useful lives: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5240" w:type="dxa"/>
            <w:vAlign w:val="bottom"/>
          </w:tcPr>
          <w:p>
            <w:pPr>
              <w:jc w:val="center"/>
              <w:ind w:left="2650"/>
              <w:spacing w:after="0"/>
              <w:rPr>
                <w:sz w:val="20"/>
                <w:szCs w:val="20"/>
                <w:color w:val="auto"/>
              </w:rPr>
            </w:pPr>
            <w:r>
              <w:rPr>
                <w:rFonts w:ascii="Arial" w:cs="Arial" w:eastAsia="Arial" w:hAnsi="Arial"/>
                <w:sz w:val="18"/>
                <w:szCs w:val="18"/>
                <w:b w:val="1"/>
                <w:bCs w:val="1"/>
                <w:color w:val="auto"/>
                <w:w w:val="92"/>
              </w:rPr>
              <w:t>Estimated Life</w:t>
            </w:r>
          </w:p>
        </w:tc>
      </w:tr>
      <w:tr>
        <w:trPr>
          <w:trHeight w:val="234"/>
        </w:trPr>
        <w:tc>
          <w:tcPr>
            <w:tcW w:w="6180" w:type="dxa"/>
            <w:vAlign w:val="bottom"/>
          </w:tcPr>
          <w:p>
            <w:pPr>
              <w:spacing w:after="0"/>
              <w:rPr>
                <w:sz w:val="20"/>
                <w:szCs w:val="20"/>
                <w:color w:val="auto"/>
              </w:rPr>
            </w:pPr>
          </w:p>
        </w:tc>
        <w:tc>
          <w:tcPr>
            <w:tcW w:w="5240" w:type="dxa"/>
            <w:vAlign w:val="bottom"/>
          </w:tcPr>
          <w:p>
            <w:pPr>
              <w:jc w:val="center"/>
              <w:ind w:left="2650"/>
              <w:spacing w:after="0"/>
              <w:rPr>
                <w:sz w:val="20"/>
                <w:szCs w:val="20"/>
                <w:color w:val="auto"/>
              </w:rPr>
            </w:pPr>
            <w:r>
              <w:rPr>
                <w:rFonts w:ascii="Arial" w:cs="Arial" w:eastAsia="Arial" w:hAnsi="Arial"/>
                <w:sz w:val="18"/>
                <w:szCs w:val="18"/>
                <w:b w:val="1"/>
                <w:bCs w:val="1"/>
                <w:color w:val="auto"/>
                <w:w w:val="88"/>
              </w:rPr>
              <w:t>in Years</w:t>
            </w:r>
          </w:p>
        </w:tc>
      </w:tr>
      <w:tr>
        <w:trPr>
          <w:trHeight w:val="27"/>
        </w:trPr>
        <w:tc>
          <w:tcPr>
            <w:tcW w:w="618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5240" w:type="dxa"/>
            <w:vAlign w:val="bottom"/>
            <w:tcBorders>
              <w:bottom w:val="single" w:sz="8" w:color="CCEEFF"/>
            </w:tcBorders>
            <w:shd w:val="clear" w:color="auto" w:fill="CCEEFF"/>
          </w:tcPr>
          <w:p>
            <w:pPr>
              <w:jc w:val="center"/>
              <w:ind w:left="2650"/>
              <w:spacing w:after="0"/>
              <w:rPr>
                <w:sz w:val="20"/>
                <w:szCs w:val="20"/>
                <w:color w:val="auto"/>
              </w:rPr>
            </w:pPr>
            <w:r>
              <w:rPr>
                <w:rFonts w:ascii="Arial" w:cs="Arial" w:eastAsia="Arial" w:hAnsi="Arial"/>
                <w:sz w:val="18"/>
                <w:szCs w:val="18"/>
                <w:color w:val="auto"/>
                <w:w w:val="91"/>
              </w:rPr>
              <w:t>10-35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5240" w:type="dxa"/>
            <w:vAlign w:val="bottom"/>
          </w:tcPr>
          <w:p>
            <w:pPr>
              <w:jc w:val="center"/>
              <w:ind w:left="2650"/>
              <w:spacing w:after="0"/>
              <w:rPr>
                <w:sz w:val="20"/>
                <w:szCs w:val="20"/>
                <w:color w:val="auto"/>
              </w:rPr>
            </w:pPr>
            <w:r>
              <w:rPr>
                <w:rFonts w:ascii="Arial" w:cs="Arial" w:eastAsia="Arial" w:hAnsi="Arial"/>
                <w:sz w:val="18"/>
                <w:szCs w:val="18"/>
                <w:color w:val="auto"/>
                <w:w w:val="94"/>
              </w:rPr>
              <w:t>7-30</w:t>
            </w:r>
          </w:p>
        </w:tc>
      </w:tr>
      <w:tr>
        <w:trPr>
          <w:trHeight w:val="27"/>
        </w:trPr>
        <w:tc>
          <w:tcPr>
            <w:tcW w:w="618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5240" w:type="dxa"/>
            <w:vAlign w:val="bottom"/>
            <w:tcBorders>
              <w:bottom w:val="single" w:sz="8" w:color="CCEEFF"/>
            </w:tcBorders>
            <w:shd w:val="clear" w:color="auto" w:fill="CCEEFF"/>
          </w:tcPr>
          <w:p>
            <w:pPr>
              <w:jc w:val="center"/>
              <w:ind w:left="2650"/>
              <w:spacing w:after="0"/>
              <w:rPr>
                <w:sz w:val="20"/>
                <w:szCs w:val="20"/>
                <w:color w:val="auto"/>
              </w:rPr>
            </w:pPr>
            <w:r>
              <w:rPr>
                <w:rFonts w:ascii="Arial" w:cs="Arial" w:eastAsia="Arial" w:hAnsi="Arial"/>
                <w:sz w:val="18"/>
                <w:szCs w:val="18"/>
                <w:color w:val="auto"/>
                <w:w w:val="94"/>
              </w:rPr>
              <w:t>2-30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5240" w:type="dxa"/>
            <w:vAlign w:val="bottom"/>
          </w:tcPr>
          <w:p>
            <w:pPr>
              <w:jc w:val="center"/>
              <w:ind w:left="2650"/>
              <w:spacing w:after="0"/>
              <w:rPr>
                <w:sz w:val="20"/>
                <w:szCs w:val="20"/>
                <w:color w:val="auto"/>
              </w:rPr>
            </w:pPr>
            <w:r>
              <w:rPr>
                <w:rFonts w:ascii="Arial" w:cs="Arial" w:eastAsia="Arial" w:hAnsi="Arial"/>
                <w:sz w:val="18"/>
                <w:szCs w:val="18"/>
                <w:color w:val="auto"/>
                <w:w w:val="94"/>
              </w:rPr>
              <w:t>3-10</w:t>
            </w:r>
          </w:p>
        </w:tc>
      </w:tr>
      <w:tr>
        <w:trPr>
          <w:trHeight w:val="27"/>
        </w:trPr>
        <w:tc>
          <w:tcPr>
            <w:tcW w:w="618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240" w:type="dxa"/>
            <w:vAlign w:val="bottom"/>
            <w:tcBorders>
              <w:bottom w:val="single" w:sz="8" w:color="CCEEFF"/>
            </w:tcBorders>
            <w:shd w:val="clear" w:color="auto" w:fill="CCEEFF"/>
          </w:tcPr>
          <w:p>
            <w:pPr>
              <w:jc w:val="center"/>
              <w:ind w:left="2650"/>
              <w:spacing w:after="0"/>
              <w:rPr>
                <w:sz w:val="20"/>
                <w:szCs w:val="20"/>
                <w:color w:val="auto"/>
              </w:rPr>
            </w:pPr>
            <w:r>
              <w:rPr>
                <w:rFonts w:ascii="Arial" w:cs="Arial" w:eastAsia="Arial" w:hAnsi="Arial"/>
                <w:sz w:val="18"/>
                <w:szCs w:val="18"/>
                <w:color w:val="auto"/>
                <w:w w:val="99"/>
              </w:rPr>
              <w:t>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Vehicles</w:t>
            </w:r>
          </w:p>
        </w:tc>
        <w:tc>
          <w:tcPr>
            <w:tcW w:w="5240" w:type="dxa"/>
            <w:vAlign w:val="bottom"/>
          </w:tcPr>
          <w:p>
            <w:pPr>
              <w:jc w:val="center"/>
              <w:ind w:left="2650"/>
              <w:spacing w:after="0"/>
              <w:rPr>
                <w:sz w:val="20"/>
                <w:szCs w:val="20"/>
                <w:color w:val="auto"/>
              </w:rPr>
            </w:pPr>
            <w:r>
              <w:rPr>
                <w:rFonts w:ascii="Arial" w:cs="Arial" w:eastAsia="Arial" w:hAnsi="Arial"/>
                <w:sz w:val="18"/>
                <w:szCs w:val="18"/>
                <w:color w:val="auto"/>
                <w:w w:val="94"/>
              </w:rPr>
              <w:t>3-10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Real Estate Held for Sale and Investment</w:t>
      </w:r>
      <w:r>
        <w:rPr>
          <w:rFonts w:ascii="Arial" w:cs="Arial" w:eastAsia="Arial" w:hAnsi="Arial"/>
          <w:sz w:val="18"/>
          <w:szCs w:val="18"/>
          <w:color w:val="auto"/>
        </w:rPr>
        <w:t>-- The Company capitalizes as real estate held for sale and investment the original land acquisition cost, direct</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and development costs, property taxes, interest recorded on costs related to real estate under development and other related costs. Sales and marketing expenses are charged against income in the period incurred. Additionally, sales commission expenses are charged against income in the period that the related revenue from real estate sales is recorded.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Certain costs incurred with the issuance of debt securities are capitalized and included as a reduction in the net carrying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net of accumulated amortization, with the exception of costs incurred related to line-of-credit arrangements, which are included in deferred charges and other assets, net of accumulated amortization. Amortization is charged to interest expense over the respective term of the applicable debt issues. When debt is extinguished prior to its maturity date, the amortization of the remaining unamortized deferred financing costs, or pro-rata portion thereof, is charged to loss on extinguishment of debt.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The Company has classified as goodwill the cost in excess of estimated fair value of the net assets of businesses acquired in</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transactions. The Company’s major intangible asset classes are trademarks, water rights, customer lists, property management contracts, Forest Service permits and excess reorganization value. Goodwill and various indefinite-lived intangible assets, including excess reorganization value, certain trademarks, water rights and certain property management contracts, are not amortized but are subject to at least annual impairment testing. The Company tests annually (or more often, if necessary) for impairment as of May 1. Amortizable intangible assets are amortized over the shorter of their contractual terms or estimated useful lives.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testing for impairment consists of a comparison of the estimated fair value of the assets with their net carrying values. If the net carrying amount of the assets exceed its estimated fair value, an impairment will be recognized for indefinite-lived intangibles, including goodwill, in an amount equal to that excess. If the net carrying amount of the assets does not exceed the estimated fair value, no impairment loss is recognized. For the testing of goodwill for impairment, the Company performs a qualitative analysis to determine whether it is more likely than not that the fair value of a reporting unit exceeds the carrying amount. If it is determined, based on qualitative factors, that the fair value of the reporting unit may be more likely than not less than carrying amount, or if significant changes to macro-economic factors related to the reporting unit have occurred that could materially impact fair value, a quantitative goodwill impairment test would be required, in which the Company determines the estimated fair value of its reporting units using discounted cash flow analyses. The estimated fair value of indefinite-lived intangible assets is estimated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79" w:right="2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using an income approach. The Company determined that there was no impairment to goodwill and no significant impairment to definite or indefinite-lived intangible assets for the years ended July 31, 2018, 2017 and 2016.</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The Company evaluates potential impairment of long-lived assets and long-lived assets to be disposed of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 net carrying amount of an asset may not be fully recoverable. If the sum of the expected cash flows, on an undiscounted basis, is less than the net carrying amount of the asset, an impairment loss is recognized in the amount by which the net carrying amount of the asset exceeds its estimated fair value. The Company does not believe any events or changes in circumstances indicating an impairment of the net carrying amount of a long-lived asset occurred during the years ended July 31, 2018, 2017 and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The following describes the composition of revenues for the Company:</w:t>
      </w:r>
    </w:p>
    <w:p>
      <w:pPr>
        <w:spacing w:after="0" w:line="117" w:lineRule="exact"/>
        <w:rPr>
          <w:sz w:val="20"/>
          <w:szCs w:val="20"/>
          <w:color w:val="auto"/>
        </w:rPr>
      </w:pPr>
    </w:p>
    <w:p>
      <w:pPr>
        <w:ind w:left="500" w:hanging="330"/>
        <w:spacing w:after="0" w:line="293" w:lineRule="auto"/>
        <w:tabs>
          <w:tab w:leader="none" w:pos="338" w:val="left"/>
        </w:tabs>
        <w:numPr>
          <w:ilvl w:val="0"/>
          <w:numId w:val="43"/>
        </w:numPr>
        <w:rPr>
          <w:rFonts w:ascii="Arial" w:cs="Arial" w:eastAsia="Arial" w:hAnsi="Arial"/>
          <w:sz w:val="16"/>
          <w:szCs w:val="16"/>
          <w:color w:val="auto"/>
        </w:rPr>
      </w:pPr>
      <w:r>
        <w:rPr>
          <w:rFonts w:ascii="Arial" w:cs="Arial" w:eastAsia="Arial" w:hAnsi="Arial"/>
          <w:sz w:val="16"/>
          <w:szCs w:val="16"/>
          <w:color w:val="auto"/>
        </w:rPr>
        <w:t>Mountain revenue is derived from a wide variety of sources, including, among other things, sales of lift tickets (including season passes), ski school operations, other on-mountain activities, dining operations, retail sales, equipment rentals, private ski club amortized initiation fees and dues, marketing and internet advertising, commercial leasing, employee housing, municipal services and lodging and transportation operations at Perisher, and is recognized as products are delivered or services are performed. The Company records deferred revenue related to the sale of season ski passes. The number of season pass holder visits is estimated based on historical data and the deferred revenue is recognized throughout the ski season based on this estimate, or on a straight-line basis if usage patterns cannot be determined based on available historical data.</w:t>
      </w:r>
    </w:p>
    <w:p>
      <w:pPr>
        <w:spacing w:after="0" w:line="56" w:lineRule="exact"/>
        <w:rPr>
          <w:rFonts w:ascii="Arial" w:cs="Arial" w:eastAsia="Arial" w:hAnsi="Arial"/>
          <w:sz w:val="16"/>
          <w:szCs w:val="16"/>
          <w:color w:val="auto"/>
        </w:rPr>
      </w:pPr>
    </w:p>
    <w:p>
      <w:pPr>
        <w:ind w:left="500" w:hanging="330"/>
        <w:spacing w:after="0" w:line="255" w:lineRule="auto"/>
        <w:tabs>
          <w:tab w:leader="none" w:pos="3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from non-refundable private club initiation fees is recognized over the estimated life of the facilities on a straight-line basis upon inception of the club. As of July 31, 2018, the weighted average remaining period over which the private club initiation fees will be recognized is approximately 12 years. Additionally, certain club initiation fees are refundable in 30 years after the date of acceptance of a member. Under these memberships, the difference between the amount paid by the member and the present value of the refund obligation is recorded as deferred initiation fee revenue in the Company’s Consolidated Balance Sheets and recognized as revenue on a straight-line basis over 30 years. The present value of the refund obligation is recorded as an initiation deposit liability and accretes over the nonrefundable term using the effective interest method. The accretion is included in interest expense.</w:t>
      </w:r>
    </w:p>
    <w:p>
      <w:pPr>
        <w:spacing w:after="0" w:line="81" w:lineRule="exact"/>
        <w:rPr>
          <w:rFonts w:ascii="Arial" w:cs="Arial" w:eastAsia="Arial" w:hAnsi="Arial"/>
          <w:sz w:val="18"/>
          <w:szCs w:val="18"/>
          <w:color w:val="auto"/>
        </w:rPr>
      </w:pPr>
    </w:p>
    <w:p>
      <w:pPr>
        <w:ind w:left="500" w:hanging="330"/>
        <w:spacing w:after="0" w:line="297" w:lineRule="auto"/>
        <w:tabs>
          <w:tab w:leader="none" w:pos="338"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Lodging revenue is derived from a wide variety of sources, including, among other things, hotel operations, dining operations, property management services, managed hotel property payroll cost reimbursements, private golf club amortized initiation fees and dues, transportation services and golf course greens fees, and is recognized as products are delivered or services are performed. Revenue from payroll cost reimbursements relates to payroll costs of managed hotel properties where the Company is the employer. The reimbursements are based upon the costs incurred with no added margin; therefore, these revenues and corresponding expenses have no net effect on the Company’s operating income or net income.</w:t>
      </w:r>
    </w:p>
    <w:p>
      <w:pPr>
        <w:spacing w:after="0" w:line="50" w:lineRule="exact"/>
        <w:rPr>
          <w:rFonts w:ascii="Arial" w:cs="Arial" w:eastAsia="Arial" w:hAnsi="Arial"/>
          <w:sz w:val="16"/>
          <w:szCs w:val="16"/>
          <w:color w:val="auto"/>
        </w:rPr>
      </w:pPr>
    </w:p>
    <w:p>
      <w:pPr>
        <w:ind w:left="500" w:right="20" w:hanging="330"/>
        <w:spacing w:after="0" w:line="259" w:lineRule="auto"/>
        <w:tabs>
          <w:tab w:leader="none" w:pos="3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Real estate revenue primarily includes the sale of land parcels, which is recorded primarily using the full accrual method and occurs only upon the following: (i) substantial completion of the entire development project, if applicable, (ii) receipt of certificates of occupancy or temporary certificates of occupancy from local governmental agencies, if applicable, (iii) closing of the sales transaction including receipt of all, or substantially all, sales proceeds (including any deposits previously received) and (iv) transfer of ownership.</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Real Estate Cost of Sales-- </w:t>
      </w:r>
      <w:r>
        <w:rPr>
          <w:rFonts w:ascii="Arial" w:cs="Arial" w:eastAsia="Arial" w:hAnsi="Arial"/>
          <w:sz w:val="18"/>
          <w:szCs w:val="18"/>
          <w:color w:val="auto"/>
        </w:rPr>
        <w:t>Costs of real estate transactions include direct project costs, common cost allocations (primarily determined on relative sales</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sales commission expense. The Company utilizes the relative sales value method to determine cost of sales for condominium units sold within a project when specific identification of costs cannot be reasonably determined.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The functional currency of the Company’s entities operating outside of the United States is the principal currency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environment in which the entity primarily generates and expends cash, which is the local currency. The assets and liabilities of these foreign operations are translated at the exchange rate in effect as of the balance sheet dates. Income and expense items are translated using the weighted average exchange rate for the period. Translation adjustments from currency exchange, including intercompany transactions of a long-term nature, are recorded in accumulated other comprehensive (loss) income as a separate component of stockholders’ equity. Intercompany transactions that are not of a long-term nature are reported as gains and losses within “segment operating expense” and for intercompany loans within “foreign currency (loss) gain on intercompany loans” on the Company’s Consolidated Statements of Operations.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Reserve Estimates-- </w:t>
      </w:r>
      <w:r>
        <w:rPr>
          <w:rFonts w:ascii="Arial" w:cs="Arial" w:eastAsia="Arial" w:hAnsi="Arial"/>
          <w:sz w:val="18"/>
          <w:szCs w:val="18"/>
          <w:color w:val="auto"/>
        </w:rPr>
        <w:t>The Company uses estimates to record reserves for certain liabilities, including medical claims, workers’ compensation claims, third-party loss contingencies and property taxes, among other items. The Company estimates the probable costs related to these liabilities that will be incurred and records that amount as a liability in its consolidated financial statements. 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incurred.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79" w:right="239" w:bottom="1440" w:gutter="0" w:footer="0" w:header="0"/>
        </w:sectPr>
      </w:pPr>
    </w:p>
    <w:bookmarkStart w:id="72" w:name="page73"/>
    <w:bookmarkEnd w:id="72"/>
    <w:p>
      <w:pPr>
        <w:jc w:val="both"/>
        <w:spacing w:after="0" w:line="277" w:lineRule="auto"/>
        <w:rPr>
          <w:sz w:val="20"/>
          <w:szCs w:val="20"/>
          <w:color w:val="auto"/>
        </w:rPr>
      </w:pPr>
      <w:r>
        <w:rPr>
          <w:rFonts w:ascii="Arial" w:cs="Arial" w:eastAsia="Arial" w:hAnsi="Arial"/>
          <w:sz w:val="18"/>
          <w:szCs w:val="18"/>
          <w:i w:val="1"/>
          <w:iCs w:val="1"/>
          <w:color w:val="auto"/>
        </w:rPr>
        <w:t>Advertising Costs</w:t>
      </w:r>
      <w:r>
        <w:rPr>
          <w:rFonts w:ascii="Arial" w:cs="Arial" w:eastAsia="Arial" w:hAnsi="Arial"/>
          <w:sz w:val="18"/>
          <w:szCs w:val="18"/>
          <w:color w:val="auto"/>
        </w:rPr>
        <w:t>-- Advertising costs are expensed at the time such advertising commences. Advertising expense for the years ended July 31, 2018,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was $39.8 million, $40.0 million and $32.3 million, respectively.</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expense includes U.S. tax (federal and state) and foreign income taxes. Tax legislation commonly known as the Tax Cuts and Jobs</w:t>
      </w:r>
      <w:r>
        <w:rPr>
          <w:rFonts w:ascii="Arial" w:cs="Arial" w:eastAsia="Arial" w:hAnsi="Arial"/>
          <w:sz w:val="16"/>
          <w:szCs w:val="16"/>
          <w:i w:val="1"/>
          <w:iCs w:val="1"/>
          <w:color w:val="auto"/>
        </w:rPr>
        <w:t xml:space="preserve"> </w:t>
      </w:r>
      <w:r>
        <w:rPr>
          <w:rFonts w:ascii="Arial" w:cs="Arial" w:eastAsia="Arial" w:hAnsi="Arial"/>
          <w:sz w:val="16"/>
          <w:szCs w:val="16"/>
          <w:color w:val="auto"/>
        </w:rPr>
        <w:t>Act of 2017 includes a mandatory one-time tax on accumulated earnings of foreign subsidiaries and, as a result, all previously unremitted earnings for which no U.S. deferred tax liability had been accrued have now been subject to U.S. tax. The Company’s provision for income taxes is based on pre-tax income, changes in deferred tax assets and liabilities and changes in estimates with regard to uncertain tax positions. Deferred tax assets and liabilities are recorded for the estimated future tax effects of temporary differences between the tax bases of assets and liabilities and amounts reported in the accompanying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The Company’s deferred tax assets have been reduced by a valuation allowance to the extent it is deemed to be more likely than not that some or all of the deferred tax assets will not be realized. The Company recognizes liabilities for uncertain tax positions based on a 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 settlement. Interest and penalties accrued in connection with uncertain tax positions are recognized as a component of income tax expense (see Note 9, Income Taxes, for more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The recorded amounts for cash and cash equivalents, receivables, other current assets and accounts payable and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approximate fair value due to their short-term nature. The fair value of amounts outstanding under the Company’s credit agreements and the Employee Housing Bonds (as defined in Note 4, Long-Term Debt) approximate book value due to the variable nature of the interest rate, which is a market rate, associated with the debt.</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Stock-based compensation expense is measured at the grant date based upon the estimated fair value of the portion of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ultimately expected to vest and is recognized as expense over the applicable vesting period of the award generally using the straight-line method (see Note 15, Stock Compensation Plan for more information). The following table shows total net stock-based compensation expense for the years ended July 31, 2018, 2017 and 2016 included in the Consolidated Statements of Operations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1"/>
              </w:rPr>
              <w:t>Year Ended July 31,</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stock-based compensation expense</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15,716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14,969</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Lodging stock-based compensation expense</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3,215</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3,215</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3,094</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stock-based compensation expense</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Pre-tax stock-based compensation expense</w:t>
            </w:r>
          </w:p>
        </w:tc>
        <w:tc>
          <w:tcPr>
            <w:tcW w:w="1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19,040</w:t>
            </w: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18,315</w:t>
            </w:r>
          </w:p>
        </w:tc>
        <w:tc>
          <w:tcPr>
            <w:tcW w:w="4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17,025</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benefit from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6,057</w:t>
            </w: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stock-based compensation expense</w:t>
            </w:r>
          </w:p>
        </w:tc>
        <w:tc>
          <w:tcPr>
            <w:tcW w:w="114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13,634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12,025</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10,968</w:t>
            </w:r>
          </w:p>
        </w:tc>
      </w:tr>
      <w:tr>
        <w:trPr>
          <w:trHeight w:val="34"/>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The Company’s financial instruments that are exposed to concentrations of credit risk consist primarily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restricted cash. The Company places its cash and temporary cash investments in high-quality credit institutions. The Company does not enter into financial instruments for hedging, trading or speculative purposes. Concentration of credit risk with respect to accounts and notes receivables is limited due to the wide variety of customers and markets in which the Company transacts business, as well as their dispersion across many geographical areas. The Company performs ongoing credit evaluations of its customers and generally does not require collateral, but does require advance deposits on certain transactions.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(“GAAP”) requires management to make estimates and assumptions that affect the 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2016, the FASB issued Accounting Standards Update (“ASU”) No. 2016-09, “Compensation - Stock Compensation (Topic 718): Improvements to Employee Share-Based Payment Accounting.” The new guidance requires companies to record all excess tax benefits and tax deficiencies as income tax expense or benefit in the income statement when the awards vest or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79" w:right="239" w:bottom="1440" w:gutter="0" w:footer="0" w:header="0"/>
        </w:sectPr>
      </w:pPr>
    </w:p>
    <w:bookmarkStart w:id="73" w:name="page74"/>
    <w:bookmarkEnd w:id="73"/>
    <w:p>
      <w:pPr>
        <w:jc w:val="both"/>
        <w:spacing w:after="0" w:line="287" w:lineRule="auto"/>
        <w:rPr>
          <w:sz w:val="20"/>
          <w:szCs w:val="20"/>
          <w:color w:val="auto"/>
        </w:rPr>
      </w:pPr>
      <w:r>
        <w:rPr>
          <w:rFonts w:ascii="Arial" w:cs="Arial" w:eastAsia="Arial" w:hAnsi="Arial"/>
          <w:sz w:val="16"/>
          <w:szCs w:val="16"/>
          <w:color w:val="auto"/>
        </w:rPr>
        <w:t>settled, as applicable, rather than within additional paid in capital which was required under the previous guidance. The guidance also requires companies to present excess tax benefits as an operating activity and cash paid to a taxing authority to satisfy an employee’s statutory withholding as a financing activity on the statement of cash flows. Additionally, the guidance allows companies to make a policy election to account for forfeitures either upon occurrence or by estimating forfeitures. The Company adopted this standard on August 1, 2017, and is prospectively recording excess tax benefits and deficiencies within the provision or benefit for income taxes on its Consolidated Statements of Operations when stock-based compensation awards vest or are exercised. The Company expects this will increase volatility of the provision or benefit for income taxes as the amount of excess tax benefits or deficiencies from stock-based compensation awards are dependent on the Company’s stock price at the date the awards vest or are exercised. As a result of adopting this provision of the standard, the Company recorded $71.1 million of excess tax benefits within benefit from income taxes on its Consolidated Statement of Operations for the year ended July 31, 2018, resulting from vesting or exercises of equity awards during the period. As of August 1, 2017, the Company prospectively presented excess tax benefits as operating activities on its Consolidated Statement of Cash Flows for the year ended July 31, 2018. Additionally, the Company has elected to record actual forfeitures for recording stock-based compensation expense when they occur, rather than estimate expected forfeitures, which did not have a material impact to the Consolidated Statement of Operations for the year ended July 31, 2018.</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disclosure provisions of the new guidance, the Company retrospectively adopted the new presentation. Cash paid to taxing authorities on an employee’s behalf was changed to be classified as a financing activity in the Consolidated Statements of Cash Flows, which resulted in decreases to cash provided by financing activities with corresponding increases to cash provided by operating activities of approximately $16.3 million and $10.2 million, respectively, for the years ended July 31, 2017 and 2016, as shown below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July 31, 2017</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7080" w:type="dxa"/>
            <w:vAlign w:val="bottom"/>
          </w:tcPr>
          <w:p>
            <w:pPr>
              <w:spacing w:after="0"/>
              <w:rPr>
                <w:sz w:val="13"/>
                <w:szCs w:val="13"/>
                <w:color w:val="auto"/>
              </w:rPr>
            </w:pPr>
          </w:p>
        </w:tc>
        <w:tc>
          <w:tcPr>
            <w:tcW w:w="13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5"/>
              </w:rPr>
              <w:t>Previously Reported</w:t>
            </w:r>
          </w:p>
        </w:tc>
        <w:tc>
          <w:tcPr>
            <w:tcW w:w="300" w:type="dxa"/>
            <w:vAlign w:val="bottom"/>
          </w:tcPr>
          <w:p>
            <w:pPr>
              <w:spacing w:after="0"/>
              <w:rPr>
                <w:sz w:val="13"/>
                <w:szCs w:val="13"/>
                <w:color w:val="auto"/>
              </w:rPr>
            </w:pPr>
          </w:p>
        </w:tc>
        <w:tc>
          <w:tcPr>
            <w:tcW w:w="130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1"/>
              </w:rPr>
              <w:t>Tax Payments</w:t>
            </w:r>
          </w:p>
        </w:tc>
        <w:tc>
          <w:tcPr>
            <w:tcW w:w="120" w:type="dxa"/>
            <w:vAlign w:val="bottom"/>
          </w:tcPr>
          <w:p>
            <w:pPr>
              <w:spacing w:after="0"/>
              <w:rPr>
                <w:sz w:val="13"/>
                <w:szCs w:val="13"/>
                <w:color w:val="auto"/>
              </w:rPr>
            </w:pPr>
          </w:p>
        </w:tc>
        <w:tc>
          <w:tcPr>
            <w:tcW w:w="124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0"/>
              </w:rPr>
              <w:t>Revised Reported</w:t>
            </w:r>
          </w:p>
        </w:tc>
      </w:tr>
      <w:tr>
        <w:trPr>
          <w:trHeight w:val="192"/>
        </w:trPr>
        <w:tc>
          <w:tcPr>
            <w:tcW w:w="7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(Previous Guidance)</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(New Guidance)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456,914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16,275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473,189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flows used in investing activities (no change)</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(682,836)</w:t>
            </w:r>
          </w:p>
        </w:tc>
        <w:tc>
          <w:tcPr>
            <w:tcW w:w="300" w:type="dxa"/>
            <w:vAlign w:val="bottom"/>
          </w:tcPr>
          <w:p>
            <w:pPr>
              <w:spacing w:after="0"/>
              <w:rPr>
                <w:sz w:val="21"/>
                <w:szCs w:val="21"/>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(682,836)</w:t>
            </w:r>
          </w:p>
        </w:tc>
      </w:tr>
      <w:tr>
        <w:trPr>
          <w:trHeight w:val="27"/>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271,892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(16,275)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255,617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(no change)</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3,522</w:t>
            </w:r>
          </w:p>
        </w:tc>
        <w:tc>
          <w:tcPr>
            <w:tcW w:w="300" w:type="dxa"/>
            <w:vAlign w:val="bottom"/>
          </w:tcPr>
          <w:p>
            <w:pPr>
              <w:spacing w:after="0"/>
              <w:rPr>
                <w:sz w:val="21"/>
                <w:szCs w:val="21"/>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3,522</w:t>
            </w:r>
          </w:p>
        </w:tc>
      </w:tr>
      <w:tr>
        <w:trPr>
          <w:trHeight w:val="27"/>
        </w:trPr>
        <w:tc>
          <w:tcPr>
            <w:tcW w:w="7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 (no change)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49,492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49,492</w:t>
            </w:r>
          </w:p>
        </w:tc>
      </w:tr>
      <w:tr>
        <w:trPr>
          <w:trHeight w:val="20"/>
        </w:trPr>
        <w:tc>
          <w:tcPr>
            <w:tcW w:w="7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488"/>
        </w:trPr>
        <w:tc>
          <w:tcPr>
            <w:tcW w:w="70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July 31, 2016</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2"/>
        </w:trPr>
        <w:tc>
          <w:tcPr>
            <w:tcW w:w="7080" w:type="dxa"/>
            <w:vAlign w:val="bottom"/>
          </w:tcPr>
          <w:p>
            <w:pPr>
              <w:spacing w:after="0"/>
              <w:rPr>
                <w:sz w:val="13"/>
                <w:szCs w:val="13"/>
                <w:color w:val="auto"/>
              </w:rPr>
            </w:pPr>
          </w:p>
        </w:tc>
        <w:tc>
          <w:tcPr>
            <w:tcW w:w="13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5"/>
              </w:rPr>
              <w:t>Previously Reported</w:t>
            </w:r>
          </w:p>
        </w:tc>
        <w:tc>
          <w:tcPr>
            <w:tcW w:w="300" w:type="dxa"/>
            <w:vAlign w:val="bottom"/>
          </w:tcPr>
          <w:p>
            <w:pPr>
              <w:spacing w:after="0"/>
              <w:rPr>
                <w:sz w:val="13"/>
                <w:szCs w:val="13"/>
                <w:color w:val="auto"/>
              </w:rPr>
            </w:pPr>
          </w:p>
        </w:tc>
        <w:tc>
          <w:tcPr>
            <w:tcW w:w="130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1"/>
              </w:rPr>
              <w:t>Tax Payments</w:t>
            </w:r>
          </w:p>
        </w:tc>
        <w:tc>
          <w:tcPr>
            <w:tcW w:w="120" w:type="dxa"/>
            <w:vAlign w:val="bottom"/>
          </w:tcPr>
          <w:p>
            <w:pPr>
              <w:spacing w:after="0"/>
              <w:rPr>
                <w:sz w:val="13"/>
                <w:szCs w:val="13"/>
                <w:color w:val="auto"/>
              </w:rPr>
            </w:pPr>
          </w:p>
        </w:tc>
        <w:tc>
          <w:tcPr>
            <w:tcW w:w="124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0"/>
              </w:rPr>
              <w:t>Revised Reported</w:t>
            </w:r>
          </w:p>
        </w:tc>
      </w:tr>
      <w:tr>
        <w:trPr>
          <w:trHeight w:val="192"/>
        </w:trPr>
        <w:tc>
          <w:tcPr>
            <w:tcW w:w="7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(Previous Guidance)</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(New Guidance)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426,762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10,215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436,977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flows used in investing activities (no change)</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(124,016)</w:t>
            </w:r>
          </w:p>
        </w:tc>
        <w:tc>
          <w:tcPr>
            <w:tcW w:w="300" w:type="dxa"/>
            <w:vAlign w:val="bottom"/>
          </w:tcPr>
          <w:p>
            <w:pPr>
              <w:spacing w:after="0"/>
              <w:rPr>
                <w:sz w:val="21"/>
                <w:szCs w:val="21"/>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(124,016)</w:t>
            </w:r>
          </w:p>
        </w:tc>
      </w:tr>
      <w:tr>
        <w:trPr>
          <w:trHeight w:val="27"/>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(271,217)</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(10,215)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(281,432)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(no change)</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300" w:type="dxa"/>
            <w:vAlign w:val="bottom"/>
          </w:tcPr>
          <w:p>
            <w:pPr>
              <w:spacing w:after="0"/>
              <w:rPr>
                <w:sz w:val="21"/>
                <w:szCs w:val="21"/>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909</w:t>
            </w:r>
          </w:p>
        </w:tc>
      </w:tr>
      <w:tr>
        <w:trPr>
          <w:trHeight w:val="27"/>
        </w:trPr>
        <w:tc>
          <w:tcPr>
            <w:tcW w:w="7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 (no change)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32,438</w:t>
            </w:r>
          </w:p>
        </w:tc>
      </w:tr>
      <w:tr>
        <w:trPr>
          <w:trHeight w:val="20"/>
        </w:trPr>
        <w:tc>
          <w:tcPr>
            <w:tcW w:w="7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The standard simplifies interim and annual goodwill impairment testing by eliminating step two, a hypothetical purchase price allocation, from the goodwill impairment test and leaving step one unchanged. Under the new guidance, companies will continue to complete step one by comparing the estimated fair value of their reporting units with their respective carrying amounts, and will recognize an impairment charge, if any, for the amount by which the carrying amount exceeds the reporting unit’s estimated fair value. The standard is effective for financial statements issued for fiscal years beginning after December 15, 2019 (the Company’s first quarter of fiscal 2021), with early adoption permitted. The Company elected to early adopt this accounting standard on May 1, 2018, which did not have an impact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2014, the FASB issued ASU No. 2014-09, “Revenue from Contracts with Customers (Topic 606),” which supersedes the revenue recognition requirements in Accounting Standards Codification 605, “Revenue Recognition.” This ASU is based on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016" w:right="239" w:bottom="1440" w:gutter="0" w:footer="0" w:header="0"/>
        </w:sectPr>
      </w:pPr>
    </w:p>
    <w:bookmarkStart w:id="74" w:name="page75"/>
    <w:bookmarkEnd w:id="74"/>
    <w:p>
      <w:pPr>
        <w:jc w:val="both"/>
        <w:spacing w:after="0" w:line="268" w:lineRule="auto"/>
        <w:rPr>
          <w:sz w:val="20"/>
          <w:szCs w:val="20"/>
          <w:color w:val="auto"/>
        </w:rPr>
      </w:pPr>
      <w:r>
        <w:rPr>
          <w:rFonts w:ascii="Arial" w:cs="Arial" w:eastAsia="Arial" w:hAnsi="Arial"/>
          <w:sz w:val="17"/>
          <w:szCs w:val="17"/>
          <w:color w:val="auto"/>
        </w:rPr>
        <w:t>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 to the issuance of ASU 2014-09, the FASB has issued several amendments, which do not change the core principle of the guidance and are intended to clarify and improve understanding of certain topics included within the revenue standard. This standard will be effective for the first interim period within fiscal years beginning after December 15, 2017 (the Company’s first quarter of fiscal 2019). The guidance permits two retrospective methods of adoption; adjusting each prior reporting period presented (full retrospective method) or an adjustment to retained earnings for the cumulative effect of implementing the guidance at the date of adoption (modified retrospective method). The Company has completed a review of the majority of its revenue streams consisting of (i) season pass sales, (ii) non-season pass lift ticket sales, (iii) ski school sales, (iv) retail/rental sales, (v) food and beverage sales and (vi) hospitality services and determined that the new guidance will not result in a material impact to the Company’s consolidated financial statements. The Company will adopt this guidance on August 1, 2018 under the modified retrospective transition method. Additionally, the new guidance will not have a material effect on the timing, pattern and classification of the Company’s revenue recognition. The Company expects to expand its revenue recognition related disclosures.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 Additionally, the Company is evaluating the impacts of the standard beyond accounting, including system, data and process changes required to comply with the standard and has selected an information system application that will centralize the Company’s lease information and be utilized for accounting under the new standard.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The standard provides guidance for eight targeted changes with respect to how cash receipts and cash payments are classified in the statements of cash flows, with the objective of reducing diversity in practice. The standard is effective for financial statements issued for fiscal years beginning after December 15, 2017 (the Company’s first quarter of fiscal 2019), with early adoption permitted. The Company does not expect the adoption of this accounting standard to have a material impact on its consolidated financial statements.</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Company’s acquisition of Whistler Blackcomb in October 2016 (see Note 5, Acquisitions),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the Vail Shares and are exchangeable, at any time prior to the seventh anniversary of the closing of the acquisition, into Vail Shares. The Company’s calculation of weighted-average shares outstanding includes the Exchangeco Shares.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01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Presented below is basic and diluted EPS for the years ended July 31, 2018, 2017 and 2016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 Ended July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spacing w:after="0"/>
              <w:rPr>
                <w:sz w:val="20"/>
                <w:szCs w:val="20"/>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Diluted</w:t>
            </w:r>
          </w:p>
        </w:tc>
        <w:tc>
          <w:tcPr>
            <w:tcW w:w="28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Diluted</w:t>
            </w:r>
          </w:p>
        </w:tc>
        <w:tc>
          <w:tcPr>
            <w:tcW w:w="2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Diluted</w:t>
            </w:r>
          </w:p>
        </w:tc>
      </w:tr>
      <w:tr>
        <w:trPr>
          <w:trHeight w:val="27"/>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379,898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379,898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210,553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210,553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149,754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149,754</w:t>
            </w: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39,158</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36,276</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36,276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Weighted-average Exchangeco shares outstanding</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36,276</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36,276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1,036</w:t>
            </w:r>
          </w:p>
        </w:tc>
      </w:tr>
      <w:tr>
        <w:trPr>
          <w:trHeight w:val="27"/>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40,397</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41,618</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39,251</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40,366</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36,276</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37,312</w:t>
            </w:r>
          </w:p>
        </w:tc>
      </w:tr>
      <w:tr>
        <w:trPr>
          <w:trHeight w:val="237"/>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computes the effect of dilutive securities using the treasury stock method and average market prices during the period. The number of shares issuable on the exercise of share based awards that were excluded from the calculation of diluted net income per share because the effect of their inclusion would have been anti-dilutive totaled approximately 2,000, 9,000 and 18,000 for the years ended July 31, 2018, 2017 and 2016,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7, 2018, the Company’s Board of Directors approved an increase of approximately 40% in the annual cash dividend to an annual rate of $5.88 per share, subject to quarterly declaration. For the year ended July 31, 2018, the Company paid cash dividends of $5.046 per share ($204.2 million in the aggregate). On September 27, 2018 the Company’s Board of Directors approved a quarterly cash dividend of $1.47 per share payable on October 26, 2018 to stockholders of record as of October 9, 2018. Additionally, a Canadian dollar equivalent dividend on the Exchangeco Shares will be payable on October 26, 2018 to the shareholders of record on October 9,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color w:val="auto"/>
              </w:rPr>
              <w:t>4.  Long-Term Debt</w:t>
            </w: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6360" w:type="dxa"/>
            <w:vAlign w:val="bottom"/>
          </w:tcPr>
          <w:p>
            <w:pPr>
              <w:spacing w:after="0"/>
              <w:rPr>
                <w:sz w:val="20"/>
                <w:szCs w:val="20"/>
                <w:color w:val="auto"/>
              </w:rPr>
            </w:pPr>
            <w:r>
              <w:rPr>
                <w:rFonts w:ascii="Arial" w:cs="Arial" w:eastAsia="Arial" w:hAnsi="Arial"/>
                <w:sz w:val="18"/>
                <w:szCs w:val="18"/>
                <w:color w:val="auto"/>
                <w:w w:val="92"/>
              </w:rPr>
              <w:t>Long-term debt as of July 31, 2018 and 2017 is summarized as follows (in thousands):</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8"/>
        </w:trPr>
        <w:tc>
          <w:tcPr>
            <w:tcW w:w="6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w:t>
            </w:r>
          </w:p>
        </w:tc>
        <w:tc>
          <w:tcPr>
            <w:tcW w:w="380" w:type="dxa"/>
            <w:vAlign w:val="bottom"/>
          </w:tcPr>
          <w:p>
            <w:pPr>
              <w:spacing w:after="0"/>
              <w:rPr>
                <w:sz w:val="24"/>
                <w:szCs w:val="24"/>
                <w:color w:val="auto"/>
              </w:rPr>
            </w:pP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6360" w:type="dxa"/>
            <w:vAlign w:val="bottom"/>
          </w:tcPr>
          <w:p>
            <w:pPr>
              <w:spacing w:after="0"/>
              <w:rPr>
                <w:sz w:val="20"/>
                <w:szCs w:val="20"/>
                <w:color w:val="auto"/>
              </w:rPr>
            </w:pPr>
          </w:p>
        </w:tc>
        <w:tc>
          <w:tcPr>
            <w:tcW w:w="1160" w:type="dxa"/>
            <w:vAlign w:val="bottom"/>
          </w:tcPr>
          <w:p>
            <w:pPr>
              <w:ind w:left="160"/>
              <w:spacing w:after="0"/>
              <w:rPr>
                <w:sz w:val="20"/>
                <w:szCs w:val="20"/>
                <w:color w:val="auto"/>
              </w:rPr>
            </w:pPr>
            <w:r>
              <w:rPr>
                <w:rFonts w:ascii="Arial" w:cs="Arial" w:eastAsia="Arial" w:hAnsi="Arial"/>
                <w:sz w:val="18"/>
                <w:szCs w:val="18"/>
                <w:b w:val="1"/>
                <w:bCs w:val="1"/>
                <w:color w:val="auto"/>
              </w:rPr>
              <w:t>Maturity</w:t>
            </w:r>
          </w:p>
        </w:tc>
        <w:tc>
          <w:tcPr>
            <w:tcW w:w="6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6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Vail Holdings Credit Agreement revolver (a)</w:t>
            </w:r>
          </w:p>
        </w:tc>
        <w:tc>
          <w:tcPr>
            <w:tcW w:w="11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2021</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Vail Holdings Credit Agreement term loan (a)</w:t>
            </w: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89"/>
              </w:rPr>
              <w:t>2021</w:t>
            </w: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684,375</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721,875</w:t>
            </w:r>
          </w:p>
        </w:tc>
      </w:tr>
      <w:tr>
        <w:trPr>
          <w:trHeight w:val="27"/>
        </w:trPr>
        <w:tc>
          <w:tcPr>
            <w:tcW w:w="6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Whistler Credit Agreement revolver (b)</w:t>
            </w:r>
          </w:p>
        </w:tc>
        <w:tc>
          <w:tcPr>
            <w:tcW w:w="11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2022</w:t>
            </w: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65,353</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113,119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Employee housing bonds (c)</w:t>
            </w: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90"/>
              </w:rPr>
              <w:t>2027-2039</w:t>
            </w: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52,575</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52,575</w:t>
            </w:r>
          </w:p>
        </w:tc>
      </w:tr>
      <w:tr>
        <w:trPr>
          <w:trHeight w:val="27"/>
        </w:trPr>
        <w:tc>
          <w:tcPr>
            <w:tcW w:w="6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Canyons obligation (d)</w:t>
            </w:r>
          </w:p>
        </w:tc>
        <w:tc>
          <w:tcPr>
            <w:tcW w:w="11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2063</w:t>
            </w: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334,509</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328,786</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Other (e)</w:t>
            </w: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90"/>
              </w:rPr>
              <w:t>2024-2028</w:t>
            </w: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9,270</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10,166</w:t>
            </w:r>
          </w:p>
        </w:tc>
      </w:tr>
      <w:tr>
        <w:trPr>
          <w:trHeight w:val="27"/>
        </w:trPr>
        <w:tc>
          <w:tcPr>
            <w:tcW w:w="6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1,276,082</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1,276,521</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3,350</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4,100</w:t>
            </w:r>
          </w:p>
        </w:tc>
      </w:tr>
      <w:tr>
        <w:trPr>
          <w:trHeight w:val="27"/>
        </w:trPr>
        <w:tc>
          <w:tcPr>
            <w:tcW w:w="6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(f)</w:t>
            </w:r>
          </w:p>
        </w:tc>
        <w:tc>
          <w:tcPr>
            <w:tcW w:w="1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38,455</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38,397</w:t>
            </w:r>
          </w:p>
        </w:tc>
      </w:tr>
      <w:tr>
        <w:trPr>
          <w:trHeight w:val="237"/>
        </w:trPr>
        <w:tc>
          <w:tcPr>
            <w:tcW w:w="63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Long-term debt, net</w:t>
            </w: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1,234,277</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1,234,024</w:t>
            </w:r>
          </w:p>
        </w:tc>
      </w:tr>
      <w:tr>
        <w:trPr>
          <w:trHeight w:val="27"/>
        </w:trPr>
        <w:tc>
          <w:tcPr>
            <w:tcW w:w="6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October 14, 2016, in order to finance the cash portion of the consideration and payment of associated fees and expenses of the Whistler Blackcomb acquisition (see Note 5, Acquisitions), the Company’s wholly-owned subsidiary, Vail Holdings, Inc. (“VHI”) entered into the Second Amendment to the Seventh Amended and Restated Credit Facility, dated as of May 1, 2015 (the “Vail Holdings Credit Agreement”), with Bank of America, N.A., as administrative agent, and other lenders named therein, through which these lenders provided an additional $509.4 million in incremental term loans and agreed, on behalf of all lenders, to extend the maturity date for the outstanding term loans and revolver facility under the Vail Holdings Credit Agreement to October 14, 2021 (the “Amendment”). The Vail Holdings Credit Agreement consists of a $400.0 million revolving credit facility and a $750.0 million term loan facility. The other material terms of the Vail Holdings Credit Agreement were not altered by the Amendment. VHI’s obligations under the Vail Holdings Credit Agreement are guaranteed by the Company and certain of its subsidiaries and are collateralized by a pledge of all the capital stock of VHI and substantially all of its subsidiaries (with certain additional exceptions for the pledge of the capital stock of foreign subsidiaries). In addition,</w:t>
      </w:r>
    </w:p>
    <w:p>
      <w:pPr>
        <w:sectPr>
          <w:pgSz w:w="11900" w:h="16838" w:orient="portrait"/>
          <w:cols w:equalWidth="0" w:num="1">
            <w:col w:w="11420"/>
          </w:cols>
          <w:pgMar w:left="240" w:top="1017"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017" w:right="239" w:bottom="1440" w:gutter="0" w:footer="0" w:header="0"/>
          <w:type w:val="continuous"/>
        </w:sectPr>
      </w:pPr>
    </w:p>
    <w:bookmarkStart w:id="76" w:name="page77"/>
    <w:bookmarkEnd w:id="76"/>
    <w:p>
      <w:pPr>
        <w:jc w:val="both"/>
        <w:ind w:left="340"/>
        <w:spacing w:after="0" w:line="338" w:lineRule="auto"/>
        <w:rPr>
          <w:sz w:val="20"/>
          <w:szCs w:val="20"/>
          <w:color w:val="auto"/>
        </w:rPr>
      </w:pPr>
      <w:r>
        <w:rPr>
          <w:rFonts w:ascii="Arial" w:cs="Arial" w:eastAsia="Arial" w:hAnsi="Arial"/>
          <w:sz w:val="16"/>
          <w:szCs w:val="16"/>
          <w:color w:val="auto"/>
        </w:rPr>
        <w:t>pursuant to the terms of the Vail Holdings Credit Agreement, VHI has the ability to increase availability (under the revolver or in the form of term loans) to an aggregate principal amount not to exceed the greater of (i) $950.0 million and (ii) the product of 2.75 and the trailing twelve-month Adjusted EBITDA, as defined in the Vail Holdings Credit Agreement. The term loan facility is subject to quarterly amortization of principal of approximately $9.4 million, which began on January 31, 2017, in equal installments, with five percent payable in each year and the final payment of all amounts outstanding, plus accrued and unpaid interest due in October 2021.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1.125% as of July 31, 2018 (3.20% as of July 31, 2018).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times the daily amount by which the Vail Holdings Credit Agreement commitment exceeds the total of outstanding loans and outstanding letters of credit (0.2% as of July 31, 2018). The unused amounts are accessible to the extent that the Net Funded Debt to Adjusted EBITDA ratio does not exceed the maximum ratio allowed at quarter-ends and the Adjusted EBITDA to interest on Funded Debt (as defined in the Vail Holdings Credit Agreement) ratio does not fall below the minimum ratio allowed at quarter-ends. The Vail Holdings Credit Agreement provides for affirmative and negative covenants that restrict, among other things, the Company’s ability to incur indebtedness, dispose of assets, make capital expenditures, make distributions and make investments. In addition, the Vail Holdings Credit Agreement includes the following restrictive financial covenants: Net Funded Debt to Adjusted EBITDA ratio and Adjusted EBITDA to interest on Funded Debt ratio.</w:t>
      </w:r>
    </w:p>
    <w:p>
      <w:pPr>
        <w:spacing w:after="0" w:line="29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August 15, 2018, VHI entered into an agreement to amend and restate in its entirety the Vail Holdings Credit Agreement, dated May 1, 2015, in the form of an Eighth Amended and Restated Credit Agreement, dated August 15, 2018 (the “Amended Vail Holdings Credit Agreement”). The Amended Vail Holdings Credit Agreement provides for (i) an unchanged revolving loan facility in an aggregate principal amount of $400.0 million and (ii) a term loan facility in an aggregate principal amount of up to $950.0 million, which was increased from the existing term loan facility of $684.4 million as of July 31, 2018. Refer to Note 17, Subsequent Events, for additional information.</w:t>
      </w:r>
    </w:p>
    <w:p>
      <w:pPr>
        <w:spacing w:after="0" w:line="80" w:lineRule="exact"/>
        <w:rPr>
          <w:sz w:val="20"/>
          <w:szCs w:val="20"/>
          <w:color w:val="auto"/>
        </w:rPr>
      </w:pPr>
    </w:p>
    <w:p>
      <w:pPr>
        <w:jc w:val="both"/>
        <w:ind w:left="340" w:hanging="332"/>
        <w:spacing w:after="0" w:line="285"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WB Partnerships (as defined in Note 5, Acquisitions) are party to a credit agreement, dated as of November 12, 2013 (as amended, the “Whistler Credit Agreement”), by and among Whistler Mountain Resort Limited Partnership (“Whistler LP”), Blackcomb Skiing Enterprises Limited Partnership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and during the year ended July 31, 2018, the Company exercised its right under the Whistler Credit Agreement, with the consent of the lender parties thereto, to extend the maturity date for the Whistler Credit Agreement from November 12, 2021 to November 12, 2022. No other terms of the Whistler Credit Agreement were altered.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July 31, 2018, in the case of borrowings (i) in Canadian dollars, at the WB Partnerships’ option, either (a) at the Canadian Prime Rate plus 0.75% per annum or (b) by way of the issuance of bankers’ acceptances plus 1.75% per annum; and (ii) in U.S. dollars, at the WB Partnerships option, either at (a) the U.S. Base Rate plus 0.75% per annum or (b) Bankers Acceptance Rate plus 1.75% per annum. As of July 31, 2018 all borrowings under the Whistler Credit Agreement were made in Canadian dollars and by way of the issuance of bankers’ acceptances plus 1.75% (3.54% as of July 31, 2018). The Whistler Credit Agreement also includes a quarterly unused commitment fee based on the Consolidated Total Leverage Ratio, which as of July 31, 2018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60" w:lineRule="exact"/>
        <w:rPr>
          <w:rFonts w:ascii="Arial" w:cs="Arial" w:eastAsia="Arial" w:hAnsi="Arial"/>
          <w:sz w:val="16"/>
          <w:szCs w:val="16"/>
          <w:color w:val="auto"/>
        </w:rPr>
      </w:pPr>
    </w:p>
    <w:p>
      <w:pPr>
        <w:jc w:val="both"/>
        <w:ind w:left="340" w:hanging="332"/>
        <w:spacing w:after="0" w:line="30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has recorded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the Company’s seasonal employees at its Colorado mountain resorts. The Employee Housing Bonds are variable rate, interest-only instruments with interest rates tied to LIBOR plus 0% to 0.04% (2.08% to 2.12% as of July 31,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043" w:right="239" w:bottom="1440" w:gutter="0" w:footer="0" w:header="0"/>
        </w:sectPr>
      </w:pPr>
    </w:p>
    <w:bookmarkStart w:id="77" w:name="page78"/>
    <w:bookmarkEnd w:id="77"/>
    <w:p>
      <w:pPr>
        <w:jc w:val="both"/>
        <w:ind w:left="340"/>
        <w:spacing w:after="0" w:line="259" w:lineRule="auto"/>
        <w:rPr>
          <w:sz w:val="20"/>
          <w:szCs w:val="20"/>
          <w:color w:val="auto"/>
        </w:rPr>
      </w:pPr>
      <w:r>
        <w:rPr>
          <w:rFonts w:ascii="Arial" w:cs="Arial" w:eastAsia="Arial" w:hAnsi="Arial"/>
          <w:sz w:val="18"/>
          <w:szCs w:val="18"/>
          <w:color w:val="auto"/>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Vail Holdings Credit Agreement. The table below presents the principal amounts outstanding for the Employee Housing Bonds as of July 31, 2018 (in thousands):</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4"/>
              </w:rPr>
              <w:t>Maturity (a)</w:t>
            </w:r>
          </w:p>
        </w:tc>
        <w:tc>
          <w:tcPr>
            <w:tcW w:w="50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Tranche A</w:t>
            </w:r>
          </w:p>
        </w:tc>
        <w:tc>
          <w:tcPr>
            <w:tcW w:w="32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Tranche B</w:t>
            </w:r>
          </w:p>
        </w:tc>
        <w:tc>
          <w:tcPr>
            <w:tcW w:w="4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29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Breckenridge Terrace</w:t>
            </w:r>
          </w:p>
        </w:tc>
        <w:tc>
          <w:tcPr>
            <w:tcW w:w="2460" w:type="dxa"/>
            <w:vAlign w:val="bottom"/>
            <w:tcBorders>
              <w:bottom w:val="single" w:sz="8" w:color="CCEEFF"/>
            </w:tcBorders>
            <w:shd w:val="clear" w:color="auto" w:fill="CCEEFF"/>
          </w:tcPr>
          <w:p>
            <w:pPr>
              <w:jc w:val="center"/>
              <w:ind w:left="1050"/>
              <w:spacing w:after="0"/>
              <w:rPr>
                <w:sz w:val="20"/>
                <w:szCs w:val="20"/>
                <w:color w:val="auto"/>
              </w:rPr>
            </w:pPr>
            <w:r>
              <w:rPr>
                <w:rFonts w:ascii="Arial" w:cs="Arial" w:eastAsia="Arial" w:hAnsi="Arial"/>
                <w:sz w:val="18"/>
                <w:szCs w:val="18"/>
                <w:color w:val="auto"/>
                <w:w w:val="89"/>
              </w:rPr>
              <w:t>2039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19,980</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Tarnes</w:t>
            </w: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89"/>
              </w:rPr>
              <w:t>2039</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8,000</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2,410</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10,410</w:t>
            </w:r>
          </w:p>
        </w:tc>
      </w:tr>
      <w:tr>
        <w:trPr>
          <w:trHeight w:val="27"/>
        </w:trPr>
        <w:tc>
          <w:tcPr>
            <w:tcW w:w="2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 Housing</w:t>
            </w:r>
          </w:p>
        </w:tc>
        <w:tc>
          <w:tcPr>
            <w:tcW w:w="2460" w:type="dxa"/>
            <w:vAlign w:val="bottom"/>
            <w:tcBorders>
              <w:bottom w:val="single" w:sz="8" w:color="CCEEFF"/>
            </w:tcBorders>
            <w:shd w:val="clear" w:color="auto" w:fill="CCEEFF"/>
          </w:tcPr>
          <w:p>
            <w:pPr>
              <w:jc w:val="center"/>
              <w:ind w:left="1050"/>
              <w:spacing w:after="0"/>
              <w:rPr>
                <w:sz w:val="20"/>
                <w:szCs w:val="20"/>
                <w:color w:val="auto"/>
              </w:rPr>
            </w:pPr>
            <w:r>
              <w:rPr>
                <w:rFonts w:ascii="Arial" w:cs="Arial" w:eastAsia="Arial" w:hAnsi="Arial"/>
                <w:sz w:val="18"/>
                <w:szCs w:val="18"/>
                <w:color w:val="auto"/>
                <w:w w:val="89"/>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Tenderfoot</w:t>
            </w: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89"/>
              </w:rPr>
              <w:t>2035</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5,700</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5,885</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11,585</w:t>
            </w:r>
          </w:p>
        </w:tc>
      </w:tr>
      <w:tr>
        <w:trPr>
          <w:trHeight w:val="27"/>
        </w:trPr>
        <w:tc>
          <w:tcPr>
            <w:tcW w:w="29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37,780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52,575</w:t>
            </w:r>
          </w:p>
        </w:tc>
      </w:tr>
      <w:tr>
        <w:trPr>
          <w:trHeight w:val="20"/>
        </w:trPr>
        <w:tc>
          <w:tcPr>
            <w:tcW w:w="29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May 24, 2013, VR CPC Holdings, Inc. (“VR CPC”), a wholly-owned subsidiary of the Company, entered into a transaction agreement with affiliate companies of Talisker Corporation (“Talisker”) pursuant to which the parties entered into a master lease agreement (the “Lease”) and certain ancillary transaction documents on May 29, 2013 related to the former stand-alone Canyons Resort (“Canyons”), pursuant to which the Company assumed the resort operations of the Canyons. The Lease between VR CPC and Talisker has an initial term of 50 years with six 50-year renewal options. The Lease provides for $25 million in annual payments, which increase each year by an inflation linked index of CPI less 1%, with a floor of 2% per annum. Vail Resorts has guaranteed the payments under the Lease. The obligation at July 31, 2018 represents future lease payments for the remaining initial lease term of 50 years (including annual increases at the floor of 2%) discounted using an interest rate of 10%, and includes accumulated accreted interest expense of $29.2 million.</w:t>
      </w:r>
    </w:p>
    <w:p>
      <w:pPr>
        <w:spacing w:after="0" w:line="19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obligations primarily consist of a $4.2 million note outstanding to the Colorado Water Conservation Board, which matures on September 16, 2028, and other financing arrangements. Other obligations, including the Colorado Water Conservation Board note, bear interest at rates ranging from 5.1% to 5.5%.</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for debt outstanding, including capital lease obligations, as of July 31, 2018 reflected by fiscal year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7"/>
        </w:trPr>
        <w:tc>
          <w:tcPr>
            <w:tcW w:w="52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38,455</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2020</w:t>
            </w:r>
          </w:p>
        </w:tc>
        <w:tc>
          <w:tcPr>
            <w:tcW w:w="47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38,516</w:t>
            </w:r>
          </w:p>
        </w:tc>
      </w:tr>
      <w:tr>
        <w:trPr>
          <w:trHeight w:val="27"/>
        </w:trPr>
        <w:tc>
          <w:tcPr>
            <w:tcW w:w="5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38,580</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2022</w:t>
            </w:r>
          </w:p>
        </w:tc>
        <w:tc>
          <w:tcPr>
            <w:tcW w:w="47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703,023</w:t>
            </w:r>
          </w:p>
        </w:tc>
      </w:tr>
      <w:tr>
        <w:trPr>
          <w:trHeight w:val="27"/>
        </w:trPr>
        <w:tc>
          <w:tcPr>
            <w:tcW w:w="5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66,572</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7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390,936</w:t>
            </w:r>
          </w:p>
        </w:tc>
      </w:tr>
      <w:tr>
        <w:trPr>
          <w:trHeight w:val="27"/>
        </w:trPr>
        <w:tc>
          <w:tcPr>
            <w:tcW w:w="52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4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1,276,082</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4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interest expense of $63.2 million, $54.1 million and $42.4 million for the years ended July 31, 2018, 2017 and 2016, respectively, of which $1.3 million, $1.1 million and $1.0 million, respectively, was amortization of deferred financing costs. The Company was in compliance with all of its financial and operating covenants required to be maintained under its debt instruments for all periods presented.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acquisition of Whistler Blackcomb,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$(9.0) million and $15.3 million of non-cash foreign currency (loss) gain on the intercompany loan to Whistler Blackcomb during the years ended July 31, 2018 and 2017, respectively, on the Company’s Consolidated Statements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016" w:right="239" w:bottom="1440" w:gutter="0" w:footer="0" w:header="0"/>
        </w:sectPr>
      </w:pPr>
    </w:p>
    <w:bookmarkStart w:id="78" w:name="page79"/>
    <w:bookmarkEnd w:id="78"/>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7, 2017, the Company, through a wholly-owned subsidiary, acquired Stowe Mountain Resort in Stowe, Vermont, from Mt. Mansfield Company, Inc., a wholly-owned subsidiary of American International Group, Inc., for total cash consideration of $40.7 million. The Company acquired all of the assets related to the mountain operations of the resort, including base area skier services (food and beverage, retail and rental, lift ticket offices and ski and snowboard school facilities). The purchase price was allocated to identifiable tangible and intangible assets acquired based on their estimated fair values at the acquisition date. The Company has completed its purchase price allocation and has recorded $39.2 million in property, plant and equipment; $3.0 million in intangible assets; $2.3 million in other assets; and $3.8 million of assumed liabilities on the date of acquisition. The Company recognized $2.0 million of transaction related expenses associated with the transaction in Mountain and Lodging operating expense in the Consolidated Statements of Operations for the year ended July 31, 2017. The operating results of Stowe are reported within the Mountain segment.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17, 2016, the Company, through Exchangeco, acquired all of the outstanding common shares of Whistler Blackcomb, for aggregate purchase consideration paid to Whistler Blackcomb shareholders of $1.09 billion. The consideration paid consisted of (i) approximately C$673.8 million ($512.6 million) in cash (or C$17.50 per Whistler Blackcomb share), (ii) 3,327,719 Vail Shares and (iii) 418,095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acquisition. While outstanding, holders of Exchangeco Shares are entitled to cast votes on matters for which holders of Vail Shares are entitled to vote and are entitled to receive dividends economically equivalent to the dividends declared by the Company with respect to the Vail Shares.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Whistler Blackcomb owns a 75% interest in each of Whistler LP and Blackcomb LP (the “WB Partnerships”), which together operate Whistler Blackcomb resort, a year round mountain resort in British Columbia, Canada with a comprehensive offering of recreational activities, including both snow sports and summer activities. The remaining 25% limited partnership interest in each of the WB Partnerships is owned by Nippon Cable Co. Ltd. (“Nippon Cable”), an unrelated party to the Company. The WB Partnerships hold land leases and rights-of-way under long-term agreements with the government of the province of British Columbia, Canada within the traditional territory of the Squamish and Lil’wat Nations, which provide for the use of land at Whistler Mountain and Blackcomb Mountain.</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executed forward contracts for the underlying Canadian dollar cash consideration to economically hedge the risk associated with the U.S. dollar to Canadian dollar exchange rates. The Company’s total cost was $509.2 million to accumulate C$673.8 million which was required for the cash component of the purchase consideration. The estimated fair value of the Canadian dollars was approximately $512.6 million upon settlement. Accordingly, the Company realized a gain of $3.4 million on foreign currency exchange rate changes. The gain on foreign currency is a separate transaction as it primarily benefited the Company and therefore the Company recorded this gain within Investment income and other, net in its Consolidated Statement of Operations for the year ended July 31, 2017. The estimated fair value of $512.6 million is considered the cash component of the purchase consideration.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held shares of Whistler Blackcomb common stock prior to the acquisition and, as such, the acquisition-date estimated fair value of this previously held investment was a component of the purchase consideration. Based on the acquisition-date estimated fair value of this investment of $4.3 million, the Company recorded a gain of $0.8 million within Investment income and other, net in its Consolidated Statement of Operations for the year ended July 31, 2017.</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Nippon Cable’s 25% limited partnership interest is a noncontrolling economic interest containing certain protective rights and no ability to participate in the day to day operations of the WB Partnerships. The WB Partnership agreements provide that distributions made out of the partnerships be made on the basis of 75% to Whistler Blackcomb and 25% to Nippon Cable. In addition, based upon the terms of the WB Partnership agreements, the annual distribution rights are non-transferable and transfer of the limited partnership interest is limited to Nippon Cable’s entire interest. Accordingly, the estimate of fair value associated with the noncontrolling interest at the date of acquisition has been determined based on expected underlying cash flows of the WB Partnerships discounted at a rate commensurate with a market participant’s expected rate of return for an equity instrument with these associated restrictions.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012" w:right="23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t>The following summarizes the purchase consideration and the estimated fair values of the identifiable assets acquired and liabilities assumed at the date the transaction was effective (in thousands, except exchange ratio and share price):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exchange ratio and share price amounts)</w:t>
            </w:r>
          </w:p>
        </w:tc>
        <w:tc>
          <w:tcPr>
            <w:tcW w:w="120" w:type="dxa"/>
            <w:vAlign w:val="bottom"/>
            <w:vMerge w:val="restart"/>
          </w:tcPr>
          <w:p>
            <w:pPr>
              <w:spacing w:after="0"/>
              <w:rPr>
                <w:sz w:val="13"/>
                <w:szCs w:val="13"/>
                <w:color w:val="auto"/>
              </w:rPr>
            </w:pPr>
          </w:p>
        </w:tc>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Acquisition Date Estimated Fair</w:t>
            </w:r>
          </w:p>
        </w:tc>
        <w:tc>
          <w:tcPr>
            <w:tcW w:w="0" w:type="dxa"/>
            <w:vAlign w:val="bottom"/>
          </w:tcPr>
          <w:p>
            <w:pPr>
              <w:spacing w:after="0"/>
              <w:rPr>
                <w:sz w:val="1"/>
                <w:szCs w:val="1"/>
                <w:color w:val="auto"/>
              </w:rPr>
            </w:pPr>
          </w:p>
        </w:tc>
      </w:tr>
      <w:tr>
        <w:trPr>
          <w:trHeight w:val="174"/>
        </w:trPr>
        <w:tc>
          <w:tcPr>
            <w:tcW w:w="9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Whistler Blackcomb shares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38,500</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Exchange ratio as of October 14, 2016</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0.097294</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Vail Resorts shares issued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Vail Resorts closing share price on October 14, 2016</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value of Vail Resorts shares issued</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574,645</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cash consideration paid at C$17.50 ($13.31 on October 17, 2016) per Whistler Blackcomb share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512,558</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purchase consideration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1,087,203</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Estimated fair value of previously held investment in Whistler Blackcomb</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 of Nippon Cable’s 25% interest in Whistler Blackcomb</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180,803</w:t>
            </w:r>
          </w:p>
        </w:tc>
        <w:tc>
          <w:tcPr>
            <w:tcW w:w="0" w:type="dxa"/>
            <w:vAlign w:val="bottom"/>
          </w:tcPr>
          <w:p>
            <w:pPr>
              <w:spacing w:after="0"/>
              <w:rPr>
                <w:sz w:val="1"/>
                <w:szCs w:val="1"/>
                <w:color w:val="auto"/>
              </w:rPr>
            </w:pPr>
          </w:p>
        </w:tc>
      </w:tr>
      <w:tr>
        <w:trPr>
          <w:trHeight w:val="297"/>
        </w:trPr>
        <w:tc>
          <w:tcPr>
            <w:tcW w:w="96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estimated purchase consideration</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1,272,314</w:t>
            </w:r>
          </w:p>
        </w:tc>
        <w:tc>
          <w:tcPr>
            <w:tcW w:w="0" w:type="dxa"/>
            <w:vAlign w:val="bottom"/>
          </w:tcPr>
          <w:p>
            <w:pPr>
              <w:spacing w:after="0"/>
              <w:rPr>
                <w:sz w:val="1"/>
                <w:szCs w:val="1"/>
                <w:color w:val="auto"/>
              </w:rPr>
            </w:pPr>
          </w:p>
        </w:tc>
      </w:tr>
      <w:tr>
        <w:trPr>
          <w:trHeight w:val="271"/>
        </w:trPr>
        <w:tc>
          <w:tcPr>
            <w:tcW w:w="9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Allocation of total estimated purchase consideration:</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values of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36,820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332,609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956,459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Identifiable intangibles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150,681</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(74,358)</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Assumed long-term debt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(144,922)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57"/>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Net assets acquired</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1,272,314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year ended July 31, 2018, the Company recorded adjustments in the measurement period to its purchase price allocation which decreased the estimated fair value of noncontrolling interest and season pass holder relationships intangible asset with a corresponding net decrease to goodwill.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definite-lived and indefinite-lived identifiable intangible assets were determined using significant estimates and assumptions. The estimated fair value and estimated useful lives of identifiable intangible assets, where applicable,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7660" w:type="dxa"/>
            <w:vAlign w:val="bottom"/>
          </w:tcPr>
          <w:p>
            <w:pPr>
              <w:spacing w:after="0"/>
              <w:rPr>
                <w:sz w:val="18"/>
                <w:szCs w:val="18"/>
                <w:color w:val="auto"/>
              </w:rPr>
            </w:pPr>
          </w:p>
        </w:tc>
        <w:tc>
          <w:tcPr>
            <w:tcW w:w="182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Amortization Period</w:t>
            </w:r>
          </w:p>
        </w:tc>
      </w:tr>
      <w:tr>
        <w:trPr>
          <w:trHeight w:val="33"/>
        </w:trPr>
        <w:tc>
          <w:tcPr>
            <w:tcW w:w="7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89"/>
              </w:rPr>
              <w:t>in thousands)</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 years) </w:t>
            </w:r>
            <w:r>
              <w:rPr>
                <w:rFonts w:ascii="Arial" w:cs="Arial" w:eastAsia="Arial" w:hAnsi="Arial"/>
                <w:sz w:val="21"/>
                <w:szCs w:val="21"/>
                <w:b w:val="1"/>
                <w:bCs w:val="1"/>
                <w:color w:val="auto"/>
                <w:w w:val="88"/>
                <w:vertAlign w:val="superscript"/>
              </w:rPr>
              <w:t>(1)</w:t>
            </w: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Season pass holder relationships</w:t>
            </w:r>
          </w:p>
        </w:tc>
        <w:tc>
          <w:tcPr>
            <w:tcW w:w="5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6,596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7"/>
        </w:trPr>
        <w:tc>
          <w:tcPr>
            <w:tcW w:w="7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management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50"/>
        </w:trPr>
        <w:tc>
          <w:tcPr>
            <w:tcW w:w="7660" w:type="dxa"/>
            <w:vAlign w:val="bottom"/>
          </w:tcPr>
          <w:p>
            <w:pPr>
              <w:ind w:left="40"/>
              <w:spacing w:after="0"/>
              <w:rPr>
                <w:sz w:val="20"/>
                <w:szCs w:val="20"/>
                <w:color w:val="auto"/>
              </w:rPr>
            </w:pPr>
            <w:r>
              <w:rPr>
                <w:rFonts w:ascii="Arial" w:cs="Arial" w:eastAsia="Arial" w:hAnsi="Arial"/>
                <w:sz w:val="18"/>
                <w:szCs w:val="18"/>
                <w:color w:val="auto"/>
              </w:rPr>
              <w:t>Total acquired identifiable intangible assets</w:t>
            </w:r>
          </w:p>
        </w:tc>
        <w:tc>
          <w:tcPr>
            <w:tcW w:w="52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150,681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8890</wp:posOffset>
            </wp:positionV>
            <wp:extent cx="1157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4"/>
          <w:szCs w:val="14"/>
          <w:color w:val="auto"/>
        </w:rPr>
        <w:t>Trademarks and property management contracts are indefinite-lived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-141605</wp:posOffset>
            </wp:positionV>
            <wp:extent cx="1157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excess of the purchase consideration over the aggregate estimated fair values of assets acquired and liabilities assumed was recorded as goodwill. The goodwill recognized is attributable primarily to expected cost efficiencies from the elimination of certain public company costs as well as other select areas of general and administrative functions, synergies, including utilization of the Company’s yield management strategies at Whistler Blackcomb and increased season pass sales and visitation across the Company’s resort portfolio, the assembled workforce of Whistler Blackcomb and other factors. The goodwill is not deductible for income tax purposes. The operating results of Whistler Blackcomb, which are primarily recorded in the Mountain segment, contributed $257.8 million of net revenue and $65.6 million of earnings for the year ended July 31, 2017, prospectively from the acquisition date of</w:t>
      </w:r>
    </w:p>
    <w:p>
      <w:pPr>
        <w:sectPr>
          <w:pgSz w:w="11900" w:h="16838" w:orient="portrait"/>
          <w:cols w:equalWidth="0" w:num="1">
            <w:col w:w="11420"/>
          </w:cols>
          <w:pgMar w:left="240" w:top="1017"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017" w:right="239" w:bottom="1440" w:gutter="0" w:footer="0" w:header="0"/>
          <w:type w:val="continuous"/>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October 17, 2016. The Company recognized $3.2 million of Whistler Blackcomb transaction related expenses in Mountain operating expense in the Consolidated Statement of Operations for the year ended July 31, 2017.</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23, 2017, Whistler LP, by its general partner Whistler Blackcomb Holdings Inc. (“WBHI”), a wholly-owned subsidiary of the Company, entered into a master development agreement (the “Whistler MDA”) with Her Majesty, the Queen in Right of British Columbia (the “Province”) with respect to the operation and development of Whistler Mountain. Additionally, on February 23, 2017, Blackcomb LP, by its general partner WBHI, entered into a master development agreement (the “Blackcomb MDA” and together with the Whistler MDA, the “MDAs”) with the Province with respect to the operation and development of Blackcomb Mountain. Each of Whistler LP and Blackcomb LP were operating under existing master development agreements that terminated upon execution of the new MDAs. The MDAs grant a general license to the WB Partnerships to use the Whistler Mountain lands and the Blackcomb Mountain lands for the operation and development of the Whistler Blackcomb Resort. Each WB Partnership is permitted to develop new improvements to Whistler Mountain or Blackcomb Mountain, as the case may be, within standard municipal type development control conditions. The MDAs each have a term of 60 years and are replaceable for an additional 60 years by option exercisable by the WB Partnerships after the first 30 years of the initial term. In accordance with the MDAs, each WB Partnership is obligated to pay annual fees to the Province at a percentage certain gross revenues related to the Whistler Blackcomb Resort.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 Pro Forma Financial Information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 of Whistler Blackcomb was completed on August 1, 2015. The following unaudited pro forma financial information includes adjustments for (i) depreciation on acquired property, plant and equipment; (ii) amortization of intangible assets recorded at the date of the transactions; (iii) transaction and business integration related costs; (iv) interest expense associated with financing the cash portion of the acquisition; and (v) total weighted average shares outstanding related to the acquisition; and excludes the impact of the intercompany loan. This unaudited pro forma financial information is presented for informational purposes only and does not purport to be indicative of the results of future operations or the results that would have occurred had the transaction taken place on August 1, 2015 (in thousands,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8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1"/>
              </w:rPr>
              <w:t>Year Ended July 31,</w:t>
            </w:r>
          </w:p>
        </w:tc>
        <w:tc>
          <w:tcPr>
            <w:tcW w:w="14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spacing w:after="0"/>
              <w:rPr>
                <w:sz w:val="20"/>
                <w:szCs w:val="20"/>
                <w:color w:val="auto"/>
              </w:rPr>
            </w:pPr>
          </w:p>
        </w:tc>
        <w:tc>
          <w:tcPr>
            <w:tcW w:w="1460" w:type="dxa"/>
            <w:vAlign w:val="bottom"/>
          </w:tcPr>
          <w:p>
            <w:pPr>
              <w:jc w:val="right"/>
              <w:ind w:right="93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1,929,882</w:t>
            </w:r>
          </w:p>
        </w:tc>
        <w:tc>
          <w:tcPr>
            <w:tcW w:w="9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1,835,924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212,475</w:t>
            </w:r>
          </w:p>
        </w:tc>
        <w:tc>
          <w:tcPr>
            <w:tcW w:w="980" w:type="dxa"/>
            <w:vAlign w:val="bottom"/>
          </w:tcPr>
          <w:p>
            <w:pPr>
              <w:jc w:val="center"/>
              <w:ind w:right="6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170,855</w:t>
            </w:r>
          </w:p>
        </w:tc>
      </w:tr>
      <w:tr>
        <w:trPr>
          <w:trHeight w:val="27"/>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9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5.16</w:t>
            </w:r>
          </w:p>
        </w:tc>
        <w:tc>
          <w:tcPr>
            <w:tcW w:w="980" w:type="dxa"/>
            <w:vAlign w:val="bottom"/>
          </w:tcPr>
          <w:p>
            <w:pPr>
              <w:jc w:val="center"/>
              <w:ind w:right="6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Wilmot Mountain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19, 2016, the Company, through a wholly-owned subsidiary, acquired all of the assets of Wilmot, a ski area located in Wisconsin near the Illinois state line, for total cash consideration of $20.2 million. The purchase price was allocated to identifiable tangible and intangible assets acquired and liabilities assumed based on their estimated fair value at the acquisition date. The Company has completed its purchase price allocation and has recorded $12.5 million in property, plant and equipment, $0.2 million in other assets, $0.4 million in other intangible assets (with a weighted-average amortization period of 10 years at the date of acquisition) and $0.3 million of assumed liabilities on the date of acquisition. The excess of the purchase price over the aggregate fair value of assets acquired and liabilities assumed was $7.4 million and was recorded as goodwill. The goodwill recognized is attributable primarily to expected synergies, the assembled workforce of Wilmot and other factors. The goodwill is deductible for income tax purposes. The operating results of Wilmot are reported within the Mountain segment.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017" w:right="239" w:bottom="1440" w:gutter="0" w:footer="0" w:header="0"/>
        </w:sectPr>
      </w:pPr>
    </w:p>
    <w:bookmarkStart w:id="81" w:name="page82"/>
    <w:bookmarkEnd w:id="81"/>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Balance Sheet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including capital lease assets, follows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552,271</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553,655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1,193,528</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1,210,864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1,007,250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987,080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283,694</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280,292</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113,699</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Vehicles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60,697</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59,596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59,579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49,359</w:t>
            </w:r>
          </w:p>
        </w:tc>
      </w:tr>
      <w:tr>
        <w:trPr>
          <w:trHeight w:val="237"/>
        </w:trPr>
        <w:tc>
          <w:tcPr>
            <w:tcW w:w="77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Gross property, plant and equipment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3,270,718</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3,248,894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(1,643,499)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(1,534,740)</w:t>
            </w:r>
          </w:p>
        </w:tc>
      </w:tr>
      <w:tr>
        <w:trPr>
          <w:trHeight w:val="237"/>
        </w:trPr>
        <w:tc>
          <w:tcPr>
            <w:tcW w:w="77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1,627,219</w:t>
            </w:r>
          </w:p>
        </w:tc>
        <w:tc>
          <w:tcPr>
            <w:tcW w:w="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1,714,154</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which included depreciation of assets recorded under capital leases, for the years ended July 31, 2018, 2017 and 2016 totaled $199.2 million, $180.8 million and $156.8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composition of property, plant and equipment recorded under capital leases as of July 31, 2018 and 2017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4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42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66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31,818</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31,818</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3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49,228</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49,228</w:t>
            </w:r>
          </w:p>
        </w:tc>
      </w:tr>
      <w:tr>
        <w:trPr>
          <w:trHeight w:val="27"/>
        </w:trPr>
        <w:tc>
          <w:tcPr>
            <w:tcW w:w="4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3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42,660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42,910</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60,384</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61,156</w:t>
            </w:r>
          </w:p>
        </w:tc>
      </w:tr>
      <w:tr>
        <w:trPr>
          <w:trHeight w:val="27"/>
        </w:trPr>
        <w:tc>
          <w:tcPr>
            <w:tcW w:w="42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property, plant and equipment</w:t>
            </w:r>
          </w:p>
        </w:tc>
        <w:tc>
          <w:tcPr>
            <w:tcW w:w="3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184,090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185,112</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3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(46,502)</w:t>
            </w: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(37,000)</w:t>
            </w:r>
          </w:p>
        </w:tc>
      </w:tr>
      <w:tr>
        <w:trPr>
          <w:trHeight w:val="27"/>
        </w:trPr>
        <w:tc>
          <w:tcPr>
            <w:tcW w:w="42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466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137,588</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148,112</w:t>
            </w:r>
          </w:p>
        </w:tc>
      </w:tr>
      <w:tr>
        <w:trPr>
          <w:trHeight w:val="20"/>
        </w:trPr>
        <w:tc>
          <w:tcPr>
            <w:tcW w:w="422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220" w:type="dxa"/>
            <w:vAlign w:val="bottom"/>
          </w:tcPr>
          <w:p>
            <w:pPr>
              <w:spacing w:after="0"/>
              <w:rPr>
                <w:sz w:val="24"/>
                <w:szCs w:val="24"/>
                <w:color w:val="auto"/>
              </w:rPr>
            </w:pPr>
          </w:p>
        </w:tc>
        <w:tc>
          <w:tcPr>
            <w:tcW w:w="3560" w:type="dxa"/>
            <w:vAlign w:val="bottom"/>
          </w:tcPr>
          <w:p>
            <w:pPr>
              <w:jc w:val="right"/>
              <w:ind w:right="1890"/>
              <w:spacing w:after="0"/>
              <w:rPr>
                <w:sz w:val="20"/>
                <w:szCs w:val="20"/>
                <w:color w:val="auto"/>
              </w:rPr>
            </w:pPr>
            <w:r>
              <w:rPr>
                <w:rFonts w:ascii="Arial" w:cs="Arial" w:eastAsia="Arial" w:hAnsi="Arial"/>
                <w:sz w:val="18"/>
                <w:szCs w:val="18"/>
                <w:color w:val="auto"/>
              </w:rPr>
              <w:t>80</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The composition of goodwill and intangible assets follows (in thousands):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67"/>
        </w:trPr>
        <w:tc>
          <w:tcPr>
            <w:tcW w:w="7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1,493,040</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1,537,097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(17,354)</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(17,354)</w:t>
            </w:r>
          </w:p>
        </w:tc>
      </w:tr>
      <w:tr>
        <w:trPr>
          <w:trHeight w:val="237"/>
        </w:trPr>
        <w:tc>
          <w:tcPr>
            <w:tcW w:w="77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Goodwill,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1,475,686</w:t>
            </w:r>
          </w:p>
        </w:tc>
        <w:tc>
          <w:tcPr>
            <w:tcW w:w="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1,519,743</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Indefinite-lived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205,083</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216,923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41,160</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41,275</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gross indefinite-lived intangible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246,243</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258,198</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(24,713)</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(24,713)</w:t>
            </w:r>
          </w:p>
        </w:tc>
      </w:tr>
      <w:tr>
        <w:trPr>
          <w:trHeight w:val="237"/>
        </w:trPr>
        <w:tc>
          <w:tcPr>
            <w:tcW w:w="77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Indefinite-lived intangible assets, net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221,530</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233,485</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Amortizable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42,971</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39,071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47,604</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49,804</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gross amortizable intangible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90,575</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88,875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(31,533)</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(27,428)</w:t>
            </w:r>
          </w:p>
        </w:tc>
      </w:tr>
      <w:tr>
        <w:trPr>
          <w:trHeight w:val="237"/>
        </w:trPr>
        <w:tc>
          <w:tcPr>
            <w:tcW w:w="77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Amortizable intangible assets, net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59,042</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61,447</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336,818</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347,073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Total accumulated amortization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(56,246)</w:t>
            </w: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(52,141)</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intangible assets,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280,572</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294,932</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for intangible assets subject to amortization for the years ended July 31, 2018, 2017 and 2016 totaled $5.3 million, $8.3 million and $4.7 million, respectively, and is estimated to be approximately $2.8 million annually, on average, for the next five fiscal years.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years ended July 31, 2018 and 2017 are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Mountain</w:t>
            </w:r>
          </w:p>
        </w:tc>
        <w:tc>
          <w:tcPr>
            <w:tcW w:w="36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Lodging</w:t>
            </w:r>
          </w:p>
        </w:tc>
        <w:tc>
          <w:tcPr>
            <w:tcW w:w="30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Goodwill, net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2016</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441,138</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509,037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3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956,739</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956,739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360" w:type="dxa"/>
            <w:vAlign w:val="bottom"/>
            <w:shd w:val="clear" w:color="auto" w:fill="CCEEFF"/>
          </w:tcPr>
          <w:p>
            <w:pPr>
              <w:spacing w:after="0"/>
              <w:rPr>
                <w:sz w:val="24"/>
                <w:szCs w:val="24"/>
                <w:color w:val="auto"/>
              </w:rPr>
            </w:pP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53,967</w:t>
            </w:r>
          </w:p>
        </w:tc>
        <w:tc>
          <w:tcPr>
            <w:tcW w:w="36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53,967</w:t>
            </w:r>
          </w:p>
        </w:tc>
        <w:tc>
          <w:tcPr>
            <w:tcW w:w="0" w:type="dxa"/>
            <w:vAlign w:val="bottom"/>
          </w:tcPr>
          <w:p>
            <w:pPr>
              <w:spacing w:after="0"/>
              <w:rPr>
                <w:sz w:val="1"/>
                <w:szCs w:val="1"/>
                <w:color w:val="auto"/>
              </w:rPr>
            </w:pPr>
          </w:p>
        </w:tc>
      </w:tr>
      <w:tr>
        <w:trPr>
          <w:trHeight w:val="108"/>
        </w:trPr>
        <w:tc>
          <w:tcPr>
            <w:tcW w:w="4920" w:type="dxa"/>
            <w:vAlign w:val="bottom"/>
            <w:tcBorders>
              <w:bottom w:val="single" w:sz="8" w:color="CCEEFF"/>
            </w:tcBorders>
            <w:shd w:val="clear" w:color="auto" w:fill="CCEEFF"/>
          </w:tcPr>
          <w:p>
            <w:pPr>
              <w:spacing w:after="0"/>
              <w:rPr>
                <w:sz w:val="9"/>
                <w:szCs w:val="9"/>
                <w:color w:val="auto"/>
              </w:rPr>
            </w:pPr>
          </w:p>
        </w:tc>
        <w:tc>
          <w:tcPr>
            <w:tcW w:w="1360" w:type="dxa"/>
            <w:vAlign w:val="bottom"/>
            <w:tcBorders>
              <w:bottom w:val="single" w:sz="8" w:color="CCEEFF"/>
            </w:tcBorders>
            <w:shd w:val="clear" w:color="auto" w:fill="CCEEFF"/>
          </w:tcPr>
          <w:p>
            <w:pPr>
              <w:spacing w:after="0"/>
              <w:rPr>
                <w:sz w:val="9"/>
                <w:szCs w:val="9"/>
                <w:color w:val="auto"/>
              </w:rPr>
            </w:pPr>
          </w:p>
        </w:tc>
        <w:tc>
          <w:tcPr>
            <w:tcW w:w="1480" w:type="dxa"/>
            <w:vAlign w:val="bottom"/>
            <w:tcBorders>
              <w:bottom w:val="single" w:sz="8" w:color="CCEEFF"/>
            </w:tcBorders>
            <w:vMerge w:val="continue"/>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440" w:type="dxa"/>
            <w:vAlign w:val="bottom"/>
            <w:tcBorders>
              <w:bottom w:val="single" w:sz="8" w:color="CCEEFF"/>
            </w:tcBorders>
            <w:vMerge w:val="continue"/>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15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July 31, 2017</w:t>
            </w:r>
          </w:p>
        </w:tc>
        <w:tc>
          <w:tcPr>
            <w:tcW w:w="13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1,451,844</w:t>
            </w:r>
          </w:p>
        </w:tc>
        <w:tc>
          <w:tcPr>
            <w:tcW w:w="3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67,899</w:t>
            </w:r>
          </w:p>
        </w:tc>
        <w:tc>
          <w:tcPr>
            <w:tcW w:w="3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1,519,743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(including measurement period adjustments)</w:t>
            </w:r>
          </w:p>
        </w:tc>
        <w:tc>
          <w:tcPr>
            <w:tcW w:w="1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324"/>
        </w:trPr>
        <w:tc>
          <w:tcPr>
            <w:tcW w:w="4920" w:type="dxa"/>
            <w:vAlign w:val="bottom"/>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36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(44,401)</w:t>
            </w:r>
          </w:p>
        </w:tc>
        <w:tc>
          <w:tcPr>
            <w:tcW w:w="36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(44,401)</w:t>
            </w:r>
          </w:p>
        </w:tc>
        <w:tc>
          <w:tcPr>
            <w:tcW w:w="0" w:type="dxa"/>
            <w:vAlign w:val="bottom"/>
          </w:tcPr>
          <w:p>
            <w:pPr>
              <w:spacing w:after="0"/>
              <w:rPr>
                <w:sz w:val="1"/>
                <w:szCs w:val="1"/>
                <w:color w:val="auto"/>
              </w:rPr>
            </w:pPr>
          </w:p>
        </w:tc>
      </w:tr>
      <w:tr>
        <w:trPr>
          <w:trHeight w:val="81"/>
        </w:trPr>
        <w:tc>
          <w:tcPr>
            <w:tcW w:w="49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2018</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1,407,787</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1,475,686</w:t>
            </w:r>
          </w:p>
        </w:tc>
        <w:tc>
          <w:tcPr>
            <w:tcW w:w="0" w:type="dxa"/>
            <w:vAlign w:val="bottom"/>
          </w:tcPr>
          <w:p>
            <w:pPr>
              <w:spacing w:after="0"/>
              <w:rPr>
                <w:sz w:val="1"/>
                <w:szCs w:val="1"/>
                <w:color w:val="auto"/>
              </w:rPr>
            </w:pP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2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81</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3"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67"/>
        </w:trPr>
        <w:tc>
          <w:tcPr>
            <w:tcW w:w="7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80,793</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71,558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282,103</w:t>
            </w:r>
          </w:p>
        </w:tc>
        <w:tc>
          <w:tcPr>
            <w:tcW w:w="5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240,096</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40,034</w:t>
            </w: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44,869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33,963</w:t>
            </w:r>
          </w:p>
        </w:tc>
        <w:tc>
          <w:tcPr>
            <w:tcW w:w="5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32,505</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26,646</w:t>
            </w: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23,742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40,994</w:t>
            </w:r>
          </w:p>
        </w:tc>
        <w:tc>
          <w:tcPr>
            <w:tcW w:w="5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54,899</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accounts payable and accrued liabilities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504,533</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467,669</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7780" w:type="dxa"/>
            <w:vAlign w:val="bottom"/>
          </w:tcPr>
          <w:p>
            <w:pPr>
              <w:spacing w:after="0"/>
              <w:rPr>
                <w:sz w:val="20"/>
                <w:szCs w:val="20"/>
                <w:color w:val="auto"/>
              </w:rPr>
            </w:pPr>
            <w:r>
              <w:rPr>
                <w:rFonts w:ascii="Arial" w:cs="Arial" w:eastAsia="Arial" w:hAnsi="Arial"/>
                <w:sz w:val="18"/>
                <w:szCs w:val="18"/>
                <w:color w:val="auto"/>
              </w:rPr>
              <w:t>The composition of other long-term liabilities follows (in thousands):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July 31,</w:t>
            </w:r>
          </w:p>
        </w:tc>
        <w:tc>
          <w:tcPr>
            <w:tcW w:w="142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7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114,319</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118,417</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Unfavorable lease obligation, net</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21,839</w:t>
            </w:r>
          </w:p>
        </w:tc>
        <w:tc>
          <w:tcPr>
            <w:tcW w:w="4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24,664</w:t>
            </w:r>
          </w:p>
        </w:tc>
      </w:tr>
      <w:tr>
        <w:trPr>
          <w:trHeight w:val="27"/>
        </w:trPr>
        <w:tc>
          <w:tcPr>
            <w:tcW w:w="77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155,348</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158,655</w:t>
            </w:r>
          </w:p>
        </w:tc>
      </w:tr>
      <w:tr>
        <w:trPr>
          <w:trHeight w:val="237"/>
        </w:trPr>
        <w:tc>
          <w:tcPr>
            <w:tcW w:w="160" w:type="dxa"/>
            <w:vAlign w:val="bottom"/>
            <w:tcBorders>
              <w:top w:val="single" w:sz="8" w:color="auto"/>
            </w:tcBorders>
          </w:tcPr>
          <w:p>
            <w:pPr>
              <w:spacing w:after="0"/>
              <w:rPr>
                <w:sz w:val="20"/>
                <w:szCs w:val="20"/>
                <w:color w:val="auto"/>
              </w:rPr>
            </w:pPr>
          </w:p>
        </w:tc>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other long-term liabilities</w:t>
            </w: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291,506</w:t>
            </w:r>
          </w:p>
        </w:tc>
        <w:tc>
          <w:tcPr>
            <w:tcW w:w="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301,736</w:t>
            </w:r>
          </w:p>
        </w:tc>
      </w:tr>
      <w:tr>
        <w:trPr>
          <w:trHeight w:val="27"/>
        </w:trPr>
        <w:tc>
          <w:tcPr>
            <w:tcW w:w="16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48"/>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7620" w:type="dxa"/>
            <w:vAlign w:val="bottom"/>
          </w:tcPr>
          <w:p>
            <w:pPr>
              <w:ind w:left="500"/>
              <w:spacing w:after="0"/>
              <w:rPr>
                <w:sz w:val="20"/>
                <w:szCs w:val="20"/>
                <w:color w:val="auto"/>
              </w:rPr>
            </w:pPr>
            <w:r>
              <w:rPr>
                <w:rFonts w:ascii="Arial" w:cs="Arial" w:eastAsia="Arial" w:hAnsi="Arial"/>
                <w:sz w:val="18"/>
                <w:szCs w:val="18"/>
                <w:b w:val="1"/>
                <w:bCs w:val="1"/>
                <w:color w:val="auto"/>
              </w:rPr>
              <w:t>Investments in Affiliates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7780" w:type="dxa"/>
            <w:vAlign w:val="bottom"/>
            <w:gridSpan w:val="2"/>
          </w:tcPr>
          <w:p>
            <w:pPr>
              <w:spacing w:after="0"/>
              <w:rPr>
                <w:sz w:val="20"/>
                <w:szCs w:val="20"/>
                <w:color w:val="auto"/>
              </w:rPr>
            </w:pPr>
            <w:r>
              <w:rPr>
                <w:rFonts w:ascii="Arial" w:cs="Arial" w:eastAsia="Arial" w:hAnsi="Arial"/>
                <w:sz w:val="18"/>
                <w:szCs w:val="18"/>
                <w:color w:val="auto"/>
              </w:rPr>
              <w:t>The Company held the following investments in equity method affiliates as of July 31, 2018:</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49"/>
        </w:trPr>
        <w:tc>
          <w:tcPr>
            <w:tcW w:w="1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w w:val="98"/>
              </w:rPr>
              <w:t>Ownership</w:t>
            </w:r>
          </w:p>
        </w:tc>
      </w:tr>
      <w:tr>
        <w:trPr>
          <w:trHeight w:val="234"/>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Method Affiliates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Interest</w:t>
            </w:r>
          </w:p>
        </w:tc>
      </w:tr>
      <w:tr>
        <w:trPr>
          <w:trHeight w:val="27"/>
        </w:trPr>
        <w:tc>
          <w:tcPr>
            <w:tcW w:w="77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Slifer, Smith, and Frampton/Vail Associates Real Estate, LLC (“SSF/VARE”)</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ind w:right="310"/>
              <w:spacing w:after="0"/>
              <w:rPr>
                <w:sz w:val="20"/>
                <w:szCs w:val="20"/>
                <w:color w:val="auto"/>
              </w:rPr>
            </w:pPr>
            <w:r>
              <w:rPr>
                <w:rFonts w:ascii="Arial" w:cs="Arial" w:eastAsia="Arial" w:hAnsi="Arial"/>
                <w:sz w:val="18"/>
                <w:szCs w:val="18"/>
                <w:color w:val="auto"/>
                <w:w w:val="94"/>
              </w:rPr>
              <w:t>50%</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KRED</w:t>
            </w: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center"/>
              <w:ind w:right="310"/>
              <w:spacing w:after="0"/>
              <w:rPr>
                <w:sz w:val="20"/>
                <w:szCs w:val="20"/>
                <w:color w:val="auto"/>
              </w:rPr>
            </w:pPr>
            <w:r>
              <w:rPr>
                <w:rFonts w:ascii="Arial" w:cs="Arial" w:eastAsia="Arial" w:hAnsi="Arial"/>
                <w:sz w:val="18"/>
                <w:szCs w:val="18"/>
                <w:color w:val="auto"/>
                <w:w w:val="94"/>
              </w:rPr>
              <w:t>50%</w:t>
            </w:r>
          </w:p>
        </w:tc>
      </w:tr>
      <w:tr>
        <w:trPr>
          <w:trHeight w:val="27"/>
        </w:trPr>
        <w:tc>
          <w:tcPr>
            <w:tcW w:w="77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Clinton Ditch and Reservoir Company</w:t>
            </w:r>
          </w:p>
        </w:tc>
        <w:tc>
          <w:tcPr>
            <w:tcW w:w="1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4"/>
              </w:rPr>
              <w:t>43%</w:t>
            </w:r>
          </w:p>
        </w:tc>
      </w:tr>
      <w:tr>
        <w:trPr>
          <w:trHeight w:val="27"/>
        </w:trPr>
        <w:tc>
          <w:tcPr>
            <w:tcW w:w="16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total net investments in equity method affiliates of $7.7 million and $7.6 million as of July 31, 2018 and 2017, respectively, classified as “deferred charges and other assets” in the accompanying Consolidated Balance Sheets. The amount of retained earnings that represent undistributed earnings of 50-percent-or-less-owned entities accounted for by the equity method was $4.4 million and $4.3 million as of July 31, 2018 and 2017, respectively. During the years ended July 31, 2018, 2017 and 2016, distributions in the amounts of $1.5 million, $1.9 million and $1.3 million, respectively, were received from equity method affiliates.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SSF/VARE is a real estate brokerage with multiple locations in Eagle and Summit Counties, Colorado in which the Company has a 50% ownership interest. SSF/VARE leases space for real estate offices from the Company. The Company recognized approximately $0.4 million in revenue related to these leases for each of the years ended July 31, 2018, 2017 and 2016.</w:t>
      </w:r>
    </w:p>
    <w:p>
      <w:pPr>
        <w:spacing w:after="0" w:line="17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ectPr>
          <w:pgSz w:w="11900" w:h="16838" w:orient="portrait"/>
          <w:cols w:equalWidth="0" w:num="1">
            <w:col w:w="11420"/>
          </w:cols>
          <w:pgMar w:left="240" w:top="117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178"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Contingent Consideration and interest rate swap measured at estimated fair value (all other assets and liabilities measured at fair value are immaterial)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8"/>
              </w:rPr>
              <w:t>Estimated Fair Value Measurement as of July 31, 2018</w:t>
            </w:r>
          </w:p>
        </w:tc>
        <w:tc>
          <w:tcPr>
            <w:tcW w:w="13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i w:val="1"/>
                <w:iCs w:val="1"/>
                <w:color w:val="auto"/>
              </w:rPr>
              <w:t>Description</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2</w:t>
            </w:r>
          </w:p>
        </w:tc>
        <w:tc>
          <w:tcPr>
            <w:tcW w:w="5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7"/>
        </w:trPr>
        <w:tc>
          <w:tcPr>
            <w:tcW w:w="41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Money Market</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30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3,021</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3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11,249</w:t>
            </w:r>
          </w:p>
        </w:tc>
        <w:tc>
          <w:tcPr>
            <w:tcW w:w="13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11,249</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41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Contingent Consideration</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21,900</w:t>
            </w:r>
          </w:p>
        </w:tc>
        <w:tc>
          <w:tcPr>
            <w:tcW w:w="130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21,900</w:t>
            </w: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8"/>
              </w:rPr>
              <w:t>Estimated Fair Value Measurement as of July 31, 2017</w:t>
            </w:r>
          </w:p>
        </w:tc>
        <w:tc>
          <w:tcPr>
            <w:tcW w:w="13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i w:val="1"/>
                <w:iCs w:val="1"/>
                <w:color w:val="auto"/>
              </w:rPr>
              <w:t>Description</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2</w:t>
            </w:r>
          </w:p>
        </w:tc>
        <w:tc>
          <w:tcPr>
            <w:tcW w:w="5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7"/>
        </w:trPr>
        <w:tc>
          <w:tcPr>
            <w:tcW w:w="41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Money Market</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30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3,008</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3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2,405</w:t>
            </w:r>
          </w:p>
        </w:tc>
        <w:tc>
          <w:tcPr>
            <w:tcW w:w="13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2,405</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3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76"/>
        </w:trPr>
        <w:tc>
          <w:tcPr>
            <w:tcW w:w="4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269"/>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7"/>
        </w:trPr>
        <w:tc>
          <w:tcPr>
            <w:tcW w:w="41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Contingent Consideration</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27,400</w:t>
            </w:r>
          </w:p>
        </w:tc>
        <w:tc>
          <w:tcPr>
            <w:tcW w:w="130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27,400</w:t>
            </w:r>
          </w:p>
        </w:tc>
      </w:tr>
    </w:tbl>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cash equivalents and Interest Rate Swap are measured utilizing quoted market prices or pricing models whereby all significant inputs are either observable or corroborated by observable market data. The Interest Rate Swap was an instrument assumed in the Whistler Blackcomb acquisition that was a C$125.0 million fixed swap on the floating interest rate on the Whistler Credit Agreement, and was originally set to expire in September 2020. However, the Company settled the Interest Rate Swap in September 2017 and therefore no longer utilized an Interest Rate Swap as of July 31, 2018. Interest Rate Swap settlements and changes in estimated fair value were recognized in Interest expense, net on the Consolidated Statement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 in Contingent Consideration during the years ended July 31, 2018 and 2017 were as follows (in thousands):</w:t>
      </w:r>
    </w:p>
    <w:p>
      <w:pPr>
        <w:spacing w:after="0" w:line="321" w:lineRule="exact"/>
        <w:rPr>
          <w:sz w:val="20"/>
          <w:szCs w:val="20"/>
          <w:color w:val="auto"/>
        </w:rPr>
      </w:pPr>
    </w:p>
    <w:tbl>
      <w:tblPr>
        <w:tblLayout w:type="fixed"/>
        <w:tblInd w:w="2600" w:type="dxa"/>
        <w:tblCellMar>
          <w:top w:w="0" w:type="dxa"/>
          <w:left w:w="0" w:type="dxa"/>
          <w:bottom w:w="0" w:type="dxa"/>
          <w:right w:w="0" w:type="dxa"/>
        </w:tblCellMar>
      </w:tblPr>
      <w:tr>
        <w:trPr>
          <w:trHeight w:val="27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2016</w:t>
            </w:r>
          </w:p>
        </w:tc>
        <w:tc>
          <w:tcPr>
            <w:tcW w:w="1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11,100</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Change in estimated fair value</w:t>
            </w:r>
          </w:p>
        </w:tc>
        <w:tc>
          <w:tcPr>
            <w:tcW w:w="16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16,300</w:t>
            </w:r>
          </w:p>
        </w:tc>
      </w:tr>
      <w:tr>
        <w:trPr>
          <w:trHeight w:val="27"/>
        </w:trPr>
        <w:tc>
          <w:tcPr>
            <w:tcW w:w="3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2017</w:t>
            </w:r>
          </w:p>
        </w:tc>
        <w:tc>
          <w:tcPr>
            <w:tcW w:w="16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27,400</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Payment</w:t>
            </w:r>
          </w:p>
        </w:tc>
        <w:tc>
          <w:tcPr>
            <w:tcW w:w="16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(3,646)</w:t>
            </w:r>
          </w:p>
        </w:tc>
      </w:tr>
      <w:tr>
        <w:trPr>
          <w:trHeight w:val="27"/>
        </w:trPr>
        <w:tc>
          <w:tcPr>
            <w:tcW w:w="3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estimated fair value</w:t>
            </w:r>
          </w:p>
        </w:tc>
        <w:tc>
          <w:tcPr>
            <w:tcW w:w="16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7"/>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July 31, 2018</w:t>
            </w:r>
          </w:p>
        </w:tc>
        <w:tc>
          <w:tcPr>
            <w:tcW w:w="16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21,900</w:t>
            </w:r>
          </w:p>
        </w:tc>
      </w:tr>
      <w:tr>
        <w:trPr>
          <w:trHeight w:val="27"/>
        </w:trPr>
        <w:tc>
          <w:tcPr>
            <w:tcW w:w="3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Lease for Park City, as discussed in Note 4, Long-term Debt,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11.3%, volatility of 17.5% and future period Park City EBITDA and capital expenditures,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w:t>
      </w:r>
    </w:p>
    <w:p>
      <w:pPr>
        <w:sectPr>
          <w:pgSz w:w="11900" w:h="16838" w:orient="portrait"/>
          <w:cols w:equalWidth="0" w:num="1">
            <w:col w:w="11420"/>
          </w:cols>
          <w:pgMar w:left="240" w:top="1179"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179" w:right="239" w:bottom="1440" w:gutter="0" w:footer="0" w:header="0"/>
          <w:type w:val="continuous"/>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points or a 5% change in estimated subsequent year performance would result in a change in the estimated fair value within the range of approximately $4.0 million to $5.3 million.</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Contingent Consideration is classified as a liability in our Consolidated Balance Sheets and is remeasured to an estimated fair value at each reporting date until the contingency is resolved. During the year ended July 31, 2018, the Company made a payment to the landlord for Contingent Consideration of approximately $3.6 million and recorded a decrease in the estimated fair value of approximately $1.9 million primarily related to the Contingent Consideration payment for the year ended July 31, 2018 and other key assumptions noted above, resulting in an estimated fair value of the Contingent Consideration of $21.9 million as of July 31, 2018, which is reflected in other long-term liabilities in the Consolidated Balance Sheet.</w:t>
      </w:r>
    </w:p>
    <w:p>
      <w:pPr>
        <w:spacing w:after="0" w:line="169"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includes broad and complex changes to the U.S. tax code that impacted the Company’s accounting and reporting for income taxes during the year ended July 31, 2018. These changes primarily consist of the following:</w:t>
      </w:r>
    </w:p>
    <w:p>
      <w:pPr>
        <w:spacing w:after="0" w:line="46" w:lineRule="exact"/>
        <w:rPr>
          <w:sz w:val="20"/>
          <w:szCs w:val="20"/>
          <w:color w:val="auto"/>
        </w:rPr>
      </w:pPr>
    </w:p>
    <w:p>
      <w:pPr>
        <w:jc w:val="both"/>
        <w:ind w:left="660" w:hanging="328"/>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reduction in the U.S. federal corporate income tax rate from 35% to 21%, effective January 1, 2018, which resulted in a U.S. blended federal statutory income tax rate for the Company for the year ended July 31, 2018 of approximately 27% (August 2017 through December 2017 at 35% and January 2018 through July 2018 at 21%), and which will then be reduced to 21% for the year ending July 31, 2019 and thereafter, subject to future changes in the tax laws.</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remeasurement of U.S. net deferred tax liabilities as of the effective date utilizing the new U.S. federal corporate income tax rate of 21%.</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territorial tax regime resulting in a one-time transitional repatriation tax on unremitted foreign earnings (“Transition Tax”), which may be paid over an eight-year period.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elimination of the domestic production activities deduction, as well as revised limitations on certain business expenses and executive compensation deductions under “Section 162(m)” of the Internal Revenue Code.</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Provides for a tax on global intangible low-taxed income (“GILTI”), a base erosion anti-abuse tax (“BEAT”) and a deduction for foreign derived intangible income (“FDII”).</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the Securities and Exchange Commission (“SEC”) staff issued Staff Accounting Bulletin No. 118 (“SAB 118”) to provide guidance related to accounting for the income tax effects of the Tax Act. SAB 118 provides that companies (i) should record the effects of the changes from the Tax Act for which the accounting is complete (not provisional), (ii) should record provisional amounts for the effects of the changes from the Tax Act for which the accounting is not complete, and for which reasonable estimates can be determined, in the period they are identified, and (iii) should not record provisional amounts if reasonable estimates cannot be made for the effects of the changes from the Tax Act, and should continue to apply guidance based on the tax law in effect prior to the enactment on December 22, 2017. In addition, SAB 118 established a one-year measurement period (through December 22, 2018) where a provisional amount could be subject to adjustment, and requires certain qualitative and quantitative disclosures related to provisional amounts and accounting during the measurement period.</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Act increased limitations on the deductibility of certain executive compensation, expands the definition of a “covered employee” under Section 162(m), and, among other modifications, repeals the exception for performance-based compensation and commissions from the $1.0 million deduction limitation. The Tax Act also provides transitional guidance, which will allow certain payments made under written and binding agreements that were entered into prior to November 2, 2017 to be treated as if they were made under the provisions of Section 162(m) that were in effect prior to enactment of the Tax Act. The Company is in the process of reviewing existing compensation arrangements for covered employees as well as assessing the impact of transitional guidance on the realizability of existing deferred tax assets related to compensation arrangements of its covered employees. As a result, the Company did not made any adjustments related to the impact of the new executive compensation limitations in its consolidated financial statements for the year ended July 31, 2018.</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Tax Act, the Company recorded a one-time, provisional net tax benefit of approximately $61.0 million on its Consolidated Statement of Operations for the year ended July 31, 2018, as described below. The Company continues to evaluate the impact of these provisions; however, during this provisional period, it has determined there should be no GILTI inclusion, BEAT would not apply and there is an immaterial FDII deduction. The Company has not made a policy decision regarding whether to record deferred taxes on GILTI or use the period cost method.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reduction in the U.S. corporate tax rate, the Company remeasured its U.S. net deferred tax liabilities as of the effective date and recognized an estimated provisional benefit of approximately $67.0 million, as a discrete item in the benefit from income taxes for the year ended July 31, 2018, which is a reduction in net deferred tax liabilities in the accompanying Consolidated Balance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071" w:right="2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Sheet as of July 31, 2018. The Company also recorded an estimated provisional charge for the Transition Tax of approximately $6.0 million as a discrete item in the benefit from income taxes for the year ended July 31,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changes included in the Tax Act are broad and complex. The final transitional impacts of the Tax Act may materially differ from the above amounts due to, among other things, changes in interpretations of the Tax Act, any legislative action to address questions that arise with respect to the Tax Act or any updates the Company has utilized to calculate the transitional impacts. The Company will complete its analysis no later than December 22, 2018 (the end of the one-year measurement period).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Tax Act does not provide for additional income taxes for any remaining undistributed foreign earnings not subject to the Transition Tax, or for any additional outside basis differences inherent in foreign entities, as these amounts continue to be indefinitely reinvested in those foreign operations. Substantially all of the Company’s unremitted foreign earnings that have not been previously taxed have now been subjected to U.S. taxation under the Transition Tax. The Company has made no additional provision for U.S. income taxes or additional non-U.S. taxes on the remaining unremitted accumulated earnings of non-U.S. subsidiaries. It is not practical at this time to determine the income tax liability related to any remaining undistributed earnings or additional basis difference not subject to the Transition Tax.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components of income before benefit (provision) for income taxes is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1"/>
              </w:rPr>
              <w:t>Year Ended July 31,</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264,379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251,478</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231,756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75,713</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96,971</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10,863</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340,092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348,449</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242,619</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126,697</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180,480</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54,708</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65,614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12,865</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31,191</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194,270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277,285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Canyons obligation</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13,145</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9,824</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17,862</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Partnerships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15,113</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compensation and other accrued benefits</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9,220</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15,215</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5,580</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9,542</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 and other tax credits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11,501</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19,468</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75,575</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122,129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Valuation allowance for deferred income taxes</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(5,450)</w:t>
            </w: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(6,955)</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assets, net of valuation allowance</w:t>
            </w: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70,125</w:t>
            </w:r>
          </w:p>
        </w:tc>
        <w:tc>
          <w:tcPr>
            <w:tcW w:w="5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115,174</w:t>
            </w:r>
          </w:p>
        </w:tc>
      </w:tr>
      <w:tr>
        <w:trPr>
          <w:trHeight w:val="237"/>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deferred income tax liability</w:t>
            </w: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124,145</w:t>
            </w:r>
          </w:p>
        </w:tc>
        <w:tc>
          <w:tcPr>
            <w:tcW w:w="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162,111</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income taxes recognized in the Consolidated Balance Sheets are as follows (in thousands):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017"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July 31,</w:t>
            </w:r>
          </w:p>
        </w:tc>
        <w:tc>
          <w:tcPr>
            <w:tcW w:w="164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2017</w:t>
            </w:r>
          </w:p>
        </w:tc>
      </w:tr>
      <w:tr>
        <w:trPr>
          <w:trHeight w:val="27"/>
        </w:trPr>
        <w:tc>
          <w:tcPr>
            <w:tcW w:w="6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income tax asset</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6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non-current deferred income tax liability</w:t>
            </w:r>
          </w:p>
        </w:tc>
        <w:tc>
          <w:tcPr>
            <w:tcW w:w="1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133,918</w:t>
            </w:r>
          </w:p>
        </w:tc>
        <w:tc>
          <w:tcPr>
            <w:tcW w:w="6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171,442</w:t>
            </w:r>
          </w:p>
        </w:tc>
      </w:tr>
      <w:tr>
        <w:trPr>
          <w:trHeight w:val="27"/>
        </w:trPr>
        <w:tc>
          <w:tcPr>
            <w:tcW w:w="6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income tax liability</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124,145</w:t>
            </w:r>
          </w:p>
        </w:tc>
        <w:tc>
          <w:tcPr>
            <w:tcW w:w="6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162,111</w:t>
            </w:r>
          </w:p>
        </w:tc>
      </w:tr>
      <w:tr>
        <w:trPr>
          <w:trHeight w:val="20"/>
        </w:trPr>
        <w:tc>
          <w:tcPr>
            <w:tcW w:w="68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(benefit) provision for income taxes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1"/>
              </w:rPr>
              <w:t>Year Ended July 31,</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(43,366)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55,887</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70,553</w:t>
            </w:r>
          </w:p>
        </w:tc>
      </w:tr>
      <w:tr>
        <w:trPr>
          <w:trHeight w:val="27"/>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18,436</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16,311</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4,431</w:t>
            </w:r>
          </w:p>
        </w:tc>
      </w:tr>
      <w:tr>
        <w:trPr>
          <w:trHeight w:val="27"/>
        </w:trPr>
        <w:tc>
          <w:tcPr>
            <w:tcW w:w="5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w:t>
            </w:r>
          </w:p>
        </w:tc>
        <w:tc>
          <w:tcPr>
            <w:tcW w:w="1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(15,368)</w:t>
            </w: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80,294</w:t>
            </w:r>
          </w:p>
        </w:tc>
        <w:tc>
          <w:tcPr>
            <w:tcW w:w="4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85,539</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w:t>
            </w: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(45,922)</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29,065</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State</w:t>
            </w: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2,941</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3,601</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1,051</w:t>
            </w:r>
          </w:p>
        </w:tc>
      </w:tr>
      <w:tr>
        <w:trPr>
          <w:trHeight w:val="27"/>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37"/>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(45,770)</w:t>
            </w: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36,437</w:t>
            </w:r>
          </w:p>
        </w:tc>
        <w:tc>
          <w:tcPr>
            <w:tcW w:w="4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7,626</w:t>
            </w:r>
          </w:p>
        </w:tc>
      </w:tr>
      <w:tr>
        <w:trPr>
          <w:trHeight w:val="27"/>
        </w:trPr>
        <w:tc>
          <w:tcPr>
            <w:tcW w:w="5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(Benefit) provision for income taxes</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(61,138)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116,731</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93,165</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income tax (benefit) provision from continuing operations and the amount computed by applying the United States federal statutory income tax rate to income before income taxes is as follows:</w:t>
      </w:r>
    </w:p>
    <w:p>
      <w:pPr>
        <w:spacing w:after="0" w:line="220"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34290</wp:posOffset>
            </wp:positionV>
            <wp:extent cx="3610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ind w:left="650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c>
          <w:tcPr>
            <w:tcW w:w="190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2017</w:t>
            </w:r>
          </w:p>
        </w:tc>
        <w:tc>
          <w:tcPr>
            <w:tcW w:w="15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7"/>
        </w:trPr>
        <w:tc>
          <w:tcPr>
            <w:tcW w:w="6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U.S. federal income tax rate</w:t>
            </w:r>
          </w:p>
        </w:tc>
        <w:tc>
          <w:tcPr>
            <w:tcW w:w="10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26.8 %</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35.0 %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3.0 %</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2.2 %</w:t>
            </w:r>
          </w:p>
        </w:tc>
        <w:tc>
          <w:tcPr>
            <w:tcW w:w="152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6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0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0.3 %</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Excess tax benefits related to stock-based compensation</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(20.9)%</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Impacts of the Tax Act</w:t>
            </w:r>
          </w:p>
        </w:tc>
        <w:tc>
          <w:tcPr>
            <w:tcW w:w="10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(24.7)%</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(1.7)%</w:t>
            </w: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10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1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0.7 %</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0.9 %</w:t>
            </w:r>
          </w:p>
        </w:tc>
        <w:tc>
          <w:tcPr>
            <w:tcW w:w="152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6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Effective tax rate</w:t>
            </w:r>
          </w:p>
        </w:tc>
        <w:tc>
          <w:tcPr>
            <w:tcW w:w="10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(18.0)%</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33.5 %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38.4 %</w:t>
            </w:r>
          </w:p>
        </w:tc>
      </w:tr>
      <w:tr>
        <w:trPr>
          <w:trHeight w:val="20"/>
        </w:trPr>
        <w:tc>
          <w:tcPr>
            <w:tcW w:w="6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 of unrecognized tax benefits associated with uncertain tax positions, excluding associated deferred tax benefits and accrued interest and penalties, if applicable,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1"/>
              </w:rPr>
              <w:t>Year Ended July 31,</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Balance, beginning of year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76,111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57,032</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38,572</w:t>
            </w:r>
          </w:p>
        </w:tc>
      </w:tr>
      <w:tr>
        <w:trPr>
          <w:trHeight w:val="27"/>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Additions based on tax positions related to the current year</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Additions for tax positions of prior years</w:t>
            </w: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12,394</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19,079</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18,460</w:t>
            </w:r>
          </w:p>
        </w:tc>
      </w:tr>
      <w:tr>
        <w:trPr>
          <w:trHeight w:val="27"/>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Reductions for tax positions of prior years</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Lapse of statute of limitations</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(10,263)</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end of year</w:t>
            </w:r>
          </w:p>
        </w:tc>
        <w:tc>
          <w:tcPr>
            <w:tcW w:w="11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78,242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76,111</w:t>
            </w:r>
          </w:p>
        </w:tc>
        <w:tc>
          <w:tcPr>
            <w:tcW w:w="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57,032</w:t>
            </w:r>
          </w:p>
        </w:tc>
      </w:tr>
      <w:tr>
        <w:trPr>
          <w:trHeight w:val="27"/>
        </w:trPr>
        <w:tc>
          <w:tcPr>
            <w:tcW w:w="5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175" w:right="239" w:bottom="1440" w:gutter="0" w:footer="0" w:header="0"/>
          <w:type w:val="continuous"/>
        </w:sectPr>
      </w:pPr>
    </w:p>
    <w:bookmarkStart w:id="88" w:name="page89"/>
    <w:bookmarkEnd w:id="88"/>
    <w:p>
      <w:pPr>
        <w:jc w:val="both"/>
        <w:spacing w:after="0" w:line="264" w:lineRule="auto"/>
        <w:rPr>
          <w:sz w:val="20"/>
          <w:szCs w:val="20"/>
          <w:color w:val="auto"/>
        </w:rPr>
      </w:pPr>
      <w:r>
        <w:rPr>
          <w:rFonts w:ascii="Arial" w:cs="Arial" w:eastAsia="Arial" w:hAnsi="Arial"/>
          <w:sz w:val="18"/>
          <w:szCs w:val="18"/>
          <w:color w:val="auto"/>
        </w:rPr>
        <w:t>As of July 31, 2018,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July 31, 2018, the Company experienced a reduction in the uncertain tax positions due to the lapse of the statute of limitations of $10.3 million, which was offset with an increase to the uncertain tax position of $12.4 million. Interest and penalties associated with the statute of limitations lapse were approximately $0.9 million. The Company is not aware of any tax positions for which it is reasonably possible that the total amounts of unrecognized tax benefits will change materially in the next twelve months. Additionally, the Company expects a reduction to its uncertain tax positions for the fiscal year ending July 31, 2019, due to the lapse of the statute of limitations. As of July 31, 2018 and 2017, accrued interest and penalties, net of tax, was $5.2 million and $3.6 million, respectively. For the years ended July 31, 2018, 2017 and 2016, the Company recognized as income tax expense $1.6 million, $2.0 million and $1.1 million of interest expense and penalties, net of tax, respectively.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major tax jurisdictions in which it files income tax returns is the U.S. federal jurisdiction, various state jurisdictions, Australia, and Canada. The Company is no longer subject to U.S. federal examinations for tax years prior to 2014. With few exceptions, the Company is no longer subject to examination by various U.S. state jurisdictions for tax years prior to 2012. Additionally, the Company is no longer subject to audits for the tax years prior to 2013 for Australia and Canada.</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NOL carryforwards totaling $9.2 million which are primarily comprised of state net operating loss (“NOL”) carryforwards that expire by the year ending July 31, 2031. As of July 31, 2018, the Company has recorded a valuation allowance on $4.3 million of these NOL carryforwards as the Company has determined that it is more likely than not that these NOL carryforwards will not be realized. Certain fully valued state NOLs have expired and were written off during the year ended July 31, 2018. Additionally, the Company has foreign tax credit carryforwards of $4.2 million, which expire by the year ending July 31, 2027. As of July 31, 2018, the Company has recorded a valuation allowance of $4.2 million on foreign tax credit carryforwards as the Company has determined that it is more likely than not that these foreign tax credit carryforwards will not be realized.</w:t>
      </w:r>
    </w:p>
    <w:p>
      <w:pPr>
        <w:spacing w:after="0" w:line="201" w:lineRule="exact"/>
        <w:rPr>
          <w:sz w:val="20"/>
          <w:szCs w:val="20"/>
          <w:color w:val="auto"/>
        </w:rPr>
      </w:pPr>
    </w:p>
    <w:p>
      <w:pPr>
        <w:ind w:left="880" w:hanging="872"/>
        <w:spacing w:after="0"/>
        <w:tabs>
          <w:tab w:leader="none" w:pos="8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the right to appoint four of nine directors of the Beaver Creek Resort Company of Colorado (“BCRC”), a non-profit entity formed for the benefit of property owners and certain others in Beaver Creek. The Company has a management agreement with the BCRC, renewable for one-year periods, to provide management services on a fixed fee basis. Management fees and reimbursement of operating expenses paid to the Company under its agreement with the BCRC during the years ended July 31, 2018, 2017 and 2016 were $9.2 million, $8.9 million and $8.4 million, respectively.</w:t>
      </w:r>
    </w:p>
    <w:p>
      <w:pPr>
        <w:spacing w:after="0" w:line="16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credit-enhances $6.3 million of bonds issued by Holland Creek Metropolitan District (“HCMD”) through an $6.4 million letter of credit issued under the Vail Holdings Credit Agreement. HCMD’s bonds were issued and used to build infrastructure associated with the Company’s Red Sky Ranch residential development. The Company has agreed to pay capital improvement fees to Red Sky Ranch Metropolitan District (“RSRMD”) until RSRMD’s revenue streams from property taxes are sufficient to meet debt service requirements under HCMD’s bonds. The Company recorded a liability of $2.0 million, primarily within “other long-term liabilities” in the accompanying Consolidated Balance Sheets, as of both July 31, 2018 and 2017 with respect to the estimated present value of future RSRMD capital improvement fees. The Company estimates that it will make capital improvement fee payments under this arrangement through the year ending July 31, 2031.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31, 2018, the Company had various other letters of credit totaling $79.3 million, consisting of $53.4 million to support the Employee Housing Bonds, $9.7 million primarily for workers’ compensation and insurance-related deductibles, and $16.2 million for resort acquisition related activities. The Company also had surety bonds of $9.4 million as of July 31, 2018, primarily to provide collateral for its U.S. workers compensation self-insurance programs.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016" w:right="2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8"/>
          <w:szCs w:val="18"/>
          <w:color w:val="auto"/>
        </w:rPr>
        <w:t>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operations of Northstar are conducted on land and with operating assets owned by affiliates of EPR Properties, a real-estate investment trust, primarily under operating leases which were assumed in the acquisition of Northstar by the Company. The leases provide for the payment of a minimum annual base rent over the lease term which is recognized on a straight-line basis over the remaining lease term from the date of assumption. In addition, the leases provide for the payment of percentage rent of certain gross revenues generated at the property over a revenue threshold which is incrementally adjusted annually. The initial term of the leases expires in fiscal 2027 and allows for three 10-year extensions at the Company’s option. The operations of Perisher are conducted on land under a license and lease granted by the Office of Environment and Heritage, an agency of the New South Wales government, which initially commenced in 2008, which the Company assumed in its acquisition of Perisher. The lease and license has a term that expires in fiscal 2048 and allows for an option to renew for an additional 20 years. The lease and license provide for the payment of an initial minimum annual base rent of AUS $1.8 million, with annual CPI increases, and percentage rent of certain gross revenue generated at the property. Additionally, the Company has entered into strategic long-term season pass alliance agreements with third-party mountain resorts in which the Company has committed to pay minimum revenue guarantees over the remaining terms of these agreements.</w:t>
      </w:r>
    </w:p>
    <w:p>
      <w:pPr>
        <w:spacing w:after="0" w:line="1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executed or assumed as lessee other operating leases for the rental of office and commercial space, employee residential units and land primarily through fiscal 2079. Certain of these leases have renewal terms at the Company’s option, escalation clauses, rent holidays and leasehold improvement incentives. Rent holidays and rent escalation clauses are recognized on a straight-line basis over the lease term. Leasehold improvement incentives are recorded as leasehold improvements and amortized over the shorter of their economic lives or the term of the lease. For the years ended July 31, 2018, 2017 and 2016, the Company recorded lease expense (including Northstar and Perisher), excluding executory costs, related to these agreements of $52.8 million, $51.9 million and $44.4 million, respectively, which is included in the accompanying Consolidated Statements of Operations.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31, 2018, the Canyons obligation was $334.5 million, which represents the estimated annual lease payments for the remaining initial 50 year term of the lease assuming annual increases at the floor of 2% and discounted using an interest rate of 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016" w:right="239" w:bottom="144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t>Future minimum operating lease payments under the above leases and future minimum capital lease payments under the Canyons obligation as of July 31, 2018 reflected by fiscal year are as follows (in thousands):</w:t>
      </w:r>
    </w:p>
    <w:p>
      <w:pPr>
        <w:spacing w:after="0" w:line="30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0"/>
                <w:szCs w:val="20"/>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Capital Leases</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27,699</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38,831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28,253</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28,818</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32,444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29,982</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155,410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1,835,630</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332,913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1,979,776</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(1,645,267)</w:t>
            </w:r>
          </w:p>
        </w:tc>
        <w:tc>
          <w:tcPr>
            <w:tcW w:w="0" w:type="dxa"/>
            <w:vAlign w:val="bottom"/>
          </w:tcPr>
          <w:p>
            <w:pPr>
              <w:spacing w:after="0" w:line="20" w:lineRule="exact"/>
              <w:rPr>
                <w:sz w:val="1"/>
                <w:szCs w:val="1"/>
                <w:color w:val="auto"/>
              </w:rPr>
            </w:pPr>
          </w:p>
        </w:tc>
      </w:tr>
      <w:tr>
        <w:trPr>
          <w:trHeight w:val="230"/>
        </w:trPr>
        <w:tc>
          <w:tcPr>
            <w:tcW w:w="7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future minimum lease payments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334,509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 Insurance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July 31, 2018 and 2017, the accruals for the above loss contingencies were not material individually or in the aggregate.</w:t>
      </w:r>
    </w:p>
    <w:p>
      <w:pPr>
        <w:spacing w:after="0" w:line="177"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Area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financial statements as indicators of financial performance or liquidity.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w:t>
      </w:r>
    </w:p>
    <w:p>
      <w:pPr>
        <w:sectPr>
          <w:pgSz w:w="11900" w:h="16838" w:orient="portrait"/>
          <w:cols w:equalWidth="0" w:num="1">
            <w:col w:w="11420"/>
          </w:cols>
          <w:pgMar w:left="240" w:top="117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178" w:right="239" w:bottom="1440" w:gutter="0" w:footer="0" w:header="0"/>
          <w:type w:val="continuous"/>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segments, or used to evaluate performance, except as shown in the table below. The accounting policies specific to each segment are the same as those described in Note 2, Summary of Significant Accounting Policies.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key financial information by reportable segment which is used by management in evaluating performance and allocating resources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Lift tickets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880,293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818,341</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658,047</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Ski school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189,910</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177,748</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143,249</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Dining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161,402</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150,587</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121,008</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Retail/rental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296,466</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293,428</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241,134</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194,851</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171,682</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141,166</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1,722,922</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1,611,786</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1,304,604</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Lodging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284,643</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278,514</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274,554</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2,007,565</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1,890,300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1,579,158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3,988</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16,918</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22,128</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2,011,553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1,907,218</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1,601,286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Mountain</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1,132,840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1,047,331</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881,472</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Lodging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259,637</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251,427</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246,385</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1,392,477</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1,298,758</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1,127,857</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Real Estate,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24,083</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24,639</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1,322,841</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1,152,496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6,766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5,295</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2"/>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r>
      <w:tr>
        <w:trPr>
          <w:trHeight w:val="243"/>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Reported EBITDA:</w:t>
            </w: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Mountain</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591,605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566,338</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424,415</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Lodging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25,006</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27,087</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28,169</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616,611</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593,425</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452,584</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(399)</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2,784</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617,568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593,026</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455,368</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99,385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103,405</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111,088</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to net income attributable to Vail Resorts, Inc.:</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Total Reported EBITDA</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617,568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593,026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455,368</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(204,462)</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(189,157)</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(161,488)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1,854</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(16,300)</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 and other, net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Investment income and other,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1,944</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6,114</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723</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15,285</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(63,226)</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(54,089)</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(42,366)</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benefit (provision) for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340,092</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348,449</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242,619</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Benefit (provision) for income taxes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61,138</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(116,731)</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(93,165)</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401,230</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231,718</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149,454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(21,332)</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(21,165)</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379,898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210,553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149,754</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179"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Geographic Information</w:t>
            </w:r>
          </w:p>
        </w:tc>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780" w:type="dxa"/>
            <w:vAlign w:val="bottom"/>
            <w:gridSpan w:val="5"/>
          </w:tcPr>
          <w:p>
            <w:pPr>
              <w:spacing w:after="0"/>
              <w:rPr>
                <w:sz w:val="20"/>
                <w:szCs w:val="20"/>
                <w:color w:val="auto"/>
              </w:rPr>
            </w:pPr>
            <w:r>
              <w:rPr>
                <w:rFonts w:ascii="Arial" w:cs="Arial" w:eastAsia="Arial" w:hAnsi="Arial"/>
                <w:sz w:val="18"/>
                <w:szCs w:val="18"/>
                <w:color w:val="auto"/>
                <w:w w:val="94"/>
              </w:rPr>
              <w:t>Net revenue and property, plant and equipment, net by geographic region are as follows (in thousands).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w w:val="90"/>
              </w:rPr>
              <w:t>Year Ended July 31,</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revenue</w:t>
            </w: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1,610,323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1,578,276</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1,534,716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International (a)</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401,230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328,942</w:t>
            </w:r>
          </w:p>
        </w:tc>
        <w:tc>
          <w:tcPr>
            <w:tcW w:w="6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66,570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2,011,553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1,907,218</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1,601,286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As of July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1,210,169</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1,260,220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International (a)</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417,050</w:t>
            </w:r>
          </w:p>
        </w:tc>
        <w:tc>
          <w:tcPr>
            <w:tcW w:w="6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453,933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1,627,219</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1,714,154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64" w:lineRule="auto"/>
        <w:tabs>
          <w:tab w:leader="none" w:pos="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only individual international country (i.e. except the U.S.) to account for more than 10% of the Company’s revenue and property plant and equipment, net was Canada. Canada accounted for $321.0 million and $257.8 million of revenue for the years ended July 31, 2018 and 2017, respectively, and for $316.8 million and $338.8 million of property, plant and equipment, net as of July 31, 2018 and 2017, respectively.</w:t>
      </w:r>
    </w:p>
    <w:p>
      <w:pPr>
        <w:spacing w:after="0" w:line="204" w:lineRule="exact"/>
        <w:rPr>
          <w:sz w:val="20"/>
          <w:szCs w:val="20"/>
          <w:color w:val="auto"/>
        </w:rPr>
      </w:pPr>
    </w:p>
    <w:p>
      <w:pPr>
        <w:ind w:left="880" w:hanging="872"/>
        <w:spacing w:after="0"/>
        <w:tabs>
          <w:tab w:leader="none" w:pos="8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jc w:val="center"/>
              <w:ind w:left="732"/>
              <w:spacing w:after="0"/>
              <w:rPr>
                <w:sz w:val="20"/>
                <w:szCs w:val="20"/>
                <w:color w:val="auto"/>
              </w:rPr>
            </w:pPr>
            <w:r>
              <w:rPr>
                <w:rFonts w:ascii="Arial" w:cs="Arial" w:eastAsia="Arial" w:hAnsi="Arial"/>
                <w:sz w:val="18"/>
                <w:szCs w:val="18"/>
                <w:b w:val="1"/>
                <w:bCs w:val="1"/>
                <w:color w:val="auto"/>
                <w:w w:val="91"/>
              </w:rPr>
              <w:t>Year Ended July 31, 2018</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Fourth</w:t>
            </w:r>
          </w:p>
        </w:tc>
        <w:tc>
          <w:tcPr>
            <w:tcW w:w="280" w:type="dxa"/>
            <w:vAlign w:val="bottom"/>
          </w:tcPr>
          <w:p>
            <w:pPr>
              <w:spacing w:after="0"/>
              <w:rPr>
                <w:sz w:val="18"/>
                <w:szCs w:val="18"/>
                <w:color w:val="auto"/>
              </w:rPr>
            </w:pPr>
          </w:p>
        </w:tc>
        <w:tc>
          <w:tcPr>
            <w:tcW w:w="1160" w:type="dxa"/>
            <w:vAlign w:val="bottom"/>
          </w:tcPr>
          <w:p>
            <w:pPr>
              <w:jc w:val="center"/>
              <w:ind w:right="152"/>
              <w:spacing w:after="0"/>
              <w:rPr>
                <w:sz w:val="20"/>
                <w:szCs w:val="20"/>
                <w:color w:val="auto"/>
              </w:rPr>
            </w:pPr>
            <w:r>
              <w:rPr>
                <w:rFonts w:ascii="Arial" w:cs="Arial" w:eastAsia="Arial" w:hAnsi="Arial"/>
                <w:sz w:val="16"/>
                <w:szCs w:val="16"/>
                <w:b w:val="1"/>
                <w:bCs w:val="1"/>
                <w:color w:val="auto"/>
                <w:w w:val="99"/>
              </w:rPr>
              <w:t>Third</w:t>
            </w:r>
          </w:p>
        </w:tc>
        <w:tc>
          <w:tcPr>
            <w:tcW w:w="3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6"/>
                <w:szCs w:val="16"/>
                <w:b w:val="1"/>
                <w:bCs w:val="1"/>
                <w:color w:val="auto"/>
              </w:rPr>
              <w:t>Second</w:t>
            </w:r>
          </w:p>
        </w:tc>
        <w:tc>
          <w:tcPr>
            <w:tcW w:w="340" w:type="dxa"/>
            <w:vAlign w:val="bottom"/>
          </w:tcPr>
          <w:p>
            <w:pPr>
              <w:spacing w:after="0"/>
              <w:rPr>
                <w:sz w:val="18"/>
                <w:szCs w:val="18"/>
                <w:color w:val="auto"/>
              </w:rPr>
            </w:pPr>
          </w:p>
        </w:tc>
        <w:tc>
          <w:tcPr>
            <w:tcW w:w="1180" w:type="dxa"/>
            <w:vAlign w:val="bottom"/>
          </w:tcPr>
          <w:p>
            <w:pPr>
              <w:jc w:val="right"/>
              <w:ind w:right="472"/>
              <w:spacing w:after="0"/>
              <w:rPr>
                <w:sz w:val="20"/>
                <w:szCs w:val="20"/>
                <w:color w:val="auto"/>
              </w:rPr>
            </w:pPr>
            <w:r>
              <w:rPr>
                <w:rFonts w:ascii="Arial" w:cs="Arial" w:eastAsia="Arial" w:hAnsi="Arial"/>
                <w:sz w:val="16"/>
                <w:szCs w:val="16"/>
                <w:b w:val="1"/>
                <w:bCs w:val="1"/>
                <w:color w:val="auto"/>
              </w:rPr>
              <w:t>First</w:t>
            </w:r>
          </w:p>
        </w:tc>
      </w:tr>
      <w:tr>
        <w:trPr>
          <w:trHeight w:val="210"/>
        </w:trPr>
        <w:tc>
          <w:tcPr>
            <w:tcW w:w="3980" w:type="dxa"/>
            <w:vAlign w:val="bottom"/>
          </w:tcPr>
          <w:p>
            <w:pPr>
              <w:ind w:left="40"/>
              <w:spacing w:after="0"/>
              <w:rPr>
                <w:sz w:val="20"/>
                <w:szCs w:val="20"/>
                <w:color w:val="auto"/>
              </w:rPr>
            </w:pPr>
            <w:r>
              <w:rPr>
                <w:rFonts w:ascii="Arial" w:cs="Arial" w:eastAsia="Arial" w:hAnsi="Arial"/>
                <w:sz w:val="16"/>
                <w:szCs w:val="16"/>
                <w:color w:val="auto"/>
              </w:rPr>
              <w:t>(in thousands, except per share amounts)</w:t>
            </w:r>
          </w:p>
        </w:tc>
        <w:tc>
          <w:tcPr>
            <w:tcW w:w="300" w:type="dxa"/>
            <w:vAlign w:val="bottom"/>
          </w:tcPr>
          <w:p>
            <w:pPr>
              <w:spacing w:after="0"/>
              <w:rPr>
                <w:sz w:val="18"/>
                <w:szCs w:val="18"/>
                <w:color w:val="auto"/>
              </w:rPr>
            </w:pPr>
          </w:p>
        </w:tc>
        <w:tc>
          <w:tcPr>
            <w:tcW w:w="1200" w:type="dxa"/>
            <w:vAlign w:val="bottom"/>
          </w:tcPr>
          <w:p>
            <w:pPr>
              <w:jc w:val="right"/>
              <w:ind w:right="311"/>
              <w:spacing w:after="0"/>
              <w:rPr>
                <w:sz w:val="20"/>
                <w:szCs w:val="20"/>
                <w:color w:val="auto"/>
              </w:rPr>
            </w:pPr>
            <w:r>
              <w:rPr>
                <w:rFonts w:ascii="Arial" w:cs="Arial" w:eastAsia="Arial" w:hAnsi="Arial"/>
                <w:sz w:val="16"/>
                <w:szCs w:val="16"/>
                <w:b w:val="1"/>
                <w:bCs w:val="1"/>
                <w:color w:val="auto"/>
              </w:rPr>
              <w:t>Full Year</w:t>
            </w:r>
          </w:p>
        </w:tc>
        <w:tc>
          <w:tcPr>
            <w:tcW w:w="32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1160" w:type="dxa"/>
            <w:vAlign w:val="bottom"/>
          </w:tcPr>
          <w:p>
            <w:pPr>
              <w:jc w:val="center"/>
              <w:ind w:right="152"/>
              <w:spacing w:after="0"/>
              <w:rPr>
                <w:sz w:val="20"/>
                <w:szCs w:val="20"/>
                <w:color w:val="auto"/>
              </w:rPr>
            </w:pPr>
            <w:r>
              <w:rPr>
                <w:rFonts w:ascii="Arial" w:cs="Arial" w:eastAsia="Arial" w:hAnsi="Arial"/>
                <w:sz w:val="16"/>
                <w:szCs w:val="16"/>
                <w:b w:val="1"/>
                <w:bCs w:val="1"/>
                <w:color w:val="auto"/>
                <w:w w:val="96"/>
              </w:rPr>
              <w:t>Quarter</w:t>
            </w:r>
          </w:p>
        </w:tc>
        <w:tc>
          <w:tcPr>
            <w:tcW w:w="38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Quarter</w:t>
            </w:r>
          </w:p>
        </w:tc>
        <w:tc>
          <w:tcPr>
            <w:tcW w:w="34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6"/>
                <w:szCs w:val="16"/>
                <w:b w:val="1"/>
                <w:bCs w:val="1"/>
                <w:color w:val="auto"/>
              </w:rPr>
              <w:t>Quarter</w:t>
            </w:r>
          </w:p>
        </w:tc>
      </w:tr>
      <w:tr>
        <w:trPr>
          <w:trHeight w:val="33"/>
        </w:trPr>
        <w:tc>
          <w:tcPr>
            <w:tcW w:w="3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2,011,553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211,637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844,491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734,575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220,850</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408,817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(112,986)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367,978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257,541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(103,716)</w:t>
            </w:r>
          </w:p>
        </w:tc>
      </w:tr>
      <w:tr>
        <w:trPr>
          <w:trHeight w:val="27"/>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401,230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(87,791)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272,275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248,673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(31,927)</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 Vail Resorts, Inc.</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379,898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(83,660)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256,252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235,691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(28,385)</w:t>
            </w:r>
          </w:p>
        </w:tc>
      </w:tr>
      <w:tr>
        <w:trPr>
          <w:trHeight w:val="27"/>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Basic net income (loss) per share attributable to Vail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Resorts, Inc.</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29"/>
        </w:trPr>
        <w:tc>
          <w:tcPr>
            <w:tcW w:w="3980" w:type="dxa"/>
            <w:vAlign w:val="bottom"/>
          </w:tcPr>
          <w:p>
            <w:pPr>
              <w:ind w:left="40"/>
              <w:spacing w:after="0"/>
              <w:rPr>
                <w:sz w:val="20"/>
                <w:szCs w:val="20"/>
                <w:color w:val="auto"/>
              </w:rPr>
            </w:pPr>
            <w:r>
              <w:rPr>
                <w:rFonts w:ascii="Arial" w:cs="Arial" w:eastAsia="Arial" w:hAnsi="Arial"/>
                <w:sz w:val="18"/>
                <w:szCs w:val="18"/>
                <w:color w:val="auto"/>
                <w:w w:val="91"/>
              </w:rPr>
              <w:t>Diluted net income (loss) per share attributable to Vail</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980" w:type="dxa"/>
            <w:vAlign w:val="bottom"/>
          </w:tcPr>
          <w:p>
            <w:pPr>
              <w:ind w:left="40"/>
              <w:spacing w:after="0"/>
              <w:rPr>
                <w:sz w:val="20"/>
                <w:szCs w:val="20"/>
                <w:color w:val="auto"/>
              </w:rPr>
            </w:pPr>
            <w:r>
              <w:rPr>
                <w:rFonts w:ascii="Arial" w:cs="Arial" w:eastAsia="Arial" w:hAnsi="Arial"/>
                <w:sz w:val="18"/>
                <w:szCs w:val="18"/>
                <w:color w:val="auto"/>
              </w:rPr>
              <w:t>Resorts, Inc.</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(0.71)</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jc w:val="center"/>
              <w:ind w:left="732"/>
              <w:spacing w:after="0"/>
              <w:rPr>
                <w:sz w:val="20"/>
                <w:szCs w:val="20"/>
                <w:color w:val="auto"/>
              </w:rPr>
            </w:pPr>
            <w:r>
              <w:rPr>
                <w:rFonts w:ascii="Arial" w:cs="Arial" w:eastAsia="Arial" w:hAnsi="Arial"/>
                <w:sz w:val="18"/>
                <w:szCs w:val="18"/>
                <w:b w:val="1"/>
                <w:bCs w:val="1"/>
                <w:color w:val="auto"/>
                <w:w w:val="91"/>
              </w:rPr>
              <w:t>Year Ended July 31, 2017</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Fourth</w:t>
            </w:r>
          </w:p>
        </w:tc>
        <w:tc>
          <w:tcPr>
            <w:tcW w:w="280" w:type="dxa"/>
            <w:vAlign w:val="bottom"/>
          </w:tcPr>
          <w:p>
            <w:pPr>
              <w:spacing w:after="0"/>
              <w:rPr>
                <w:sz w:val="18"/>
                <w:szCs w:val="18"/>
                <w:color w:val="auto"/>
              </w:rPr>
            </w:pPr>
          </w:p>
        </w:tc>
        <w:tc>
          <w:tcPr>
            <w:tcW w:w="1160" w:type="dxa"/>
            <w:vAlign w:val="bottom"/>
          </w:tcPr>
          <w:p>
            <w:pPr>
              <w:jc w:val="center"/>
              <w:ind w:right="192"/>
              <w:spacing w:after="0"/>
              <w:rPr>
                <w:sz w:val="20"/>
                <w:szCs w:val="20"/>
                <w:color w:val="auto"/>
              </w:rPr>
            </w:pPr>
            <w:r>
              <w:rPr>
                <w:rFonts w:ascii="Arial" w:cs="Arial" w:eastAsia="Arial" w:hAnsi="Arial"/>
                <w:sz w:val="16"/>
                <w:szCs w:val="16"/>
                <w:b w:val="1"/>
                <w:bCs w:val="1"/>
                <w:color w:val="auto"/>
                <w:w w:val="99"/>
              </w:rPr>
              <w:t>Third</w:t>
            </w:r>
          </w:p>
        </w:tc>
        <w:tc>
          <w:tcPr>
            <w:tcW w:w="3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6"/>
                <w:szCs w:val="16"/>
                <w:b w:val="1"/>
                <w:bCs w:val="1"/>
                <w:color w:val="auto"/>
              </w:rPr>
              <w:t>Second</w:t>
            </w:r>
          </w:p>
        </w:tc>
        <w:tc>
          <w:tcPr>
            <w:tcW w:w="34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First</w:t>
            </w:r>
          </w:p>
        </w:tc>
      </w:tr>
      <w:tr>
        <w:trPr>
          <w:trHeight w:val="210"/>
        </w:trPr>
        <w:tc>
          <w:tcPr>
            <w:tcW w:w="3980" w:type="dxa"/>
            <w:vAlign w:val="bottom"/>
          </w:tcPr>
          <w:p>
            <w:pPr>
              <w:spacing w:after="0"/>
              <w:rPr>
                <w:sz w:val="20"/>
                <w:szCs w:val="20"/>
                <w:color w:val="auto"/>
              </w:rPr>
            </w:pPr>
            <w:r>
              <w:rPr>
                <w:rFonts w:ascii="Arial" w:cs="Arial" w:eastAsia="Arial" w:hAnsi="Arial"/>
                <w:sz w:val="16"/>
                <w:szCs w:val="16"/>
                <w:color w:val="auto"/>
              </w:rPr>
              <w:t>(in thousands, except per share amounts)</w:t>
            </w:r>
          </w:p>
        </w:tc>
        <w:tc>
          <w:tcPr>
            <w:tcW w:w="300" w:type="dxa"/>
            <w:vAlign w:val="bottom"/>
          </w:tcPr>
          <w:p>
            <w:pPr>
              <w:spacing w:after="0"/>
              <w:rPr>
                <w:sz w:val="18"/>
                <w:szCs w:val="18"/>
                <w:color w:val="auto"/>
              </w:rPr>
            </w:pPr>
          </w:p>
        </w:tc>
        <w:tc>
          <w:tcPr>
            <w:tcW w:w="1200" w:type="dxa"/>
            <w:vAlign w:val="bottom"/>
          </w:tcPr>
          <w:p>
            <w:pPr>
              <w:jc w:val="right"/>
              <w:ind w:right="311"/>
              <w:spacing w:after="0"/>
              <w:rPr>
                <w:sz w:val="20"/>
                <w:szCs w:val="20"/>
                <w:color w:val="auto"/>
              </w:rPr>
            </w:pPr>
            <w:r>
              <w:rPr>
                <w:rFonts w:ascii="Arial" w:cs="Arial" w:eastAsia="Arial" w:hAnsi="Arial"/>
                <w:sz w:val="16"/>
                <w:szCs w:val="16"/>
                <w:b w:val="1"/>
                <w:bCs w:val="1"/>
                <w:color w:val="auto"/>
              </w:rPr>
              <w:t>Full Year</w:t>
            </w:r>
          </w:p>
        </w:tc>
        <w:tc>
          <w:tcPr>
            <w:tcW w:w="32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1160" w:type="dxa"/>
            <w:vAlign w:val="bottom"/>
          </w:tcPr>
          <w:p>
            <w:pPr>
              <w:jc w:val="center"/>
              <w:ind w:right="152"/>
              <w:spacing w:after="0"/>
              <w:rPr>
                <w:sz w:val="20"/>
                <w:szCs w:val="20"/>
                <w:color w:val="auto"/>
              </w:rPr>
            </w:pPr>
            <w:r>
              <w:rPr>
                <w:rFonts w:ascii="Arial" w:cs="Arial" w:eastAsia="Arial" w:hAnsi="Arial"/>
                <w:sz w:val="16"/>
                <w:szCs w:val="16"/>
                <w:b w:val="1"/>
                <w:bCs w:val="1"/>
                <w:color w:val="auto"/>
                <w:w w:val="96"/>
              </w:rPr>
              <w:t>Quarter</w:t>
            </w:r>
          </w:p>
        </w:tc>
        <w:tc>
          <w:tcPr>
            <w:tcW w:w="38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Quarter</w:t>
            </w:r>
          </w:p>
        </w:tc>
        <w:tc>
          <w:tcPr>
            <w:tcW w:w="34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6"/>
                <w:szCs w:val="16"/>
                <w:b w:val="1"/>
                <w:bCs w:val="1"/>
                <w:color w:val="auto"/>
              </w:rPr>
              <w:t>Quarter</w:t>
            </w:r>
          </w:p>
        </w:tc>
      </w:tr>
      <w:tr>
        <w:trPr>
          <w:trHeight w:val="33"/>
        </w:trPr>
        <w:tc>
          <w:tcPr>
            <w:tcW w:w="3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1,907,218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209,124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794,631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725,198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178,265</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379,256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(102,577)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320,073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252,278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(90,518)</w:t>
            </w:r>
          </w:p>
        </w:tc>
      </w:tr>
      <w:tr>
        <w:trPr>
          <w:trHeight w:val="27"/>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231,718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196,856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159,728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(63,618)</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 Vail Resorts, Inc.</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210,553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(57,146)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181,107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149,179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(62,587)</w:t>
            </w:r>
          </w:p>
        </w:tc>
      </w:tr>
      <w:tr>
        <w:trPr>
          <w:trHeight w:val="27"/>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Basic net income (loss) per share attributable to Vail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Resorts, Inc.</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3980" w:type="dxa"/>
            <w:vAlign w:val="bottom"/>
          </w:tcPr>
          <w:p>
            <w:pPr>
              <w:ind w:left="40"/>
              <w:spacing w:after="0"/>
              <w:rPr>
                <w:sz w:val="20"/>
                <w:szCs w:val="20"/>
                <w:color w:val="auto"/>
              </w:rPr>
            </w:pPr>
            <w:r>
              <w:rPr>
                <w:rFonts w:ascii="Arial" w:cs="Arial" w:eastAsia="Arial" w:hAnsi="Arial"/>
                <w:sz w:val="18"/>
                <w:szCs w:val="18"/>
                <w:color w:val="auto"/>
                <w:w w:val="91"/>
              </w:rPr>
              <w:t>Diluted net income (loss) per share attributable to Vail</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980" w:type="dxa"/>
            <w:vAlign w:val="bottom"/>
          </w:tcPr>
          <w:p>
            <w:pPr>
              <w:ind w:left="40"/>
              <w:spacing w:after="0"/>
              <w:rPr>
                <w:sz w:val="20"/>
                <w:szCs w:val="20"/>
                <w:color w:val="auto"/>
              </w:rPr>
            </w:pPr>
            <w:r>
              <w:rPr>
                <w:rFonts w:ascii="Arial" w:cs="Arial" w:eastAsia="Arial" w:hAnsi="Arial"/>
                <w:sz w:val="18"/>
                <w:szCs w:val="18"/>
                <w:color w:val="auto"/>
              </w:rPr>
              <w:t>Resorts, Inc.</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r>
    </w:tbl>
    <w:p>
      <w:pPr>
        <w:spacing w:after="0" w:line="200" w:lineRule="exact"/>
        <w:rPr>
          <w:sz w:val="20"/>
          <w:szCs w:val="20"/>
          <w:color w:val="auto"/>
        </w:rPr>
      </w:pPr>
    </w:p>
    <w:p>
      <w:pPr>
        <w:sectPr>
          <w:pgSz w:w="11900" w:h="16838" w:orient="portrait"/>
          <w:cols w:equalWidth="0" w:num="1">
            <w:col w:w="11420"/>
          </w:cols>
          <w:pgMar w:left="240" w:top="116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161" w:right="239" w:bottom="1440" w:gutter="0" w:footer="0" w:header="0"/>
          <w:type w:val="continuous"/>
        </w:sectPr>
      </w:pPr>
    </w:p>
    <w:bookmarkStart w:id="93" w:name="page94"/>
    <w:bookmarkEnd w:id="93"/>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shares of up to 7,500,000 total shares. During the year ended July 31, 2018, the Company repurchased 115,422 Vail Shares (at a total cost of $25.8 million). During the year ended July 31, 2017, the Company repurchased 1,317 Vail Shares (at a total cost of $0.2 million). During the year ended July 31, 2016, the Company repurchased 485,866 Vail Shares (at a total cost of $53.8 million). Since inception of this stock repurchase program through July 31, 2018, the Company has repurchased 5,551,716 shares at a cost of approximately $273.0 million. As of July 31, 2018, 1,948,284 Vail Shares remained available to repurchase under the existing share repurchase program, which has no expiration date. Vail Shares purchased pursuant to the repurchase program will be held as treasury shares and may be used for issuance under the Company’s employee share award plan.</w:t>
      </w:r>
    </w:p>
    <w:p>
      <w:pPr>
        <w:spacing w:after="0" w:line="178"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a share award plan (the “Plan”) which has been approved by the Company’s stockholders. Under the Plan, up to 4.4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of Directors. All share-based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(except those granted to non-employee members of the Board of Directors of the Company) under the Plan. At July 31, 2018, approximately 3.8 million share based awards were available to be granted under the Plan.</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stock-settled stock appreciation rights (“SARs”) granted in the years ended July 31, 2018, 2017 and 2016 were estimated on the date of grant using a lattice-based option valuation model that applies the assumptions noted in the table below. A lattice-based model considers factors such as exercise behavior, and assumes employees will exercise equity awards at different times over the contractual life of the equity awards. As a lattice-based model considers these factors, and is more flexible, the Company considers it to be a better method of valuing equity awards than a closed-form Black-Scholes model. 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w w:val="97"/>
              </w:rPr>
              <w:t>Year Ended July 31,</w:t>
            </w:r>
          </w:p>
        </w:tc>
        <w:tc>
          <w:tcPr>
            <w:tcW w:w="114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2018</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4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0"/>
              </w:rPr>
              <w:t>40.0%</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40.3%</w:t>
            </w:r>
          </w:p>
        </w:tc>
        <w:tc>
          <w:tcPr>
            <w:tcW w:w="11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3"/>
              </w:rPr>
              <w:t>40.4%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1140" w:type="dxa"/>
            <w:vAlign w:val="bottom"/>
          </w:tcPr>
          <w:p>
            <w:pPr>
              <w:jc w:val="center"/>
              <w:ind w:left="150"/>
              <w:spacing w:after="0"/>
              <w:rPr>
                <w:sz w:val="20"/>
                <w:szCs w:val="20"/>
                <w:color w:val="auto"/>
              </w:rPr>
            </w:pPr>
            <w:r>
              <w:rPr>
                <w:rFonts w:ascii="Arial" w:cs="Arial" w:eastAsia="Arial" w:hAnsi="Arial"/>
                <w:sz w:val="18"/>
                <w:szCs w:val="18"/>
                <w:color w:val="auto"/>
                <w:w w:val="92"/>
              </w:rPr>
              <w:t>2.0%</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2.2%</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7"/>
              </w:rPr>
              <w:t>2.2%</w:t>
            </w:r>
          </w:p>
        </w:tc>
      </w:tr>
      <w:tr>
        <w:trPr>
          <w:trHeight w:val="27"/>
        </w:trPr>
        <w:tc>
          <w:tcPr>
            <w:tcW w:w="7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(average in years)</w:t>
            </w:r>
          </w:p>
        </w:tc>
        <w:tc>
          <w:tcPr>
            <w:tcW w:w="114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2"/>
              </w:rPr>
              <w:t>5.8-6.4</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5.5-6.2</w:t>
            </w:r>
          </w:p>
        </w:tc>
        <w:tc>
          <w:tcPr>
            <w:tcW w:w="11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5.3-5.9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140" w:type="dxa"/>
            <w:vAlign w:val="bottom"/>
          </w:tcPr>
          <w:p>
            <w:pPr>
              <w:jc w:val="center"/>
              <w:ind w:left="150"/>
              <w:spacing w:after="0"/>
              <w:rPr>
                <w:sz w:val="20"/>
                <w:szCs w:val="20"/>
                <w:color w:val="auto"/>
              </w:rPr>
            </w:pPr>
            <w:r>
              <w:rPr>
                <w:rFonts w:ascii="Arial" w:cs="Arial" w:eastAsia="Arial" w:hAnsi="Arial"/>
                <w:sz w:val="18"/>
                <w:szCs w:val="18"/>
                <w:color w:val="auto"/>
                <w:w w:val="91"/>
              </w:rPr>
              <w:t>1.2-2.3%</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0.5-1.5%</w:t>
            </w: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1"/>
              </w:rPr>
              <w:t>0.3-2.2%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actual forfeitures related to unvested awards upon employee terminations.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012" w:right="239" w:bottom="1440" w:gutter="0" w:footer="0" w:header="0"/>
        </w:sectPr>
      </w:pPr>
    </w:p>
    <w:bookmarkStart w:id="94" w:name="page95"/>
    <w:bookmarkEnd w:id="94"/>
    <w:p>
      <w:pPr>
        <w:jc w:val="both"/>
        <w:spacing w:after="0" w:line="277" w:lineRule="auto"/>
        <w:rPr>
          <w:sz w:val="20"/>
          <w:szCs w:val="20"/>
          <w:color w:val="auto"/>
        </w:rPr>
      </w:pPr>
      <w:r>
        <w:rPr>
          <w:rFonts w:ascii="Arial" w:cs="Arial" w:eastAsia="Arial" w:hAnsi="Arial"/>
          <w:sz w:val="18"/>
          <w:szCs w:val="18"/>
          <w:color w:val="auto"/>
        </w:rPr>
        <w:t>A summary of aggregate SARs award activity under the Plan as of July 31, 2018, 2017 and 2016, and changes during the years then ended is presented below (in thousands, except exercise price and contractual term):</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420" w:type="dxa"/>
            <w:vAlign w:val="bottom"/>
          </w:tcPr>
          <w:p>
            <w:pPr>
              <w:spacing w:after="0"/>
              <w:rPr>
                <w:sz w:val="18"/>
                <w:szCs w:val="18"/>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Weighted-Average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420" w:type="dxa"/>
            <w:vAlign w:val="bottom"/>
          </w:tcPr>
          <w:p>
            <w:pPr>
              <w:spacing w:after="0"/>
              <w:rPr>
                <w:sz w:val="18"/>
                <w:szCs w:val="18"/>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360" w:type="dxa"/>
            <w:vAlign w:val="bottom"/>
          </w:tcPr>
          <w:p>
            <w:pPr>
              <w:ind w:left="4740"/>
              <w:spacing w:after="0"/>
              <w:rPr>
                <w:sz w:val="20"/>
                <w:szCs w:val="20"/>
                <w:color w:val="auto"/>
              </w:rPr>
            </w:pPr>
            <w:r>
              <w:rPr>
                <w:rFonts w:ascii="Arial" w:cs="Arial" w:eastAsia="Arial" w:hAnsi="Arial"/>
                <w:sz w:val="18"/>
                <w:szCs w:val="18"/>
                <w:b w:val="1"/>
                <w:bCs w:val="1"/>
                <w:color w:val="auto"/>
                <w:w w:val="92"/>
              </w:rPr>
              <w:t>Awards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b w:val="1"/>
                <w:bCs w:val="1"/>
                <w:color w:val="auto"/>
              </w:rPr>
              <w:t>Exercise Price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420" w:type="dxa"/>
            <w:vAlign w:val="bottom"/>
          </w:tcPr>
          <w:p>
            <w:pPr>
              <w:spacing w:after="0"/>
              <w:rPr>
                <w:sz w:val="20"/>
                <w:szCs w:val="20"/>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5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August 1, 2015</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47.96</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113.67</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49.79</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80.42</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2016</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52.98</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174.42</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60.05</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108.06</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2017</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59.12</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237.86</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33.25</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172.03</w:t>
            </w: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2018</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91.01</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 years</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246,198</w:t>
            </w:r>
          </w:p>
        </w:tc>
      </w:tr>
      <w:tr>
        <w:trPr>
          <w:trHeight w:val="243"/>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Vested and expected to vest at July 31, 2018</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90.07</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5.3 years</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244,711</w:t>
            </w: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July 31, 2018</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71.54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 years</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224,231</w:t>
            </w:r>
          </w:p>
        </w:tc>
      </w:tr>
      <w:tr>
        <w:trPr>
          <w:trHeight w:val="27"/>
        </w:trPr>
        <w:tc>
          <w:tcPr>
            <w:tcW w:w="5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weighted-average grant-date estimated fair value of SARs granted during the years ended July 31, 2018, 2017 and 2016 was $78.07, $50.78 and $35.20, respectively. The total intrinsic value of SARs exercised during the years ended July 31, 2018, 2017 and 2016 was $213.8 million, $22.6 million and $13.1 million, respectively. The Company had 169,000, 247,000 and 302,000 SARs that vested during the years ended July 31, 2018, 2017 and 2016, respectively. These awards had a total estimated fair value of $18.5 million, $19.6 million and $10.8 million at the date of vesting for the years ended July 31, 2018, 2017 and 2016,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nonvested SARs as of July 31, 2018 and changes during the year then ended is presented below (in thousands, except fair value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50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5080" w:type="dxa"/>
            <w:vAlign w:val="bottom"/>
          </w:tcPr>
          <w:p>
            <w:pPr>
              <w:spacing w:after="0"/>
              <w:rPr>
                <w:sz w:val="20"/>
                <w:szCs w:val="20"/>
                <w:color w:val="auto"/>
              </w:rPr>
            </w:pPr>
          </w:p>
        </w:tc>
        <w:tc>
          <w:tcPr>
            <w:tcW w:w="3940" w:type="dxa"/>
            <w:vAlign w:val="bottom"/>
          </w:tcPr>
          <w:p>
            <w:pPr>
              <w:ind w:left="2960"/>
              <w:spacing w:after="0"/>
              <w:rPr>
                <w:sz w:val="20"/>
                <w:szCs w:val="20"/>
                <w:color w:val="auto"/>
              </w:rPr>
            </w:pPr>
            <w:r>
              <w:rPr>
                <w:rFonts w:ascii="Arial" w:cs="Arial" w:eastAsia="Arial" w:hAnsi="Arial"/>
                <w:sz w:val="18"/>
                <w:szCs w:val="18"/>
                <w:b w:val="1"/>
                <w:bCs w:val="1"/>
                <w:color w:val="auto"/>
              </w:rPr>
              <w:t>Awards</w:t>
            </w:r>
          </w:p>
        </w:tc>
        <w:tc>
          <w:tcPr>
            <w:tcW w:w="560" w:type="dxa"/>
            <w:vAlign w:val="bottom"/>
          </w:tcPr>
          <w:p>
            <w:pPr>
              <w:spacing w:after="0"/>
              <w:rPr>
                <w:sz w:val="20"/>
                <w:szCs w:val="20"/>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50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2017</w:t>
            </w:r>
          </w:p>
        </w:tc>
        <w:tc>
          <w:tcPr>
            <w:tcW w:w="3940" w:type="dxa"/>
            <w:vAlign w:val="bottom"/>
            <w:tcBorders>
              <w:bottom w:val="single" w:sz="8" w:color="CCEEFF"/>
            </w:tcBorders>
            <w:shd w:val="clear" w:color="auto" w:fill="CCEEFF"/>
          </w:tcPr>
          <w:p>
            <w:pPr>
              <w:jc w:val="center"/>
              <w:ind w:left="2490"/>
              <w:spacing w:after="0"/>
              <w:rPr>
                <w:sz w:val="20"/>
                <w:szCs w:val="20"/>
                <w:color w:val="auto"/>
              </w:rPr>
            </w:pPr>
            <w:r>
              <w:rPr>
                <w:rFonts w:ascii="Arial" w:cs="Arial" w:eastAsia="Arial" w:hAnsi="Arial"/>
                <w:sz w:val="18"/>
                <w:szCs w:val="18"/>
                <w:color w:val="auto"/>
                <w:w w:val="93"/>
              </w:rPr>
              <w:t>318</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Granted</w:t>
            </w:r>
          </w:p>
        </w:tc>
        <w:tc>
          <w:tcPr>
            <w:tcW w:w="3940" w:type="dxa"/>
            <w:vAlign w:val="bottom"/>
          </w:tcPr>
          <w:p>
            <w:pPr>
              <w:jc w:val="center"/>
              <w:ind w:left="2510"/>
              <w:spacing w:after="0"/>
              <w:rPr>
                <w:sz w:val="20"/>
                <w:szCs w:val="20"/>
                <w:color w:val="auto"/>
              </w:rPr>
            </w:pPr>
            <w:r>
              <w:rPr>
                <w:rFonts w:ascii="Arial" w:cs="Arial" w:eastAsia="Arial" w:hAnsi="Arial"/>
                <w:sz w:val="18"/>
                <w:szCs w:val="18"/>
                <w:color w:val="auto"/>
                <w:w w:val="89"/>
              </w:rPr>
              <w:t>86</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78.07</w:t>
            </w:r>
          </w:p>
        </w:tc>
      </w:tr>
      <w:tr>
        <w:trPr>
          <w:trHeight w:val="27"/>
        </w:trPr>
        <w:tc>
          <w:tcPr>
            <w:tcW w:w="50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940" w:type="dxa"/>
            <w:vAlign w:val="bottom"/>
            <w:tcBorders>
              <w:bottom w:val="single" w:sz="8" w:color="CCEEFF"/>
            </w:tcBorders>
            <w:shd w:val="clear" w:color="auto" w:fill="CCEEFF"/>
          </w:tcPr>
          <w:p>
            <w:pPr>
              <w:jc w:val="center"/>
              <w:ind w:left="2490"/>
              <w:spacing w:after="0"/>
              <w:rPr>
                <w:sz w:val="20"/>
                <w:szCs w:val="20"/>
                <w:color w:val="auto"/>
              </w:rPr>
            </w:pPr>
            <w:r>
              <w:rPr>
                <w:rFonts w:ascii="Arial" w:cs="Arial" w:eastAsia="Arial" w:hAnsi="Arial"/>
                <w:sz w:val="18"/>
                <w:szCs w:val="18"/>
                <w:color w:val="auto"/>
                <w:w w:val="95"/>
              </w:rPr>
              <w:t>(169)</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940" w:type="dxa"/>
            <w:vAlign w:val="bottom"/>
          </w:tcPr>
          <w:p>
            <w:pPr>
              <w:jc w:val="center"/>
              <w:ind w:left="2490"/>
              <w:spacing w:after="0"/>
              <w:rPr>
                <w:sz w:val="20"/>
                <w:szCs w:val="20"/>
                <w:color w:val="auto"/>
              </w:rPr>
            </w:pPr>
            <w:r>
              <w:rPr>
                <w:rFonts w:ascii="Arial" w:cs="Arial" w:eastAsia="Arial" w:hAnsi="Arial"/>
                <w:sz w:val="18"/>
                <w:szCs w:val="18"/>
                <w:color w:val="auto"/>
                <w:w w:val="90"/>
              </w:rPr>
              <w:t>(3)</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54.32</w:t>
            </w:r>
          </w:p>
        </w:tc>
      </w:tr>
      <w:tr>
        <w:trPr>
          <w:trHeight w:val="27"/>
        </w:trPr>
        <w:tc>
          <w:tcPr>
            <w:tcW w:w="50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2018</w:t>
            </w:r>
          </w:p>
        </w:tc>
        <w:tc>
          <w:tcPr>
            <w:tcW w:w="3940" w:type="dxa"/>
            <w:vAlign w:val="bottom"/>
            <w:tcBorders>
              <w:bottom w:val="single" w:sz="8" w:color="CCEEFF"/>
            </w:tcBorders>
            <w:shd w:val="clear" w:color="auto" w:fill="CCEEFF"/>
          </w:tcPr>
          <w:p>
            <w:pPr>
              <w:jc w:val="center"/>
              <w:ind w:left="2490"/>
              <w:spacing w:after="0"/>
              <w:rPr>
                <w:sz w:val="20"/>
                <w:szCs w:val="20"/>
                <w:color w:val="auto"/>
              </w:rPr>
            </w:pPr>
            <w:r>
              <w:rPr>
                <w:rFonts w:ascii="Arial" w:cs="Arial" w:eastAsia="Arial" w:hAnsi="Arial"/>
                <w:sz w:val="18"/>
                <w:szCs w:val="18"/>
                <w:color w:val="auto"/>
                <w:w w:val="93"/>
              </w:rPr>
              <w:t>232</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r>
      <w:tr>
        <w:trPr>
          <w:trHeight w:val="27"/>
        </w:trPr>
        <w:tc>
          <w:tcPr>
            <w:tcW w:w="5080" w:type="dxa"/>
            <w:vAlign w:val="bottom"/>
            <w:shd w:val="clear" w:color="auto" w:fill="000000"/>
          </w:tcPr>
          <w:p>
            <w:pPr>
              <w:spacing w:after="0"/>
              <w:rPr>
                <w:sz w:val="2"/>
                <w:szCs w:val="2"/>
                <w:color w:val="auto"/>
              </w:rPr>
            </w:pPr>
          </w:p>
        </w:tc>
        <w:tc>
          <w:tcPr>
            <w:tcW w:w="3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nonvested restricted share units as of July 31, 2018 and changes during the year then ended is presented below (in thousands, except fair value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50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5020" w:type="dxa"/>
            <w:vAlign w:val="bottom"/>
          </w:tcPr>
          <w:p>
            <w:pPr>
              <w:spacing w:after="0"/>
              <w:rPr>
                <w:sz w:val="20"/>
                <w:szCs w:val="20"/>
                <w:color w:val="auto"/>
              </w:rPr>
            </w:pPr>
          </w:p>
        </w:tc>
        <w:tc>
          <w:tcPr>
            <w:tcW w:w="4000" w:type="dxa"/>
            <w:vAlign w:val="bottom"/>
          </w:tcPr>
          <w:p>
            <w:pPr>
              <w:ind w:left="3020"/>
              <w:spacing w:after="0"/>
              <w:rPr>
                <w:sz w:val="20"/>
                <w:szCs w:val="20"/>
                <w:color w:val="auto"/>
              </w:rPr>
            </w:pPr>
            <w:r>
              <w:rPr>
                <w:rFonts w:ascii="Arial" w:cs="Arial" w:eastAsia="Arial" w:hAnsi="Arial"/>
                <w:sz w:val="18"/>
                <w:szCs w:val="18"/>
                <w:b w:val="1"/>
                <w:bCs w:val="1"/>
                <w:color w:val="auto"/>
              </w:rPr>
              <w:t>Awards</w:t>
            </w:r>
          </w:p>
        </w:tc>
        <w:tc>
          <w:tcPr>
            <w:tcW w:w="560" w:type="dxa"/>
            <w:vAlign w:val="bottom"/>
          </w:tcPr>
          <w:p>
            <w:pPr>
              <w:spacing w:after="0"/>
              <w:rPr>
                <w:sz w:val="20"/>
                <w:szCs w:val="20"/>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50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2017</w:t>
            </w:r>
          </w:p>
        </w:tc>
        <w:tc>
          <w:tcPr>
            <w:tcW w:w="4000" w:type="dxa"/>
            <w:vAlign w:val="bottom"/>
            <w:tcBorders>
              <w:bottom w:val="single" w:sz="8" w:color="CCEEFF"/>
            </w:tcBorders>
            <w:shd w:val="clear" w:color="auto" w:fill="CCEEFF"/>
          </w:tcPr>
          <w:p>
            <w:pPr>
              <w:jc w:val="center"/>
              <w:ind w:left="2550"/>
              <w:spacing w:after="0"/>
              <w:rPr>
                <w:sz w:val="20"/>
                <w:szCs w:val="20"/>
                <w:color w:val="auto"/>
              </w:rPr>
            </w:pPr>
            <w:r>
              <w:rPr>
                <w:rFonts w:ascii="Arial" w:cs="Arial" w:eastAsia="Arial" w:hAnsi="Arial"/>
                <w:sz w:val="18"/>
                <w:szCs w:val="18"/>
                <w:color w:val="auto"/>
                <w:w w:val="93"/>
              </w:rPr>
              <w:t>211</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119.97</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Granted</w:t>
            </w:r>
          </w:p>
        </w:tc>
        <w:tc>
          <w:tcPr>
            <w:tcW w:w="4000" w:type="dxa"/>
            <w:vAlign w:val="bottom"/>
          </w:tcPr>
          <w:p>
            <w:pPr>
              <w:jc w:val="center"/>
              <w:ind w:left="2570"/>
              <w:spacing w:after="0"/>
              <w:rPr>
                <w:sz w:val="20"/>
                <w:szCs w:val="20"/>
                <w:color w:val="auto"/>
              </w:rPr>
            </w:pPr>
            <w:r>
              <w:rPr>
                <w:rFonts w:ascii="Arial" w:cs="Arial" w:eastAsia="Arial" w:hAnsi="Arial"/>
                <w:sz w:val="18"/>
                <w:szCs w:val="18"/>
                <w:color w:val="auto"/>
                <w:w w:val="89"/>
              </w:rPr>
              <w:t>77</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215.14</w:t>
            </w:r>
          </w:p>
        </w:tc>
      </w:tr>
      <w:tr>
        <w:trPr>
          <w:trHeight w:val="27"/>
        </w:trPr>
        <w:tc>
          <w:tcPr>
            <w:tcW w:w="5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000" w:type="dxa"/>
            <w:vAlign w:val="bottom"/>
            <w:tcBorders>
              <w:bottom w:val="single" w:sz="8" w:color="CCEEFF"/>
            </w:tcBorders>
            <w:shd w:val="clear" w:color="auto" w:fill="CCEEFF"/>
          </w:tcPr>
          <w:p>
            <w:pPr>
              <w:jc w:val="center"/>
              <w:ind w:left="2550"/>
              <w:spacing w:after="0"/>
              <w:rPr>
                <w:sz w:val="20"/>
                <w:szCs w:val="20"/>
                <w:color w:val="auto"/>
              </w:rPr>
            </w:pPr>
            <w:r>
              <w:rPr>
                <w:rFonts w:ascii="Arial" w:cs="Arial" w:eastAsia="Arial" w:hAnsi="Arial"/>
                <w:sz w:val="18"/>
                <w:szCs w:val="18"/>
                <w:color w:val="auto"/>
                <w:w w:val="95"/>
              </w:rPr>
              <w:t>(101)</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4000" w:type="dxa"/>
            <w:vAlign w:val="bottom"/>
          </w:tcPr>
          <w:p>
            <w:pPr>
              <w:jc w:val="center"/>
              <w:ind w:left="2550"/>
              <w:spacing w:after="0"/>
              <w:rPr>
                <w:sz w:val="20"/>
                <w:szCs w:val="20"/>
                <w:color w:val="auto"/>
              </w:rPr>
            </w:pPr>
            <w:r>
              <w:rPr>
                <w:rFonts w:ascii="Arial" w:cs="Arial" w:eastAsia="Arial" w:hAnsi="Arial"/>
                <w:sz w:val="18"/>
                <w:szCs w:val="18"/>
                <w:color w:val="auto"/>
                <w:w w:val="87"/>
              </w:rPr>
              <w:t>(11)</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159.78</w:t>
            </w:r>
          </w:p>
        </w:tc>
      </w:tr>
      <w:tr>
        <w:trPr>
          <w:trHeight w:val="27"/>
        </w:trPr>
        <w:tc>
          <w:tcPr>
            <w:tcW w:w="50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2018</w:t>
            </w:r>
          </w:p>
        </w:tc>
        <w:tc>
          <w:tcPr>
            <w:tcW w:w="4000" w:type="dxa"/>
            <w:vAlign w:val="bottom"/>
            <w:tcBorders>
              <w:bottom w:val="single" w:sz="8" w:color="CCEEFF"/>
            </w:tcBorders>
            <w:shd w:val="clear" w:color="auto" w:fill="CCEEFF"/>
          </w:tcPr>
          <w:p>
            <w:pPr>
              <w:jc w:val="center"/>
              <w:ind w:left="2550"/>
              <w:spacing w:after="0"/>
              <w:rPr>
                <w:sz w:val="20"/>
                <w:szCs w:val="20"/>
                <w:color w:val="auto"/>
              </w:rPr>
            </w:pPr>
            <w:r>
              <w:rPr>
                <w:rFonts w:ascii="Arial" w:cs="Arial" w:eastAsia="Arial" w:hAnsi="Arial"/>
                <w:sz w:val="18"/>
                <w:szCs w:val="18"/>
                <w:color w:val="auto"/>
                <w:w w:val="93"/>
              </w:rPr>
              <w:t>176</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163.83</w:t>
            </w:r>
          </w:p>
        </w:tc>
      </w:tr>
      <w:tr>
        <w:trPr>
          <w:trHeight w:val="27"/>
        </w:trPr>
        <w:tc>
          <w:tcPr>
            <w:tcW w:w="5020" w:type="dxa"/>
            <w:vAlign w:val="bottom"/>
            <w:shd w:val="clear" w:color="auto" w:fill="000000"/>
          </w:tcPr>
          <w:p>
            <w:pPr>
              <w:spacing w:after="0"/>
              <w:rPr>
                <w:sz w:val="2"/>
                <w:szCs w:val="2"/>
                <w:color w:val="auto"/>
              </w:rPr>
            </w:pPr>
          </w:p>
        </w:tc>
        <w:tc>
          <w:tcPr>
            <w:tcW w:w="4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7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179" w:right="239" w:bottom="1440" w:gutter="0" w:footer="0" w:header="0"/>
          <w:type w:val="continuous"/>
        </w:sectPr>
      </w:pPr>
    </w:p>
    <w:bookmarkStart w:id="95" w:name="page96"/>
    <w:bookmarkEnd w:id="95"/>
    <w:p>
      <w:pPr>
        <w:jc w:val="both"/>
        <w:spacing w:after="0" w:line="255" w:lineRule="auto"/>
        <w:rPr>
          <w:sz w:val="20"/>
          <w:szCs w:val="20"/>
          <w:color w:val="auto"/>
        </w:rPr>
      </w:pPr>
      <w:r>
        <w:rPr>
          <w:rFonts w:ascii="Arial" w:cs="Arial" w:eastAsia="Arial" w:hAnsi="Arial"/>
          <w:sz w:val="18"/>
          <w:szCs w:val="18"/>
          <w:color w:val="auto"/>
        </w:rPr>
        <w:t>The Company granted 77,000 restricted share units during the year ended July 31, 2018 with a weighted-average grant-date estimated fair value of $215.14. The Company granted 91,000 restricted share units during the year ended July 31, 2017 with a weighted-average grant-date estimated fair value of $154.19. The Company granted 142,000 restricted share units during the year ended July 31, 2016 with a weighted-average grant-date estimated fair value of $102.20. The Company had 101,000, 121,000 and 134,000 restricted share units that vested during the years ended July 31, 2018, 2017 and 2016, respectively. These units had a total estimated fair value of $23.5 million, $19.3 million and $14.6 million at the date of vesting for the years ended July 31, 2018, 2017 and 2016, respectively.</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July 31, 2018, there was $23.0 million of total unrecognized compensation expense related to nonvested share-based compensation arrangements granted under the Plan, of which $14.0 million, $7.9 million and $1.1 million of expense is expected to be recognized in the years ending July 31, 2019, 2020 and 2021, respectively, assuming no future share-based awards are granted. The tax benefit realized or expected to be realized from SARs exercised and restricted stock units vested was $79.7 million, $15.5 million and $10.3 million for the years ended July 31, 2018, 2017 and 2016, respectively.</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policy of using either authorized and unissued shares or treasury shares, including shares acquired by purchase in the open market, to satisfy equity award exercises.</w:t>
      </w:r>
    </w:p>
    <w:p>
      <w:pPr>
        <w:spacing w:after="0" w:line="166"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Profit Sharing Plans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a defined contribution retirement plan (the “Retirement Plan”), qualified under Section 401(k) of the Internal Revenue Code, for its U.S. employees. Under this Retirement Plan, U.S. employees are eligible to make before-tax contributions on the first day of the calendar month following the later of: (i) their employment commencement date or (ii) the date they turn 21. Participants may contribute up to 100% of their qualifying annual compensation up to the annual maximum specified by the Internal Revenue Code. The Company matches an amount equal to 50% of each participant’s contribution up to 6% of a participant’s bi-weekly qualifying compensation starting the pay period containing the first day of the month after obtaining the later of: (i) 12 months of employment with at least 1,000 service hours from the commencement date or (ii) if 1,000 hours within the first 12 months was not completed, then after the employee completed a cumulative 1,500 service hours. The Company’s matching contribution is entirely discretionary and may be reduced or eliminated at any time.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Retirement Plan expense recognized by the Company for the years ended July 31, 2018, 2017 and 2016 was $6.9 million, $5.4 million and $5.3 million, respectively.</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Amendment and Restatement of the Vail Holdings Credit Facility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15, 2018, VHI, a wholly-owned subsidiary of the Company, entered into an Amendment Agreement (the “Amendment Agreement”) to amend and restate in its entirety the Vail Holdings Credit Agreement, with VHI, as borrower, the Company and certain subsidiaries of the Company, as guarantors, Bank of America, N.A., as administrative agent (the “Agent”), and the other lenders party thereto. The Amended Vail Holdings Credit Agreement provides for (i) a revolving loan facility in an aggregate principal amount of $400.0 million and (ii) a term loan facility in an aggregate principal amount of up to $950.0 million, increased from the Vail Holdings Credit Agreement term loan facility of $684.4 million as of July 31, 2018. The Company borrowed $70.0 million on August 15, 2018, primarily to fund the Stevens Pass Acquisition (as defined below), and borrowed $195.6 million on September 27, 2018 to fund the Triple Peaks Acquisition (as defined below).</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Amended Vail Holdings Credit Agreement, VHI has the ability to increase availability (under the revolver or in the form of term loans) to an aggregate principal amount not to exceed the greater of (i) $1.2 billion and (ii) the product of 2.75 and the trailing twelve-month Adjusted EBITDA, as defined in the Amended Vail Holdings Credit Agreement. The material terms of the Amended Vail Holdings Credit Agreement are substantially similar to those of the Vail Holdings Credit Agreement. Key modifications to the Amended Vail Holdings Credit Agreement included, among other things, the extension of the maturity on the revolving credit facility to August 2023.</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VHI’s obligations under the Amended Vail Holdings Credit Agreement are guaranteed by the Company and certain of its subsidiaries and are collateralized by a pledge of all the capital stock of VHI and substantially all of its subsidiaries (with certain additional exceptions for the pledge of the capital stock of foreign subsidiaries). The proceeds of the loans made under the Amended Vail Holdings Credit Agreement may be used, in addition to funding resort acquisitions, as discussed below, to fund the Company’s working capital needs, capital expenditures, acquisitions, investments and other general corporate purposes, including the issuance of letters of credit. Borrowings under the Amended Vail Holdings Credit Agreement bear interest annually at a rate of (i) LIBOR plus a margin or (ii) the Agent’s prime lending rate plus a margin. Interest rate margins may fluctuate based upon the ratio of the Company’s Net Funded Debt to Adjusted EBITDA on a trailing four-quarter basis.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016"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Stevens Pass Resort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15, 2018, the Company, through a wholly-owned subsidiary, acquired Stevens Pass in the State of Washington from Ski Resort Holdings, LLC for a total purchase price of $64.0 million, subject to certain adjustments. The Company borrowed $70.0 million on August 15, 2018 under its Amended Vail Holdings Credit Agreement term loan, as discussed above, and acquired all of the assets related to the mountain operations of the resort, including base area skier services (food and beverage, retail and rental, lift ticket offices and ski and snowboard school facilities). The initial accounting for Stevens Pass is incomplete as the Company is in the process of obtaining and reviewing additional information related to the acquisition, including an analysis of the estimated fair value of assets acquired and liabilities assumed.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Okemo Mountain Resort, Crested Butte Mountain Resort, Mount Sunapee Resort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27, 2018, the Company, through a wholly-owned subsidiary, acquired Triple Peaks, LLC (“Triple Peaks”), the parent company of Okemo Mountain Resort in Vermont, Crested Butte Mountain Resort in Colorado, and Mount Sunapee Resort in New Hampshire, for a cash purchase price of approximately $74.0 million, after adjustments for certain agreed-upon terms (the “Triple Peaks Acquisition”). In addition, at closing, Triple Peaks paid $155.0 million to pay off the leases that all three resorts had with Ski Resort Holdings, LLC, an affiliate of Oz Real Estate, with funds provided by the Company. The Company acquired all of the assets related to the mountain operations of the resorts, including base area skier services (food and beverage, retail and rental, lift ticket offices and ski and snowboard school facilities). The Company borrowed the remaining capacity of its term load under the Amended Vail Holdings Credit Agreement, as discussed above, to fund the acquisition. The Company obtained a new Special Use Permit from the U.S. Forest Service for Crested Butte, and assumed the state land leases for Okemo and Mount Sunapee.</w:t>
      </w:r>
    </w:p>
    <w:p>
      <w:pPr>
        <w:spacing w:after="0" w:line="3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of the Company, including the Chief Executive Officer (“CEO”) and Chief Financial Officer (“CFO”), have evaluated the effectiveness of the Company’s disclosure controls and procedures as of the end of the period covered by this Form 10-K. The term “disclosure controls and procedures” means controls and other procedures established by the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upon their evaluation of the Company’s disclosure controls and procedures, the CEO and the CFO concluded that, as of the end of the period covered by this Form 10-K,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 of management required under this Item 9A is contained in Item 8 of this Form 10-K under the caption “Management’s Report on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01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attestation report required under this Item 9A is contained in Item 8 of this Form 10-K under the caption “Report of Independent Registered Public Accounting Firm.”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July 31, 2018 that have materially affected, or are reasonably likely to materially affect, the Company’s internal control over financial reporting.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to file with the SEC in October 2018 (and, in any event, not later than 120 days after the close of our last fiscal year), a definitive Proxy Statement, pursuant to SEC Regulation 14A in connection with our Annual Meeting of Shareholders to be held in December 2018.</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2018 annual meeting of stockholders under the sections entitled “Information with Respect to Nominees,” “Management” and “Corporate Governance.”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2018 annual meeting of stockholders under the section entitled “Executive Compensation.”</w:t>
      </w:r>
    </w:p>
    <w:p>
      <w:pPr>
        <w:spacing w:after="0" w:line="166"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1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the Company’s definitive Proxy Statement for the 2018 annual meeting of stockholders under the sections entitled “Security Ownership of Directors and Executive Officers” and “Information as to Certain Stockholders.”</w:t>
      </w:r>
    </w:p>
    <w:p>
      <w:pPr>
        <w:spacing w:after="0" w:line="30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2018 annual meeting of stockholders under the sections entitled “Determinations Regarding Independence” and “Transactions with Related Persons.”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the 2018 annual meeting of stockholders under the section entitled “Proposal 2. Ratification of the Selection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02"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Index to Financial Statements.</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See “Item 8. Financial Statements and Supplementary Data” for the index to the Financial Statements.</w:t>
      </w:r>
    </w:p>
    <w:p>
      <w:pPr>
        <w:spacing w:after="0" w:line="23" w:lineRule="exact"/>
        <w:rPr>
          <w:rFonts w:ascii="Arial" w:cs="Arial" w:eastAsia="Arial" w:hAnsi="Arial"/>
          <w:sz w:val="18"/>
          <w:szCs w:val="18"/>
          <w:color w:val="auto"/>
        </w:rPr>
      </w:pPr>
    </w:p>
    <w:p>
      <w:pPr>
        <w:ind w:left="1460" w:hanging="642"/>
        <w:spacing w:after="0" w:line="250" w:lineRule="auto"/>
        <w:tabs>
          <w:tab w:leader="none" w:pos="14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Schedules have been omitted because they are not required or not applicable, or the required information is shown in the financial statements or notes to the financial statements.</w:t>
      </w:r>
    </w:p>
    <w:p>
      <w:pPr>
        <w:ind w:left="1460" w:hanging="642"/>
        <w:spacing w:after="0"/>
        <w:tabs>
          <w:tab w:leader="none" w:pos="14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See the Index to Exhibits below.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175" w:right="239" w:bottom="1440" w:gutter="0" w:footer="0" w:header="0"/>
        </w:sectPr>
      </w:pPr>
    </w:p>
    <w:bookmarkStart w:id="98" w:name="page99"/>
    <w:bookmarkEnd w:id="98"/>
    <w:p>
      <w:pPr>
        <w:spacing w:after="0" w:line="277" w:lineRule="auto"/>
        <w:rPr>
          <w:sz w:val="20"/>
          <w:szCs w:val="20"/>
          <w:color w:val="auto"/>
        </w:rPr>
      </w:pPr>
      <w:r>
        <w:rPr>
          <w:rFonts w:ascii="Arial" w:cs="Arial" w:eastAsia="Arial" w:hAnsi="Arial"/>
          <w:sz w:val="18"/>
          <w:szCs w:val="18"/>
          <w:color w:val="auto"/>
        </w:rPr>
        <w:t>The following exhibits are either filed or furnished herewith (as applicable) or, if so indicated, incorporated by reference to the documents indicated in parentheses, which have previously been filed or furnished (as applicable) with the Securities and Exchange Commission.</w:t>
      </w:r>
    </w:p>
    <w:p>
      <w:pPr>
        <w:spacing w:after="0" w:line="30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Posted</w:t>
      </w:r>
    </w:p>
    <w:p>
      <w:pPr>
        <w:spacing w:after="0" w:line="27" w:lineRule="exact"/>
        <w:rPr>
          <w:sz w:val="20"/>
          <w:szCs w:val="20"/>
          <w:color w:val="auto"/>
        </w:rPr>
      </w:pPr>
    </w:p>
    <w:p>
      <w:pPr>
        <w:ind w:left="240"/>
        <w:spacing w:after="0"/>
        <w:tabs>
          <w:tab w:leader="none" w:pos="58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9" w:lineRule="exact"/>
        <w:rPr>
          <w:sz w:val="20"/>
          <w:szCs w:val="20"/>
          <w:color w:val="auto"/>
        </w:rPr>
      </w:pPr>
    </w:p>
    <w:p>
      <w:pPr>
        <w:jc w:val="both"/>
        <w:ind w:left="1180" w:right="20" w:hanging="766"/>
        <w:spacing w:after="0" w:line="259"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25">
        <w:r>
          <w:rPr>
            <w:rFonts w:ascii="Arial" w:cs="Arial" w:eastAsia="Arial" w:hAnsi="Arial"/>
            <w:sz w:val="18"/>
            <w:szCs w:val="18"/>
            <w:u w:val="single" w:color="auto"/>
            <w:color w:val="0000FF"/>
          </w:rPr>
          <w:t>Transaction Agreement, dated as of May 24, 2013, between VR CPC Holdings, Inc. and ASC Utah LLC, Talisker Land Holdings, LLC,</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Talisker Canyons Lands LLC, Talisker Canyons Leaseco LLC, American Skiing Company Resort Properties LLC, Talisker Canyons Propco</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LLC and Talisker Canyons Finance Co LLC. (Incorporated by reference to Exhibit 2.1 on Form 8-K of Vail Resorts, Inc. filed on May 30,</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2013) (File No. 001-09614).</w:t>
        </w:r>
      </w:hyperlink>
    </w:p>
    <w:p>
      <w:pPr>
        <w:spacing w:after="0" w:line="25" w:lineRule="exact"/>
        <w:rPr>
          <w:rFonts w:ascii="Arial" w:cs="Arial" w:eastAsia="Arial" w:hAnsi="Arial"/>
          <w:sz w:val="18"/>
          <w:szCs w:val="18"/>
          <w:u w:val="single" w:color="auto"/>
          <w:color w:val="0000FF"/>
        </w:rPr>
      </w:pPr>
    </w:p>
    <w:p>
      <w:pPr>
        <w:jc w:val="both"/>
        <w:ind w:left="1180" w:right="40" w:hanging="766"/>
        <w:spacing w:after="0" w:line="264"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26">
        <w:r>
          <w:rPr>
            <w:rFonts w:ascii="Arial" w:cs="Arial" w:eastAsia="Arial" w:hAnsi="Arial"/>
            <w:sz w:val="18"/>
            <w:szCs w:val="18"/>
            <w:u w:val="single" w:color="auto"/>
            <w:color w:val="0000FF"/>
          </w:rPr>
          <w:t>Purchase and Sale Agreement, dated as of September 11, 2014, between VR CPC Holdings, Inc. and Greater Park City Company, Powdr</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Corp., Greater Properties, Inc., Park Properties, Inc. and Powdr Development Company. (Incorporated by reference to Exhibit 2.1 on Form</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10-Q of Vail Resorts, Inc. for the quarter ended October 31, 2014)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2.3</w:t>
      </w:r>
      <w:r>
        <w:rPr>
          <w:sz w:val="20"/>
          <w:szCs w:val="20"/>
          <w:color w:val="auto"/>
        </w:rPr>
        <w:tab/>
      </w:r>
      <w:hyperlink r:id="rId28">
        <w:r>
          <w:rPr>
            <w:rFonts w:ascii="Arial" w:cs="Arial" w:eastAsia="Arial" w:hAnsi="Arial"/>
            <w:sz w:val="16"/>
            <w:szCs w:val="16"/>
            <w:u w:val="single" w:color="auto"/>
            <w:color w:val="0000FF"/>
          </w:rPr>
          <w:t>Arrangement Agreement, dated as of August 5, 2016, between Vail Resorts, Inc., 1068877 B.C. Ltd. and Whistler Blackcomb Holdings Inc.</w:t>
        </w:r>
      </w:hyperlink>
    </w:p>
    <w:p>
      <w:pPr>
        <w:spacing w:after="0" w:line="23" w:lineRule="exact"/>
        <w:rPr>
          <w:rFonts w:ascii="Arial" w:cs="Arial" w:eastAsia="Arial" w:hAnsi="Arial"/>
          <w:sz w:val="18"/>
          <w:szCs w:val="18"/>
          <w:u w:val="single" w:color="auto"/>
          <w:color w:val="0000FF"/>
        </w:rPr>
      </w:pPr>
    </w:p>
    <w:p>
      <w:pPr>
        <w:ind w:left="118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(Incorporated by reference to Exhibit 2.1 on Form 8-K of Vail Resorts, Inc. filed on August 8, 2016) (File No. 001-09614).</w:t>
        </w:r>
      </w:hyperlink>
    </w:p>
    <w:p>
      <w:pPr>
        <w:spacing w:after="0" w:line="49" w:lineRule="exact"/>
        <w:rPr>
          <w:rFonts w:ascii="Arial" w:cs="Arial" w:eastAsia="Arial" w:hAnsi="Arial"/>
          <w:sz w:val="18"/>
          <w:szCs w:val="18"/>
          <w:u w:val="single" w:color="auto"/>
          <w:color w:val="0000FF"/>
        </w:rPr>
      </w:pPr>
    </w:p>
    <w:p>
      <w:pPr>
        <w:jc w:val="both"/>
        <w:ind w:left="1180" w:right="40" w:hanging="766"/>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29">
        <w:r>
          <w:rPr>
            <w:rFonts w:ascii="Arial" w:cs="Arial" w:eastAsia="Arial" w:hAnsi="Arial"/>
            <w:sz w:val="18"/>
            <w:szCs w:val="18"/>
            <w:u w:val="single" w:color="auto"/>
            <w:color w:val="0000FF"/>
          </w:rPr>
          <w:t>Amended and Restated Certificate of Incorporation of Vail Resorts, Inc., dated January 5, 2005. (Incorporated by reference to Exhibit 3.1 on</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Form 10-Q of Vail Resorts, Inc. for the quarter ended January 31, 2005)(File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31">
        <w:r>
          <w:rPr>
            <w:rFonts w:ascii="Arial" w:cs="Arial" w:eastAsia="Arial" w:hAnsi="Arial"/>
            <w:sz w:val="18"/>
            <w:szCs w:val="18"/>
            <w:u w:val="single" w:color="auto"/>
            <w:color w:val="0000FF"/>
          </w:rPr>
          <w:t>Certificate of Amendment of Amended and Restated Certificate of Incorporation of Vail Resorts, Inc., dated December 7, 2011.</w:t>
        </w:r>
      </w:hyperlink>
    </w:p>
    <w:p>
      <w:pPr>
        <w:spacing w:after="0" w:line="23" w:lineRule="exact"/>
        <w:rPr>
          <w:sz w:val="20"/>
          <w:szCs w:val="20"/>
          <w:color w:val="auto"/>
        </w:rPr>
      </w:pPr>
    </w:p>
    <w:p>
      <w:pPr>
        <w:ind w:left="1180"/>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(Incorporated by reference to Exhibit 3.1 on Form 8-K of Vail Resorts, Inc. filed on December 8, 2011) (File No. 001-09614).</w:t>
        </w:r>
      </w:hyperlink>
    </w:p>
    <w:p>
      <w:pPr>
        <w:spacing w:after="0" w:line="49" w:lineRule="exact"/>
        <w:rPr>
          <w:sz w:val="20"/>
          <w:szCs w:val="20"/>
          <w:color w:val="auto"/>
        </w:rPr>
      </w:pPr>
    </w:p>
    <w:p>
      <w:pPr>
        <w:jc w:val="both"/>
        <w:ind w:left="1180" w:right="40" w:hanging="766"/>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32">
        <w:r>
          <w:rPr>
            <w:rFonts w:ascii="Arial" w:cs="Arial" w:eastAsia="Arial" w:hAnsi="Arial"/>
            <w:sz w:val="18"/>
            <w:szCs w:val="18"/>
            <w:u w:val="single" w:color="auto"/>
            <w:color w:val="0000FF"/>
          </w:rPr>
          <w:t>Certificate of Designations of Special Voting Preferred Stock of Vail Resorts, Inc., dated October 17, 2016. (Incorporated by reference to</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Exhibit 3.1 on Form 8-K of Vail Resorts, Inc. filed on October 17, 2016)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4" w:lineRule="exact"/>
        <w:rPr>
          <w:sz w:val="20"/>
          <w:szCs w:val="20"/>
          <w:color w:val="auto"/>
        </w:rPr>
      </w:pPr>
    </w:p>
    <w:p>
      <w:pPr>
        <w:jc w:val="both"/>
        <w:ind w:left="1180" w:right="40" w:hanging="766"/>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34">
        <w:r>
          <w:rPr>
            <w:rFonts w:ascii="Arial" w:cs="Arial" w:eastAsia="Arial" w:hAnsi="Arial"/>
            <w:sz w:val="18"/>
            <w:szCs w:val="18"/>
            <w:u w:val="single" w:color="auto"/>
            <w:color w:val="0000FF"/>
          </w:rPr>
          <w:t>Amended and Restated Bylaws of Vail Resorts, Inc., dated December 7, 2011. (Incorporated by reference to Exhibit 3.2 on Form 8-K of Vail</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Resorts, Inc. filed on December 8, 2011) (File No. 001-09614).</w:t>
        </w:r>
      </w:hyperlink>
    </w:p>
    <w:p>
      <w:pPr>
        <w:spacing w:after="0" w:line="8" w:lineRule="exact"/>
        <w:rPr>
          <w:sz w:val="20"/>
          <w:szCs w:val="20"/>
          <w:color w:val="auto"/>
        </w:rPr>
      </w:pPr>
    </w:p>
    <w:p>
      <w:pPr>
        <w:ind w:left="38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35">
        <w:r>
          <w:rPr>
            <w:rFonts w:ascii="Arial" w:cs="Arial" w:eastAsia="Arial" w:hAnsi="Arial"/>
            <w:sz w:val="16"/>
            <w:szCs w:val="16"/>
            <w:u w:val="single" w:color="auto"/>
            <w:color w:val="0000FF"/>
          </w:rPr>
          <w:t>Forest Service Unified Permit for Heavenly ski area, dated April 29,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180" w:right="40" w:hanging="911"/>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10.2(a)</w:t>
      </w:r>
      <w:r>
        <w:rPr>
          <w:sz w:val="20"/>
          <w:szCs w:val="20"/>
          <w:color w:val="auto"/>
        </w:rPr>
        <w:tab/>
      </w:r>
      <w:hyperlink r:id="rId37">
        <w:r>
          <w:rPr>
            <w:rFonts w:ascii="Arial" w:cs="Arial" w:eastAsia="Arial" w:hAnsi="Arial"/>
            <w:sz w:val="18"/>
            <w:szCs w:val="18"/>
            <w:u w:val="single" w:color="auto"/>
            <w:color w:val="0000FF"/>
          </w:rPr>
          <w:t>Forest Service Unified Permit for Keystone ski area, dated December 30, 1996. (Incorporated by reference to Exhibit 99.2(a) on Form 10-Q</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of Vail Resorts, Inc. for the quarter ended October 31, 2002) (File No. 001-09614).</w:t>
        </w:r>
      </w:hyperlink>
    </w:p>
    <w:p>
      <w:pPr>
        <w:spacing w:after="0" w:line="8" w:lineRule="exact"/>
        <w:rPr>
          <w:sz w:val="20"/>
          <w:szCs w:val="20"/>
          <w:color w:val="auto"/>
        </w:rPr>
      </w:pPr>
    </w:p>
    <w:p>
      <w:pPr>
        <w:ind w:left="1180" w:right="40" w:hanging="917"/>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10.2(b)</w:t>
      </w:r>
      <w:r>
        <w:rPr>
          <w:sz w:val="20"/>
          <w:szCs w:val="20"/>
          <w:color w:val="auto"/>
        </w:rPr>
        <w:tab/>
      </w:r>
      <w:hyperlink r:id="rId38">
        <w:r>
          <w:rPr>
            <w:rFonts w:ascii="Arial" w:cs="Arial" w:eastAsia="Arial" w:hAnsi="Arial"/>
            <w:sz w:val="18"/>
            <w:szCs w:val="18"/>
            <w:u w:val="single" w:color="auto"/>
            <w:color w:val="0000FF"/>
          </w:rPr>
          <w:t>Amendment No. 2 to Forest Service Unified Permit for Keystone ski area. (Incorporated by reference to Exhibit 99.2(b) on Form 10-Q of</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40" w:hanging="911"/>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10.2(c)</w:t>
      </w:r>
      <w:r>
        <w:rPr>
          <w:sz w:val="20"/>
          <w:szCs w:val="20"/>
          <w:color w:val="auto"/>
        </w:rPr>
        <w:tab/>
      </w:r>
      <w:hyperlink r:id="rId40">
        <w:r>
          <w:rPr>
            <w:rFonts w:ascii="Arial" w:cs="Arial" w:eastAsia="Arial" w:hAnsi="Arial"/>
            <w:sz w:val="18"/>
            <w:szCs w:val="18"/>
            <w:u w:val="single" w:color="auto"/>
            <w:color w:val="0000FF"/>
          </w:rPr>
          <w:t>Amendment No. 3 to Forest Service Unified Permit for Keystone ski area. (Incorporated by reference to Exhibit 10.3 (c) on Form 10-K of</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Vail Resorts, Inc. for the year ended July 31, 2005) (File No. 001-09614).</w:t>
        </w:r>
      </w:hyperlink>
    </w:p>
    <w:p>
      <w:pPr>
        <w:spacing w:after="0" w:line="8" w:lineRule="exact"/>
        <w:rPr>
          <w:sz w:val="20"/>
          <w:szCs w:val="20"/>
          <w:color w:val="auto"/>
        </w:rPr>
      </w:pPr>
    </w:p>
    <w:p>
      <w:pPr>
        <w:ind w:left="1180" w:right="20" w:hanging="917"/>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10.2(d)</w:t>
      </w:r>
      <w:r>
        <w:rPr>
          <w:sz w:val="20"/>
          <w:szCs w:val="20"/>
          <w:color w:val="auto"/>
        </w:rPr>
        <w:tab/>
      </w:r>
      <w:hyperlink r:id="rId41">
        <w:r>
          <w:rPr>
            <w:rFonts w:ascii="Arial" w:cs="Arial" w:eastAsia="Arial" w:hAnsi="Arial"/>
            <w:sz w:val="18"/>
            <w:szCs w:val="18"/>
            <w:u w:val="single" w:color="auto"/>
            <w:color w:val="0000FF"/>
          </w:rPr>
          <w:t>Amendment No. 4 to Forest Service Unified Permit for Keystone ski area. (Incorporated by reference to Exhibit 10.3 (d) on Form 10-K of</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40" w:hanging="911"/>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10.2(e)</w:t>
      </w:r>
      <w:r>
        <w:rPr>
          <w:sz w:val="20"/>
          <w:szCs w:val="20"/>
          <w:color w:val="auto"/>
        </w:rPr>
        <w:tab/>
      </w:r>
      <w:hyperlink r:id="rId43">
        <w:r>
          <w:rPr>
            <w:rFonts w:ascii="Arial" w:cs="Arial" w:eastAsia="Arial" w:hAnsi="Arial"/>
            <w:sz w:val="18"/>
            <w:szCs w:val="18"/>
            <w:u w:val="single" w:color="auto"/>
            <w:color w:val="0000FF"/>
          </w:rPr>
          <w:t>Amendment No. 5 to Forest Service Unified Permit for Keystone ski area. (Incorporated by reference to Exhibit 10.3 (e) on Form 10-K of</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Vail Resorts, Inc. for the year ended July 31, 2005) (File No. 001-09614).</w:t>
        </w:r>
      </w:hyperlink>
    </w:p>
    <w:p>
      <w:pPr>
        <w:spacing w:after="0" w:line="8" w:lineRule="exact"/>
        <w:rPr>
          <w:sz w:val="20"/>
          <w:szCs w:val="20"/>
          <w:color w:val="auto"/>
        </w:rPr>
      </w:pPr>
    </w:p>
    <w:p>
      <w:pPr>
        <w:ind w:left="28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10.3(a)</w:t>
      </w:r>
      <w:r>
        <w:rPr>
          <w:sz w:val="20"/>
          <w:szCs w:val="20"/>
          <w:color w:val="auto"/>
        </w:rPr>
        <w:tab/>
      </w:r>
      <w:hyperlink r:id="rId44">
        <w:r>
          <w:rPr>
            <w:rFonts w:ascii="Arial" w:cs="Arial" w:eastAsia="Arial" w:hAnsi="Arial"/>
            <w:sz w:val="16"/>
            <w:szCs w:val="16"/>
            <w:u w:val="single" w:color="auto"/>
            <w:color w:val="0000FF"/>
          </w:rPr>
          <w:t>Forest Service Unified Permit for Breckenridge ski area, dated December 31, 1996. (Incorporated by reference to Exhibit 99.3(a) on Form</w:t>
        </w:r>
      </w:hyperlink>
    </w:p>
    <w:p>
      <w:pPr>
        <w:spacing w:after="0" w:line="23" w:lineRule="exact"/>
        <w:rPr>
          <w:sz w:val="20"/>
          <w:szCs w:val="20"/>
          <w:color w:val="auto"/>
        </w:rPr>
      </w:pPr>
    </w:p>
    <w:p>
      <w:pPr>
        <w:ind w:left="1180"/>
        <w:spacing w:after="0"/>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10-Q of 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1180" w:right="40" w:hanging="917"/>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10.3(b)</w:t>
      </w:r>
      <w:r>
        <w:rPr>
          <w:sz w:val="20"/>
          <w:szCs w:val="20"/>
          <w:color w:val="auto"/>
        </w:rPr>
        <w:tab/>
      </w:r>
      <w:hyperlink r:id="rId46">
        <w:r>
          <w:rPr>
            <w:rFonts w:ascii="Arial" w:cs="Arial" w:eastAsia="Arial" w:hAnsi="Arial"/>
            <w:sz w:val="18"/>
            <w:szCs w:val="18"/>
            <w:u w:val="single" w:color="auto"/>
            <w:color w:val="0000FF"/>
          </w:rPr>
          <w:t>Amendment No. 1 to Forest Service Unified Permit for Breckenridge ski area. (Incorporated by reference to Exhibit 99.3(b) on Form 10-Q of</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Vail Resorts, Inc. for the quarter ended October 31, 2002) (File No. 001-09614).</w:t>
        </w:r>
      </w:hyperlink>
    </w:p>
    <w:p>
      <w:pPr>
        <w:spacing w:after="0" w:line="8" w:lineRule="exact"/>
        <w:rPr>
          <w:sz w:val="20"/>
          <w:szCs w:val="20"/>
          <w:color w:val="auto"/>
        </w:rPr>
      </w:pPr>
    </w:p>
    <w:p>
      <w:pPr>
        <w:ind w:left="1180" w:right="40" w:hanging="911"/>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10.3(c)</w:t>
      </w:r>
      <w:r>
        <w:rPr>
          <w:sz w:val="20"/>
          <w:szCs w:val="20"/>
          <w:color w:val="auto"/>
        </w:rPr>
        <w:tab/>
      </w:r>
      <w:hyperlink r:id="rId47">
        <w:r>
          <w:rPr>
            <w:rFonts w:ascii="Arial" w:cs="Arial" w:eastAsia="Arial" w:hAnsi="Arial"/>
            <w:sz w:val="18"/>
            <w:szCs w:val="18"/>
            <w:u w:val="single" w:color="auto"/>
            <w:color w:val="0000FF"/>
          </w:rPr>
          <w:t>Amendment No. 2 to Forest Service Unified Permit for Breckenridge ski area. (Incorporated by reference to Exhibit 10.4 (c) on Form 10-K</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20" w:hanging="917"/>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10.3(d)</w:t>
      </w:r>
      <w:r>
        <w:rPr>
          <w:sz w:val="20"/>
          <w:szCs w:val="20"/>
          <w:color w:val="auto"/>
        </w:rPr>
        <w:tab/>
      </w:r>
      <w:hyperlink r:id="rId49">
        <w:r>
          <w:rPr>
            <w:rFonts w:ascii="Arial" w:cs="Arial" w:eastAsia="Arial" w:hAnsi="Arial"/>
            <w:sz w:val="18"/>
            <w:szCs w:val="18"/>
            <w:u w:val="single" w:color="auto"/>
            <w:color w:val="0000FF"/>
          </w:rPr>
          <w:t>Amendment No. 3 to Forest Service Unified Permit for Breckenridge ski area. (Incorporated by reference to Exhibit 10.4 (d) on Form 10-K</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of Vail Resorts, Inc. for the year ended July 31, 2005) (File No. 001-09614).</w:t>
        </w:r>
      </w:hyperlink>
    </w:p>
    <w:p>
      <w:pPr>
        <w:spacing w:after="0" w:line="8" w:lineRule="exact"/>
        <w:rPr>
          <w:sz w:val="20"/>
          <w:szCs w:val="20"/>
          <w:color w:val="auto"/>
        </w:rPr>
      </w:pPr>
    </w:p>
    <w:p>
      <w:pPr>
        <w:ind w:left="1180" w:right="40" w:hanging="911"/>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10.3(e)</w:t>
      </w:r>
      <w:r>
        <w:rPr>
          <w:sz w:val="20"/>
          <w:szCs w:val="20"/>
          <w:color w:val="auto"/>
        </w:rPr>
        <w:tab/>
      </w:r>
      <w:hyperlink r:id="rId50">
        <w:r>
          <w:rPr>
            <w:rFonts w:ascii="Arial" w:cs="Arial" w:eastAsia="Arial" w:hAnsi="Arial"/>
            <w:sz w:val="18"/>
            <w:szCs w:val="18"/>
            <w:u w:val="single" w:color="auto"/>
            <w:color w:val="0000FF"/>
          </w:rPr>
          <w:t>Amendment No. 4 to Forest Service Unified Permit for Breckenridge ski area. (Incorporated by reference to Exhibit 10.4 (e) on Form 10-K</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20" w:hanging="901"/>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10.3(f)</w:t>
      </w:r>
      <w:r>
        <w:rPr>
          <w:sz w:val="20"/>
          <w:szCs w:val="20"/>
          <w:color w:val="auto"/>
        </w:rPr>
        <w:tab/>
      </w:r>
      <w:hyperlink r:id="rId52">
        <w:r>
          <w:rPr>
            <w:rFonts w:ascii="Arial" w:cs="Arial" w:eastAsia="Arial" w:hAnsi="Arial"/>
            <w:sz w:val="18"/>
            <w:szCs w:val="18"/>
            <w:u w:val="single" w:color="auto"/>
            <w:color w:val="0000FF"/>
          </w:rPr>
          <w:t>Amendment No. 5 to Forest Service Unified Permit for Breckenridge ski area. (Incorporated by reference to Exhibit 10.4(f) on Form 10-Q of</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Vail Resorts, Inc. for the quarter ended January 31, 2006) (File No. 001-09614).</w:t>
        </w:r>
      </w:hyperlink>
    </w:p>
    <w:p>
      <w:pPr>
        <w:spacing w:after="0" w:line="8" w:lineRule="exact"/>
        <w:rPr>
          <w:sz w:val="20"/>
          <w:szCs w:val="20"/>
          <w:color w:val="auto"/>
        </w:rPr>
      </w:pPr>
    </w:p>
    <w:p>
      <w:pPr>
        <w:ind w:left="1180" w:right="40" w:hanging="911"/>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10.4(a)</w:t>
      </w:r>
      <w:r>
        <w:rPr>
          <w:sz w:val="20"/>
          <w:szCs w:val="20"/>
          <w:color w:val="auto"/>
        </w:rPr>
        <w:tab/>
      </w:r>
      <w:hyperlink r:id="rId53">
        <w:r>
          <w:rPr>
            <w:rFonts w:ascii="Arial" w:cs="Arial" w:eastAsia="Arial" w:hAnsi="Arial"/>
            <w:sz w:val="18"/>
            <w:szCs w:val="18"/>
            <w:u w:val="single" w:color="auto"/>
            <w:color w:val="0000FF"/>
          </w:rPr>
          <w:t>Forest Service Unified Permit for Beaver Creek ski area. (Incorporated by reference to Exhibit 99.4(a) on Form 10-Q of Vail Resorts, Inc. for</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40" w:hanging="917"/>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10.4(b)</w:t>
      </w:r>
      <w:r>
        <w:rPr>
          <w:sz w:val="20"/>
          <w:szCs w:val="20"/>
          <w:color w:val="auto"/>
        </w:rPr>
        <w:tab/>
      </w:r>
      <w:hyperlink r:id="rId55">
        <w:r>
          <w:rPr>
            <w:rFonts w:ascii="Arial" w:cs="Arial" w:eastAsia="Arial" w:hAnsi="Arial"/>
            <w:sz w:val="18"/>
            <w:szCs w:val="18"/>
            <w:u w:val="single" w:color="auto"/>
            <w:color w:val="0000FF"/>
          </w:rPr>
          <w:t>Exhibits to Forest Service Unified Permit for Beaver Creek ski area. (Incorporated by reference to Exhibit 99.4(b) on Form 10-Q of Vail</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Resorts, Inc. for the quarter ended October 31, 2002) (File No. 001-09614).</w:t>
        </w:r>
      </w:hyperlink>
    </w:p>
    <w:p>
      <w:pPr>
        <w:spacing w:after="0" w:line="8" w:lineRule="exact"/>
        <w:rPr>
          <w:sz w:val="20"/>
          <w:szCs w:val="20"/>
          <w:color w:val="auto"/>
        </w:rPr>
      </w:pPr>
    </w:p>
    <w:p>
      <w:pPr>
        <w:ind w:left="1180" w:right="40" w:hanging="911"/>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10.4(c)</w:t>
      </w:r>
      <w:r>
        <w:rPr>
          <w:sz w:val="20"/>
          <w:szCs w:val="20"/>
          <w:color w:val="auto"/>
        </w:rPr>
        <w:tab/>
      </w:r>
      <w:hyperlink r:id="rId56">
        <w:r>
          <w:rPr>
            <w:rFonts w:ascii="Arial" w:cs="Arial" w:eastAsia="Arial" w:hAnsi="Arial"/>
            <w:sz w:val="18"/>
            <w:szCs w:val="18"/>
            <w:u w:val="single" w:color="auto"/>
            <w:color w:val="0000FF"/>
          </w:rPr>
          <w:t>Amendment No. 1 to Forest Service Unified Permit for Beaver Creek ski area. (Incorporated by reference to Exhibit 10.5(c) on Form 10-K of</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Vail Resorts, Inc. for the year ended July 31, 2005) (File No. 001-09614).</w:t>
        </w:r>
      </w:hyperlink>
    </w:p>
    <w:p>
      <w:pPr>
        <w:sectPr>
          <w:pgSz w:w="11900" w:h="16838" w:orient="portrait"/>
          <w:cols w:equalWidth="0" w:num="1">
            <w:col w:w="11420"/>
          </w:cols>
          <w:pgMar w:left="240" w:top="1178"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178" w:right="2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Posted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Exhibit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740" w:type="dxa"/>
            <w:vAlign w:val="bottom"/>
            <w:gridSpan w:val="13"/>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Number</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4"/>
              </w:rPr>
              <w:t>10.4(d)</w:t>
            </w:r>
          </w:p>
        </w:tc>
        <w:tc>
          <w:tcPr>
            <w:tcW w:w="1020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Amendment No. 2 to Forest Service Unified Permit for Beaver Creek ski area. (Incorporated by reference to Exhibit 10.5(d) on Form 10-K</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18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of Vail Resorts, Inc. for the year ended July 31, 2005) (File No. 001-09614).</w:t>
              </w:r>
            </w:hyperlink>
          </w:p>
        </w:tc>
        <w:tc>
          <w:tcPr>
            <w:tcW w:w="474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87"/>
              </w:rPr>
              <w:t>10.4(e)</w:t>
            </w:r>
          </w:p>
        </w:tc>
        <w:tc>
          <w:tcPr>
            <w:tcW w:w="10240" w:type="dxa"/>
            <w:vAlign w:val="bottom"/>
            <w:gridSpan w:val="22"/>
          </w:tcPr>
          <w:p>
            <w:pPr>
              <w:spacing w:after="0" w:line="202"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Amendment to Forest Service Unified Permit for Beaver Creek ski area. (Incorporated by reference to Exhibit 10.5(e) on Form 10-K of Vail</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Resorts, Inc. for the year ended July 31, 2005) (File No. 001-09614).</w:t>
              </w:r>
            </w:hyperlink>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6"/>
              </w:rPr>
              <w:t>10.4(f)</w:t>
            </w:r>
          </w:p>
        </w:tc>
        <w:tc>
          <w:tcPr>
            <w:tcW w:w="1020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Amendment No. 3 to Forest Service Unified Permit for Beaver Creek ski area. (Incorporated by reference to Exhibit 10.4(f) on Form 10-K of</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18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Vail Resorts, Inc. for the year ended July 31, 2008) (File No. 001-09614).</w:t>
              </w:r>
            </w:hyperlink>
          </w:p>
        </w:tc>
        <w:tc>
          <w:tcPr>
            <w:tcW w:w="4940" w:type="dxa"/>
            <w:vAlign w:val="bottom"/>
            <w:tcBorders>
              <w:bottom w:val="single" w:sz="8" w:color="CCEEFF"/>
            </w:tcBorders>
            <w:gridSpan w:val="11"/>
            <w:shd w:val="clear" w:color="auto" w:fill="CCEEFF"/>
          </w:tcPr>
          <w:p>
            <w:pPr>
              <w:spacing w:after="0"/>
              <w:rPr>
                <w:sz w:val="21"/>
                <w:szCs w:val="21"/>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87"/>
              </w:rPr>
              <w:t>10.5(a)</w:t>
            </w:r>
          </w:p>
        </w:tc>
        <w:tc>
          <w:tcPr>
            <w:tcW w:w="10240" w:type="dxa"/>
            <w:vAlign w:val="bottom"/>
            <w:gridSpan w:val="22"/>
          </w:tcPr>
          <w:p>
            <w:pPr>
              <w:spacing w:after="0" w:line="202" w:lineRule="exact"/>
              <w:rPr>
                <w:rFonts w:ascii="Arial" w:cs="Arial" w:eastAsia="Arial" w:hAnsi="Arial"/>
                <w:sz w:val="18"/>
                <w:szCs w:val="18"/>
                <w:color w:val="0000FF"/>
                <w:w w:val="94"/>
              </w:rPr>
            </w:pPr>
            <w:hyperlink r:id="rId60">
              <w:r>
                <w:rPr>
                  <w:rFonts w:ascii="Arial" w:cs="Arial" w:eastAsia="Arial" w:hAnsi="Arial"/>
                  <w:sz w:val="18"/>
                  <w:szCs w:val="18"/>
                  <w:color w:val="0000FF"/>
                  <w:w w:val="94"/>
                </w:rPr>
                <w:t>Forest Service Unified Permit for Vail ski area, dated November 23, 1993. (Incorporated by reference to Exhibit 99.5(a) on Form 10-Q of</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Vail Resorts, Inc. for the quarter ended October 31, 2002) (File No. 001-09614).</w:t>
              </w:r>
            </w:hyperlink>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4"/>
              </w:rPr>
              <w:t>10.5(b)</w:t>
            </w:r>
          </w:p>
        </w:tc>
        <w:tc>
          <w:tcPr>
            <w:tcW w:w="10240" w:type="dxa"/>
            <w:vAlign w:val="bottom"/>
            <w:gridSpan w:val="22"/>
            <w:shd w:val="clear" w:color="auto" w:fill="CCEEFF"/>
          </w:tcPr>
          <w:p>
            <w:pPr>
              <w:spacing w:after="0" w:line="202"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Exhibits to Forest Service Unified Permit for Vail ski area. (Incorporated by reference to Exhibit 99.5(b) on Form 10-Q of Vail Resorts, Inc.</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450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for the quarter ended October 31, 2002) (File No. 001-09614).</w:t>
              </w:r>
            </w:hyperlink>
          </w:p>
        </w:tc>
        <w:tc>
          <w:tcPr>
            <w:tcW w:w="5700" w:type="dxa"/>
            <w:vAlign w:val="bottom"/>
            <w:tcBorders>
              <w:top w:val="single" w:sz="8" w:color="0000FF"/>
              <w:bottom w:val="single" w:sz="8" w:color="CCEEFF"/>
            </w:tcBorders>
            <w:gridSpan w:val="12"/>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89"/>
              </w:rPr>
              <w:t>10.5(c)</w:t>
            </w:r>
          </w:p>
        </w:tc>
        <w:tc>
          <w:tcPr>
            <w:tcW w:w="10200" w:type="dxa"/>
            <w:vAlign w:val="bottom"/>
            <w:tcBorders>
              <w:bottom w:val="single" w:sz="8" w:color="0000FF"/>
            </w:tcBorders>
            <w:gridSpan w:val="21"/>
          </w:tcPr>
          <w:p>
            <w:pPr>
              <w:spacing w:after="0" w:line="202"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Amendment No. 2 to Forest Service Unified Permit for Vail ski area. (Incorporated by reference to Exhibit 99.5(c) on Form 10-Q of Vail</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Resorts, Inc. for the quarter ended October 31, 2002) (File No. 001-09614).</w:t>
              </w:r>
            </w:hyperlink>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4"/>
              </w:rPr>
              <w:t>10.5(d)</w:t>
            </w:r>
          </w:p>
        </w:tc>
        <w:tc>
          <w:tcPr>
            <w:tcW w:w="1020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Amendment No. 3 to Forest Service Unified Permit for Vail ski area. (Incorporated by reference to Exhibit 10.6 (d) on Form 10-K of Vail</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22"/>
            <w:shd w:val="clear" w:color="auto" w:fill="CCEEFF"/>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Resorts, Inc. for the year ended July 31, 2005) (File No. 001-09614).</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87"/>
              </w:rPr>
              <w:t>10.5(e)</w:t>
            </w:r>
          </w:p>
        </w:tc>
        <w:tc>
          <w:tcPr>
            <w:tcW w:w="10240" w:type="dxa"/>
            <w:vAlign w:val="bottom"/>
            <w:gridSpan w:val="22"/>
          </w:tcPr>
          <w:p>
            <w:pPr>
              <w:spacing w:after="0" w:line="202"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Amendment No. 4 to Forest Service Unified Permit for Vail ski area. (Incorporated by reference to Exhibit 10.6 (e) on Form 10-K of Vail</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Resorts, Inc. for the year ended July 31, 2005) (File No. 001-09614).</w:t>
              </w:r>
            </w:hyperlink>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9"/>
              </w:rPr>
              <w:t>10.6*</w:t>
            </w:r>
          </w:p>
        </w:tc>
        <w:tc>
          <w:tcPr>
            <w:tcW w:w="10240" w:type="dxa"/>
            <w:vAlign w:val="bottom"/>
            <w:gridSpan w:val="22"/>
            <w:shd w:val="clear" w:color="auto" w:fill="CCEEFF"/>
          </w:tcPr>
          <w:p>
            <w:pPr>
              <w:spacing w:after="0" w:line="202"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Vail Resorts, Inc. Amended and Restated 2002 Long Term Incentive and Share Award Plan. (Incorporated by reference to Exhibit 99.1 on</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21"/>
            <w:shd w:val="clear" w:color="auto" w:fill="CCEEFF"/>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Form 8-K of Vail Resorts, Inc. filed on December 10, 2009) (File No. 001-09614).</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10.7*</w:t>
            </w:r>
          </w:p>
        </w:tc>
        <w:tc>
          <w:tcPr>
            <w:tcW w:w="10200" w:type="dxa"/>
            <w:vAlign w:val="bottom"/>
            <w:tcBorders>
              <w:bottom w:val="single" w:sz="8" w:color="0000FF"/>
            </w:tcBorders>
            <w:gridSpan w:val="21"/>
          </w:tcPr>
          <w:p>
            <w:pPr>
              <w:spacing w:after="0" w:line="202"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Form of Stock Option Agreement. (Incorporated by reference to Exhibit 10.20 of Form 10-K of Vail Resorts, Inc. for the year ended July 31,</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2007) (File No. 001-09614).</w:t>
              </w:r>
            </w:hyperlink>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9"/>
              </w:rPr>
              <w:t>10.8*</w:t>
            </w:r>
          </w:p>
        </w:tc>
        <w:tc>
          <w:tcPr>
            <w:tcW w:w="1020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Form of Restricted Share Unit Agreement. (Incorporated by reference to Exhibit 10.2 on Form 8-K of Vail Resorts, Inc. filed on December 7,</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1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2015) (File Number 001-09614).</w:t>
              </w:r>
            </w:hyperlink>
          </w:p>
        </w:tc>
        <w:tc>
          <w:tcPr>
            <w:tcW w:w="7860" w:type="dxa"/>
            <w:vAlign w:val="bottom"/>
            <w:tcBorders>
              <w:bottom w:val="single" w:sz="8" w:color="CCEEFF"/>
            </w:tcBorders>
            <w:gridSpan w:val="18"/>
            <w:shd w:val="clear" w:color="auto" w:fill="CCEEFF"/>
          </w:tcPr>
          <w:p>
            <w:pPr>
              <w:spacing w:after="0"/>
              <w:rPr>
                <w:sz w:val="21"/>
                <w:szCs w:val="21"/>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10.9*</w:t>
            </w:r>
          </w:p>
        </w:tc>
        <w:tc>
          <w:tcPr>
            <w:tcW w:w="10240" w:type="dxa"/>
            <w:vAlign w:val="bottom"/>
            <w:gridSpan w:val="22"/>
          </w:tcPr>
          <w:p>
            <w:pPr>
              <w:spacing w:after="0" w:line="202" w:lineRule="exact"/>
              <w:rPr>
                <w:rFonts w:ascii="Arial" w:cs="Arial" w:eastAsia="Arial" w:hAnsi="Arial"/>
                <w:sz w:val="18"/>
                <w:szCs w:val="18"/>
                <w:color w:val="0000FF"/>
                <w:w w:val="98"/>
              </w:rPr>
            </w:pPr>
            <w:hyperlink r:id="rId68">
              <w:r>
                <w:rPr>
                  <w:rFonts w:ascii="Arial" w:cs="Arial" w:eastAsia="Arial" w:hAnsi="Arial"/>
                  <w:sz w:val="18"/>
                  <w:szCs w:val="18"/>
                  <w:color w:val="0000FF"/>
                  <w:w w:val="98"/>
                </w:rPr>
                <w:t>Form of Share Appreciation Rights Agreement. (Incorporated by reference to Exhibit 10.3 on Form 8-K of Vail Resorts, Inc. filed on</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December 7, 2015) (File Number 001-09614)</w:t>
              </w:r>
            </w:hyperlink>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5"/>
              </w:rPr>
              <w:t>10.10*</w:t>
            </w:r>
          </w:p>
        </w:tc>
        <w:tc>
          <w:tcPr>
            <w:tcW w:w="10240" w:type="dxa"/>
            <w:vAlign w:val="bottom"/>
            <w:tcBorders>
              <w:bottom w:val="single" w:sz="8" w:color="0000FF"/>
            </w:tcBorders>
            <w:gridSpan w:val="22"/>
            <w:shd w:val="clear" w:color="auto" w:fill="CCEEFF"/>
          </w:tcPr>
          <w:p>
            <w:pPr>
              <w:spacing w:after="0" w:line="202"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Vail Resorts Deferred Compensation Plan, effective as of January 1, 2005. (Incorporated by reference to Exhibit 10.22 on Form 10-K of Vail</w:t>
              </w:r>
            </w:hyperlink>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22"/>
            <w:shd w:val="clear" w:color="auto" w:fill="CCEEFF"/>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Resorts, Inc. for the year ended July 31, 2009) (File No. 001-09614).</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4"/>
              </w:rPr>
              <w:t>10.11(a)*</w:t>
            </w:r>
          </w:p>
        </w:tc>
        <w:tc>
          <w:tcPr>
            <w:tcW w:w="10200" w:type="dxa"/>
            <w:vAlign w:val="bottom"/>
            <w:tcBorders>
              <w:bottom w:val="single" w:sz="8" w:color="0000FF"/>
            </w:tcBorders>
            <w:gridSpan w:val="21"/>
          </w:tcPr>
          <w:p>
            <w:pPr>
              <w:spacing w:after="0" w:line="202" w:lineRule="exact"/>
              <w:rPr>
                <w:rFonts w:ascii="Arial" w:cs="Arial" w:eastAsia="Arial" w:hAnsi="Arial"/>
                <w:sz w:val="18"/>
                <w:szCs w:val="18"/>
                <w:color w:val="0000FF"/>
                <w:w w:val="97"/>
              </w:rPr>
            </w:pPr>
            <w:hyperlink r:id="rId70">
              <w:r>
                <w:rPr>
                  <w:rFonts w:ascii="Arial" w:cs="Arial" w:eastAsia="Arial" w:hAnsi="Arial"/>
                  <w:sz w:val="18"/>
                  <w:szCs w:val="18"/>
                  <w:color w:val="0000FF"/>
                  <w:w w:val="97"/>
                </w:rPr>
                <w:t>Executive Employment Agreement made and entered into October 15, 2008 by and between Vail Resorts, Inc. and Robert A. Katz.</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(Incorporated by reference to Exhibit 10.1 of the report on Form 10-Q of Vail Resorts, Inc. for the quarter ended October 31, 2008) (File No.</w:t>
              </w:r>
            </w:hyperlink>
          </w:p>
        </w:tc>
      </w:tr>
      <w:tr>
        <w:trPr>
          <w:trHeight w:val="196"/>
        </w:trPr>
        <w:tc>
          <w:tcPr>
            <w:tcW w:w="1180" w:type="dxa"/>
            <w:vAlign w:val="bottom"/>
          </w:tcPr>
          <w:p>
            <w:pPr>
              <w:spacing w:after="0"/>
              <w:rPr>
                <w:sz w:val="17"/>
                <w:szCs w:val="17"/>
                <w:color w:val="auto"/>
              </w:rPr>
            </w:pPr>
          </w:p>
        </w:tc>
        <w:tc>
          <w:tcPr>
            <w:tcW w:w="12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001-09614).</w:t>
              </w:r>
            </w:hyperlink>
          </w:p>
        </w:tc>
        <w:tc>
          <w:tcPr>
            <w:tcW w:w="8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4"/>
              </w:rPr>
              <w:t>10.11(b)*</w:t>
            </w:r>
          </w:p>
        </w:tc>
        <w:tc>
          <w:tcPr>
            <w:tcW w:w="10240" w:type="dxa"/>
            <w:vAlign w:val="bottom"/>
            <w:gridSpan w:val="22"/>
            <w:shd w:val="clear" w:color="auto" w:fill="CCEEFF"/>
          </w:tcPr>
          <w:p>
            <w:pPr>
              <w:spacing w:after="0" w:line="202"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First Amendment to Executive Employment Agreement, dated September 30, 2011, by and between Vail Resorts, Inc. and Robert A. Katz</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21"/>
            <w:shd w:val="clear" w:color="auto" w:fill="CCEEFF"/>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(Incorporated by reference to Exhibit 10.1 on Form 8-K of Vail Resorts, Inc. filed September 30, 2011) (File No. 001-09614).</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5"/>
              </w:rPr>
              <w:t>10.11(c)*</w:t>
            </w:r>
          </w:p>
        </w:tc>
        <w:tc>
          <w:tcPr>
            <w:tcW w:w="10200" w:type="dxa"/>
            <w:vAlign w:val="bottom"/>
            <w:tcBorders>
              <w:bottom w:val="single" w:sz="8" w:color="0000FF"/>
            </w:tcBorders>
            <w:gridSpan w:val="21"/>
          </w:tcPr>
          <w:p>
            <w:pPr>
              <w:spacing w:after="0" w:line="202"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Second Amendment to Executive Employment Agreement, dated April 11, 2013, by and between Vail Resorts, Inc. and Robert A. Katz.</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(Incorporated by reference to Exhibit 10.1 on Form 10-Q of Vail Resorts, Inc. for the quarter ended April 30, 2013) (File No. 001-09614).</w:t>
              </w:r>
            </w:hyperlink>
          </w:p>
        </w:tc>
      </w:tr>
      <w:tr>
        <w:trPr>
          <w:trHeight w:val="264"/>
        </w:trPr>
        <w:tc>
          <w:tcPr>
            <w:tcW w:w="1180" w:type="dxa"/>
            <w:vAlign w:val="bottom"/>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8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9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78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108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5"/>
              </w:rPr>
              <w:t>10.12*</w:t>
            </w:r>
          </w:p>
        </w:tc>
        <w:tc>
          <w:tcPr>
            <w:tcW w:w="1020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5"/>
              </w:rPr>
            </w:pPr>
            <w:hyperlink r:id="rId73">
              <w:r>
                <w:rPr>
                  <w:rFonts w:ascii="Arial" w:cs="Arial" w:eastAsia="Arial" w:hAnsi="Arial"/>
                  <w:sz w:val="18"/>
                  <w:szCs w:val="18"/>
                  <w:color w:val="0000FF"/>
                  <w:w w:val="95"/>
                </w:rPr>
                <w:t>Form of Indemnification Agreement. (Incorporated by reference to Exhibit 10.8 of the report on Form 10-Q of Vail Resorts, Inc. for the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18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quarter ended October 31, 2008) (File No. 001-09614).</w:t>
              </w:r>
            </w:hyperlink>
          </w:p>
        </w:tc>
        <w:tc>
          <w:tcPr>
            <w:tcW w:w="6260" w:type="dxa"/>
            <w:vAlign w:val="bottom"/>
            <w:tcBorders>
              <w:bottom w:val="single" w:sz="8" w:color="CCEEFF"/>
            </w:tcBorders>
            <w:gridSpan w:val="14"/>
            <w:shd w:val="clear" w:color="auto" w:fill="CCEEFF"/>
          </w:tcPr>
          <w:p>
            <w:pPr>
              <w:spacing w:after="0"/>
              <w:rPr>
                <w:sz w:val="21"/>
                <w:szCs w:val="21"/>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3"/>
              </w:rPr>
              <w:t>10.13</w:t>
            </w:r>
          </w:p>
        </w:tc>
        <w:tc>
          <w:tcPr>
            <w:tcW w:w="10240" w:type="dxa"/>
            <w:vAlign w:val="bottom"/>
            <w:gridSpan w:val="22"/>
          </w:tcPr>
          <w:p>
            <w:pPr>
              <w:spacing w:after="0" w:line="202"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Master Agreement of Lease, dated May 29, 2013, between VR CPC Holdings, Inc. and Talisker Canyons Leaseco LLC. (Incorporated by</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reference to Exhibit 10.1 on Form 8-K of Vail Resorts, Inc. filed on May 30, 2013) (File No. 001-09614).</w:t>
              </w:r>
            </w:hyperlink>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30"/>
        </w:trPr>
        <w:tc>
          <w:tcPr>
            <w:tcW w:w="11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10.14</w:t>
            </w:r>
          </w:p>
        </w:tc>
        <w:tc>
          <w:tcPr>
            <w:tcW w:w="10240" w:type="dxa"/>
            <w:vAlign w:val="bottom"/>
            <w:gridSpan w:val="22"/>
            <w:shd w:val="clear" w:color="auto" w:fill="CCEEFF"/>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Guaranty of Vail Resorts, Inc., dated May 29, 2013, in connection with the Master Agreement of Lease between VR CPC Holdings, Inc. and</w:t>
              </w:r>
            </w:hyperlink>
          </w:p>
        </w:tc>
      </w:tr>
      <w:tr>
        <w:trPr>
          <w:trHeight w:val="20"/>
        </w:trPr>
        <w:tc>
          <w:tcPr>
            <w:tcW w:w="1180" w:type="dxa"/>
            <w:vAlign w:val="bottom"/>
            <w:shd w:val="clear" w:color="auto" w:fill="CCEE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00" w:type="dxa"/>
            <w:vAlign w:val="bottom"/>
            <w:gridSpan w:val="9"/>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22"/>
            <w:shd w:val="clear" w:color="auto" w:fill="CCEEFF"/>
          </w:tcPr>
          <w:p>
            <w:pPr>
              <w:spacing w:after="0" w:line="196"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Talisker Canyons Leaseco LLC. (Incorporated by reference to Exhibit 10.2 on Form 8-K of Vail Resorts, Inc. filed on May 30, 2013) (File</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21"/>
            <w:shd w:val="clear" w:color="auto" w:fill="CCEEFF"/>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No. 001-09614).</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64"/>
        </w:trPr>
        <w:tc>
          <w:tcPr>
            <w:tcW w:w="11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0000FF"/>
            </w:tcBorders>
            <w:shd w:val="clear" w:color="auto" w:fill="CCEEFF"/>
          </w:tcPr>
          <w:p>
            <w:pPr>
              <w:spacing w:after="0"/>
              <w:rPr>
                <w:sz w:val="22"/>
                <w:szCs w:val="22"/>
                <w:color w:val="auto"/>
              </w:rPr>
            </w:pPr>
          </w:p>
        </w:tc>
        <w:tc>
          <w:tcPr>
            <w:tcW w:w="320" w:type="dxa"/>
            <w:vAlign w:val="bottom"/>
            <w:tcBorders>
              <w:top w:val="single" w:sz="8" w:color="0000FF"/>
            </w:tcBorders>
            <w:shd w:val="clear" w:color="auto" w:fill="CCEEFF"/>
          </w:tcPr>
          <w:p>
            <w:pPr>
              <w:spacing w:after="0"/>
              <w:rPr>
                <w:sz w:val="22"/>
                <w:szCs w:val="22"/>
                <w:color w:val="auto"/>
              </w:rPr>
            </w:pPr>
          </w:p>
        </w:tc>
        <w:tc>
          <w:tcPr>
            <w:tcW w:w="84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5"/>
              </w:rPr>
              <w:t>10.15*</w:t>
            </w:r>
          </w:p>
        </w:tc>
        <w:tc>
          <w:tcPr>
            <w:tcW w:w="10200" w:type="dxa"/>
            <w:vAlign w:val="bottom"/>
            <w:tcBorders>
              <w:bottom w:val="single" w:sz="8" w:color="0000FF"/>
            </w:tcBorders>
            <w:gridSpan w:val="21"/>
          </w:tcPr>
          <w:p>
            <w:pPr>
              <w:spacing w:after="0" w:line="202"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Vail Resorts, Inc. Management Incentive Plan. (Incorporated by reference to Exhibit 10.1 on Form 10-Q of Vail Resorts, Inc. for the quarter</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ended October 31, 2016) (File No. 001-09614).</w:t>
              </w:r>
            </w:hyperlink>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5"/>
              </w:rPr>
              <w:t>10.16*</w:t>
            </w:r>
          </w:p>
        </w:tc>
        <w:tc>
          <w:tcPr>
            <w:tcW w:w="10240" w:type="dxa"/>
            <w:vAlign w:val="bottom"/>
            <w:gridSpan w:val="22"/>
            <w:shd w:val="clear" w:color="auto" w:fill="CCEEFF"/>
          </w:tcPr>
          <w:p>
            <w:pPr>
              <w:spacing w:after="0" w:line="202"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Vail Resorts, Inc. 2015 Omnibus Incentive Plan (Incorporated by reference to Exhibit 10.1 on Form 8-K of Vail Resorts, Inc. filed on</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3340" w:type="dxa"/>
            <w:vAlign w:val="bottom"/>
            <w:tcBorders>
              <w:top w:val="single" w:sz="8" w:color="0000FF"/>
              <w:bottom w:val="single" w:sz="8" w:color="0000FF"/>
            </w:tcBorders>
            <w:gridSpan w:val="6"/>
            <w:shd w:val="clear" w:color="auto" w:fill="CCEEFF"/>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December 7, 2015) (File Number 001-09614).</w:t>
              </w:r>
            </w:hyperlink>
          </w:p>
        </w:tc>
        <w:tc>
          <w:tcPr>
            <w:tcW w:w="6860" w:type="dxa"/>
            <w:vAlign w:val="bottom"/>
            <w:tcBorders>
              <w:top w:val="single" w:sz="8" w:color="0000FF"/>
              <w:bottom w:val="single" w:sz="8" w:color="CCEEFF"/>
            </w:tcBorders>
            <w:gridSpan w:val="15"/>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2"/>
              </w:rPr>
              <w:t>10.17(a)</w:t>
            </w:r>
          </w:p>
        </w:tc>
        <w:tc>
          <w:tcPr>
            <w:tcW w:w="10200" w:type="dxa"/>
            <w:vAlign w:val="bottom"/>
            <w:tcBorders>
              <w:bottom w:val="single" w:sz="8" w:color="0000FF"/>
            </w:tcBorders>
            <w:gridSpan w:val="21"/>
          </w:tcPr>
          <w:p>
            <w:pPr>
              <w:spacing w:after="0" w:line="202"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Seventh Amended and Restated Credit Agreement, Annex A to that certain Amendment Agreement, dated as of May 1, 2015, among Vail</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w w:val="98"/>
              </w:rPr>
            </w:pPr>
            <w:hyperlink r:id="rId78">
              <w:r>
                <w:rPr>
                  <w:rFonts w:ascii="Arial" w:cs="Arial" w:eastAsia="Arial" w:hAnsi="Arial"/>
                  <w:sz w:val="18"/>
                  <w:szCs w:val="18"/>
                  <w:color w:val="0000FF"/>
                  <w:w w:val="98"/>
                </w:rPr>
                <w:t>Holdings, Inc., as borrower, Bank of America, N.A., as administrative agent, U.S. Bank National Association and Wells Fargo Bank,</w:t>
              </w:r>
            </w:hyperlink>
          </w:p>
        </w:tc>
      </w:tr>
      <w:tr>
        <w:trPr>
          <w:trHeight w:val="20"/>
        </w:trPr>
        <w:tc>
          <w:tcPr>
            <w:tcW w:w="1180" w:type="dxa"/>
            <w:vAlign w:val="bottom"/>
          </w:tcPr>
          <w:p>
            <w:pPr>
              <w:spacing w:after="0" w:line="20" w:lineRule="exact"/>
              <w:rPr>
                <w:sz w:val="1"/>
                <w:szCs w:val="1"/>
                <w:color w:val="auto"/>
              </w:rPr>
            </w:pPr>
          </w:p>
        </w:tc>
        <w:tc>
          <w:tcPr>
            <w:tcW w:w="6720" w:type="dxa"/>
            <w:vAlign w:val="bottom"/>
            <w:gridSpan w:val="16"/>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22"/>
          </w:tcPr>
          <w:p>
            <w:pPr>
              <w:spacing w:after="0" w:line="19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National Association, as co-syndication agents, BBVA Compass, as documentation agent, and the Lenders party thereto. (Incorporated by</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reference to Exhibit 10.1 on Form 10-Q of Vail Resorts, Inc. for the quarter ended April 30, 2015) (File No. 001-09614).</w:t>
              </w:r>
            </w:hyperlink>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2"/>
              </w:rPr>
              <w:t>10.17(b)</w:t>
            </w:r>
          </w:p>
        </w:tc>
        <w:tc>
          <w:tcPr>
            <w:tcW w:w="1020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5"/>
              </w:rPr>
            </w:pPr>
            <w:hyperlink r:id="rId79">
              <w:r>
                <w:rPr>
                  <w:rFonts w:ascii="Arial" w:cs="Arial" w:eastAsia="Arial" w:hAnsi="Arial"/>
                  <w:sz w:val="18"/>
                  <w:szCs w:val="18"/>
                  <w:color w:val="0000FF"/>
                  <w:w w:val="95"/>
                </w:rPr>
                <w:t>First Amendment to Seventh Amended and Restated Credit Agreement dated as of December 4, 2015, among Vail Holdings, Inc., as</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22"/>
            <w:shd w:val="clear" w:color="auto" w:fill="CCEEFF"/>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borrower, Bank of America N.A., as administrative agent, and the Lenders party thereto (Incorporated by reference to Exhibit 10.2 on Form</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21"/>
            <w:shd w:val="clear" w:color="auto" w:fill="CCEEFF"/>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10-Q of Vail Resorts, Inc. for the quarter ended October 31, 2015) (File Number 001-09614).</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117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175" w:right="239" w:bottom="1440" w:gutter="0" w:footer="0" w:header="0"/>
          <w:type w:val="continuous"/>
        </w:sectPr>
      </w:pPr>
    </w:p>
    <w:bookmarkStart w:id="100" w:name="page101"/>
    <w:bookmarkEnd w:id="100"/>
    <w:p>
      <w:pPr>
        <w:ind w:left="280"/>
        <w:spacing w:after="0"/>
        <w:rPr>
          <w:sz w:val="20"/>
          <w:szCs w:val="20"/>
          <w:color w:val="auto"/>
        </w:rPr>
      </w:pPr>
      <w:r>
        <w:rPr>
          <w:rFonts w:ascii="Arial" w:cs="Arial" w:eastAsia="Arial" w:hAnsi="Arial"/>
          <w:sz w:val="16"/>
          <w:szCs w:val="16"/>
          <w:b w:val="1"/>
          <w:bCs w:val="1"/>
          <w:color w:val="auto"/>
        </w:rPr>
        <w:t>Posted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Exhibit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10.17(c)</w:t>
      </w: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10.17(d)</w:t>
      </w: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10.17(e)</w:t>
      </w: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10.18(a)</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364" w:lineRule="exact"/>
        <w:rPr>
          <w:sz w:val="20"/>
          <w:szCs w:val="20"/>
          <w:color w:val="auto"/>
        </w:rPr>
      </w:pPr>
    </w:p>
    <w:p>
      <w:pPr>
        <w:jc w:val="both"/>
        <w:ind w:right="20"/>
        <w:spacing w:after="0" w:line="277" w:lineRule="auto"/>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Second Amendment to Seventh Amended and Restated Credit Agreement, dated October 14, 2016 (Incorporated by reference to Exhibit 10.1</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on Form 8-K of Vail Resorts, Inc. filed on October 17, 2016)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48895</wp:posOffset>
            </wp:positionV>
            <wp:extent cx="72466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69"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Third Amendment to Seventh Amended and Restated Credit Agreement, dated as of April 7, 2017, by and among Vail Holdings, Inc., Bank</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of America, N.A., as Administrative Agent, and the Lenders named therein (Incorporated by reference to Exhibit 10.3 on Form 10-Q of Vail</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Resorts, Inc. for the quarter ended April 30, 2017) (File Number 001-09614).</w:t>
        </w:r>
      </w:hyperlink>
    </w:p>
    <w:p>
      <w:pPr>
        <w:spacing w:after="0" w:line="19"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Fourth Amendment to Seventh Amended and Restated Credit Agreement, dated as of April 13, 2018, by and among Vail Holdings, Inc.,</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Bank of America, N.A., as Administrative Agent, and the Lenders named therein (Incorporated by reference to Exhibit 10.1 on Form 10-Q of</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Vail Resorts, Inc. for the quarter ended April 30, 2018) (File Number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4445</wp:posOffset>
            </wp:positionV>
            <wp:extent cx="7246620" cy="1200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4">
                      <a:extLst>
                        <a:ext uri="{28A0092B-C50C-407E-A947-70E740481C1C}"/>
                      </a:extLst>
                    </a:blip>
                    <a:srcRect/>
                    <a:stretch>
                      <a:fillRect/>
                    </a:stretch>
                  </pic:blipFill>
                  <pic:spPr bwMode="auto">
                    <a:xfrm>
                      <a:off x="0" y="0"/>
                      <a:ext cx="7246620" cy="1200785"/>
                    </a:xfrm>
                    <a:prstGeom prst="rect">
                      <a:avLst/>
                    </a:prstGeom>
                    <a:noFill/>
                  </pic:spPr>
                </pic:pic>
              </a:graphicData>
            </a:graphic>
          </wp:anchor>
        </w:drawing>
      </w:r>
    </w:p>
    <w:p>
      <w:pPr>
        <w:spacing w:after="0" w:line="80" w:lineRule="exact"/>
        <w:rPr>
          <w:rFonts w:ascii="Arial" w:cs="Arial" w:eastAsia="Arial" w:hAnsi="Arial"/>
          <w:sz w:val="18"/>
          <w:szCs w:val="18"/>
          <w:u w:val="single" w:color="auto"/>
          <w:color w:val="0000FF"/>
        </w:rPr>
      </w:pPr>
    </w:p>
    <w:p>
      <w:pPr>
        <w:jc w:val="both"/>
        <w:ind w:right="20"/>
        <w:spacing w:after="0" w:line="255" w:lineRule="auto"/>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Amended and Restated Credit Agreement and the amendments thereto, dated as of November 12, 2013, among Whistler Mountain Resort</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Limited Partnership and Blackcomb Skiing Enterprises Limited Partnership, as borrowers, the Guarantors Party thereto, the Financial</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Institutions named therein, The Toronto-Dominion Bank, as administrative agent, TD Securities, as lead arranger and sole bookrunner, and</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Royal Bank of Canada, Bank of Montreal, Wells Fargo Bank, N.A., Canadian Branch, and Bank of America, N.A., Canadian Branch, as co-</w:t>
        </w:r>
      </w:hyperlink>
      <w:hyperlink r:id="rId85">
        <w:r>
          <w:rPr>
            <w:rFonts w:ascii="Arial" w:cs="Arial" w:eastAsia="Arial" w:hAnsi="Arial"/>
            <w:sz w:val="18"/>
            <w:szCs w:val="18"/>
            <w:u w:val="single" w:color="auto"/>
            <w:color w:val="0000FF"/>
          </w:rPr>
          <w:t>documentation agents (Incorporated by reference to Exhibit 10.3 on Form 10-Q of Vail Resorts, Inc. for the quarter ended October 30, 2016)</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(File No. 001-09614).</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840" w:space="340"/>
            <w:col w:w="10220"/>
          </w:cols>
          <w:pgMar w:left="240" w:top="1175" w:right="259" w:bottom="1440" w:gutter="0" w:footer="0" w:header="0"/>
        </w:sectPr>
      </w:pPr>
    </w:p>
    <w:p>
      <w:pPr>
        <w:spacing w:after="0" w:line="290"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10.18(b)</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34" w:lineRule="exact"/>
        <w:rPr>
          <w:rFonts w:ascii="Arial" w:cs="Arial" w:eastAsia="Arial" w:hAnsi="Arial"/>
          <w:sz w:val="18"/>
          <w:szCs w:val="18"/>
          <w:u w:val="single" w:color="auto"/>
          <w:color w:val="0000FF"/>
        </w:rPr>
      </w:pPr>
    </w:p>
    <w:p>
      <w:pPr>
        <w:ind w:left="320"/>
        <w:spacing w:after="0"/>
        <w:rPr>
          <w:sz w:val="20"/>
          <w:szCs w:val="20"/>
          <w:color w:val="auto"/>
        </w:rPr>
      </w:pPr>
      <w:r>
        <w:rPr>
          <w:rFonts w:ascii="Arial" w:cs="Arial" w:eastAsia="Arial" w:hAnsi="Arial"/>
          <w:sz w:val="18"/>
          <w:szCs w:val="18"/>
          <w:color w:val="auto"/>
        </w:rPr>
        <w:t>10.19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70" w:lineRule="exact"/>
        <w:rPr>
          <w:rFonts w:ascii="Arial" w:cs="Arial" w:eastAsia="Arial" w:hAnsi="Arial"/>
          <w:sz w:val="18"/>
          <w:szCs w:val="18"/>
          <w:u w:val="single" w:color="auto"/>
          <w:color w:val="0000FF"/>
        </w:rPr>
      </w:pPr>
    </w:p>
    <w:p>
      <w:pPr>
        <w:jc w:val="both"/>
        <w:spacing w:after="0" w:line="259" w:lineRule="auto"/>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Third Amending Agreement, dated as of February 10, 2017, among Whistler Mountain Resort Limited Partnership and Blackcomb Skiing</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Enterprises Limited Partnership, as borrowers, the Guarantors Party thereto, and The Toronto-Dominion Bank, as administrative agent, on its</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own behalf and on behalf of the Lenders (Incorporated by reference to Exhibit 10.1 on Form 10-Q of Vail Resorts, Inc. for the quarter ended</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January 31, 2017)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7620</wp:posOffset>
            </wp:positionV>
            <wp:extent cx="7246620" cy="788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7">
                      <a:extLst>
                        <a:ext uri="{28A0092B-C50C-407E-A947-70E740481C1C}"/>
                      </a:extLst>
                    </a:blip>
                    <a:srcRect/>
                    <a:stretch>
                      <a:fillRect/>
                    </a:stretch>
                  </pic:blipFill>
                  <pic:spPr bwMode="auto">
                    <a:xfrm>
                      <a:off x="0" y="0"/>
                      <a:ext cx="7246620" cy="788670"/>
                    </a:xfrm>
                    <a:prstGeom prst="rect">
                      <a:avLst/>
                    </a:prstGeom>
                    <a:noFill/>
                  </pic:spPr>
                </pic:pic>
              </a:graphicData>
            </a:graphic>
          </wp:anchor>
        </w:drawing>
      </w:r>
    </w:p>
    <w:p>
      <w:pPr>
        <w:spacing w:after="0" w:line="86"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Whistler Mountain Master Development Agreement, dated as of February 23, 2017, between Her Majesty the Queen in Right of the Province</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of British Columbia and Whistler Mountain Resort Limited Partnership (Incorporated by reference to Exhibit 10.1 on Form 8-K of Vail</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Resorts, Inc. filed on February 27, 2017) (File No. 001-09614).</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840" w:space="340"/>
            <w:col w:w="10220"/>
          </w:cols>
          <w:pgMar w:left="240" w:top="1175" w:right="259" w:bottom="1440" w:gutter="0" w:footer="0" w:header="0"/>
          <w:type w:val="continuous"/>
        </w:sectPr>
      </w:pPr>
    </w:p>
    <w:p>
      <w:pPr>
        <w:spacing w:after="0" w:line="278" w:lineRule="exact"/>
        <w:rPr>
          <w:rFonts w:ascii="Arial" w:cs="Arial" w:eastAsia="Arial" w:hAnsi="Arial"/>
          <w:sz w:val="18"/>
          <w:szCs w:val="18"/>
          <w:u w:val="single" w:color="auto"/>
          <w:color w:val="0000FF"/>
        </w:rPr>
      </w:pPr>
    </w:p>
    <w:p>
      <w:pPr>
        <w:jc w:val="both"/>
        <w:ind w:left="1180" w:hanging="857"/>
        <w:spacing w:after="0" w:line="264"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89">
        <w:r>
          <w:rPr>
            <w:rFonts w:ascii="Arial" w:cs="Arial" w:eastAsia="Arial" w:hAnsi="Arial"/>
            <w:sz w:val="18"/>
            <w:szCs w:val="18"/>
            <w:u w:val="single" w:color="auto"/>
            <w:color w:val="0000FF"/>
          </w:rPr>
          <w:t>Blackcomb Mountain Master Development Agreement, dated as of February 23, 2017, between Her Majesty the Queen in Right of the</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Province of British Columbia and Blackcomb Skiing Enterprises Limited Partnership (Incorporated by reference to Exhibit 10.2 on Form 8-</w:t>
        </w:r>
      </w:hyperlink>
      <w:hyperlink r:id="rId89">
        <w:r>
          <w:rPr>
            <w:rFonts w:ascii="Arial" w:cs="Arial" w:eastAsia="Arial" w:hAnsi="Arial"/>
            <w:sz w:val="18"/>
            <w:szCs w:val="18"/>
            <w:u w:val="single" w:color="auto"/>
            <w:color w:val="0000FF"/>
          </w:rPr>
          <w:t>K of Vail Resorts, Inc. filed on February 27, 2017) (File No. 001-09614).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180" w:hanging="742"/>
        <w:spacing w:after="0"/>
        <w:tabs>
          <w:tab w:leader="none" w:pos="1180" w:val="left"/>
        </w:tabs>
        <w:numPr>
          <w:ilvl w:val="0"/>
          <w:numId w:val="62"/>
        </w:numPr>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Subsidiaries of Vail Resorts, Inc.</w:t>
        </w:r>
      </w:hyperlink>
    </w:p>
    <w:p>
      <w:pPr>
        <w:spacing w:after="0" w:line="63" w:lineRule="exact"/>
        <w:rPr>
          <w:rFonts w:ascii="Arial" w:cs="Arial" w:eastAsia="Arial" w:hAnsi="Arial"/>
          <w:sz w:val="18"/>
          <w:szCs w:val="18"/>
          <w:u w:val="single" w:color="auto"/>
          <w:color w:val="0000FF"/>
        </w:rPr>
      </w:pPr>
    </w:p>
    <w:p>
      <w:pPr>
        <w:ind w:left="1180" w:hanging="742"/>
        <w:spacing w:after="0"/>
        <w:tabs>
          <w:tab w:leader="none" w:pos="1180" w:val="left"/>
        </w:tabs>
        <w:numPr>
          <w:ilvl w:val="0"/>
          <w:numId w:val="63"/>
        </w:numPr>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Consent of Independent Registered Public Accounting Firm.</w:t>
        </w:r>
      </w:hyperlink>
    </w:p>
    <w:p>
      <w:pPr>
        <w:spacing w:after="0" w:line="63" w:lineRule="exact"/>
        <w:rPr>
          <w:rFonts w:ascii="Arial" w:cs="Arial" w:eastAsia="Arial" w:hAnsi="Arial"/>
          <w:sz w:val="18"/>
          <w:szCs w:val="18"/>
          <w:u w:val="single" w:color="auto"/>
          <w:color w:val="0000FF"/>
        </w:rPr>
      </w:pPr>
    </w:p>
    <w:p>
      <w:pPr>
        <w:ind w:left="1180" w:hanging="742"/>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Power of Attorney. Included on signature pages hereto.</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38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15">
        <w:r>
          <w:rPr>
            <w:rFonts w:ascii="Arial" w:cs="Arial" w:eastAsia="Arial" w:hAnsi="Arial"/>
            <w:sz w:val="16"/>
            <w:szCs w:val="16"/>
            <w:u w:val="single" w:color="auto"/>
            <w:color w:val="0000FF"/>
          </w:rPr>
          <w:t>Certification of Chief Executive Officer pursuant to Section 302 of 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38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16">
        <w:r>
          <w:rPr>
            <w:rFonts w:ascii="Arial" w:cs="Arial" w:eastAsia="Arial" w:hAnsi="Arial"/>
            <w:sz w:val="16"/>
            <w:szCs w:val="16"/>
            <w:u w:val="single" w:color="auto"/>
            <w:color w:val="0000FF"/>
          </w:rPr>
          <w:t>Certification of Chief Financial Officer pursuant to Section 302 of the Sarbanes-Oxley Act of 2002.</w:t>
        </w:r>
      </w:hyperlink>
    </w:p>
    <w:p>
      <w:pPr>
        <w:spacing w:after="0" w:line="63" w:lineRule="exact"/>
        <w:rPr>
          <w:rFonts w:ascii="Arial" w:cs="Arial" w:eastAsia="Arial" w:hAnsi="Arial"/>
          <w:sz w:val="18"/>
          <w:szCs w:val="18"/>
          <w:u w:val="single" w:color="auto"/>
          <w:color w:val="0000FF"/>
        </w:rPr>
      </w:pPr>
    </w:p>
    <w:p>
      <w:pPr>
        <w:ind w:left="1180" w:hanging="742"/>
        <w:spacing w:after="0" w:line="277" w:lineRule="auto"/>
        <w:tabs>
          <w:tab w:leader="none" w:pos="1180" w:val="left"/>
        </w:tabs>
        <w:numPr>
          <w:ilvl w:val="0"/>
          <w:numId w:val="64"/>
        </w:numPr>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Certifications of Chief Executive Officer and Chief Financial Officer pursuant to 18 U.S.C. Section 1350 as adopted pursuant to Section 906</w:t>
        </w:r>
      </w:hyperlink>
      <w:r>
        <w:rPr>
          <w:rFonts w:ascii="Arial" w:cs="Arial" w:eastAsia="Arial" w:hAnsi="Arial"/>
          <w:sz w:val="18"/>
          <w:szCs w:val="18"/>
          <w:u w:val="single" w:color="auto"/>
          <w:color w:val="0000FF"/>
        </w:rPr>
        <w:t xml:space="preserve"> </w:t>
      </w:r>
      <w:hyperlink w:anchor="page117">
        <w:r>
          <w:rPr>
            <w:rFonts w:ascii="Arial" w:cs="Arial" w:eastAsia="Arial" w:hAnsi="Arial"/>
            <w:sz w:val="18"/>
            <w:szCs w:val="18"/>
            <w:u w:val="single" w:color="auto"/>
            <w:color w:val="0000FF"/>
          </w:rPr>
          <w:t>of the Sarbanes-Oxley Act of 2002.</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57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3">
                      <a:extLst>
                        <a:ext uri="{28A0092B-C50C-407E-A947-70E740481C1C}"/>
                      </a:extLst>
                    </a:blip>
                    <a:srcRect/>
                    <a:stretch>
                      <a:fillRect/>
                    </a:stretch>
                  </pic:blipFill>
                  <pic:spPr bwMode="auto">
                    <a:xfrm>
                      <a:off x="0" y="0"/>
                      <a:ext cx="7246620" cy="857885"/>
                    </a:xfrm>
                    <a:prstGeom prst="rect">
                      <a:avLst/>
                    </a:prstGeom>
                    <a:noFill/>
                  </pic:spPr>
                </pic:pic>
              </a:graphicData>
            </a:graphic>
          </wp:anchor>
        </w:drawing>
      </w:r>
    </w:p>
    <w:p>
      <w:pPr>
        <w:jc w:val="both"/>
        <w:ind w:left="1180" w:hanging="787"/>
        <w:spacing w:after="0" w:line="286" w:lineRule="auto"/>
        <w:tabs>
          <w:tab w:leader="none" w:pos="1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following information from the Company’s Year End Report on Form 10-K for the year ended July 31, 2018 formatted in eXtensible Business Reporting Language: (i) Consolidated Balance Sheets as of July 31, 2018 and July 31, 2017; (ii) Consolidated Statements of Operations as of July 31, 2018, July 31, 2017 and July 31, 2016; (iii) Consolidated Statements of Comprehensive Income as of July 31, 2018, July 31, 2017 and July 31, 2016; (iv) Consolidated Statements of Stockholders’ Equity as of July 31, 2018, July 31, 2017 and July 31, 2016</w:t>
      </w:r>
    </w:p>
    <w:p>
      <w:pPr>
        <w:spacing w:after="0" w:line="1" w:lineRule="exact"/>
        <w:rPr>
          <w:rFonts w:ascii="Arial" w:cs="Arial" w:eastAsia="Arial" w:hAnsi="Arial"/>
          <w:sz w:val="16"/>
          <w:szCs w:val="16"/>
          <w:color w:val="auto"/>
        </w:rPr>
      </w:pPr>
    </w:p>
    <w:p>
      <w:pPr>
        <w:ind w:left="1180"/>
        <w:spacing w:after="0" w:line="261" w:lineRule="auto"/>
        <w:rPr>
          <w:rFonts w:ascii="Arial" w:cs="Arial" w:eastAsia="Arial" w:hAnsi="Arial"/>
          <w:sz w:val="16"/>
          <w:szCs w:val="16"/>
          <w:color w:val="auto"/>
        </w:rPr>
      </w:pPr>
      <w:r>
        <w:rPr>
          <w:rFonts w:ascii="Arial" w:cs="Arial" w:eastAsia="Arial" w:hAnsi="Arial"/>
          <w:sz w:val="18"/>
          <w:szCs w:val="18"/>
          <w:color w:val="auto"/>
        </w:rPr>
        <w:t>(v) Consolidated Statements of Cash Flows as of July 31, 2018, July 31, 2017 and July 31, 2016; and (vi) Notes to the Consolidated Financial Statements.</w:t>
      </w:r>
    </w:p>
    <w:p>
      <w:pPr>
        <w:spacing w:after="0" w:line="7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contracts and compensatory plans and arrangements.</w:t>
      </w:r>
    </w:p>
    <w:p>
      <w:pPr>
        <w:spacing w:after="0" w:line="221" w:lineRule="exact"/>
        <w:rPr>
          <w:rFonts w:ascii="Arial" w:cs="Arial" w:eastAsia="Arial" w:hAnsi="Arial"/>
          <w:sz w:val="18"/>
          <w:szCs w:val="18"/>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00"/>
          </w:cols>
          <w:pgMar w:left="240" w:top="1175" w:right="259" w:bottom="1440" w:gutter="0" w:footer="0" w:header="0"/>
          <w:type w:val="continuous"/>
        </w:sect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00"/>
          </w:cols>
          <w:pgMar w:left="240" w:top="1175" w:right="25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Date: September 28, 2018</w:t>
            </w: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594"/>
        </w:trPr>
        <w:tc>
          <w:tcPr>
            <w:tcW w:w="4760" w:type="dxa"/>
            <w:vAlign w:val="bottom"/>
          </w:tcPr>
          <w:p>
            <w:pPr>
              <w:ind w:left="4280"/>
              <w:spacing w:after="0"/>
              <w:rPr>
                <w:sz w:val="20"/>
                <w:szCs w:val="20"/>
                <w:color w:val="auto"/>
              </w:rPr>
            </w:pPr>
            <w:r>
              <w:rPr>
                <w:rFonts w:ascii="Arial" w:cs="Arial" w:eastAsia="Arial" w:hAnsi="Arial"/>
                <w:sz w:val="18"/>
                <w:szCs w:val="18"/>
                <w:color w:val="auto"/>
              </w:rPr>
              <w:t>By:</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/s/ Michael Z. Barkin</w:t>
            </w:r>
          </w:p>
        </w:tc>
      </w:tr>
      <w:tr>
        <w:trPr>
          <w:trHeight w:val="27"/>
        </w:trPr>
        <w:tc>
          <w:tcPr>
            <w:tcW w:w="47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Michael Z. Barkin</w:t>
            </w:r>
          </w:p>
        </w:tc>
      </w:tr>
      <w:tr>
        <w:trPr>
          <w:trHeight w:val="256"/>
        </w:trPr>
        <w:tc>
          <w:tcPr>
            <w:tcW w:w="4760" w:type="dxa"/>
            <w:vAlign w:val="bottom"/>
          </w:tcPr>
          <w:p>
            <w:pPr>
              <w:spacing w:after="0"/>
              <w:rPr>
                <w:sz w:val="22"/>
                <w:szCs w:val="22"/>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0"/>
              </w:rPr>
              <w:t>Executive Vice President and</w:t>
            </w:r>
          </w:p>
        </w:tc>
      </w:tr>
      <w:tr>
        <w:trPr>
          <w:trHeight w:val="216"/>
        </w:trPr>
        <w:tc>
          <w:tcPr>
            <w:tcW w:w="47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594"/>
        </w:trPr>
        <w:tc>
          <w:tcPr>
            <w:tcW w:w="4760" w:type="dxa"/>
            <w:vAlign w:val="bottom"/>
          </w:tcPr>
          <w:p>
            <w:pPr>
              <w:spacing w:after="0"/>
              <w:rPr>
                <w:sz w:val="20"/>
                <w:szCs w:val="20"/>
                <w:color w:val="auto"/>
              </w:rPr>
            </w:pPr>
            <w:r>
              <w:rPr>
                <w:rFonts w:ascii="Arial" w:cs="Arial" w:eastAsia="Arial" w:hAnsi="Arial"/>
                <w:sz w:val="18"/>
                <w:szCs w:val="18"/>
                <w:color w:val="auto"/>
              </w:rPr>
              <w:t>Date: September 28, 2018</w:t>
            </w: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594"/>
        </w:trPr>
        <w:tc>
          <w:tcPr>
            <w:tcW w:w="4760" w:type="dxa"/>
            <w:vAlign w:val="bottom"/>
          </w:tcPr>
          <w:p>
            <w:pPr>
              <w:ind w:left="4280"/>
              <w:spacing w:after="0"/>
              <w:rPr>
                <w:sz w:val="20"/>
                <w:szCs w:val="20"/>
                <w:color w:val="auto"/>
              </w:rPr>
            </w:pPr>
            <w:r>
              <w:rPr>
                <w:rFonts w:ascii="Arial" w:cs="Arial" w:eastAsia="Arial" w:hAnsi="Arial"/>
                <w:sz w:val="18"/>
                <w:szCs w:val="18"/>
                <w:color w:val="auto"/>
              </w:rPr>
              <w:t>By:</w:t>
            </w:r>
          </w:p>
        </w:tc>
        <w:tc>
          <w:tcPr>
            <w:tcW w:w="5180" w:type="dxa"/>
            <w:vAlign w:val="bottom"/>
          </w:tcPr>
          <w:p>
            <w:pPr>
              <w:jc w:val="center"/>
              <w:spacing w:after="0"/>
              <w:rPr>
                <w:sz w:val="20"/>
                <w:szCs w:val="20"/>
                <w:color w:val="auto"/>
              </w:rPr>
            </w:pPr>
            <w:r>
              <w:rPr>
                <w:rFonts w:ascii="Arial" w:cs="Arial" w:eastAsia="Arial" w:hAnsi="Arial"/>
                <w:sz w:val="18"/>
                <w:szCs w:val="18"/>
                <w:color w:val="auto"/>
                <w:w w:val="90"/>
              </w:rPr>
              <w:t>/s/ Ryan H. Siurek</w:t>
            </w:r>
          </w:p>
        </w:tc>
      </w:tr>
      <w:tr>
        <w:trPr>
          <w:trHeight w:val="27"/>
        </w:trPr>
        <w:tc>
          <w:tcPr>
            <w:tcW w:w="47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0"/>
              </w:rPr>
              <w:t>Ryan H. Siurek</w:t>
            </w:r>
          </w:p>
        </w:tc>
      </w:tr>
      <w:tr>
        <w:trPr>
          <w:trHeight w:val="256"/>
        </w:trPr>
        <w:tc>
          <w:tcPr>
            <w:tcW w:w="4760" w:type="dxa"/>
            <w:vAlign w:val="bottom"/>
          </w:tcPr>
          <w:p>
            <w:pPr>
              <w:spacing w:after="0"/>
              <w:rPr>
                <w:sz w:val="22"/>
                <w:szCs w:val="22"/>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Senior Vice President, Controller and</w:t>
            </w:r>
          </w:p>
        </w:tc>
      </w:tr>
      <w:tr>
        <w:trPr>
          <w:trHeight w:val="216"/>
        </w:trPr>
        <w:tc>
          <w:tcPr>
            <w:tcW w:w="47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30"/>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person whose signature appears below hereby constitutes and appoints Michael Z. Barkin or Ryan H. Siurek his or her true and lawful attorney-in-fact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September 28,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013" w:right="239" w:bottom="1440" w:gutter="0" w:footer="0" w:header="0"/>
        </w:sectPr>
      </w:pPr>
    </w:p>
    <w:bookmarkStart w:id="102" w:name="page103"/>
    <w:bookmarkEnd w:id="102"/>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3"/>
              </w:rPr>
              <w:t>/s/ Robert A. Katz</w:t>
            </w:r>
          </w:p>
        </w:tc>
        <w:tc>
          <w:tcPr>
            <w:tcW w:w="6440" w:type="dxa"/>
            <w:vAlign w:val="bottom"/>
          </w:tcPr>
          <w:p>
            <w:pPr>
              <w:jc w:val="center"/>
              <w:ind w:left="570"/>
              <w:spacing w:after="0"/>
              <w:rPr>
                <w:sz w:val="20"/>
                <w:szCs w:val="20"/>
                <w:color w:val="auto"/>
              </w:rPr>
            </w:pPr>
            <w:r>
              <w:rPr>
                <w:rFonts w:ascii="Arial" w:cs="Arial" w:eastAsia="Arial" w:hAnsi="Arial"/>
                <w:sz w:val="18"/>
                <w:szCs w:val="18"/>
                <w:color w:val="auto"/>
                <w:w w:val="92"/>
              </w:rPr>
              <w:t>Chief Executive Officer and Chairman of the Board</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3"/>
              </w:rPr>
              <w:t>Robert A. Katz</w:t>
            </w:r>
          </w:p>
        </w:tc>
        <w:tc>
          <w:tcPr>
            <w:tcW w:w="6440" w:type="dxa"/>
            <w:vAlign w:val="bottom"/>
          </w:tcPr>
          <w:p>
            <w:pPr>
              <w:jc w:val="center"/>
              <w:ind w:left="57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594"/>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4"/>
              </w:rPr>
              <w:t>/s/ Michael Z. Barkin</w:t>
            </w:r>
          </w:p>
        </w:tc>
        <w:tc>
          <w:tcPr>
            <w:tcW w:w="6440" w:type="dxa"/>
            <w:vAlign w:val="bottom"/>
            <w:vMerge w:val="restart"/>
          </w:tcPr>
          <w:p>
            <w:pPr>
              <w:jc w:val="center"/>
              <w:ind w:left="550"/>
              <w:spacing w:after="0"/>
              <w:rPr>
                <w:sz w:val="20"/>
                <w:szCs w:val="20"/>
                <w:color w:val="auto"/>
              </w:rPr>
            </w:pPr>
            <w:r>
              <w:rPr>
                <w:rFonts w:ascii="Arial" w:cs="Arial" w:eastAsia="Arial" w:hAnsi="Arial"/>
                <w:sz w:val="18"/>
                <w:szCs w:val="18"/>
                <w:color w:val="auto"/>
                <w:w w:val="92"/>
              </w:rPr>
              <w:t>Executive Vice President and Chief Financial Officer</w:t>
            </w: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6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3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4"/>
              </w:rPr>
              <w:t>Michael Z. Barkin</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594"/>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0"/>
              </w:rPr>
              <w:t>/s/ Ryan H. Siurek</w:t>
            </w:r>
          </w:p>
        </w:tc>
        <w:tc>
          <w:tcPr>
            <w:tcW w:w="6440" w:type="dxa"/>
            <w:vAlign w:val="bottom"/>
            <w:vMerge w:val="restart"/>
          </w:tcPr>
          <w:p>
            <w:pPr>
              <w:jc w:val="center"/>
              <w:ind w:left="570"/>
              <w:spacing w:after="0"/>
              <w:rPr>
                <w:sz w:val="20"/>
                <w:szCs w:val="20"/>
                <w:color w:val="auto"/>
              </w:rPr>
            </w:pPr>
            <w:r>
              <w:rPr>
                <w:rFonts w:ascii="Arial" w:cs="Arial" w:eastAsia="Arial" w:hAnsi="Arial"/>
                <w:sz w:val="18"/>
                <w:szCs w:val="18"/>
                <w:color w:val="auto"/>
                <w:w w:val="92"/>
              </w:rPr>
              <w:t>Senior Vice President, Controller and Chief Accounting Officer</w:t>
            </w: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6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3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2"/>
              </w:rPr>
              <w:t>Ryan H. Siurek</w:t>
            </w:r>
          </w:p>
        </w:tc>
        <w:tc>
          <w:tcPr>
            <w:tcW w:w="6440" w:type="dxa"/>
            <w:vAlign w:val="bottom"/>
          </w:tcPr>
          <w:p>
            <w:pPr>
              <w:jc w:val="center"/>
              <w:ind w:left="570"/>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56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89"/>
              </w:rPr>
              <w:t>/s/ Susan L. Decker</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0"/>
              </w:rPr>
              <w:t>Susan L. Decker</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6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0"/>
              </w:rPr>
              <w:t>/s/ Roland A. Hernandez</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0"/>
              </w:rPr>
              <w:t>Roland A. Hernandez</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94"/>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88"/>
              </w:rPr>
              <w:t>/s/ John T. Redmond</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89"/>
              </w:rPr>
              <w:t>John T. Redmond</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94"/>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2"/>
              </w:rPr>
              <w:t>/s/ Michele Romanow</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3"/>
              </w:rPr>
              <w:t>Michele Romanow</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6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3"/>
              </w:rPr>
              <w:t>/s/ Hilary A. Schneider</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3"/>
              </w:rPr>
              <w:t>Hilary A. Schneider</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94"/>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92"/>
              </w:rPr>
              <w:t>/s/ D. Bruce Sewell</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92"/>
              </w:rPr>
              <w:t>D. Bruce Sewell</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6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87"/>
              </w:rPr>
              <w:t>/s/ John F. Sorte</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86"/>
              </w:rPr>
              <w:t>John F. Sorte</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67"/>
        </w:trPr>
        <w:tc>
          <w:tcPr>
            <w:tcW w:w="4300" w:type="dxa"/>
            <w:vAlign w:val="bottom"/>
          </w:tcPr>
          <w:p>
            <w:pPr>
              <w:jc w:val="center"/>
              <w:ind w:left="570"/>
              <w:spacing w:after="0"/>
              <w:rPr>
                <w:sz w:val="20"/>
                <w:szCs w:val="20"/>
                <w:color w:val="auto"/>
              </w:rPr>
            </w:pPr>
            <w:r>
              <w:rPr>
                <w:rFonts w:ascii="Arial" w:cs="Arial" w:eastAsia="Arial" w:hAnsi="Arial"/>
                <w:sz w:val="18"/>
                <w:szCs w:val="18"/>
                <w:color w:val="auto"/>
                <w:w w:val="89"/>
              </w:rPr>
              <w:t>/s/ Peter A. Vaughn</w:t>
            </w:r>
          </w:p>
        </w:tc>
        <w:tc>
          <w:tcPr>
            <w:tcW w:w="6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jc w:val="center"/>
              <w:ind w:left="550"/>
              <w:spacing w:after="0"/>
              <w:rPr>
                <w:sz w:val="20"/>
                <w:szCs w:val="20"/>
                <w:color w:val="auto"/>
              </w:rPr>
            </w:pPr>
            <w:r>
              <w:rPr>
                <w:rFonts w:ascii="Arial" w:cs="Arial" w:eastAsia="Arial" w:hAnsi="Arial"/>
                <w:sz w:val="18"/>
                <w:szCs w:val="18"/>
                <w:color w:val="auto"/>
                <w:w w:val="89"/>
              </w:rPr>
              <w:t>Peter A. Vaughn</w:t>
            </w:r>
          </w:p>
        </w:tc>
        <w:tc>
          <w:tcPr>
            <w:tcW w:w="6440" w:type="dxa"/>
            <w:vAlign w:val="bottom"/>
          </w:tcPr>
          <w:p>
            <w:pPr>
              <w:jc w:val="center"/>
              <w:ind w:left="5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86"/>
        </w:trPr>
        <w:tc>
          <w:tcPr>
            <w:tcW w:w="4300" w:type="dxa"/>
            <w:vAlign w:val="bottom"/>
          </w:tcPr>
          <w:p>
            <w:pPr>
              <w:spacing w:after="0"/>
              <w:rPr>
                <w:sz w:val="24"/>
                <w:szCs w:val="24"/>
                <w:color w:val="auto"/>
              </w:rPr>
            </w:pPr>
          </w:p>
        </w:tc>
        <w:tc>
          <w:tcPr>
            <w:tcW w:w="6440" w:type="dxa"/>
            <w:vAlign w:val="bottom"/>
          </w:tcPr>
          <w:p>
            <w:pPr>
              <w:jc w:val="right"/>
              <w:ind w:right="515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ectPr>
          <w:pgSz w:w="11900" w:h="16838" w:orient="portrait"/>
          <w:cols w:equalWidth="0" w:num="1">
            <w:col w:w="10740"/>
          </w:cols>
          <w:pgMar w:left="580" w:top="1440" w:right="579" w:bottom="1440" w:gutter="0" w:footer="0" w:header="0"/>
        </w:sectPr>
      </w:pPr>
    </w:p>
    <w:bookmarkStart w:id="103" w:name="page104"/>
    <w:bookmarkEnd w:id="103"/>
    <w:p>
      <w:pPr>
        <w:ind w:left="10620"/>
        <w:spacing w:after="0"/>
        <w:rPr>
          <w:sz w:val="20"/>
          <w:szCs w:val="20"/>
          <w:color w:val="auto"/>
        </w:rPr>
      </w:pPr>
      <w:r>
        <w:rPr>
          <w:rFonts w:ascii="Arial" w:cs="Arial" w:eastAsia="Arial" w:hAnsi="Arial"/>
          <w:sz w:val="17"/>
          <w:szCs w:val="17"/>
          <w:b w:val="1"/>
          <w:bCs w:val="1"/>
          <w:color w:val="auto"/>
        </w:rPr>
        <w:t>Exhibit 21</w:t>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 xml:space="preserve">SUBSIDIARIES </w:t>
      </w:r>
      <w:r>
        <w:rPr>
          <w:rFonts w:ascii="Arial" w:cs="Arial" w:eastAsia="Arial" w:hAnsi="Arial"/>
          <w:sz w:val="28"/>
          <w:szCs w:val="28"/>
          <w:b w:val="1"/>
          <w:bCs w:val="1"/>
          <w:color w:val="auto"/>
          <w:vertAlign w:val="superscript"/>
        </w:rPr>
        <w:t>1</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OF</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VAIL RESORTS, INC</w:t>
      </w:r>
      <w:r>
        <w:rPr>
          <w:rFonts w:ascii="Arial" w:cs="Arial" w:eastAsia="Arial" w:hAnsi="Arial"/>
          <w:sz w:val="22"/>
          <w:szCs w:val="22"/>
          <w:color w:val="auto"/>
        </w:rPr>
        <w:t>.</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380" w:type="dxa"/>
            <w:vAlign w:val="bottom"/>
            <w:tcBorders>
              <w:top w:val="single" w:sz="8" w:color="auto"/>
              <w:left w:val="single" w:sz="8" w:color="auto"/>
              <w:right w:val="single" w:sz="8" w:color="auto"/>
            </w:tcBorders>
          </w:tcPr>
          <w:p>
            <w:pPr>
              <w:spacing w:after="0"/>
              <w:rPr>
                <w:sz w:val="19"/>
                <w:szCs w:val="19"/>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5"/>
              </w:rPr>
              <w:t>STATE OF</w:t>
            </w:r>
          </w:p>
        </w:tc>
        <w:tc>
          <w:tcPr>
            <w:tcW w:w="4780" w:type="dxa"/>
            <w:vAlign w:val="bottom"/>
            <w:tcBorders>
              <w:top w:val="single" w:sz="8" w:color="auto"/>
              <w:right w:val="single" w:sz="8" w:color="auto"/>
            </w:tcBorders>
          </w:tcPr>
          <w:p>
            <w:pPr>
              <w:spacing w:after="0"/>
              <w:rPr>
                <w:sz w:val="19"/>
                <w:szCs w:val="19"/>
                <w:color w:val="auto"/>
              </w:rPr>
            </w:pPr>
          </w:p>
        </w:tc>
      </w:tr>
      <w:tr>
        <w:trPr>
          <w:trHeight w:val="216"/>
        </w:trPr>
        <w:tc>
          <w:tcPr>
            <w:tcW w:w="438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9"/>
                <w:szCs w:val="19"/>
                <w:b w:val="1"/>
                <w:bCs w:val="1"/>
                <w:color w:val="auto"/>
              </w:rPr>
              <w:t>NAME</w:t>
            </w:r>
          </w:p>
        </w:tc>
        <w:tc>
          <w:tcPr>
            <w:tcW w:w="2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9"/>
                <w:szCs w:val="19"/>
                <w:b w:val="1"/>
                <w:bCs w:val="1"/>
                <w:color w:val="auto"/>
              </w:rPr>
              <w:t>INCORPORATION/</w:t>
            </w:r>
          </w:p>
        </w:tc>
        <w:tc>
          <w:tcPr>
            <w:tcW w:w="47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19"/>
                <w:szCs w:val="19"/>
                <w:b w:val="1"/>
                <w:bCs w:val="1"/>
                <w:color w:val="auto"/>
              </w:rPr>
              <w:t>DOING BUSINESS AS</w:t>
            </w:r>
          </w:p>
        </w:tc>
      </w:tr>
      <w:tr>
        <w:trPr>
          <w:trHeight w:val="246"/>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FORMATION</w:t>
            </w:r>
          </w:p>
        </w:tc>
        <w:tc>
          <w:tcPr>
            <w:tcW w:w="4780" w:type="dxa"/>
            <w:vAlign w:val="bottom"/>
            <w:tcBorders>
              <w:right w:val="single" w:sz="8" w:color="auto"/>
            </w:tcBorders>
          </w:tcPr>
          <w:p>
            <w:pPr>
              <w:spacing w:after="0"/>
              <w:rPr>
                <w:sz w:val="21"/>
                <w:szCs w:val="21"/>
                <w:color w:val="auto"/>
              </w:rPr>
            </w:pPr>
          </w:p>
        </w:tc>
      </w:tr>
      <w:tr>
        <w:trPr>
          <w:trHeight w:val="25"/>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1089881 B.C.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AFFINITY SNOWSPORTS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ALL MEDIA ASSOCIATES,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California</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MOUNTAIN NEWS CORPORATION</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MOUNTAIN NEWS</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ALL MEDIA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ARRABELLE AT VAIL SQUARE,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AVON PARTNERS II LIMITED LIABILITY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BCRP,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BEAVER CREEK ASSOCIATES,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BEANO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HAY MEADOW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LATIGO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MCCOY PARK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RED TAIL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SPRUCE SADDLE RESTAURANT</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STRAWBERRY PARK AT BEAVER CREEK</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BEAVER CREEK CONSULTANTS,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BEAVER CREEK FOOD SERVICES,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BACHELOR GULCH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BEANO’S CABIN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CREPES AND COOKIES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CANDY CABIN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GUNDER’S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TALONS</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 DIAMOND INSURANCE,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Arizona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BLACKCOMB MOUNTAIN DEVELOPMENT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LTD.</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9"/>
              </w:rPr>
              <w:t>BLACKCOMB SKIING ENTERPRISES LIMITED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PARTNERSHIP</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BLACKCOMB SKIING ENTERPRISES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BOOTH CREEK SKI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BRECKENRIDGE RESORT PROPERTIES,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BRECKENRIDGE RESORT PROPERTIES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RESORTS PROPERTY</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MANAGEMENT</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BRECKENRIDGE TERRACE,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7"/>
              </w:rPr>
              <w:t>COLORADO MOUNTAIN EXPRESS, INC. (F/K/A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CME</w:t>
            </w:r>
          </w:p>
        </w:tc>
      </w:tr>
      <w:tr>
        <w:trPr>
          <w:trHeight w:val="257"/>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DELIVERY ACQUISITION, INC.)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CMECOUPONS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CMECOUPONS.COM</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CME DESTINATIONS WEST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CME PARTNERS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CME PREMIER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COLORADO MOUNTAIN EXPRESS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EPIC MOUNTAIN EXPRESS DESTINATIONS WEST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PREMIER VIP TRANSPORTATION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RESORT EXPRESS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ART GUIDE</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DINING GUIDE</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634" w:right="219" w:bottom="1440" w:gutter="0" w:footer="0" w:header="0"/>
        </w:sectPr>
      </w:pPr>
    </w:p>
    <w:bookmarkStart w:id="104" w:name="page105"/>
    <w:bookmarkEnd w:id="1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COLORADO MOUNTAIN EXPRESS,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SKIER'S CONNECTION</w:t>
            </w:r>
          </w:p>
        </w:tc>
      </w:tr>
      <w:tr>
        <w:trPr>
          <w:trHeight w:val="23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(continued)</w:t>
            </w: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TRANSPORTATION MANAGEMENT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SYSTEMS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WHEELS OF FORTUNE</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COLTER BAY CAFÉ COURT,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COLTER BAY CONVENIENCE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STORE, LLC</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COLTER BAY CORPORATION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COLTER BAY GENERAL STORE,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COLTER BAY MARINA,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CRANKWORX EVENTS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9"/>
              </w:rPr>
              <w:t>CRYSTAL PEAK LODGE OF BRECKENRIDGE,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CRYSTAL PEAK LODGE</w:t>
            </w: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INC.</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81"/>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DTPC,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DT PARK CITY HOTEL</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INTELLIGENTSIA</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ROOTS GRILL</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VERTICAL LOUNGE</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YARROW HOTEL</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EPICSKI,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Montana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EVER VAIL,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FIRST CHAIR HOUSING TRUSTEE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FLAGG RANCH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FOREST RIDGE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GARIBALDI LIFTS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GILLETT BROADCASTING,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GORE CREEK PLACE,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GRAND TETON LODGE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GREATER PARK CITY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Utah</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GREATER PARK CITY CORPORATION</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PARK CITY MOUNTAIN RESORT</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GREATER PROPERTIES,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GROS VENTRE UTILITY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HEAVENLY VALLEY, LIMITED PARTNERSHIP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Nevada</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BUB'S PUB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EXPEDITION KIRKWOOD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HEAVENLY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 CENTRAL RESERVATIONS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 GENERAL STORE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 INN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 MOUNTAIN OUTFITTERS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 SERVICE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 SKI AND SUMMER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 SKI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MONTE WOLFS MOUNTAIN KITCHEN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OFF THE WALL BAR AND GRILL</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TIMBER CREEK</w:t>
            </w:r>
          </w:p>
        </w:tc>
      </w:tr>
      <w:tr>
        <w:trPr>
          <w:trHeight w:val="280"/>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right w:val="single" w:sz="8" w:color="auto"/>
            </w:tcBorders>
          </w:tcPr>
          <w:p>
            <w:pPr>
              <w:spacing w:after="0"/>
              <w:rPr>
                <w:sz w:val="24"/>
                <w:szCs w:val="2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HPK,LLC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HUNKIDORI LAND COMPANY,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HVLP KIRKWOOD SERVICES,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California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JACKSON HOLE GOLF AND TENNIS CLUB,</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INC.</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JACKSON HOLE GOLF AND TENNIS CLUB</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SNACK SHACK, LLC</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JACKSON LAKE LODGE CORPORATION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34" w:right="219" w:bottom="441" w:gutter="0" w:footer="0" w:header="0"/>
        </w:sectPr>
      </w:pPr>
    </w:p>
    <w:bookmarkStart w:id="105" w:name="page106"/>
    <w:bookmarkEnd w:id="1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JENNY LAKE LODGE,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top w:val="single" w:sz="8" w:color="auto"/>
              <w:right w:val="single" w:sz="8" w:color="auto"/>
            </w:tcBorders>
          </w:tcPr>
          <w:p>
            <w:pPr>
              <w:spacing w:after="0"/>
              <w:rPr>
                <w:sz w:val="23"/>
                <w:szCs w:val="23"/>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JENNY LAKE STORE,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JHL&amp;S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KEYSTONE CONFERENCE SERVICES,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KEYSTONE DEVELOPMENT SALES,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7"/>
              </w:rPr>
              <w:t>KEYSTONE FOOD AND BEVERAGE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9280'</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ALPENTOP DELI</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DERCUM SQUARE ICE RINK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KEYSTONE CORPORATE CENTER  CORPORATION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LODGE &amp; SPA</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MINER’S CART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 SKI HILL PLACE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PIONEER CROSSING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SNOW DRIFTER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CROW'S NEST</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OVERLOOK</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KEYSTONE RESORT PROPERTY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CENTRAL RESERVATIONS</w:t>
            </w:r>
          </w:p>
        </w:tc>
      </w:tr>
      <w:tr>
        <w:trPr>
          <w:trHeight w:val="257"/>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MANAGEMENT COMPANY</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MOUNTAIN RESERVATIONS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PROPERTY MANAGEMENT</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KEYSTONE/INTRAWEST,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REAL ESTATE</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DEVELOPMENTS</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KEYSTONE/INTRAWEST REAL ESTATE,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 POSADA BEVERAGE SERVICE,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LAKE TAHOE LODGING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ACCOMMODATION STATION</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TAHOE LODGING</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LARKSPUR RESTAURANT &amp; BAR,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LODGE PROPERTIES,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LODGE AT VAIL</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LODGE REALTY,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MOUNTAIN NEWS GMBH</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Germany</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MOUNTAIN THUNDER,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NATIONAL PARK HOSPITALITY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NORTHSTAR GROUP COMMERCIAL</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PROPERTIES, LLC</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NORTHSTAR GROUP RESTAURANT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PROPERTIES, LLC</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ONE RIVER RUN,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ONE SKI HILL PLACE,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PARK PROPERTIES,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PEAK TO CREEK HOLDINGS CORP.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PEAK TO CREEK LODGING COMPANY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PERISHER BLUE PTY LIMITED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Australia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PROPERTY MANAGEMENT ACQUISITION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Tennessee</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RESORT LODGING</w:t>
            </w: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 INC.</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COMPANY</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RCR VAIL,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RESIDENCES, LLC</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ARRABELLE,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CORDILLERA LODGE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 LLC</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06" w:name="page107"/>
    <w:bookmarkEnd w:id="10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COSTA RICA S.R.L.</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Costa Rica</w:t>
            </w:r>
          </w:p>
        </w:tc>
        <w:tc>
          <w:tcPr>
            <w:tcW w:w="4780" w:type="dxa"/>
            <w:vAlign w:val="bottom"/>
            <w:tcBorders>
              <w:top w:val="single" w:sz="8" w:color="auto"/>
              <w:right w:val="single" w:sz="8" w:color="auto"/>
            </w:tcBorders>
          </w:tcPr>
          <w:p>
            <w:pPr>
              <w:spacing w:after="0"/>
              <w:rPr>
                <w:sz w:val="23"/>
                <w:szCs w:val="23"/>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DR,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EQUINOX,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Vermont</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HOTEL JEROME,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INTERNATIONAL,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INTERNATIONAL</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ROCKRESORTS INTERNATIONAL</w:t>
            </w: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MANAGEMENT COMPANY</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MANAGEMENT COMPANY, LLC</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JAMAICA LIMITED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5"/>
              </w:rPr>
              <w:t>Jamaica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SKI TIP,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(ST. LUCIA)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St. Lucia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THIRD TURTLE,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Turks &amp; Caicos Islands</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WYOMING,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ROCKRESORTS,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SKIINFO AS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Norway</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SKIINFO.FR S.A.R.L.</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France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SKIINFO ITALY S.R.L.</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Italy</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SKIINFO S.R.O.</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Slovakia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SLIFER SMITH &amp; FRAMPTON/VAIL</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SLIFER, SMITH &amp; FRAMPTON REAL</w:t>
            </w:r>
          </w:p>
        </w:tc>
      </w:tr>
      <w:tr>
        <w:trPr>
          <w:trHeight w:val="28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ASSOCIATES REAL ESTATE, LLC</w:t>
            </w: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ESTATE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SLIFER, SMITH &amp; FRAMPTON/VAIL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ASSOCIATES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SLIFER, SMITH &amp; FRAMPTON/VAIL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ASSOCIATES LLC</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LIONSHEAD REAL ESTATE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BROKERS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VAIL-LIONSHEAD REAL ESTATE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BROKERS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VAIL-LIONSHEAD REAL ESTATE CO.</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SOHO DEVELOPMENT,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SSI VENTURE,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 MOUNTAIN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ALTERNATIVE EDGE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ANY MOUNTAIN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ASPEN SPORTS AT SNOWMASS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ASPEN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FLY FISHER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BICYCLE VILLAGE OF COLORADO</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BOARDER CROSS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BOARDER CROSSING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BOARDER X-ING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BOOTSIE LACY B LLC</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BOULDER SKI AND BIKE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BOULDER SKI AND BIKE DEALS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BOULDER SKI DEALS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BRECKENRIDGE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BREEZE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BREEZE SKI RENTALS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BREEZE SKI &amp; SPORT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BUTTERBOX</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BUYSKIS.COM</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COLORADO SKI AND BIKE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COLORADO SKI &amp; GOLF</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COLORADO SNOWBOARDS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COPPER MOUNTAIN SPORTS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COPPER VILLAGE SPORTS</w:t>
            </w:r>
          </w:p>
        </w:tc>
      </w:tr>
      <w:tr>
        <w:trPr>
          <w:trHeight w:val="253"/>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440"/>
          </w:cols>
          <w:pgMar w:left="240" w:top="714" w:right="219" w:bottom="1440" w:gutter="0" w:footer="0" w:header="0"/>
        </w:sectPr>
      </w:pPr>
    </w:p>
    <w:bookmarkStart w:id="107" w:name="page108"/>
    <w:bookmarkEnd w:id="1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SSI VENTURE, LLC (continued)</w:t>
            </w:r>
          </w:p>
        </w:tc>
        <w:tc>
          <w:tcPr>
            <w:tcW w:w="228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20"/>
                <w:szCs w:val="20"/>
                <w:color w:val="auto"/>
              </w:rPr>
              <w:t>Colorado</w:t>
            </w:r>
          </w:p>
        </w:tc>
        <w:tc>
          <w:tcPr>
            <w:tcW w:w="4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DEPOT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DEPOT SKI RENTALS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EFLIN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EPIC MOUNTAIN GEAR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FRISCO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GONDOLA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GORE CREEK FLY FISHERMAN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GRAND WEST OUTFITTERS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HAPPY THOUGHTS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HEAVENLY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HOIGAARD’S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KIRKWOOD MOUNTAIN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LIONSHEAD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MAX SNOWBOARD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MINE CHILDREN’S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MOUNTAIN ADVENTURE CENTER</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MOUNTAIN BASICS</w:t>
            </w:r>
          </w:p>
        </w:tc>
      </w:tr>
      <w:tr>
        <w:trPr>
          <w:trHeight w:val="236"/>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MOUNTAIN SPORTS OUTLET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MOUNTAINSPORT TELLURIDE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NORTHSTAR LOGO</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NORTHSTAR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 TRACK MIND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PARK CITY MOUNTAIN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PEAK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RENTBOARDS.COM</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RENTSKIS.COM</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RENTSKIS GOLD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RIVER RUN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EYES AND TEES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EYES AND 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EYEWEAR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EYEWEAR LTD.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SAN MIGUEL ANGLERS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SKI DEPOT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SKI DEPOT RENTALS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SKI DEPOT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SNOWMASS SPORT STALKER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SPECIALTY SPORTS NETWORK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SPECIALTY SPORTS VENTURE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STEAMBOAT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TAYLOR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TAYLOR CREEK ANGLING SERVICES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TAYLOR CREEK FLY SHOPS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TAYLOR CREEK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TELLURIDE ADVENTURES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TELLURIDE MOUNTAIN BIKE HEADQUARTERS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LLC</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TELLURIDE MOUNTAINCRAFT LLC</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TELLURIDE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TEN MILE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BOARDING HOUSE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DEPOT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SKI DOCTOR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TRUE NORTH</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FISHING GUIDES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FLY-FISHING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FLY-FISHING OUTFITTERS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RESORTS RETAIL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WINTER PARK SKI RENTALS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WINTER PARK SKI SWAP</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WINTER PARK SPORTS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WINTER PARK SWAP SHOP</w:t>
            </w:r>
          </w:p>
        </w:tc>
      </w:tr>
      <w:tr>
        <w:trPr>
          <w:trHeight w:val="739"/>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440"/>
          </w:cols>
          <w:pgMar w:left="240" w:top="714" w:right="219" w:bottom="198" w:gutter="0" w:footer="0" w:header="0"/>
        </w:sectPr>
      </w:pPr>
    </w:p>
    <w:bookmarkStart w:id="108" w:name="page109"/>
    <w:bookmarkEnd w:id="1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SSV HOLDINGS,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NEVE SPORTS</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SSV ONLINE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Wisconsin</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OUTDOOR OUTLET</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SSV ONLINE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STAGECOACH DEVELOPMENT,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Nevada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STAMPEDE CANTEEN,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SUMMIT SKI LIMITED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TCRM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TENDERFOOT SEASONAL HOUSING,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TETON HOSPITALITY SERVICES,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Wyoming</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 CHALETS AT THE LODGE AT VAIL,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LODGE AT VAIL CHALETS</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 VAIL CORPORATION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ARROWHEAD ALPINE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ASPEN GROVE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AVAIL ADVENTURE OUTFITTERS, LTD.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BACHELOR GULCH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BACHELOR GULCH</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PASSPORT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PRATER LANE PLAY SCHOOL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RED SKY GOLF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RED SKY GOLF CLUB GUEST CLUBHOUSE PRO</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SHOP</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RED SKY GOLF CLUB MEMBER PRO</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SHOP</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ARRABELLE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OSPREY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PASSPORT CLUBHOUSE AT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GOLDEN PEAK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YOUNGER GENERATION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TV8</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ASSOCIATES, INC.</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CONSULTANTS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MOUNTAIN VAIL MOUNTAIN HIKING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RESORTS MANAGEMENT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COMPANY</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SNOWBOARD SUPPLY</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 VILLAGE AT BRECKENRIDGE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2"/>
              </w:rPr>
              <w:t>Tennessee</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BRECKENRIDGE MOUNTAIN LODGE</w:t>
            </w:r>
          </w:p>
        </w:tc>
      </w:tr>
      <w:tr>
        <w:trPr>
          <w:trHeight w:val="257"/>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ACQUISITION CORP., INC.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MAGGIE CAFETERIA</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MOUNTAIN THUNDER PROPERTY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MANAGEMENT 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RESORT LODGING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VILLAGE AT BRECKENRIDGE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VILLAGE AT BRECKENRIDGE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RESORT</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VILLAGE PUB</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TRIMONT LAND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California</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NORTHSTAR AT TAHOE RESORT</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NORTHSTAR CALIFORNIA</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 RANCHO MIRAGE I,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 RANCHO MIRAGE II,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 RANCHO MIRAGE RESORT,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ASSOCIATES HOLDINGS,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ASSOCIATES INVESTMENTS,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WARREN LAKES VENTURE, LTD.</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ASSOCIATES REAL ESTATE,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09" w:name="page110"/>
    <w:bookmarkEnd w:id="1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FOOD SERVICES,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BISTRO 14</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EXTRA EXTRA</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FOX HOLLOW GOLF COURSE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CLUBHOUSE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GOLDEN PEAK GRILL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GOLDEN PEAK RESTAURANT AND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CANTINA</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 THE DOG HAUS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 ELK RESTAURANT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RIPPEROO’S CORNER CAFÉ</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SALSA'S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LIONS DEN BAR &amp; GRILL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TWO ELK RESTAURANT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MOUNTAIN DINING 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WAFFLE WAY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WILDWOOD EXPRESS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WILDWOOD SMOKEHOUSE</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HOLDINGS FINANCE B.V.</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Netherlands</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APRES LOUNGE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AVON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AVON-VAIL 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ADVERTISING AGENCY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EQUESTRIAN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GOLF AND TENNIS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GOLF CLUB BAR &amp;</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GRILL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GOLF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GUIDES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JEEP GUIDES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SKI PATROL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SKI RENTAL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SKI REPAIR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SKI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SKI SCHOOL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SKI SERVICE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SKI SHOPS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SPORTING GOODS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SPORT SHOP</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TENNIS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VACATION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EAGLE RESIDENCES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GAME CREEK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LODGE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PLAZA LODGE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ENCLAVE RESTAURANT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INN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TRAIL'S END BAR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ASSOCIATES DEVELOPMENT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CORPORATION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VAIL/BEAVER CREEK CENTRAL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RESERVATIONS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VAIL-BEAVER CREEK 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BEAVER CREEK REAL ESTATE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MOUNTAIN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MOUNTAIN RESORT AND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CONFERENCE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PRODUCTIONS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WILDWOOD SHELTER</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HOTEL MANAGEMENT COMPANY,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941" w:gutter="0" w:footer="0" w:header="0"/>
        </w:sectPr>
      </w:pPr>
    </w:p>
    <w:bookmarkStart w:id="110" w:name="page111"/>
    <w:bookmarkEnd w:id="1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RESORTS DEVELOPMENT COMPANY</w:t>
            </w:r>
          </w:p>
        </w:tc>
        <w:tc>
          <w:tcPr>
            <w:tcW w:w="228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20"/>
                <w:szCs w:val="20"/>
                <w:color w:val="auto"/>
              </w:rPr>
              <w:t>Colorado</w:t>
            </w:r>
          </w:p>
        </w:tc>
        <w:tc>
          <w:tcPr>
            <w:tcW w:w="4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VAIL ASSOCIATES REAL ESTATE GROUP</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81"/>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RESORTS LODGING COMPANY</w:t>
            </w:r>
          </w:p>
        </w:tc>
        <w:tc>
          <w:tcPr>
            <w:tcW w:w="2280" w:type="dxa"/>
            <w:vAlign w:val="bottom"/>
            <w:tcBorders>
              <w:right w:val="single" w:sz="8" w:color="auto"/>
            </w:tcBorders>
          </w:tcPr>
          <w:p>
            <w:pPr>
              <w:ind w:left="740"/>
              <w:spacing w:after="0"/>
              <w:rPr>
                <w:sz w:val="20"/>
                <w:szCs w:val="20"/>
                <w:color w:val="auto"/>
              </w:rPr>
            </w:pPr>
            <w:r>
              <w:rPr>
                <w:rFonts w:ascii="Arial" w:cs="Arial" w:eastAsia="Arial" w:hAnsi="Arial"/>
                <w:sz w:val="20"/>
                <w:szCs w:val="20"/>
                <w:color w:val="auto"/>
              </w:rPr>
              <w:t>Delaware</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PARK CITY RENTAL MANAGEMENT</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COMPANY</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RESORTS HOSPITALITY</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RR, INC.</w:t>
            </w:r>
          </w:p>
        </w:tc>
        <w:tc>
          <w:tcPr>
            <w:tcW w:w="22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SUMMIT RESORTS, INC.</w:t>
            </w:r>
          </w:p>
        </w:tc>
        <w:tc>
          <w:tcPr>
            <w:tcW w:w="22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VILLAGE TRAVEL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BRECKENRIDGE HOSPITALITY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BRECKENRIDGE LODGING &amp;  HOSPITALITY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BRECKENRIDGE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BRECKENRIDGE PROPERTY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MANAGEMENT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BRECKENRIDGE SKI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BRECKENRIDGE SKI RESORT  CORPORATION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COLORADO VACATIONS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CONFERENCE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LODGE &amp; SPA</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LODGING AND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HOSPITALITY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STABLES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KEYSTONE TRAVEL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RESERVATIONS FOR THE SUMMIT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RESERVATIONS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RESORTVACATIONS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ROCKY MOUNTAIN SKI</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CONSOLIDATORS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VAIL/BEAVER CREEK CENTRAL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RESERVATIONS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VAIL/BEAVER CREEK RESERVATIONS</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VAIL/BEAVER CREEK TRAVEL</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 TRADEMARKS, INC.</w:t>
            </w:r>
          </w:p>
        </w:tc>
        <w:tc>
          <w:tcPr>
            <w:tcW w:w="22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RESORTS TRADEMARKS</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VAIL/ARROWHEAD, INC.</w:t>
            </w:r>
          </w:p>
        </w:tc>
        <w:tc>
          <w:tcPr>
            <w:tcW w:w="22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9"/>
              </w:rPr>
              <w:t>VAIL/BEAVER CREEK RESORT PROPERTIES,</w:t>
            </w:r>
          </w:p>
        </w:tc>
        <w:tc>
          <w:tcPr>
            <w:tcW w:w="22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Colorado</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ARROWHEAD PROPERTY MANAGEMENT</w:t>
            </w:r>
          </w:p>
        </w:tc>
      </w:tr>
      <w:tr>
        <w:trPr>
          <w:trHeight w:val="257"/>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BACHELOR GULCH PROPERTY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MANAGEMENT 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RESORT PROPERTIES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BEAVER CREEK TENNIS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TRAPPER'S CABIN</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VAIL PROPERTY MANAGEMENT</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VAMHC, INC.</w:t>
            </w:r>
          </w:p>
        </w:tc>
        <w:tc>
          <w:tcPr>
            <w:tcW w:w="22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ACQUISITION, INC.</w:t>
            </w:r>
          </w:p>
        </w:tc>
        <w:tc>
          <w:tcPr>
            <w:tcW w:w="228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California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AUSTRALIA HOLDINGS PTY LTD</w:t>
            </w:r>
          </w:p>
        </w:tc>
        <w:tc>
          <w:tcPr>
            <w:tcW w:w="22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Australia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CPC HOLDINGS, INC.</w:t>
            </w:r>
          </w:p>
        </w:tc>
        <w:tc>
          <w:tcPr>
            <w:tcW w:w="2280" w:type="dxa"/>
            <w:vAlign w:val="bottom"/>
            <w:tcBorders>
              <w:right w:val="single" w:sz="8" w:color="auto"/>
            </w:tcBorders>
          </w:tcPr>
          <w:p>
            <w:pPr>
              <w:ind w:left="740"/>
              <w:spacing w:after="0"/>
              <w:rPr>
                <w:sz w:val="20"/>
                <w:szCs w:val="20"/>
                <w:color w:val="auto"/>
              </w:rPr>
            </w:pPr>
            <w:r>
              <w:rPr>
                <w:rFonts w:ascii="Arial" w:cs="Arial" w:eastAsia="Arial" w:hAnsi="Arial"/>
                <w:sz w:val="20"/>
                <w:szCs w:val="20"/>
                <w:color w:val="auto"/>
              </w:rPr>
              <w:t>Delaware</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CANYONS GOLF COURSE BEVERAGE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CARTS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CANYONS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COBRA DOG SHACK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KRISTI’S COFFEE CAFÉ</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LEGACY LODGE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LEGACY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LEGENDS AT THE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MID MOUNTAIN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MINER'S CAMP RESTAURANT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PARK CITY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PARK CITY MOUNTAIN</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PARK CITY RESORT</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1440" w:gutter="0" w:footer="0" w:header="0"/>
        </w:sectPr>
      </w:pPr>
    </w:p>
    <w:bookmarkStart w:id="111" w:name="page112"/>
    <w:bookmarkEnd w:id="1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CPC HOLDINGS, INC. (continued)</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SNOW HUT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SUMMIT HOUSE</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CANYONS</w:t>
            </w:r>
          </w:p>
        </w:tc>
      </w:tr>
      <w:tr>
        <w:trPr>
          <w:trHeight w:val="482"/>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right w:val="single" w:sz="8" w:color="auto"/>
            </w:tcBorders>
          </w:tcPr>
          <w:p>
            <w:pPr>
              <w:spacing w:after="0"/>
              <w:rPr>
                <w:sz w:val="24"/>
                <w:szCs w:val="2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CPC SERVICES,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HEAVENLY CONCESSIONS,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California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HEAVENLY I,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HEAVENLY II,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Colorado</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NE HOLDINGS,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53"/>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NW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spacing w:after="0"/>
              <w:rPr>
                <w:sz w:val="22"/>
                <w:szCs w:val="22"/>
                <w:color w:val="auto"/>
              </w:rPr>
            </w:pPr>
          </w:p>
        </w:tc>
      </w:tr>
      <w:tr>
        <w:trPr>
          <w:trHeight w:val="253"/>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r>
        <w:trPr>
          <w:trHeight w:val="26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US HOLDINGS,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AFTON ALPS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AFTON ALPS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BRUHN’S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MT. BRIGHTON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MT. BRIGHTON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 CREEK MOUNTAIN GRILL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SKI HILL GRILL</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TRUCK</w:t>
            </w:r>
          </w:p>
        </w:tc>
      </w:tr>
      <w:tr>
        <w:trPr>
          <w:trHeight w:val="50"/>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81"/>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US HOLDINGS II,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STOWE MOUNTAIN RESORT</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ADVENTURE CENTER</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CLIFF HOUSE RESTAURANT</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CUBS CHILD CARE</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GONDOLA CAFÉ</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LODGE AT MT. MANSFIELD</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LODGE AT STOWE MOUNTAIN RESORT</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MIDWAY CAFÉ</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MT. MANSFIELD BASELODGE</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MT. MANSFIELD SKI PATROL</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OCTAGON CAFETERIA</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SMUGGLERS DEN</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SPRUCE BASE CAMP</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SPURCE CAMP BASE LODGE</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SPRUCE CAMP</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SPRUCE LODGET AT MT. MANSFIELD</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STOWE ADVENTURE CENTER</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STOWE BASE CAMP</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STOWE CUBS DAYCARE</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CANTEEN RESTAURANT</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FIRESIDE TAVERN</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INN AT THE MOUNTAIN</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OCTAGON</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TOLL HOUSE CONFERENCE CENTER</w:t>
            </w:r>
          </w:p>
        </w:tc>
      </w:tr>
      <w:tr>
        <w:trPr>
          <w:trHeight w:val="236"/>
        </w:trPr>
        <w:tc>
          <w:tcPr>
            <w:tcW w:w="438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TREETOP ADVENTURE</w:t>
            </w:r>
          </w:p>
        </w:tc>
      </w:tr>
      <w:tr>
        <w:trPr>
          <w:trHeight w:val="250"/>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ZIPTOUR ADVENTURE</w:t>
            </w:r>
          </w:p>
        </w:tc>
      </w:tr>
      <w:tr>
        <w:trPr>
          <w:trHeight w:val="253"/>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VR WM HOLDINGS,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Delaware</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WILMOT MOUNTAIN RESORT</w:t>
            </w: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WB LAND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WB LAND (CREEKSIDE SNOW SCHOOL)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WB/T DEVELOPMENT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WHISTLER &amp; BLACKCOMB MOUNTAIN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RESORTS LIMITED</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WHISTLER ALPINE CLUB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WHISTLER BLACKCOMB EMPLOYMENT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British Columbia</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714" w:right="219" w:bottom="333" w:gutter="0" w:footer="0" w:header="0"/>
        </w:sectPr>
      </w:pPr>
    </w:p>
    <w:bookmarkStart w:id="112" w:name="page113"/>
    <w:bookmarkEnd w:id="1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WHISTLER BLACKCOMB HOLDINGS INC.</w:t>
            </w:r>
          </w:p>
        </w:tc>
        <w:tc>
          <w:tcPr>
            <w:tcW w:w="228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British Columbia</w:t>
            </w:r>
          </w:p>
        </w:tc>
        <w:tc>
          <w:tcPr>
            <w:tcW w:w="4780" w:type="dxa"/>
            <w:vAlign w:val="bottom"/>
            <w:tcBorders>
              <w:top w:val="single" w:sz="8" w:color="auto"/>
              <w:right w:val="single" w:sz="8" w:color="auto"/>
            </w:tcBorders>
          </w:tcPr>
          <w:p>
            <w:pPr>
              <w:spacing w:after="0"/>
              <w:rPr>
                <w:sz w:val="22"/>
                <w:szCs w:val="22"/>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(f/k/a 1068877 BC Ltd.)</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WHISTLER/BLACKCOMB MOUNTAIN</w:t>
            </w:r>
          </w:p>
        </w:tc>
        <w:tc>
          <w:tcPr>
            <w:tcW w:w="228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British Columbia</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EMPLOYEE HOUSING LTD.</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WHISTLER BLACKCOMB GENERAL PARTNER</w:t>
            </w:r>
          </w:p>
        </w:tc>
        <w:tc>
          <w:tcPr>
            <w:tcW w:w="228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British Columbia</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LTD.</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WHISTLER HELI-SKIING LTD.</w:t>
            </w:r>
          </w:p>
        </w:tc>
        <w:tc>
          <w:tcPr>
            <w:tcW w:w="228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WHISTLER MOUNTAIN RESORT LIMITED</w:t>
            </w:r>
          </w:p>
        </w:tc>
        <w:tc>
          <w:tcPr>
            <w:tcW w:w="228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British Columbia</w:t>
            </w:r>
          </w:p>
        </w:tc>
        <w:tc>
          <w:tcPr>
            <w:tcW w:w="4780" w:type="dxa"/>
            <w:vAlign w:val="bottom"/>
            <w:tcBorders>
              <w:right w:val="single" w:sz="8" w:color="auto"/>
            </w:tcBorders>
          </w:tcPr>
          <w:p>
            <w:pPr>
              <w:spacing w:after="0"/>
              <w:rPr>
                <w:sz w:val="20"/>
                <w:szCs w:val="20"/>
                <w:color w:val="auto"/>
              </w:rPr>
            </w:pPr>
          </w:p>
        </w:tc>
      </w:tr>
      <w:tr>
        <w:trPr>
          <w:trHeight w:val="250"/>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PARTNERSHIP</w:t>
            </w:r>
          </w:p>
        </w:tc>
        <w:tc>
          <w:tcPr>
            <w:tcW w:w="2280" w:type="dxa"/>
            <w:vAlign w:val="bottom"/>
            <w:tcBorders>
              <w:right w:val="single" w:sz="8" w:color="auto"/>
            </w:tcBorders>
          </w:tcPr>
          <w:p>
            <w:pPr>
              <w:spacing w:after="0"/>
              <w:rPr>
                <w:sz w:val="21"/>
                <w:szCs w:val="21"/>
                <w:color w:val="auto"/>
              </w:rPr>
            </w:pPr>
          </w:p>
        </w:tc>
        <w:tc>
          <w:tcPr>
            <w:tcW w:w="4780" w:type="dxa"/>
            <w:vAlign w:val="bottom"/>
            <w:tcBorders>
              <w:right w:val="single" w:sz="8" w:color="auto"/>
            </w:tcBorders>
          </w:tcPr>
          <w:p>
            <w:pPr>
              <w:spacing w:after="0"/>
              <w:rPr>
                <w:sz w:val="21"/>
                <w:szCs w:val="21"/>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WHISTLER SKI SCHOOL LTD.</w:t>
            </w:r>
          </w:p>
        </w:tc>
        <w:tc>
          <w:tcPr>
            <w:tcW w:w="228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British Columbia</w:t>
            </w:r>
          </w:p>
        </w:tc>
        <w:tc>
          <w:tcPr>
            <w:tcW w:w="4780" w:type="dxa"/>
            <w:vAlign w:val="bottom"/>
            <w:tcBorders>
              <w:right w:val="single" w:sz="8" w:color="auto"/>
            </w:tcBorders>
          </w:tcPr>
          <w:p>
            <w:pPr>
              <w:spacing w:after="0"/>
              <w:rPr>
                <w:sz w:val="22"/>
                <w:szCs w:val="22"/>
                <w:color w:val="auto"/>
              </w:rPr>
            </w:pPr>
          </w:p>
        </w:tc>
      </w:tr>
      <w:tr>
        <w:trPr>
          <w:trHeight w:val="23"/>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Includes only those entities owned 50% or greater.</w:t>
      </w:r>
    </w:p>
    <w:p>
      <w:pPr>
        <w:sectPr>
          <w:pgSz w:w="11900" w:h="16838" w:orient="portrait"/>
          <w:cols w:equalWidth="0" w:num="1">
            <w:col w:w="11440"/>
          </w:cols>
          <w:pgMar w:left="240" w:top="714"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333-145934, 333-169552, and 333-208357) of Vail Resorts, Inc. of our report dated September 27, 2018 relating to the consolidated financial statements and the effectiveness of internal control over financial reporting, which appears in this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2018</w:t>
      </w:r>
    </w:p>
    <w:p>
      <w:pPr>
        <w:sectPr>
          <w:pgSz w:w="11900" w:h="16838" w:orient="portrait"/>
          <w:cols w:equalWidth="0" w:num="1">
            <w:col w:w="11420"/>
          </w:cols>
          <w:pgMar w:left="240" w:top="63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28,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28,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Annual Report on Form 10-K for the year ended July 31, 2018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28,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28, 2018</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amp;"/>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3"/>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10"/>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2"/>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lowerLetter"/>
      <w:start w:val="2"/>
    </w:lvl>
  </w:abstractNum>
  <w:abstractNum w:abstractNumId="45">
    <w:nsid w:val="39386575"/>
    <w:multiLevelType w:val="hybridMultilevel"/>
    <w:lvl w:ilvl="0">
      <w:lvlJc w:val="left"/>
      <w:lvlText w:val="(%1)"/>
      <w:numFmt w:val="lowerLetter"/>
      <w:start w:val="4"/>
    </w:lvl>
  </w:abstractNum>
  <w:abstractNum w:abstractNumId="46">
    <w:nsid w:val="1CF10FD8"/>
    <w:multiLevelType w:val="hybridMultilevel"/>
    <w:lvl w:ilvl="0">
      <w:lvlJc w:val="left"/>
      <w:lvlText w:val="%1."/>
      <w:numFmt w:val="decimal"/>
      <w:start w:val="5"/>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6"/>
    </w:lvl>
  </w:abstractNum>
  <w:abstractNum w:abstractNumId="49">
    <w:nsid w:val="47398C89"/>
    <w:multiLevelType w:val="hybridMultilevel"/>
    <w:lvl w:ilvl="0">
      <w:lvlJc w:val="left"/>
      <w:lvlText w:val="%1."/>
      <w:numFmt w:val="decimal"/>
      <w:start w:val="8"/>
    </w:lvl>
  </w:abstractNum>
  <w:abstractNum w:abstractNumId="50">
    <w:nsid w:val="354FE9F9"/>
    <w:multiLevelType w:val="hybridMultilevel"/>
    <w:lvl w:ilvl="0">
      <w:lvlJc w:val="left"/>
      <w:lvlText w:val="%1."/>
      <w:numFmt w:val="decimal"/>
      <w:start w:val="9"/>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1."/>
      <w:numFmt w:val="decimal"/>
      <w:start w:val="10"/>
    </w:lvl>
  </w:abstractNum>
  <w:abstractNum w:abstractNumId="53">
    <w:nsid w:val="D34B6A8"/>
    <w:multiLevelType w:val="hybridMultilevel"/>
    <w:lvl w:ilvl="0">
      <w:lvlJc w:val="left"/>
      <w:lvlText w:val="%1."/>
      <w:numFmt w:val="decimal"/>
      <w:start w:val="11"/>
    </w:lvl>
  </w:abstractNum>
  <w:abstractNum w:abstractNumId="54">
    <w:nsid w:val="10233C99"/>
    <w:multiLevelType w:val="hybridMultilevel"/>
    <w:lvl w:ilvl="0">
      <w:lvlJc w:val="left"/>
      <w:lvlText w:val="%1."/>
      <w:numFmt w:val="decimal"/>
      <w:start w:val="12"/>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decimal"/>
      <w:start w:val="13"/>
    </w:lvl>
  </w:abstractNum>
  <w:abstractNum w:abstractNumId="57">
    <w:nsid w:val="7E0C57B1"/>
    <w:multiLevelType w:val="hybridMultilevel"/>
    <w:lvl w:ilvl="0">
      <w:lvlJc w:val="left"/>
      <w:lvlText w:val="%1."/>
      <w:numFmt w:val="decimal"/>
      <w:start w:val="14"/>
    </w:lvl>
  </w:abstractNum>
  <w:abstractNum w:abstractNumId="58">
    <w:nsid w:val="77AE35EB"/>
    <w:multiLevelType w:val="hybridMultilevel"/>
    <w:lvl w:ilvl="0">
      <w:lvlJc w:val="left"/>
      <w:lvlText w:val="%1."/>
      <w:numFmt w:val="decimal"/>
      <w:start w:val="15"/>
    </w:lvl>
  </w:abstractNum>
  <w:abstractNum w:abstractNumId="59">
    <w:nsid w:val="579BE4F1"/>
    <w:multiLevelType w:val="hybridMultilevel"/>
    <w:lvl w:ilvl="0">
      <w:lvlJc w:val="left"/>
      <w:lvlText w:val="%1."/>
      <w:numFmt w:val="decimal"/>
      <w:start w:val="16"/>
    </w:lvl>
  </w:abstractNum>
  <w:abstractNum w:abstractNumId="60">
    <w:nsid w:val="310C50B3"/>
    <w:multiLevelType w:val="hybridMultilevel"/>
    <w:lvl w:ilvl="0">
      <w:lvlJc w:val="left"/>
      <w:lvlText w:val="%1)"/>
      <w:numFmt w:val="lowerLetter"/>
      <w:start w:val="1"/>
    </w:lvl>
    <w:lvl w:ilvl="1">
      <w:lvlJc w:val="left"/>
      <w:lvlText w:val="(%2)"/>
      <w:numFmt w:val="decimal"/>
      <w:start w:val="1"/>
    </w:lvl>
  </w:abstractNum>
  <w:abstractNum w:abstractNumId="61">
    <w:nsid w:val="5FF87E05"/>
    <w:multiLevelType w:val="hybridMultilevel"/>
    <w:lvl w:ilvl="0">
      <w:lvlJc w:val="left"/>
      <w:lvlText w:val="%1"/>
      <w:numFmt w:val="decimal"/>
      <w:start w:val="21"/>
    </w:lvl>
  </w:abstractNum>
  <w:abstractNum w:abstractNumId="62">
    <w:nsid w:val="2F305DEF"/>
    <w:multiLevelType w:val="hybridMultilevel"/>
    <w:lvl w:ilvl="0">
      <w:lvlJc w:val="left"/>
      <w:lvlText w:val="%1"/>
      <w:numFmt w:val="decimal"/>
      <w:start w:val="23"/>
    </w:lvl>
  </w:abstractNum>
  <w:abstractNum w:abstractNumId="63">
    <w:nsid w:val="25A70BF7"/>
    <w:multiLevelType w:val="hybridMultilevel"/>
    <w:lvl w:ilvl="0">
      <w:lvlJc w:val="left"/>
      <w:lvlText w:val="%1"/>
      <w:numFmt w:val="decimal"/>
      <w:start w:val="32"/>
    </w:lvl>
  </w:abstractNum>
  <w:abstractNum w:abstractNumId="64">
    <w:nsid w:val="1DBABF00"/>
    <w:multiLevelType w:val="hybridMultilevel"/>
    <w:lvl w:ilvl="0">
      <w:lvlJc w:val="left"/>
      <w:lvlText w:val="%1"/>
      <w:numFmt w:val="decimal"/>
      <w:start w:val="10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30" Type="http://schemas.openxmlformats.org/officeDocument/2006/relationships/image" Target="media/image19.png"/><Relationship Id="rId33" Type="http://schemas.openxmlformats.org/officeDocument/2006/relationships/image" Target="media/image20.png"/><Relationship Id="rId36" Type="http://schemas.openxmlformats.org/officeDocument/2006/relationships/image" Target="media/image21.png"/><Relationship Id="rId39" Type="http://schemas.openxmlformats.org/officeDocument/2006/relationships/image" Target="media/image22.png"/><Relationship Id="rId42" Type="http://schemas.openxmlformats.org/officeDocument/2006/relationships/image" Target="media/image23.png"/><Relationship Id="rId45" Type="http://schemas.openxmlformats.org/officeDocument/2006/relationships/image" Target="media/image24.png"/><Relationship Id="rId48" Type="http://schemas.openxmlformats.org/officeDocument/2006/relationships/image" Target="media/image25.png"/><Relationship Id="rId51" Type="http://schemas.openxmlformats.org/officeDocument/2006/relationships/image" Target="media/image26.png"/><Relationship Id="rId54" Type="http://schemas.openxmlformats.org/officeDocument/2006/relationships/image" Target="media/image27.png"/><Relationship Id="rId81" Type="http://schemas.openxmlformats.org/officeDocument/2006/relationships/image" Target="media/image28.png"/><Relationship Id="rId84" Type="http://schemas.openxmlformats.org/officeDocument/2006/relationships/image" Target="media/image29.png"/><Relationship Id="rId87" Type="http://schemas.openxmlformats.org/officeDocument/2006/relationships/image" Target="media/image30.png"/><Relationship Id="rId90" Type="http://schemas.openxmlformats.org/officeDocument/2006/relationships/image" Target="media/image31.png"/><Relationship Id="rId91" Type="http://schemas.openxmlformats.org/officeDocument/2006/relationships/image" Target="media/image32.png"/><Relationship Id="rId92" Type="http://schemas.openxmlformats.org/officeDocument/2006/relationships/image" Target="media/image33.png"/><Relationship Id="rId93" Type="http://schemas.openxmlformats.org/officeDocument/2006/relationships/image" Target="media/image34.png"/><Relationship Id="rId94" Type="http://schemas.openxmlformats.org/officeDocument/2006/relationships/image" Target="media/image35.png"/><Relationship Id="rId95" Type="http://schemas.openxmlformats.org/officeDocument/2006/relationships/image" Target="media/image36.png"/><Relationship Id="rId96" Type="http://schemas.openxmlformats.org/officeDocument/2006/relationships/image" Target="media/image37.png"/><Relationship Id="rId97" Type="http://schemas.openxmlformats.org/officeDocument/2006/relationships/image" Target="media/image38.png"/><Relationship Id="rId25" Type="http://schemas.openxmlformats.org/officeDocument/2006/relationships/hyperlink" Target="http://www.sec.gov/Archives/edgar/data/812011/000110465913045415/a13-13329_1ex2d1.htm" TargetMode="External"/><Relationship Id="rId26" Type="http://schemas.openxmlformats.org/officeDocument/2006/relationships/hyperlink" Target="http://www.sec.gov/Archives/edgar/data/812011/000081201114000028/exhibit212015-q1.htm" TargetMode="External"/><Relationship Id="rId28" Type="http://schemas.openxmlformats.org/officeDocument/2006/relationships/hyperlink" Target="http://www.sec.gov/Archives/edgar/data/812011/000081201116000098/exhibit21-arrangementagree.htm" TargetMode="External"/><Relationship Id="rId29" Type="http://schemas.openxmlformats.org/officeDocument/2006/relationships/hyperlink" Target="http://www.sec.gov/Archives/edgar/data/812011/000081201105000010/exhibit3.htm" TargetMode="External"/><Relationship Id="rId31" Type="http://schemas.openxmlformats.org/officeDocument/2006/relationships/hyperlink" Target="http://www.sec.gov/Archives/edgar/data/812011/000110465911068271/a11-31184_1ex3d1.htm" TargetMode="External"/><Relationship Id="rId32" Type="http://schemas.openxmlformats.org/officeDocument/2006/relationships/hyperlink" Target="http://www.sec.gov/Archives/edgar/data/812011/000110465916150413/a16-20037_1ex3d1.htm" TargetMode="External"/><Relationship Id="rId34" Type="http://schemas.openxmlformats.org/officeDocument/2006/relationships/hyperlink" Target="http://www.sec.gov/Archives/edgar/data/812011/000110465911068271/a11-31184_1ex3d2.htm" TargetMode="External"/><Relationship Id="rId35" Type="http://schemas.openxmlformats.org/officeDocument/2006/relationships/hyperlink" Target="http://www.sec.gov/Archives/edgar/data/812011/000081201117000079/ex1012017-q4.htm" TargetMode="External"/><Relationship Id="rId37" Type="http://schemas.openxmlformats.org/officeDocument/2006/relationships/hyperlink" Target="http://www.sec.gov/Archives/edgar/data/812011/000081201102000023/exhibit992a.htm" TargetMode="External"/><Relationship Id="rId38" Type="http://schemas.openxmlformats.org/officeDocument/2006/relationships/hyperlink" Target="http://www.sec.gov/Archives/edgar/data/812011/000081201102000023/exhibit992b.htm" TargetMode="External"/><Relationship Id="rId40" Type="http://schemas.openxmlformats.org/officeDocument/2006/relationships/hyperlink" Target="http://www.sec.gov/Archives/edgar/data/812011/000081201105000035/exhibit103c.htm" TargetMode="External"/><Relationship Id="rId41" Type="http://schemas.openxmlformats.org/officeDocument/2006/relationships/hyperlink" Target="http://www.sec.gov/Archives/edgar/data/812011/000081201105000035/exhibit103d.htm" TargetMode="External"/><Relationship Id="rId43" Type="http://schemas.openxmlformats.org/officeDocument/2006/relationships/hyperlink" Target="http://www.sec.gov/Archives/edgar/data/812011/000081201105000035/exhibit103e.htm" TargetMode="External"/><Relationship Id="rId44" Type="http://schemas.openxmlformats.org/officeDocument/2006/relationships/hyperlink" Target="http://www.sec.gov/Archives/edgar/data/812011/000081201102000023/exhibit993a.htm" TargetMode="External"/><Relationship Id="rId46" Type="http://schemas.openxmlformats.org/officeDocument/2006/relationships/hyperlink" Target="http://www.sec.gov/Archives/edgar/data/812011/000081201102000023/exhibit993b.htm" TargetMode="External"/><Relationship Id="rId47" Type="http://schemas.openxmlformats.org/officeDocument/2006/relationships/hyperlink" Target="http://www.sec.gov/Archives/edgar/data/812011/000081201105000035/exhibit104c.htm" TargetMode="External"/><Relationship Id="rId49" Type="http://schemas.openxmlformats.org/officeDocument/2006/relationships/hyperlink" Target="http://www.sec.gov/Archives/edgar/data/812011/000081201105000035/exhibit104d.htm" TargetMode="External"/><Relationship Id="rId50" Type="http://schemas.openxmlformats.org/officeDocument/2006/relationships/hyperlink" Target="http://www.sec.gov/Archives/edgar/data/812011/000081201105000035/exhibit104e.htm" TargetMode="External"/><Relationship Id="rId52" Type="http://schemas.openxmlformats.org/officeDocument/2006/relationships/hyperlink" Target="http://www.sec.gov/Archives/edgar/data/812011/000081201106000008/exhibit104f.htm" TargetMode="External"/><Relationship Id="rId53" Type="http://schemas.openxmlformats.org/officeDocument/2006/relationships/hyperlink" Target="http://www.sec.gov/Archives/edgar/data/812011/000081201102000023/exhibit994a.htm" TargetMode="External"/><Relationship Id="rId55" Type="http://schemas.openxmlformats.org/officeDocument/2006/relationships/hyperlink" Target="http://www.sec.gov/Archives/edgar/data/812011/000081201102000023/exhibit994b.htm" TargetMode="External"/><Relationship Id="rId56" Type="http://schemas.openxmlformats.org/officeDocument/2006/relationships/hyperlink" Target="http://www.sec.gov/Archives/edgar/data/812011/000081201105000035/exhibit105c.htm" TargetMode="External"/><Relationship Id="rId57" Type="http://schemas.openxmlformats.org/officeDocument/2006/relationships/hyperlink" Target="http://www.sec.gov/Archives/edgar/data/812011/000081201105000035/exhibit105d.htm" TargetMode="External"/><Relationship Id="rId58" Type="http://schemas.openxmlformats.org/officeDocument/2006/relationships/hyperlink" Target="http://www.sec.gov/Archives/edgar/data/812011/000081201105000035/exhibit105e.htm" TargetMode="External"/><Relationship Id="rId59" Type="http://schemas.openxmlformats.org/officeDocument/2006/relationships/hyperlink" Target="http://www.sec.gov/Archives/edgar/data/812011/000081201108000026/exhibit10_4f.htm" TargetMode="External"/><Relationship Id="rId60" Type="http://schemas.openxmlformats.org/officeDocument/2006/relationships/hyperlink" Target="http://www.sec.gov/Archives/edgar/data/812011/000081201102000023/exhibit995a.htm" TargetMode="External"/><Relationship Id="rId61" Type="http://schemas.openxmlformats.org/officeDocument/2006/relationships/hyperlink" Target="http://www.sec.gov/Archives/edgar/data/812011/000081201102000023/exhibit995b.htm" TargetMode="External"/><Relationship Id="rId62" Type="http://schemas.openxmlformats.org/officeDocument/2006/relationships/hyperlink" Target="http://www.sec.gov/Archives/edgar/data/812011/000081201102000023/exhibit995c.htm" TargetMode="External"/><Relationship Id="rId63" Type="http://schemas.openxmlformats.org/officeDocument/2006/relationships/hyperlink" Target="http://www.sec.gov/Archives/edgar/data/812011/000081201105000035/exhibit106d.htm" TargetMode="External"/><Relationship Id="rId64" Type="http://schemas.openxmlformats.org/officeDocument/2006/relationships/hyperlink" Target="http://www.sec.gov/Archives/edgar/data/812011/000081201105000035/exhibit106e.htm" TargetMode="External"/><Relationship Id="rId65" Type="http://schemas.openxmlformats.org/officeDocument/2006/relationships/hyperlink" Target="http://www.sec.gov/Archives/edgar/data/812011/000081201109000036/exhibit99_1.htm" TargetMode="External"/><Relationship Id="rId66" Type="http://schemas.openxmlformats.org/officeDocument/2006/relationships/hyperlink" Target="http://www.sec.gov/Archives/edgar/data/812011/000081201107000054/exhibit10_20.htm" TargetMode="External"/><Relationship Id="rId67" Type="http://schemas.openxmlformats.org/officeDocument/2006/relationships/hyperlink" Target="http://www.sec.gov/Archives/edgar/data/812011/000110465915083185/a15-24404_2ex10d2.htm" TargetMode="External"/><Relationship Id="rId68" Type="http://schemas.openxmlformats.org/officeDocument/2006/relationships/hyperlink" Target="http://www.sec.gov/Archives/edgar/data/812011/000110465915083185/a15-24404_2ex10d3.htm" TargetMode="External"/><Relationship Id="rId69" Type="http://schemas.openxmlformats.org/officeDocument/2006/relationships/hyperlink" Target="http://www.sec.gov/Archives/edgar/data/812011/000081201109000030/exhibit10_22.htm" TargetMode="External"/><Relationship Id="rId70" Type="http://schemas.openxmlformats.org/officeDocument/2006/relationships/hyperlink" Target="http://www.sec.gov/Archives/edgar/data/812011/000081201108000036/exhibit10_1.htm" TargetMode="External"/><Relationship Id="rId71" Type="http://schemas.openxmlformats.org/officeDocument/2006/relationships/hyperlink" Target="http://www.sec.gov/Archives/edgar/data/812011/000081201111000023/exhibit10_1.htm" TargetMode="External"/><Relationship Id="rId72" Type="http://schemas.openxmlformats.org/officeDocument/2006/relationships/hyperlink" Target="http://www.sec.gov/Archives/edgar/data/812011/000081201113000023/exhibit101.htm" TargetMode="External"/><Relationship Id="rId73" Type="http://schemas.openxmlformats.org/officeDocument/2006/relationships/hyperlink" Target="http://www.sec.gov/Archives/edgar/data/812011/000081201108000036/exhibit10_8.htm" TargetMode="External"/><Relationship Id="rId74" Type="http://schemas.openxmlformats.org/officeDocument/2006/relationships/hyperlink" Target="http://www.sec.gov/Archives/edgar/data/812011/000110465913045415/a13-13329_1ex10d1.htm" TargetMode="External"/><Relationship Id="rId75" Type="http://schemas.openxmlformats.org/officeDocument/2006/relationships/hyperlink" Target="http://www.sec.gov/Archives/edgar/data/812011/000110465913045415/a13-13329_1ex10d2.htm" TargetMode="External"/><Relationship Id="rId76" Type="http://schemas.openxmlformats.org/officeDocument/2006/relationships/hyperlink" Target="http://www.sec.gov/Archives/edgar/data/812011/000081201116000182/exhibit101managementincent.htm" TargetMode="External"/><Relationship Id="rId77" Type="http://schemas.openxmlformats.org/officeDocument/2006/relationships/hyperlink" Target="http://www.sec.gov/Archives/edgar/data/812011/000110465915083185/a15-24404_2ex10d1.htm" TargetMode="External"/><Relationship Id="rId78" Type="http://schemas.openxmlformats.org/officeDocument/2006/relationships/hyperlink" Target="http://www.sec.gov/Archives/edgar/data/812011/000081201115000031/exhibit1012015-q3.htm" TargetMode="External"/><Relationship Id="rId79" Type="http://schemas.openxmlformats.org/officeDocument/2006/relationships/hyperlink" Target="http://www.sec.gov/Archives/edgar/data/812011/000081201115000062/exhibit102firstamendmentto.htm" TargetMode="External"/><Relationship Id="rId80" Type="http://schemas.openxmlformats.org/officeDocument/2006/relationships/hyperlink" Target="http://www.sec.gov/Archives/edgar/data/812011/000110465916150413/a16-20037_1ex10d1.htm" TargetMode="External"/><Relationship Id="rId82" Type="http://schemas.openxmlformats.org/officeDocument/2006/relationships/hyperlink" Target="http://www.sec.gov/Archives/edgar/data/812011/000081201117000039/exhibit103thirdamendmentto7.htm" TargetMode="External"/><Relationship Id="rId83" Type="http://schemas.openxmlformats.org/officeDocument/2006/relationships/hyperlink" Target="http://www.sec.gov/Archives/edgar/data/812011/000081201118000032/vail-fourthamendmentto7tha.htm" TargetMode="External"/><Relationship Id="rId85" Type="http://schemas.openxmlformats.org/officeDocument/2006/relationships/hyperlink" Target="http://www.sec.gov/Archives/edgar/data/812011/000081201116000182/exhibit103whistlercreditag.htm" TargetMode="External"/><Relationship Id="rId86" Type="http://schemas.openxmlformats.org/officeDocument/2006/relationships/hyperlink" Target="http://www.sec.gov/Archives/edgar/data/812011/000081201117000014/exhibit1012017-q2.htm" TargetMode="External"/><Relationship Id="rId88" Type="http://schemas.openxmlformats.org/officeDocument/2006/relationships/hyperlink" Target="http://www.sec.gov/Archives/edgar/data/812011/000081201117000006/exhibit101whistlermda.htm" TargetMode="External"/><Relationship Id="rId89" Type="http://schemas.openxmlformats.org/officeDocument/2006/relationships/hyperlink" Target="http://www.sec.gov/Archives/edgar/data/812011/000081201117000006/exhibit102blackcombm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2019-12-28T19:21:24Z</dcterms:created>
  <dcterms:modified xsi:type="dcterms:W3CDTF">2019-12-28T19:21:24Z</dcterms:modified>
</cp:coreProperties>
</file>