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April 30, 2018</w:t>
      </w:r>
    </w:p>
    <w:p>
      <w:pPr>
        <w:spacing w:after="0" w:line="266"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1" w:lineRule="exact"/>
        <w:rPr>
          <w:sz w:val="24"/>
          <w:szCs w:val="24"/>
          <w:color w:val="auto"/>
        </w:rPr>
      </w:pPr>
    </w:p>
    <w:p>
      <w:pPr>
        <w:ind w:left="396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2063115</wp:posOffset>
            </wp:positionH>
            <wp:positionV relativeFrom="paragraph">
              <wp:posOffset>83185</wp:posOffset>
            </wp:positionV>
            <wp:extent cx="312991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991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Vail Resorts,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1520" w:type="dxa"/>
        <w:tblCellMar>
          <w:top w:w="0" w:type="dxa"/>
          <w:left w:w="0" w:type="dxa"/>
          <w:bottom w:w="0" w:type="dxa"/>
          <w:right w:w="0" w:type="dxa"/>
        </w:tblCellMar>
      </w:tblP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380" w:type="dxa"/>
            <w:vAlign w:val="bottom"/>
          </w:tcPr>
          <w:p>
            <w:pPr>
              <w:jc w:val="right"/>
              <w:ind w:right="40"/>
              <w:spacing w:after="0"/>
              <w:rPr>
                <w:sz w:val="20"/>
                <w:szCs w:val="20"/>
                <w:color w:val="auto"/>
              </w:rPr>
            </w:pPr>
            <w:r>
              <w:rPr>
                <w:rFonts w:ascii="Arial" w:cs="Arial" w:eastAsia="Arial" w:hAnsi="Arial"/>
                <w:sz w:val="18"/>
                <w:szCs w:val="18"/>
                <w:b w:val="1"/>
                <w:bCs w:val="1"/>
                <w:color w:val="auto"/>
              </w:rPr>
              <w:t>51-0291762</w:t>
            </w:r>
          </w:p>
        </w:tc>
      </w:tr>
      <w:tr>
        <w:trPr>
          <w:trHeight w:val="180"/>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1"/>
              </w:rPr>
              <w:t>390 Interlocken Crescent</w:t>
            </w:r>
          </w:p>
        </w:tc>
        <w:tc>
          <w:tcPr>
            <w:tcW w:w="5380" w:type="dxa"/>
            <w:vAlign w:val="bottom"/>
          </w:tcPr>
          <w:p>
            <w:pPr>
              <w:spacing w:after="0"/>
              <w:rPr>
                <w:sz w:val="24"/>
                <w:szCs w:val="24"/>
                <w:color w:val="auto"/>
              </w:rPr>
            </w:pPr>
          </w:p>
        </w:tc>
      </w:t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Broomfield, Colorado</w:t>
            </w:r>
          </w:p>
        </w:tc>
        <w:tc>
          <w:tcPr>
            <w:tcW w:w="5380" w:type="dxa"/>
            <w:vAlign w:val="bottom"/>
          </w:tcPr>
          <w:p>
            <w:pPr>
              <w:jc w:val="right"/>
              <w:ind w:right="260"/>
              <w:spacing w:after="0"/>
              <w:rPr>
                <w:sz w:val="20"/>
                <w:szCs w:val="20"/>
                <w:color w:val="auto"/>
              </w:rPr>
            </w:pPr>
            <w:r>
              <w:rPr>
                <w:rFonts w:ascii="Arial" w:cs="Arial" w:eastAsia="Arial" w:hAnsi="Arial"/>
                <w:sz w:val="18"/>
                <w:szCs w:val="18"/>
                <w:b w:val="1"/>
                <w:bCs w:val="1"/>
                <w:color w:val="auto"/>
              </w:rPr>
              <w:t>80021</w:t>
            </w:r>
          </w:p>
        </w:tc>
      </w:tr>
      <w:tr>
        <w:trPr>
          <w:trHeight w:val="218"/>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8"/>
              </w:rPr>
              <w:t>(Zip Code)</w:t>
            </w:r>
          </w:p>
        </w:tc>
      </w:tr>
      <w:tr>
        <w:trPr>
          <w:trHeight w:val="390"/>
        </w:trPr>
        <w:tc>
          <w:tcPr>
            <w:tcW w:w="2460" w:type="dxa"/>
            <w:vAlign w:val="bottom"/>
          </w:tcPr>
          <w:p>
            <w:pPr>
              <w:spacing w:after="0"/>
              <w:rPr>
                <w:sz w:val="24"/>
                <w:szCs w:val="24"/>
                <w:color w:val="auto"/>
              </w:rPr>
            </w:pPr>
          </w:p>
        </w:tc>
        <w:tc>
          <w:tcPr>
            <w:tcW w:w="5380" w:type="dxa"/>
            <w:vAlign w:val="bottom"/>
          </w:tcPr>
          <w:p>
            <w:pPr>
              <w:jc w:val="right"/>
              <w:ind w:right="3000"/>
              <w:spacing w:after="0"/>
              <w:rPr>
                <w:sz w:val="20"/>
                <w:szCs w:val="20"/>
                <w:color w:val="auto"/>
              </w:rPr>
            </w:pPr>
            <w:r>
              <w:rPr>
                <w:rFonts w:ascii="Arial" w:cs="Arial" w:eastAsia="Arial" w:hAnsi="Arial"/>
                <w:sz w:val="18"/>
                <w:szCs w:val="18"/>
                <w:b w:val="1"/>
                <w:bCs w:val="1"/>
                <w:color w:val="auto"/>
              </w:rPr>
              <w:t>(303) 404-1800</w:t>
            </w:r>
          </w:p>
        </w:tc>
      </w:tr>
      <w:tr>
        <w:trPr>
          <w:trHeight w:val="204"/>
        </w:trPr>
        <w:tc>
          <w:tcPr>
            <w:tcW w:w="2460" w:type="dxa"/>
            <w:vAlign w:val="bottom"/>
          </w:tcPr>
          <w:p>
            <w:pPr>
              <w:spacing w:after="0"/>
              <w:rPr>
                <w:sz w:val="17"/>
                <w:szCs w:val="17"/>
                <w:color w:val="auto"/>
              </w:rPr>
            </w:pPr>
          </w:p>
        </w:tc>
        <w:tc>
          <w:tcPr>
            <w:tcW w:w="5380" w:type="dxa"/>
            <w:vAlign w:val="bottom"/>
          </w:tcPr>
          <w:p>
            <w:pPr>
              <w:jc w:val="right"/>
              <w:ind w:right="1900"/>
              <w:spacing w:after="0"/>
              <w:rPr>
                <w:sz w:val="20"/>
                <w:szCs w:val="20"/>
                <w:color w:val="auto"/>
              </w:rPr>
            </w:pPr>
            <w:r>
              <w:rPr>
                <w:rFonts w:ascii="Arial" w:cs="Arial" w:eastAsia="Arial" w:hAnsi="Arial"/>
                <w:sz w:val="14"/>
                <w:szCs w:val="14"/>
                <w:b w:val="1"/>
                <w:bCs w:val="1"/>
                <w:color w:val="auto"/>
                <w:w w:val="92"/>
              </w:rPr>
              <w:t>(Registrant’s Telephone Number, Including Area Code)</w:t>
            </w:r>
          </w:p>
        </w:tc>
      </w:tr>
    </w:tbl>
    <w:p>
      <w:pPr>
        <w:spacing w:after="0" w:line="11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11"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9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9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492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40" w:type="dxa"/>
            <w:vAlign w:val="bottom"/>
          </w:tcPr>
          <w:p>
            <w:pPr>
              <w:ind w:left="90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0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340" w:type="dxa"/>
            <w:vAlign w:val="bottom"/>
          </w:tcPr>
          <w:p>
            <w:pPr>
              <w:ind w:left="90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2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right="19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June 4, 2018, 40,323,276 shares of the registrant’s common stock were outstanding.</w:t>
      </w:r>
    </w:p>
    <w:p>
      <w:pPr>
        <w:sectPr>
          <w:pgSz w:w="11900" w:h="16838" w:orient="portrait"/>
          <w:cols w:equalWidth="0" w:num="1">
            <w:col w:w="11420"/>
          </w:cols>
          <w:pgMar w:left="240" w:top="73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PART I</w:t>
            </w:r>
          </w:p>
        </w:tc>
        <w:tc>
          <w:tcPr>
            <w:tcW w:w="966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auto"/>
              </w:rPr>
              <w:t>FINANCIAL INFORMATION</w:t>
            </w:r>
          </w:p>
        </w:tc>
        <w:tc>
          <w:tcPr>
            <w:tcW w:w="680" w:type="dxa"/>
            <w:vAlign w:val="bottom"/>
            <w:tcBorders>
              <w:bottom w:val="single" w:sz="8" w:color="auto"/>
            </w:tcBorders>
            <w:gridSpan w:val="4"/>
            <w:shd w:val="clear" w:color="auto" w:fill="CCEEFF"/>
          </w:tcPr>
          <w:p>
            <w:pPr>
              <w:ind w:left="160"/>
              <w:spacing w:after="0"/>
              <w:rPr>
                <w:sz w:val="20"/>
                <w:szCs w:val="20"/>
                <w:color w:val="auto"/>
              </w:rPr>
            </w:pPr>
            <w:r>
              <w:rPr>
                <w:rFonts w:ascii="Arial" w:cs="Arial" w:eastAsia="Arial" w:hAnsi="Arial"/>
                <w:sz w:val="18"/>
                <w:szCs w:val="18"/>
                <w:color w:val="auto"/>
              </w:rPr>
              <w:t>Page</w:t>
            </w:r>
          </w:p>
        </w:tc>
      </w:tr>
      <w:tr>
        <w:trPr>
          <w:trHeight w:val="324"/>
        </w:trPr>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1.</w:t>
            </w:r>
          </w:p>
        </w:tc>
        <w:tc>
          <w:tcPr>
            <w:tcW w:w="9660" w:type="dxa"/>
            <w:vAlign w:val="bottom"/>
            <w:tcBorders>
              <w:bottom w:val="single" w:sz="8" w:color="CCEEFF"/>
            </w:tcBorders>
            <w:gridSpan w:val="16"/>
            <w:shd w:val="clear" w:color="auto" w:fill="CCEEFF"/>
          </w:tcPr>
          <w:p>
            <w:pPr>
              <w:spacing w:after="0"/>
              <w:rPr>
                <w:sz w:val="20"/>
                <w:szCs w:val="20"/>
                <w:color w:val="auto"/>
              </w:rPr>
            </w:pPr>
            <w:r>
              <w:rPr>
                <w:rFonts w:ascii="Arial" w:cs="Arial" w:eastAsia="Arial" w:hAnsi="Arial"/>
                <w:sz w:val="18"/>
                <w:szCs w:val="18"/>
                <w:color w:val="auto"/>
              </w:rPr>
              <w:t>Financial Statements (unaudited).</w:t>
            </w: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spacing w:after="0"/>
              <w:rPr>
                <w:sz w:val="17"/>
                <w:szCs w:val="17"/>
                <w:color w:val="auto"/>
              </w:rPr>
            </w:pPr>
          </w:p>
        </w:tc>
        <w:tc>
          <w:tcPr>
            <w:tcW w:w="9660" w:type="dxa"/>
            <w:vAlign w:val="bottom"/>
            <w:gridSpan w:val="16"/>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Consolidated Condensed Balance Sheets as of April 30, 2018, July 31, 2017 and April 30, 2017</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spacing w:after="0"/>
              <w:rPr>
                <w:sz w:val="17"/>
                <w:szCs w:val="17"/>
                <w:color w:val="auto"/>
              </w:rPr>
            </w:pPr>
          </w:p>
        </w:tc>
        <w:tc>
          <w:tcPr>
            <w:tcW w:w="9660" w:type="dxa"/>
            <w:vAlign w:val="bottom"/>
            <w:gridSpan w:val="16"/>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Condensed Statements of Operations for the Three and Nine Months Ended April 30, 2018 and 2017</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spacing w:after="0"/>
              <w:rPr>
                <w:sz w:val="17"/>
                <w:szCs w:val="17"/>
                <w:color w:val="auto"/>
              </w:rPr>
            </w:pPr>
          </w:p>
        </w:tc>
        <w:tc>
          <w:tcPr>
            <w:tcW w:w="9660" w:type="dxa"/>
            <w:vAlign w:val="bottom"/>
            <w:gridSpan w:val="16"/>
          </w:tcPr>
          <w:p>
            <w:pPr>
              <w:spacing w:after="0" w:line="202"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Consolidated Condensed Statements of Comprehensive Income for the Three and Nine Months Ended April 30, 2018 and 2017</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0000EE"/>
            </w:tcBorders>
            <w:gridSpan w:val="13"/>
            <w:shd w:val="clear" w:color="auto" w:fill="CCEEFF"/>
          </w:tcPr>
          <w:p>
            <w:pPr>
              <w:spacing w:after="0" w:line="202"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Condensed Statements of Stockholders’ Equity for the Nine Months Ended April 30, 2018 and 2017</w:t>
              </w:r>
            </w:hyperlink>
          </w:p>
        </w:tc>
        <w:tc>
          <w:tcPr>
            <w:tcW w:w="1440" w:type="dxa"/>
            <w:vAlign w:val="bottom"/>
            <w:tcBorders>
              <w:bottom w:val="single" w:sz="8" w:color="CCEEFF"/>
            </w:tcBorders>
            <w:gridSpan w:val="3"/>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spacing w:after="0"/>
              <w:rPr>
                <w:sz w:val="17"/>
                <w:szCs w:val="17"/>
                <w:color w:val="auto"/>
              </w:rPr>
            </w:pPr>
          </w:p>
        </w:tc>
        <w:tc>
          <w:tcPr>
            <w:tcW w:w="9660" w:type="dxa"/>
            <w:vAlign w:val="bottom"/>
            <w:gridSpan w:val="16"/>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Consolidated Condensed Statements of Cash Flows for the Nine Months Ended April 30, 2018 and 2017</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spacing w:after="0"/>
              <w:rPr>
                <w:sz w:val="17"/>
                <w:szCs w:val="17"/>
                <w:color w:val="auto"/>
              </w:rPr>
            </w:pPr>
          </w:p>
        </w:tc>
        <w:tc>
          <w:tcPr>
            <w:tcW w:w="9660" w:type="dxa"/>
            <w:vAlign w:val="bottom"/>
            <w:gridSpan w:val="16"/>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Condensed Financial Statements</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660" w:type="dxa"/>
            <w:vAlign w:val="bottom"/>
            <w:gridSpan w:val="16"/>
          </w:tcPr>
          <w:p>
            <w:pPr>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4360" w:type="dxa"/>
            <w:vAlign w:val="bottom"/>
            <w:gridSpan w:val="9"/>
            <w:shd w:val="clear" w:color="auto" w:fill="CCEEFF"/>
          </w:tcPr>
          <w:p>
            <w:pPr>
              <w:spacing w:after="0" w:line="202"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Quantitative and Qualitative Disclosures About Market Risk</w:t>
              </w:r>
            </w:hyperlink>
          </w:p>
        </w:tc>
        <w:tc>
          <w:tcPr>
            <w:tcW w:w="5300" w:type="dxa"/>
            <w:vAlign w:val="bottom"/>
            <w:gridSpan w:val="7"/>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4360" w:type="dxa"/>
            <w:vAlign w:val="bottom"/>
            <w:gridSpan w:val="9"/>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5300" w:type="dxa"/>
            <w:vAlign w:val="bottom"/>
            <w:gridSpan w:val="7"/>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38"/>
        </w:trPr>
        <w:tc>
          <w:tcPr>
            <w:tcW w:w="10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9660" w:type="dxa"/>
            <w:vAlign w:val="bottom"/>
            <w:gridSpan w:val="16"/>
          </w:tcPr>
          <w:p>
            <w:pPr>
              <w:spacing w:after="0"/>
              <w:rPr>
                <w:sz w:val="20"/>
                <w:szCs w:val="20"/>
                <w:color w:val="auto"/>
              </w:rPr>
            </w:pPr>
            <w:r>
              <w:rPr>
                <w:rFonts w:ascii="Arial" w:cs="Arial" w:eastAsia="Arial" w:hAnsi="Arial"/>
                <w:sz w:val="18"/>
                <w:szCs w:val="18"/>
                <w:b w:val="1"/>
                <w:bCs w:val="1"/>
                <w:color w:val="auto"/>
              </w:rPr>
              <w:t>OTHER INFORMATION</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38"/>
        </w:trPr>
        <w:tc>
          <w:tcPr>
            <w:tcW w:w="10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9660" w:type="dxa"/>
            <w:vAlign w:val="bottom"/>
            <w:gridSpan w:val="16"/>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900" w:type="dxa"/>
            <w:vAlign w:val="bottom"/>
            <w:gridSpan w:val="2"/>
            <w:shd w:val="clear" w:color="auto" w:fill="CCEEFF"/>
          </w:tcPr>
          <w:p>
            <w:pPr>
              <w:spacing w:after="0" w:line="202"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Risk Factors</w:t>
              </w:r>
            </w:hyperlink>
          </w:p>
        </w:tc>
        <w:tc>
          <w:tcPr>
            <w:tcW w:w="8760" w:type="dxa"/>
            <w:vAlign w:val="bottom"/>
            <w:gridSpan w:val="14"/>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660" w:type="dxa"/>
            <w:vAlign w:val="bottom"/>
            <w:gridSpan w:val="16"/>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2320" w:type="dxa"/>
            <w:vAlign w:val="bottom"/>
            <w:gridSpan w:val="6"/>
            <w:shd w:val="clear" w:color="auto" w:fill="CCEEFF"/>
          </w:tcPr>
          <w:p>
            <w:pPr>
              <w:spacing w:after="0" w:line="202"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Defaults Upon Senior Securities</w:t>
              </w:r>
            </w:hyperlink>
          </w:p>
        </w:tc>
        <w:tc>
          <w:tcPr>
            <w:tcW w:w="7340" w:type="dxa"/>
            <w:vAlign w:val="bottom"/>
            <w:gridSpan w:val="10"/>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2320" w:type="dxa"/>
            <w:vAlign w:val="bottom"/>
            <w:gridSpan w:val="6"/>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Mine Safety Disclosures</w:t>
              </w:r>
            </w:hyperlink>
          </w:p>
        </w:tc>
        <w:tc>
          <w:tcPr>
            <w:tcW w:w="7340" w:type="dxa"/>
            <w:vAlign w:val="bottom"/>
            <w:gridSpan w:val="10"/>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5.</w:t>
            </w:r>
          </w:p>
        </w:tc>
        <w:tc>
          <w:tcPr>
            <w:tcW w:w="9660" w:type="dxa"/>
            <w:vAlign w:val="bottom"/>
            <w:gridSpan w:val="16"/>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Other Information</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6.</w:t>
            </w:r>
          </w:p>
        </w:tc>
        <w:tc>
          <w:tcPr>
            <w:tcW w:w="600" w:type="dxa"/>
            <w:vAlign w:val="bottom"/>
          </w:tcPr>
          <w:p>
            <w:pPr>
              <w:spacing w:after="0" w:line="202"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Exhibits</w:t>
              </w:r>
            </w:hyperlink>
          </w:p>
        </w:tc>
        <w:tc>
          <w:tcPr>
            <w:tcW w:w="700" w:type="dxa"/>
            <w:vAlign w:val="bottom"/>
            <w:gridSpan w:val="2"/>
          </w:tcPr>
          <w:p>
            <w:pPr>
              <w:spacing w:after="0"/>
              <w:rPr>
                <w:sz w:val="17"/>
                <w:szCs w:val="17"/>
                <w:color w:val="auto"/>
              </w:rPr>
            </w:pPr>
          </w:p>
        </w:tc>
        <w:tc>
          <w:tcPr>
            <w:tcW w:w="8360" w:type="dxa"/>
            <w:vAlign w:val="bottom"/>
            <w:gridSpan w:val="13"/>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April 30, 2018</w:t>
            </w: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July 31, 2017</w:t>
            </w: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April 30, 2017</w:t>
            </w: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181,597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117,389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195,818</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7,427</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10,273</w:t>
            </w:r>
          </w:p>
        </w:tc>
        <w:tc>
          <w:tcPr>
            <w:tcW w:w="3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8,648</w:t>
            </w: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receivables, net</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220,248</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186,913</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174,433</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36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79,361</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84,814</w:t>
            </w:r>
          </w:p>
        </w:tc>
        <w:tc>
          <w:tcPr>
            <w:tcW w:w="3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77,332</w:t>
            </w: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31,027</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33,681</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42,488</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519,660</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433,070</w:t>
            </w:r>
          </w:p>
        </w:tc>
        <w:tc>
          <w:tcPr>
            <w:tcW w:w="3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498,719</w:t>
            </w: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 (Note 6)</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1,640,727</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1,714,154</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1,647,004</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36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99,623</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103,405</w:t>
            </w:r>
          </w:p>
        </w:tc>
        <w:tc>
          <w:tcPr>
            <w:tcW w:w="3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108,217</w:t>
            </w: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1,488,663</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1,519,743</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1,430,008</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283,802</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294,932</w:t>
            </w:r>
          </w:p>
        </w:tc>
        <w:tc>
          <w:tcPr>
            <w:tcW w:w="3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280,516</w:t>
            </w: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42,960</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45,414</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44,403</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4,075,435</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4,110,718</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4,008,867</w:t>
            </w:r>
          </w:p>
        </w:tc>
      </w:tr>
      <w:tr>
        <w:trPr>
          <w:trHeight w:val="67"/>
        </w:trPr>
        <w:tc>
          <w:tcPr>
            <w:tcW w:w="59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r>
      <w:tr>
        <w:trPr>
          <w:trHeight w:val="231"/>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liabilities (Note 6)</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429,858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467,669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403,285</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29,512</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98,491</w:t>
            </w:r>
          </w:p>
        </w:tc>
        <w:tc>
          <w:tcPr>
            <w:tcW w:w="3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48,702</w:t>
            </w: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 (Note 4)</w:t>
            </w:r>
          </w:p>
        </w:tc>
        <w:tc>
          <w:tcPr>
            <w:tcW w:w="3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38,444</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38,397</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38,386</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497,814</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604,557</w:t>
            </w:r>
          </w:p>
        </w:tc>
        <w:tc>
          <w:tcPr>
            <w:tcW w:w="3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490,373</w:t>
            </w: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(Note 4)</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1,078,005</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1,234,024</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1,168,210</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Other long-term liabilities (Note 6)</w:t>
            </w:r>
          </w:p>
        </w:tc>
        <w:tc>
          <w:tcPr>
            <w:tcW w:w="36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279,797</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301,736</w:t>
            </w:r>
          </w:p>
        </w:tc>
        <w:tc>
          <w:tcPr>
            <w:tcW w:w="3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280,203</w:t>
            </w: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 (Note 2)</w:t>
            </w:r>
          </w:p>
        </w:tc>
        <w:tc>
          <w:tcPr>
            <w:tcW w:w="3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215,696</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171,442</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281,813</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2,071,312</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2,311,759</w:t>
            </w:r>
          </w:p>
        </w:tc>
        <w:tc>
          <w:tcPr>
            <w:tcW w:w="3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2,220,599</w:t>
            </w: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8)</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Preferred stock, $0.01 par value, 25,000 shares authorized, no shares issued</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7"/>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and outstanding</w:t>
            </w:r>
          </w:p>
        </w:tc>
        <w:tc>
          <w:tcPr>
            <w:tcW w:w="3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tcPr>
          <w:p>
            <w:pPr>
              <w:ind w:left="280"/>
              <w:spacing w:after="0"/>
              <w:rPr>
                <w:sz w:val="20"/>
                <w:szCs w:val="20"/>
                <w:color w:val="auto"/>
              </w:rPr>
            </w:pPr>
            <w:r>
              <w:rPr>
                <w:rFonts w:ascii="Arial" w:cs="Arial" w:eastAsia="Arial" w:hAnsi="Arial"/>
                <w:sz w:val="18"/>
                <w:szCs w:val="18"/>
                <w:color w:val="auto"/>
                <w:w w:val="93"/>
              </w:rPr>
              <w:t>Common stock, $0.01 par value, 100,000 shares authorized, 45,874, 45,448</w:t>
            </w: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980" w:type="dxa"/>
            <w:vAlign w:val="bottom"/>
          </w:tcPr>
          <w:p>
            <w:pPr>
              <w:ind w:left="280"/>
              <w:spacing w:after="0"/>
              <w:rPr>
                <w:sz w:val="20"/>
                <w:szCs w:val="20"/>
                <w:color w:val="auto"/>
              </w:rPr>
            </w:pPr>
            <w:r>
              <w:rPr>
                <w:rFonts w:ascii="Arial" w:cs="Arial" w:eastAsia="Arial" w:hAnsi="Arial"/>
                <w:sz w:val="18"/>
                <w:szCs w:val="18"/>
                <w:color w:val="auto"/>
              </w:rPr>
              <w:t>and 45,443 shares issued, respectively</w:t>
            </w:r>
          </w:p>
        </w:tc>
        <w:tc>
          <w:tcPr>
            <w:tcW w:w="360" w:type="dxa"/>
            <w:vAlign w:val="bottom"/>
          </w:tcPr>
          <w:p>
            <w:pPr>
              <w:spacing w:after="0"/>
              <w:rPr>
                <w:sz w:val="20"/>
                <w:szCs w:val="20"/>
                <w:color w:val="auto"/>
              </w:rPr>
            </w:pP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458</w:t>
            </w:r>
          </w:p>
        </w:tc>
        <w:tc>
          <w:tcPr>
            <w:tcW w:w="360" w:type="dxa"/>
            <w:vAlign w:val="bottom"/>
          </w:tcPr>
          <w:p>
            <w:pPr>
              <w:spacing w:after="0"/>
              <w:rPr>
                <w:sz w:val="20"/>
                <w:szCs w:val="20"/>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454</w:t>
            </w:r>
          </w:p>
        </w:tc>
        <w:tc>
          <w:tcPr>
            <w:tcW w:w="32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454</w:t>
            </w: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Exchangeable shares, $0.01 par value, 58, 69 and 70 shares issued and</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7"/>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 respectively (Note 5)</w:t>
            </w:r>
          </w:p>
        </w:tc>
        <w:tc>
          <w:tcPr>
            <w:tcW w:w="3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1,162,872</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1,222,510</w:t>
            </w:r>
          </w:p>
        </w:tc>
        <w:tc>
          <w:tcPr>
            <w:tcW w:w="3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1,217,820</w:t>
            </w: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10,469</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44,395</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(44,677)</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869,862</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550,985</w:t>
            </w:r>
          </w:p>
        </w:tc>
        <w:tc>
          <w:tcPr>
            <w:tcW w:w="3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650,331</w:t>
            </w: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0"/>
              </w:rPr>
              <w:t>Treasury stock, at cost, 5,552, 5,436, and 5,436 shares, respectively (Note 10)</w:t>
            </w:r>
          </w:p>
        </w:tc>
        <w:tc>
          <w:tcPr>
            <w:tcW w:w="3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(272,989)</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(247,189)</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(247,189)</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Vail Resorts, Inc. stockholders’ equity</w:t>
            </w:r>
          </w:p>
        </w:tc>
        <w:tc>
          <w:tcPr>
            <w:tcW w:w="3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1,770,673</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1,571,156</w:t>
            </w:r>
          </w:p>
        </w:tc>
        <w:tc>
          <w:tcPr>
            <w:tcW w:w="3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1,576,740</w:t>
            </w: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233,450</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227,803</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211,528</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2,004,123</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1,798,959</w:t>
            </w:r>
          </w:p>
        </w:tc>
        <w:tc>
          <w:tcPr>
            <w:tcW w:w="3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1,788,268</w:t>
            </w:r>
          </w:p>
        </w:tc>
      </w:tr>
      <w:tr>
        <w:trPr>
          <w:trHeight w:val="27"/>
        </w:trPr>
        <w:tc>
          <w:tcPr>
            <w:tcW w:w="5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5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4,075,435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4,110,718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4,008,867</w:t>
            </w:r>
          </w:p>
        </w:tc>
      </w:tr>
      <w:tr>
        <w:trPr>
          <w:trHeight w:val="20"/>
        </w:trPr>
        <w:tc>
          <w:tcPr>
            <w:tcW w:w="5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4"/>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tcPr>
          <w:p>
            <w:pPr>
              <w:spacing w:after="0"/>
              <w:rPr>
                <w:sz w:val="14"/>
                <w:szCs w:val="14"/>
                <w:color w:val="auto"/>
              </w:rPr>
            </w:pPr>
          </w:p>
        </w:tc>
      </w:tr>
      <w:tr>
        <w:trPr>
          <w:trHeight w:val="192"/>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April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rPr>
              <w:t>April 30,</w:t>
            </w:r>
          </w:p>
        </w:tc>
        <w:tc>
          <w:tcPr>
            <w:tcW w:w="92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Mountain and Lodging services and other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700,033</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653,510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1,437,753</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1,338,836</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 and Lodging retail and dining</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141,318</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136,251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358,253</w:t>
            </w:r>
          </w:p>
        </w:tc>
        <w:tc>
          <w:tcPr>
            <w:tcW w:w="6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349,077</w:t>
            </w:r>
          </w:p>
        </w:tc>
      </w:tr>
      <w:tr>
        <w:trPr>
          <w:trHeight w:val="237"/>
        </w:trPr>
        <w:tc>
          <w:tcPr>
            <w:tcW w:w="52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Resort net revenue</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841,351</w:t>
            </w: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789,761</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1,796,006</w:t>
            </w:r>
          </w:p>
        </w:tc>
        <w:tc>
          <w:tcPr>
            <w:tcW w:w="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1,687,913</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3,140</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3,910</w:t>
            </w:r>
          </w:p>
        </w:tc>
        <w:tc>
          <w:tcPr>
            <w:tcW w:w="6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10,181</w:t>
            </w:r>
          </w:p>
        </w:tc>
      </w:tr>
      <w:tr>
        <w:trPr>
          <w:trHeight w:val="237"/>
        </w:trPr>
        <w:tc>
          <w:tcPr>
            <w:tcW w:w="52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net revenue</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844,491</w:t>
            </w: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794,631</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1,799,916</w:t>
            </w:r>
          </w:p>
        </w:tc>
        <w:tc>
          <w:tcPr>
            <w:tcW w:w="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1,698,094</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Operating expense (exclusive of depreciation and amortization shown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separately below):</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Mountain and Lodging operating expense</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301,760</w:t>
            </w:r>
          </w:p>
        </w:tc>
        <w:tc>
          <w:tcPr>
            <w:tcW w:w="4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281,778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780,539</w:t>
            </w:r>
          </w:p>
        </w:tc>
        <w:tc>
          <w:tcPr>
            <w:tcW w:w="6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717,318</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 and Lodging retail and dining cost of products sold</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54,289</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147,205</w:t>
            </w: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142,422</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66,181</w:t>
            </w:r>
          </w:p>
        </w:tc>
        <w:tc>
          <w:tcPr>
            <w:tcW w:w="4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63,836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194,780</w:t>
            </w:r>
          </w:p>
        </w:tc>
        <w:tc>
          <w:tcPr>
            <w:tcW w:w="6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185,802</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Resort operating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422,230</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398,287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1,122,524</w:t>
            </w: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1,045,542</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Real Estate, net</w:t>
            </w: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(597)</w:t>
            </w:r>
          </w:p>
        </w:tc>
        <w:tc>
          <w:tcPr>
            <w:tcW w:w="4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9,818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2,301</w:t>
            </w:r>
          </w:p>
        </w:tc>
        <w:tc>
          <w:tcPr>
            <w:tcW w:w="6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17,144</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segment operating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421,633</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1,124,825</w:t>
            </w: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1,062,686</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operating (expense) income:</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(54,104)</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(154,132)</w:t>
            </w: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(140,236)</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Gain on sale of real property</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515</w:t>
            </w:r>
          </w:p>
        </w:tc>
        <w:tc>
          <w:tcPr>
            <w:tcW w:w="6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6,466</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Change in estimated fair value of contingent consideration (Note 7)</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2,454</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2,454</w:t>
            </w: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(15,100)</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Loss on disposal of fixed assets and other, net</w:t>
            </w: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(3,230)</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(2,125)</w:t>
            </w: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(4,705)</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367,978</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320,073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521,803</w:t>
            </w: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481,833</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Mountain equity investment income, net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607</w:t>
            </w:r>
          </w:p>
        </w:tc>
        <w:tc>
          <w:tcPr>
            <w:tcW w:w="4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1,094</w:t>
            </w:r>
          </w:p>
        </w:tc>
        <w:tc>
          <w:tcPr>
            <w:tcW w:w="6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1,510</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income and other, net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736</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1,516</w:t>
            </w: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5,881</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Foreign currency loss on intercompany loans (Note 4)</w:t>
            </w: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(9,502)</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(6,511)</w:t>
            </w: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(3,899)</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(15,648)</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(46,795)</w:t>
            </w:r>
          </w:p>
        </w:tc>
        <w:tc>
          <w:tcPr>
            <w:tcW w:w="6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(40,426)</w:t>
            </w:r>
          </w:p>
        </w:tc>
      </w:tr>
      <w:tr>
        <w:trPr>
          <w:trHeight w:val="237"/>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before (provision) benefit from income taxes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344,171</w:t>
            </w: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297,491</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471,107</w:t>
            </w:r>
          </w:p>
        </w:tc>
        <w:tc>
          <w:tcPr>
            <w:tcW w:w="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444,899</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benefit from income taxes (Note 2)</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(71,896)</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17,914</w:t>
            </w:r>
          </w:p>
        </w:tc>
        <w:tc>
          <w:tcPr>
            <w:tcW w:w="6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(151,933)</w:t>
            </w:r>
          </w:p>
        </w:tc>
      </w:tr>
      <w:tr>
        <w:trPr>
          <w:trHeight w:val="237"/>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272,275</w:t>
            </w: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196,856</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489,021</w:t>
            </w:r>
          </w:p>
        </w:tc>
        <w:tc>
          <w:tcPr>
            <w:tcW w:w="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292,966</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(16,023)</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(25,463)</w:t>
            </w:r>
          </w:p>
        </w:tc>
        <w:tc>
          <w:tcPr>
            <w:tcW w:w="6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(25,267)</w:t>
            </w:r>
          </w:p>
        </w:tc>
      </w:tr>
      <w:tr>
        <w:trPr>
          <w:trHeight w:val="237"/>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256,252</w:t>
            </w:r>
          </w:p>
        </w:tc>
        <w:tc>
          <w:tcPr>
            <w:tcW w:w="4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181,107</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463,558</w:t>
            </w:r>
          </w:p>
        </w:tc>
        <w:tc>
          <w:tcPr>
            <w:tcW w:w="6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267,699</w:t>
            </w:r>
          </w:p>
        </w:tc>
      </w:tr>
      <w:tr>
        <w:trPr>
          <w:trHeight w:val="67"/>
        </w:trPr>
        <w:tc>
          <w:tcPr>
            <w:tcW w:w="52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31"/>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amounts (Note 3):</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Basic net income per share attributable to Vail Resorts, Inc.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6.34</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11.48</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6.87</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net income per share attributable to Vail Resorts, Inc.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6.17</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11.13</w:t>
            </w:r>
          </w:p>
        </w:tc>
        <w:tc>
          <w:tcPr>
            <w:tcW w:w="6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Cash dividends declared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1.47</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3.576</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2.673</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3"/>
          </w:tcPr>
          <w:p>
            <w:pPr>
              <w:jc w:val="right"/>
              <w:ind w:right="47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April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April 30,</w:t>
            </w:r>
          </w:p>
        </w:tc>
        <w:tc>
          <w:tcPr>
            <w:tcW w:w="80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272,275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196,856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489,021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292,966</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 net of tax</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(64,020)</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(48,690)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(44,417)</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(47,452)</w:t>
            </w:r>
          </w:p>
        </w:tc>
      </w:tr>
      <w:tr>
        <w:trPr>
          <w:trHeight w:val="27"/>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208,255</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148,166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444,604</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245,514</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(14,972)</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(20,942)</w:t>
            </w:r>
          </w:p>
        </w:tc>
      </w:tr>
      <w:tr>
        <w:trPr>
          <w:trHeight w:val="27"/>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Vail Resorts, Inc.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207,971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137,344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429,632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224,572</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796"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1"/>
              <w:spacing w:after="0"/>
              <w:rPr>
                <w:sz w:val="20"/>
                <w:szCs w:val="20"/>
                <w:color w:val="auto"/>
              </w:rPr>
            </w:pPr>
            <w:r>
              <w:rPr>
                <w:rFonts w:ascii="Arial" w:cs="Arial" w:eastAsia="Arial" w:hAnsi="Arial"/>
                <w:sz w:val="13"/>
                <w:szCs w:val="13"/>
                <w:b w:val="1"/>
                <w:bCs w:val="1"/>
                <w:color w:val="auto"/>
                <w:w w:val="89"/>
              </w:rPr>
              <w:t>Total Vail</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35"/>
        </w:trPr>
        <w:tc>
          <w:tcPr>
            <w:tcW w:w="3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90"/>
              </w:rPr>
              <w:t>Accumulated Other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21"/>
              <w:spacing w:after="0" w:line="135" w:lineRule="exact"/>
              <w:rPr>
                <w:sz w:val="20"/>
                <w:szCs w:val="20"/>
                <w:color w:val="auto"/>
              </w:rPr>
            </w:pPr>
            <w:r>
              <w:rPr>
                <w:rFonts w:ascii="Arial" w:cs="Arial" w:eastAsia="Arial" w:hAnsi="Arial"/>
                <w:sz w:val="13"/>
                <w:szCs w:val="13"/>
                <w:b w:val="1"/>
                <w:bCs w:val="1"/>
                <w:color w:val="auto"/>
                <w:w w:val="84"/>
              </w:rPr>
              <w:t>Resorts, Inc.</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3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90"/>
              </w:rPr>
              <w:t>Additional Paid</w:t>
            </w:r>
          </w:p>
        </w:tc>
        <w:tc>
          <w:tcPr>
            <w:tcW w:w="140" w:type="dxa"/>
            <w:vAlign w:val="bottom"/>
          </w:tcPr>
          <w:p>
            <w:pPr>
              <w:spacing w:after="0"/>
              <w:rPr>
                <w:sz w:val="11"/>
                <w:szCs w:val="11"/>
                <w:color w:val="auto"/>
              </w:rPr>
            </w:pPr>
          </w:p>
        </w:tc>
        <w:tc>
          <w:tcPr>
            <w:tcW w:w="1020" w:type="dxa"/>
            <w:vAlign w:val="bottom"/>
          </w:tcPr>
          <w:p>
            <w:pPr>
              <w:jc w:val="right"/>
              <w:ind w:right="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780" w:type="dxa"/>
            <w:vAlign w:val="bottom"/>
          </w:tcPr>
          <w:p>
            <w:pPr>
              <w:jc w:val="right"/>
              <w:ind w:right="60"/>
              <w:spacing w:after="0" w:line="135" w:lineRule="exact"/>
              <w:rPr>
                <w:sz w:val="20"/>
                <w:szCs w:val="20"/>
                <w:color w:val="auto"/>
              </w:rPr>
            </w:pPr>
            <w:r>
              <w:rPr>
                <w:rFonts w:ascii="Arial" w:cs="Arial" w:eastAsia="Arial" w:hAnsi="Arial"/>
                <w:sz w:val="13"/>
                <w:szCs w:val="13"/>
                <w:b w:val="1"/>
                <w:bCs w:val="1"/>
                <w:color w:val="auto"/>
              </w:rPr>
              <w:t>Retained</w:t>
            </w:r>
          </w:p>
        </w:tc>
        <w:tc>
          <w:tcPr>
            <w:tcW w:w="800" w:type="dxa"/>
            <w:vAlign w:val="bottom"/>
          </w:tcPr>
          <w:p>
            <w:pPr>
              <w:jc w:val="right"/>
              <w:ind w:right="80"/>
              <w:spacing w:after="0" w:line="135" w:lineRule="exact"/>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1"/>
                <w:szCs w:val="11"/>
                <w:color w:val="auto"/>
              </w:rPr>
            </w:pPr>
          </w:p>
        </w:tc>
        <w:tc>
          <w:tcPr>
            <w:tcW w:w="880" w:type="dxa"/>
            <w:vAlign w:val="bottom"/>
          </w:tcPr>
          <w:p>
            <w:pPr>
              <w:jc w:val="center"/>
              <w:ind w:right="21"/>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9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74"/>
        </w:trPr>
        <w:tc>
          <w:tcPr>
            <w:tcW w:w="3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w w:val="88"/>
              </w:rPr>
              <w:t>Common Stock</w:t>
            </w: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99"/>
              </w:rPr>
              <w:t>in Capital</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92"/>
              </w:rPr>
              <w:t>(Loss) Income</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b w:val="1"/>
                <w:bCs w:val="1"/>
                <w:color w:val="auto"/>
              </w:rPr>
              <w:t>Earnings</w:t>
            </w: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95"/>
              </w:rPr>
              <w:t>Equity</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92"/>
              </w:rPr>
              <w:t>Interests</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90"/>
              </w:rPr>
              <w:t>Equity</w:t>
            </w:r>
          </w:p>
        </w:tc>
      </w:tr>
      <w:tr>
        <w:trPr>
          <w:trHeight w:val="144"/>
        </w:trPr>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121"/>
              <w:spacing w:after="0" w:line="144" w:lineRule="exact"/>
              <w:rPr>
                <w:sz w:val="20"/>
                <w:szCs w:val="20"/>
                <w:color w:val="auto"/>
              </w:rPr>
            </w:pPr>
            <w:r>
              <w:rPr>
                <w:rFonts w:ascii="Arial" w:cs="Arial" w:eastAsia="Arial" w:hAnsi="Arial"/>
                <w:sz w:val="13"/>
                <w:szCs w:val="13"/>
                <w:b w:val="1"/>
                <w:bCs w:val="1"/>
                <w:color w:val="auto"/>
              </w:rPr>
              <w:t>Vail</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4"/>
        </w:trPr>
        <w:tc>
          <w:tcPr>
            <w:tcW w:w="3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w w:val="86"/>
              </w:rPr>
              <w:t>Resorts</w:t>
            </w: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86"/>
              </w:rPr>
              <w:t>Exchangeable</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July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416</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635,986</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$ 486,667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$(246,979)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874,540</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888,466</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267,699</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267,699</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25,267</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292,966</w:t>
            </w:r>
          </w:p>
        </w:tc>
      </w:tr>
      <w:tr>
        <w:trPr>
          <w:trHeight w:val="220"/>
        </w:trPr>
        <w:tc>
          <w:tcPr>
            <w:tcW w:w="3380" w:type="dxa"/>
            <w:vAlign w:val="bottom"/>
          </w:tcPr>
          <w:p>
            <w:pPr>
              <w:ind w:left="180"/>
              <w:spacing w:after="0"/>
              <w:rPr>
                <w:sz w:val="20"/>
                <w:szCs w:val="20"/>
                <w:color w:val="auto"/>
              </w:rPr>
            </w:pPr>
            <w:r>
              <w:rPr>
                <w:rFonts w:ascii="Arial" w:cs="Arial" w:eastAsia="Arial" w:hAnsi="Arial"/>
                <w:sz w:val="16"/>
                <w:szCs w:val="16"/>
                <w:color w:val="auto"/>
                <w:w w:val="94"/>
              </w:rPr>
              <w:t>Foreign currency translation adjustments, net of</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6"/>
        </w:trPr>
        <w:tc>
          <w:tcPr>
            <w:tcW w:w="3380" w:type="dxa"/>
            <w:vAlign w:val="bottom"/>
          </w:tcPr>
          <w:p>
            <w:pPr>
              <w:ind w:left="180"/>
              <w:spacing w:after="0"/>
              <w:rPr>
                <w:sz w:val="20"/>
                <w:szCs w:val="20"/>
                <w:color w:val="auto"/>
              </w:rPr>
            </w:pPr>
            <w:r>
              <w:rPr>
                <w:rFonts w:ascii="Arial" w:cs="Arial" w:eastAsia="Arial" w:hAnsi="Arial"/>
                <w:sz w:val="16"/>
                <w:szCs w:val="16"/>
                <w:color w:val="auto"/>
              </w:rPr>
              <w:t>tax</w:t>
            </w:r>
          </w:p>
        </w:tc>
        <w:tc>
          <w:tcPr>
            <w:tcW w:w="18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(43,127)</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(43,127)</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(4,325)</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(47,452)</w:t>
            </w:r>
          </w:p>
        </w:tc>
      </w:tr>
      <w:tr>
        <w:trPr>
          <w:trHeight w:val="33"/>
        </w:trPr>
        <w:tc>
          <w:tcPr>
            <w:tcW w:w="33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224,572</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20,942</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245,514</w:t>
            </w:r>
          </w:p>
        </w:tc>
      </w:tr>
      <w:tr>
        <w:trPr>
          <w:trHeight w:val="217"/>
        </w:trPr>
        <w:tc>
          <w:tcPr>
            <w:tcW w:w="338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8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13,588</w:t>
            </w:r>
          </w:p>
        </w:tc>
        <w:tc>
          <w:tcPr>
            <w:tcW w:w="140" w:type="dxa"/>
            <w:vAlign w:val="bottom"/>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13,588</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13,588</w:t>
            </w: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issued for acquisition (Note 5)</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33</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574,608</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574,645</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574,645</w:t>
            </w:r>
          </w:p>
        </w:tc>
      </w:tr>
      <w:tr>
        <w:trPr>
          <w:trHeight w:val="224"/>
        </w:trPr>
        <w:tc>
          <w:tcPr>
            <w:tcW w:w="3380" w:type="dxa"/>
            <w:vAlign w:val="bottom"/>
          </w:tcPr>
          <w:p>
            <w:pPr>
              <w:ind w:left="40"/>
              <w:spacing w:after="0"/>
              <w:rPr>
                <w:sz w:val="20"/>
                <w:szCs w:val="20"/>
                <w:color w:val="auto"/>
              </w:rPr>
            </w:pPr>
            <w:r>
              <w:rPr>
                <w:rFonts w:ascii="Arial" w:cs="Arial" w:eastAsia="Arial" w:hAnsi="Arial"/>
                <w:sz w:val="16"/>
                <w:szCs w:val="16"/>
                <w:color w:val="auto"/>
              </w:rPr>
              <w:t>Exchangeable shares transfers</w:t>
            </w:r>
          </w:p>
        </w:tc>
        <w:tc>
          <w:tcPr>
            <w:tcW w:w="18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5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Issuance of shares under share award plans, net of</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9"/>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withheld for employee taxes</w:t>
            </w:r>
          </w:p>
        </w:tc>
        <w:tc>
          <w:tcPr>
            <w:tcW w:w="1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5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(15,886)</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(15,884)</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(15,884)</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Tax benefit from share award plans</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9,524</w:t>
            </w:r>
          </w:p>
        </w:tc>
        <w:tc>
          <w:tcPr>
            <w:tcW w:w="1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9,524</w:t>
            </w:r>
          </w:p>
        </w:tc>
        <w:tc>
          <w:tcPr>
            <w:tcW w:w="18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9,524</w:t>
            </w: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 (Note 10)</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24"/>
        </w:trPr>
        <w:tc>
          <w:tcPr>
            <w:tcW w:w="3380" w:type="dxa"/>
            <w:vAlign w:val="bottom"/>
          </w:tcPr>
          <w:p>
            <w:pPr>
              <w:ind w:left="40"/>
              <w:spacing w:after="0"/>
              <w:rPr>
                <w:sz w:val="20"/>
                <w:szCs w:val="20"/>
                <w:color w:val="auto"/>
              </w:rPr>
            </w:pPr>
            <w:r>
              <w:rPr>
                <w:rFonts w:ascii="Arial" w:cs="Arial" w:eastAsia="Arial" w:hAnsi="Arial"/>
                <w:sz w:val="16"/>
                <w:szCs w:val="16"/>
                <w:color w:val="auto"/>
              </w:rPr>
              <w:t>Dividends (Note 3)</w:t>
            </w:r>
          </w:p>
        </w:tc>
        <w:tc>
          <w:tcPr>
            <w:tcW w:w="18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(104,035)</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(104,035)</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9"/>
              </w:rPr>
              <w:t>(104,035)</w:t>
            </w: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noncontrolling interest (Note 5)</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182,579</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182,579</w:t>
            </w:r>
          </w:p>
        </w:tc>
      </w:tr>
      <w:tr>
        <w:trPr>
          <w:trHeight w:val="224"/>
        </w:trPr>
        <w:tc>
          <w:tcPr>
            <w:tcW w:w="338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 net</w:t>
            </w:r>
          </w:p>
        </w:tc>
        <w:tc>
          <w:tcPr>
            <w:tcW w:w="18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(5,919)</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(5,919)</w:t>
            </w:r>
          </w:p>
        </w:tc>
      </w:tr>
      <w:tr>
        <w:trPr>
          <w:trHeight w:val="33"/>
        </w:trPr>
        <w:tc>
          <w:tcPr>
            <w:tcW w:w="3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5"/>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April 30,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454</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1,217,820</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(44,677)</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$ 650,331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$(247,189)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1,576,740</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211,528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1,788,268</w:t>
            </w:r>
          </w:p>
        </w:tc>
      </w:tr>
      <w:tr>
        <w:trPr>
          <w:trHeight w:val="20"/>
        </w:trPr>
        <w:tc>
          <w:tcPr>
            <w:tcW w:w="3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318"/>
        </w:trPr>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July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454</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1,222,510</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44,395</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$ 550,985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$(247,189)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1,571,156</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227,803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1,798,959</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463,558</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463,558</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25,463</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489,021</w:t>
            </w:r>
          </w:p>
        </w:tc>
      </w:tr>
      <w:tr>
        <w:trPr>
          <w:trHeight w:val="220"/>
        </w:trPr>
        <w:tc>
          <w:tcPr>
            <w:tcW w:w="3380" w:type="dxa"/>
            <w:vAlign w:val="bottom"/>
          </w:tcPr>
          <w:p>
            <w:pPr>
              <w:ind w:left="180"/>
              <w:spacing w:after="0"/>
              <w:rPr>
                <w:sz w:val="20"/>
                <w:szCs w:val="20"/>
                <w:color w:val="auto"/>
              </w:rPr>
            </w:pPr>
            <w:r>
              <w:rPr>
                <w:rFonts w:ascii="Arial" w:cs="Arial" w:eastAsia="Arial" w:hAnsi="Arial"/>
                <w:sz w:val="16"/>
                <w:szCs w:val="16"/>
                <w:color w:val="auto"/>
                <w:w w:val="94"/>
              </w:rPr>
              <w:t>Foreign currency translation adjustments, net of</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6"/>
        </w:trPr>
        <w:tc>
          <w:tcPr>
            <w:tcW w:w="3380" w:type="dxa"/>
            <w:vAlign w:val="bottom"/>
          </w:tcPr>
          <w:p>
            <w:pPr>
              <w:ind w:left="180"/>
              <w:spacing w:after="0"/>
              <w:rPr>
                <w:sz w:val="20"/>
                <w:szCs w:val="20"/>
                <w:color w:val="auto"/>
              </w:rPr>
            </w:pPr>
            <w:r>
              <w:rPr>
                <w:rFonts w:ascii="Arial" w:cs="Arial" w:eastAsia="Arial" w:hAnsi="Arial"/>
                <w:sz w:val="16"/>
                <w:szCs w:val="16"/>
                <w:color w:val="auto"/>
              </w:rPr>
              <w:t>tax</w:t>
            </w:r>
          </w:p>
        </w:tc>
        <w:tc>
          <w:tcPr>
            <w:tcW w:w="18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(33,926)</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(33,926)</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(10,491)</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(44,417)</w:t>
            </w:r>
          </w:p>
        </w:tc>
      </w:tr>
      <w:tr>
        <w:trPr>
          <w:trHeight w:val="33"/>
        </w:trPr>
        <w:tc>
          <w:tcPr>
            <w:tcW w:w="33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429,632</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14,972</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444,604</w:t>
            </w:r>
          </w:p>
        </w:tc>
      </w:tr>
      <w:tr>
        <w:trPr>
          <w:trHeight w:val="217"/>
        </w:trPr>
        <w:tc>
          <w:tcPr>
            <w:tcW w:w="338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8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14,056</w:t>
            </w:r>
          </w:p>
        </w:tc>
        <w:tc>
          <w:tcPr>
            <w:tcW w:w="140" w:type="dxa"/>
            <w:vAlign w:val="bottom"/>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14,056</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14,056</w:t>
            </w: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Measurement period adjustment (Note 5)</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(1,776)</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(1,776)</w:t>
            </w:r>
          </w:p>
        </w:tc>
      </w:tr>
      <w:tr>
        <w:trPr>
          <w:trHeight w:val="220"/>
        </w:trPr>
        <w:tc>
          <w:tcPr>
            <w:tcW w:w="3380" w:type="dxa"/>
            <w:vAlign w:val="bottom"/>
          </w:tcPr>
          <w:p>
            <w:pPr>
              <w:ind w:left="40"/>
              <w:spacing w:after="0"/>
              <w:rPr>
                <w:sz w:val="20"/>
                <w:szCs w:val="20"/>
                <w:color w:val="auto"/>
              </w:rPr>
            </w:pPr>
            <w:r>
              <w:rPr>
                <w:rFonts w:ascii="Arial" w:cs="Arial" w:eastAsia="Arial" w:hAnsi="Arial"/>
                <w:sz w:val="16"/>
                <w:szCs w:val="16"/>
                <w:color w:val="auto"/>
                <w:w w:val="91"/>
              </w:rPr>
              <w:t>Issuance of shares under share award plans, net of</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6"/>
        </w:trPr>
        <w:tc>
          <w:tcPr>
            <w:tcW w:w="3380" w:type="dxa"/>
            <w:vAlign w:val="bottom"/>
          </w:tcPr>
          <w:p>
            <w:pPr>
              <w:ind w:left="40"/>
              <w:spacing w:after="0"/>
              <w:rPr>
                <w:sz w:val="20"/>
                <w:szCs w:val="20"/>
                <w:color w:val="auto"/>
              </w:rPr>
            </w:pPr>
            <w:r>
              <w:rPr>
                <w:rFonts w:ascii="Arial" w:cs="Arial" w:eastAsia="Arial" w:hAnsi="Arial"/>
                <w:sz w:val="16"/>
                <w:szCs w:val="16"/>
                <w:color w:val="auto"/>
              </w:rPr>
              <w:t>shares withheld for employee taxes</w:t>
            </w:r>
          </w:p>
        </w:tc>
        <w:tc>
          <w:tcPr>
            <w:tcW w:w="18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56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(73,694)</w:t>
            </w:r>
          </w:p>
        </w:tc>
        <w:tc>
          <w:tcPr>
            <w:tcW w:w="14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(73,690)</w:t>
            </w:r>
          </w:p>
        </w:tc>
        <w:tc>
          <w:tcPr>
            <w:tcW w:w="18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(73,690)</w:t>
            </w: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 (Note 10)</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(25,800)</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(25,800)</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(25,800)</w:t>
            </w:r>
          </w:p>
        </w:tc>
      </w:tr>
      <w:tr>
        <w:trPr>
          <w:trHeight w:val="224"/>
        </w:trPr>
        <w:tc>
          <w:tcPr>
            <w:tcW w:w="3380" w:type="dxa"/>
            <w:vAlign w:val="bottom"/>
          </w:tcPr>
          <w:p>
            <w:pPr>
              <w:ind w:left="40"/>
              <w:spacing w:after="0"/>
              <w:rPr>
                <w:sz w:val="20"/>
                <w:szCs w:val="20"/>
                <w:color w:val="auto"/>
              </w:rPr>
            </w:pPr>
            <w:r>
              <w:rPr>
                <w:rFonts w:ascii="Arial" w:cs="Arial" w:eastAsia="Arial" w:hAnsi="Arial"/>
                <w:sz w:val="16"/>
                <w:szCs w:val="16"/>
                <w:color w:val="auto"/>
              </w:rPr>
              <w:t>Dividends (Note 3)</w:t>
            </w:r>
          </w:p>
        </w:tc>
        <w:tc>
          <w:tcPr>
            <w:tcW w:w="18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(144,681)</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(144,681)</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9"/>
              </w:rPr>
              <w:t>(144,681)</w:t>
            </w: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62"/>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 interests, net</w:t>
            </w:r>
          </w:p>
        </w:tc>
        <w:tc>
          <w:tcPr>
            <w:tcW w:w="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(7,549)</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(7,549)</w:t>
            </w:r>
          </w:p>
        </w:tc>
      </w:tr>
      <w:tr>
        <w:trPr>
          <w:trHeight w:val="217"/>
        </w:trPr>
        <w:tc>
          <w:tcPr>
            <w:tcW w:w="33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Balance, April 30, 2018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458</w:t>
            </w: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2"/>
              </w:rPr>
              <w:t>1,162,872</w:t>
            </w: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10,469</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2"/>
              </w:rPr>
              <w:t>$ 869,862</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$(272,989)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1,770,673</w:t>
            </w: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233,450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89"/>
              </w:rPr>
              <w:t>2,004,123</w:t>
            </w:r>
          </w:p>
        </w:tc>
      </w:tr>
      <w:tr>
        <w:trPr>
          <w:trHeight w:val="33"/>
        </w:trPr>
        <w:tc>
          <w:tcPr>
            <w:tcW w:w="3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consolidated condensed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4"/>
                <w:szCs w:val="14"/>
                <w:b w:val="1"/>
                <w:bCs w:val="1"/>
                <w:color w:val="auto"/>
              </w:rPr>
              <w:t>Nine Months Ended April 30,</w:t>
            </w:r>
          </w:p>
        </w:tc>
      </w:tr>
      <w:tr>
        <w:trPr>
          <w:trHeight w:val="264"/>
        </w:trPr>
        <w:tc>
          <w:tcPr>
            <w:tcW w:w="77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2017</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489,021</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292,966</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154,132</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140,236</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 of real estate sales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3,750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8,017</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42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14,056</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13,588</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 net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36,558</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151,933</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Change in fair value of contingent consideration</w:t>
            </w:r>
          </w:p>
        </w:tc>
        <w:tc>
          <w:tcPr>
            <w:tcW w:w="4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(2,454)</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15,100</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 on sale of real property</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(6,466)</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Foreign exchange loss on intercompany loans</w:t>
            </w:r>
          </w:p>
        </w:tc>
        <w:tc>
          <w:tcPr>
            <w:tcW w:w="42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6,511</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3,899</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non-cash income, net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(7,575)</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(7,640)</w:t>
            </w: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Changes in assets and liabilities:</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7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Restricted cash</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2,649</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3,557</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Trade receivables, net</w:t>
            </w:r>
          </w:p>
        </w:tc>
        <w:tc>
          <w:tcPr>
            <w:tcW w:w="4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(33,096)</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(26,375)</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Inventories, net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5,609</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13,648</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4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(35,519)</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(41,770)</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11,014</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(9,345)</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Income taxes payable - excess tax benefit from share award exercises</w:t>
            </w:r>
          </w:p>
        </w:tc>
        <w:tc>
          <w:tcPr>
            <w:tcW w:w="4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(54,473)</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(9,524)</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payable - other</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(14,100)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(46,604)</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Other assets and liabilities, net</w:t>
            </w:r>
          </w:p>
        </w:tc>
        <w:tc>
          <w:tcPr>
            <w:tcW w:w="42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7,744</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(1,023)</w:t>
            </w:r>
          </w:p>
        </w:tc>
      </w:tr>
      <w:tr>
        <w:trPr>
          <w:trHeight w:val="33"/>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583,312</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494,197</w:t>
            </w: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7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(106,314)</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(111,836)</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Acquisition of businesses, net of cash acquired</w:t>
            </w:r>
          </w:p>
        </w:tc>
        <w:tc>
          <w:tcPr>
            <w:tcW w:w="4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(1,356)</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(512,348)</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received from the sale of real property</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515</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7,692</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Other investing activities, net</w:t>
            </w:r>
          </w:p>
        </w:tc>
        <w:tc>
          <w:tcPr>
            <w:tcW w:w="42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6,573</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6,543</w:t>
            </w:r>
          </w:p>
        </w:tc>
      </w:tr>
      <w:tr>
        <w:trPr>
          <w:trHeight w:val="33"/>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(100,582)</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(609,949)</w:t>
            </w: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7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borrowings under Vail Holdings Credit Agreement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95,000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619,375</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Proceeds from borrowings under Whistler Credit Agreement</w:t>
            </w:r>
          </w:p>
        </w:tc>
        <w:tc>
          <w:tcPr>
            <w:tcW w:w="42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11,920</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2,229</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Repayments of borrowings under Vail Holdings Credit Agreement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(173,125)</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(203,750)</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Repayments of borrowings under Whistler Credit Agreement</w:t>
            </w:r>
          </w:p>
        </w:tc>
        <w:tc>
          <w:tcPr>
            <w:tcW w:w="4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(91,941)</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(53,889)</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Employee taxes paid for share award exercises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(73,690)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(15,884)</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4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(144,681)</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(104,035)</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Repurchases of common stock</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(25,800)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Other financing activities, net</w:t>
            </w:r>
          </w:p>
        </w:tc>
        <w:tc>
          <w:tcPr>
            <w:tcW w:w="4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(11,626)</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917</w:t>
            </w:r>
          </w:p>
        </w:tc>
      </w:tr>
      <w:tr>
        <w:trPr>
          <w:trHeight w:val="33"/>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(used in) provided by financing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(413,943)</w:t>
            </w:r>
          </w:p>
        </w:tc>
        <w:tc>
          <w:tcPr>
            <w:tcW w:w="5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244,753</w:t>
            </w:r>
          </w:p>
        </w:tc>
      </w:tr>
      <w:tr>
        <w:trPr>
          <w:trHeight w:val="231"/>
        </w:trPr>
        <w:tc>
          <w:tcPr>
            <w:tcW w:w="778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Effect of exchange rate changes on cash and cash equivalents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(4,579)</w:t>
            </w:r>
          </w:p>
        </w:tc>
        <w:tc>
          <w:tcPr>
            <w:tcW w:w="5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(1,080)</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increase in cash and cash equivalents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64,208</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127,921</w:t>
            </w: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7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75"/>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Beginning of period</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117,389</w:t>
            </w:r>
          </w:p>
        </w:tc>
        <w:tc>
          <w:tcPr>
            <w:tcW w:w="5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67,897</w:t>
            </w:r>
          </w:p>
        </w:tc>
      </w:tr>
      <w:tr>
        <w:trPr>
          <w:trHeight w:val="231"/>
        </w:trPr>
        <w:tc>
          <w:tcPr>
            <w:tcW w:w="778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End of period</w:t>
            </w: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181,597</w:t>
            </w:r>
          </w:p>
        </w:tc>
        <w:tc>
          <w:tcPr>
            <w:tcW w:w="5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195,818</w:t>
            </w:r>
          </w:p>
        </w:tc>
      </w:tr>
      <w:tr>
        <w:trPr>
          <w:trHeight w:val="73"/>
        </w:trPr>
        <w:tc>
          <w:tcPr>
            <w:tcW w:w="77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231"/>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investing activities:</w:t>
            </w: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Accrued capital expenditures</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7,869</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9,127</w:t>
            </w:r>
          </w:p>
        </w:tc>
      </w:tr>
      <w:tr>
        <w:trPr>
          <w:trHeight w:val="230"/>
        </w:trPr>
        <w:tc>
          <w:tcPr>
            <w:tcW w:w="9540" w:type="dxa"/>
            <w:vAlign w:val="bottom"/>
            <w:gridSpan w:val="3"/>
          </w:tcPr>
          <w:p>
            <w:pPr>
              <w:ind w:left="2160"/>
              <w:spacing w:after="0"/>
              <w:rPr>
                <w:sz w:val="20"/>
                <w:szCs w:val="20"/>
                <w:color w:val="auto"/>
              </w:rPr>
            </w:pPr>
            <w:r>
              <w:rPr>
                <w:rFonts w:ascii="Arial" w:cs="Arial" w:eastAsia="Arial" w:hAnsi="Arial"/>
                <w:sz w:val="16"/>
                <w:szCs w:val="16"/>
                <w:color w:val="auto"/>
                <w:w w:val="93"/>
              </w:rPr>
              <w:t>The accompanying Notes are an integral part of these unaudited consolidated condensed financial statements.</w:t>
            </w: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8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Vail Resorts, Inc. (“Vail Resorts”) is organized as a holding company and operates through various subsidiaries. Vail Resorts and its subsidiaries (collectively, the “Company”) operate in three business segments: Mountain, Lodging and Real Estate. The Company refers to “Resort” as the combination of the Mountain and Lodging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Mountain segment, the Company operates eleven world-class mountain resort properties and three urban ski areas including: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Mountain Resorts:</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Vail Mountain Resort (“Vail Mountain”)</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Breckenridge Ski Resort (“Breckenridge”)</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Keystone Resort (“Keystone”)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Beaver Creek Resort (“Beaver Creek”)</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Park City Resort (“Park City”)</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Utah</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Heavenly Mountain Resort (“Heavenly”)</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Nevada and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Northstar Resort (“Northstar”)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8.</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Kirkwood Mountain Resort (“Kirkwood”)</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Perisher Ski Resort (“Perisher”)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South Wales, Australia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Whistler Blackcomb Resort (“Whistler Blackcomb”)</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British Columbia, Canada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Stowe Mountain Resort (“Stowe”)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Vermont</w:t>
            </w:r>
          </w:p>
        </w:tc>
      </w:tr>
      <w:tr>
        <w:trPr>
          <w:trHeight w:val="243"/>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Urban Ski Areas (“Urban”):</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Wilmot Mountain (“Wilmot”)</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Wisconsin</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Afton Alps Ski Area (“Afton Alps”)</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Minnesota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43"/>
        </w:trPr>
        <w:tc>
          <w:tcPr>
            <w:tcW w:w="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Mount Brighton Ski Area (“Mt. Brighton”)</w:t>
            </w: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Michigan</w:t>
            </w:r>
          </w:p>
        </w:tc>
      </w:tr>
      <w:tr>
        <w:trPr>
          <w:trHeight w:val="27"/>
        </w:trPr>
        <w:tc>
          <w:tcPr>
            <w:tcW w:w="460" w:type="dxa"/>
            <w:vAlign w:val="bottom"/>
            <w:shd w:val="clear" w:color="auto" w:fill="CCEEFF"/>
          </w:tcPr>
          <w:p>
            <w:pPr>
              <w:spacing w:after="0"/>
              <w:rPr>
                <w:sz w:val="2"/>
                <w:szCs w:val="2"/>
                <w:color w:val="auto"/>
              </w:rPr>
            </w:pPr>
          </w:p>
        </w:tc>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the Mountain segment includes ancillary services, primarily including ski school, dining and retail/rental operations, and for Perisher including lodging and transportation operations. The resorts located in the United States (“U.S.”), except for Northstar, Park City, Stowe and the Urban ski areas, operate primarily on federal land under the terms of Special Use Permits granted by the U.S. Department of Agriculture Forest Service. The operations of Whistler Blackcomb are conducted on land owned by the government of the Province of British Columbia, Canada within the traditional territory of the Squamish and Lil’wat Nations. The operations of Perisher are conducted pursuant to a long-term lease and license on land owned by the government of New South Wales, Australia. Stowe operates on land owned by the Company as well as land it leases from the State of Vermont.</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Lodging segment, the Company owns and/or manages a collection of luxury hotels and condominiums under its RockResorts brand, as well as other strategic lodging properties and a large number of condominiums located in proximity to the Company’s North American mountain resorts, National Park Service (“NPS”) concessionaire properties including the Grand Teton Lodge Company (“GTLC”), which operates destination resorts in Grand Teton National Park, Colorado Mountain Express (“CME”), a Colorado resort ground transportation company, and mountain resort golf courses.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Development Company (“VRDC”), a wholly-owned subsidiary, conducts the operations of the Company’s Real Estate segment, which owns, develops and sells real estate in and around the Company’s resort communities.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mountain business and its lodging properties at or around the Company’s mountain resorts are seasonal in nature with peak operating seasons primarily from mid-November through mid-April in North America. The Company’s operating season at Perisher, its NPS concessionaire properties and its golf courses generally occur from June to early October.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8" w:name="page9"/>
    <w:bookmarkEnd w:id="8"/>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Consolidated Condensed Financial Statements— </w:t>
      </w:r>
      <w:r>
        <w:rPr>
          <w:rFonts w:ascii="Arial" w:cs="Arial" w:eastAsia="Arial" w:hAnsi="Arial"/>
          <w:sz w:val="17"/>
          <w:szCs w:val="17"/>
          <w:color w:val="auto"/>
        </w:rPr>
        <w:t>In the opinion of the Company, the accompanying Consolidated Condensed Financial Statements reflect all</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2017.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2017 was derived from audited financial statements.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Condensed Statements of Operations for the three and nine months ended April 30, 2017 have been revised to separately disclose revenues and costs from retail and dining operations, as well as general and administrative costs. Retail and dining revenues were previously included within Mountain and Lodging revenues, and the related costs were previously included in Mountain and Lodging operating costs. Management considers the change in presentation of its Consolidated Condensed Statements of Operations to be immaterial to the periods presented. There is no change to previously reported total net revenue, operating expense, income from operations, net income attributable to Vail Resorts, Inc., per share amounts or segment results for either period.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Use of Estimates</w:t>
      </w:r>
      <w:r>
        <w:rPr>
          <w:rFonts w:ascii="Arial" w:cs="Arial" w:eastAsia="Arial" w:hAnsi="Arial"/>
          <w:sz w:val="18"/>
          <w:szCs w:val="18"/>
          <w:color w:val="auto"/>
        </w:rPr>
        <w:t>— The preparation of financial statements in conformity with GAAP requires management to make estimates and assumptions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Fair Value Instruments— </w:t>
      </w:r>
      <w:r>
        <w:rPr>
          <w:rFonts w:ascii="Arial" w:cs="Arial" w:eastAsia="Arial" w:hAnsi="Arial"/>
          <w:sz w:val="18"/>
          <w:szCs w:val="18"/>
          <w:color w:val="auto"/>
        </w:rPr>
        <w:t>The recorded amounts for cash and cash equivalents, receivables, other current assets, and accounts payable and accrued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 fair value due to their short-term nature. The fair value of amounts outstanding under the Vail Holdings Credit Agreement revolver and term loan, Whistler Credit Agreement revolver and the Employee Housing Bonds (all as defined in Note 4, Long-Term Debt) approximate book value due to the variable nature of the interest rate, which is a market rate, associated with the debt.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On December 22, 2017, the U.S. government enacted comprehensive tax legislation commonly referred to as the Tax Cuts and Jobs Act (the</w:t>
      </w:r>
      <w:r>
        <w:rPr>
          <w:rFonts w:ascii="Arial" w:cs="Arial" w:eastAsia="Arial" w:hAnsi="Arial"/>
          <w:sz w:val="18"/>
          <w:szCs w:val="18"/>
          <w:i w:val="1"/>
          <w:iCs w:val="1"/>
          <w:color w:val="auto"/>
        </w:rPr>
        <w:t xml:space="preserve"> </w:t>
      </w:r>
      <w:r>
        <w:rPr>
          <w:rFonts w:ascii="Arial" w:cs="Arial" w:eastAsia="Arial" w:hAnsi="Arial"/>
          <w:sz w:val="18"/>
          <w:szCs w:val="18"/>
          <w:color w:val="auto"/>
        </w:rPr>
        <w:t>“Tax Act”). The Tax Act includes broad and complex changes to the U.S. tax code that impacted the Company’s accounting and reporting for income taxes during the three and nine months ended April 30, 2018. These changes primarily consist of the following:</w:t>
      </w:r>
    </w:p>
    <w:p>
      <w:pPr>
        <w:spacing w:after="0" w:line="46" w:lineRule="exact"/>
        <w:rPr>
          <w:sz w:val="20"/>
          <w:szCs w:val="20"/>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reduction in the U.S. federal corporate income tax rate from 35% to 21%, effective January 1, 2018, which the Company expects will result in a fiscal 2018 U.S. blended federal statutory income tax rate for the Company of approximately 27%, and then will be reduced to 21% in fiscal 2019 and thereafter, subject to future changes in the tax laws.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remeasurement of U.S. net deferred tax liabilities as of the effective date utilizing the new U.S. federal corporate income tax rate of 21%.</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territorial tax regime resulting in a one-time transitional repatriation tax on unremitted foreign earnings (“Transition Tax”), which may be paid over an eight-year period.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elimination of the domestic production activities deduction as well as revised limitations on certain business expenses and executive compensation deductions.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22, 2017, the Securities and Exchange Commission (“SEC”) staff issued Staff Accounting Bulletin No. 118 (“SAB 118”) to provide guidance that companies should apply each reporting period related to the income tax effects of the Tax Act. SAB 118 provides that companies (i) should record the effects of the changes from the Tax Act for which the accounting is complete (not provisional), (ii) should record provisional amounts for the effects of the changes from the Tax Act for which the accounting is not complete, and for which reasonable estimates can be determined, in the period they are identified, and (iii) should not record provisional amounts if reasonable estimates cannot be made for the effects of the changes from the Tax Act, and should continue to apply guidance based on the tax law in effect prior to the enactment on December 22, 2017. In addition, SAB 118 establishes a one-year measurement period (through December 22, 2018) where a provisional amount could be subject to adjustment, and requires certain qualitative and quantitative disclosures related to provisional amounts and accounting during the measurement period.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As a result of the Tax Act, the Company recorded a one-time, provisional net tax benefit of approximately $64.6 million on its Consolidated Condensed Statements of Operations for the nine months ended April 30, 2018, as described below.</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reduction in the U.S. corporate tax rate, the Company remeasured its U.S. net deferred tax liabilities as of the effective date and recognized an estimated provisional benefit of approximately $71.0 million, as a discrete item in the (provision) benefit from income taxes for the nine months ended April 30, 2018, which is a reduction in net deferred tax liabilities in the accompanying Consolidated Condensed Balance Sheet as of April 30, 2018. The measurement of U.S. net deferred tax liabilities is provisional as the final remeasurement cannot be determined until the underlying temporary differences are known, rather than estimated.</w:t>
      </w:r>
    </w:p>
    <w:p>
      <w:pPr>
        <w:spacing w:after="0" w:line="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recorded an estimated provisional charge for the Transition Tax of approximately $6.4 million as a discrete item in the (provision) benefit from income taxes for the nine months ended April 30, 2018. The Transition Tax recorded is provisional pending the finalization of earnings estimates of the Company’s foreign subsidiaries.</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is continuing to analyze the impact of the Tax Act. Adjustments to the provisional charges will be recorded as discrete items in the (provision) benefit from income taxes in the period in which those adjustments become reasonably estimable and/or the accounting is complete. Such adjustments may result from, among other things, future guidance, interpretations and regulatory changes from the Internal Revenue Service, the SEC, the FASB and/or various tax jurisdictions. The Company will complete its analysis no later than December 22, 2018 (the end of the one-year measurement period).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March 2016, the FASB issued ASU No. 2016-09, “Compensation - Stock Compensation (Topic 718): Improvements to Employee Share-Based Payment Accounting.” The new guidance requires companies to record all excess tax benefits and tax deficiencies as income tax expense or benefit in the income statement when the awards vest or are settled, as applicable, rather than within additional paid in capital which was required under the previous guidance. The guidance also requires companies to present excess tax benefits as an operating activity and cash paid to a taxing authority to satisfy employee statutory withholding as a financing activity on the statement of cash flows. Additionally, the guidance allows companies to make a policy election to account for forfeitures either upon occurrence or by estimating forfeitures. The Company adopted this standard on August 1, 2017, and is prospectively recording excess tax benefits and deficiencies within the provision or benefit for income taxes on its Consolidated Condensed Statements of Operations when stock-based compensation awards vest or are exercised. The Company expects this will increase volatility of the provision or benefit for income taxes as the amount of excess tax benefits or deficiencies from stock-based compensation awards are dependent on the Company’s stock price at the date the awards vest or are exercised. As a result of adopting this provision of the standard, the Company recorded $1.4 million and $54.5 million, respectively, of excess tax benefits within (provision) benefit from income taxes on its Consolidated Condensed Statements of Operations for the three and nine months ended April 30, 2018, resulting from vesting or exercises of equity awards during the respective periods. As of August 1, 2017, the Company prospectively presented excess tax benefits as operating activities on its Consolidated Condensed Statement of Cash Flows for the nine months ended April 30, 2018. Additionally, the Company has elected to record actual forfeitures for recording stock-based compensation expense when they occur, rather than estimate expected forfeitures, which did not have a material impact to the Consolidated Condensed Statements of Operations for both the three and nine months ended April 30, 2018. In accordance with the disclosure provisions of the new guidance, the Company retrospectively adopted the new presentation. Cash paid to taxing authorities on an employee’s behalf was changed to be classified as a financing activity in the Consolidated Condensed Statements of Cash Flows, which resulted in a decrease of approximately $15.9 million to cash provided by financing activities with a corresponding increase to cash provided by operating activities for the nine months ended April 30, 2017, as shown below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5"/>
          </w:tcPr>
          <w:p>
            <w:pPr>
              <w:jc w:val="center"/>
              <w:ind w:right="255"/>
              <w:spacing w:after="0"/>
              <w:rPr>
                <w:sz w:val="20"/>
                <w:szCs w:val="20"/>
                <w:color w:val="auto"/>
              </w:rPr>
            </w:pPr>
            <w:r>
              <w:rPr>
                <w:rFonts w:ascii="Arial" w:cs="Arial" w:eastAsia="Arial" w:hAnsi="Arial"/>
                <w:sz w:val="14"/>
                <w:szCs w:val="14"/>
                <w:b w:val="1"/>
                <w:bCs w:val="1"/>
                <w:color w:val="auto"/>
                <w:w w:val="95"/>
              </w:rPr>
              <w:t>Nine Months Ended April 30, 2017</w:t>
            </w:r>
          </w:p>
        </w:tc>
      </w:tr>
      <w:tr>
        <w:trPr>
          <w:trHeight w:val="152"/>
        </w:trPr>
        <w:tc>
          <w:tcPr>
            <w:tcW w:w="49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40" w:type="dxa"/>
            <w:vAlign w:val="bottom"/>
            <w:gridSpan w:val="2"/>
          </w:tcPr>
          <w:p>
            <w:pPr>
              <w:jc w:val="right"/>
              <w:ind w:right="33"/>
              <w:spacing w:after="0" w:line="153" w:lineRule="exact"/>
              <w:rPr>
                <w:sz w:val="20"/>
                <w:szCs w:val="20"/>
                <w:color w:val="auto"/>
              </w:rPr>
            </w:pPr>
            <w:r>
              <w:rPr>
                <w:rFonts w:ascii="Arial" w:cs="Arial" w:eastAsia="Arial" w:hAnsi="Arial"/>
                <w:sz w:val="14"/>
                <w:szCs w:val="14"/>
                <w:b w:val="1"/>
                <w:bCs w:val="1"/>
                <w:color w:val="auto"/>
                <w:w w:val="95"/>
              </w:rPr>
              <w:t>Previously Reported</w:t>
            </w:r>
          </w:p>
        </w:tc>
        <w:tc>
          <w:tcPr>
            <w:tcW w:w="240" w:type="dxa"/>
            <w:vAlign w:val="bottom"/>
          </w:tcPr>
          <w:p>
            <w:pPr>
              <w:spacing w:after="0"/>
              <w:rPr>
                <w:sz w:val="13"/>
                <w:szCs w:val="13"/>
                <w:color w:val="auto"/>
              </w:rPr>
            </w:pPr>
          </w:p>
        </w:tc>
        <w:tc>
          <w:tcPr>
            <w:tcW w:w="124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1"/>
              </w:rPr>
              <w:t>Tax Payments</w:t>
            </w:r>
          </w:p>
        </w:tc>
        <w:tc>
          <w:tcPr>
            <w:tcW w:w="180" w:type="dxa"/>
            <w:vAlign w:val="bottom"/>
          </w:tcPr>
          <w:p>
            <w:pPr>
              <w:spacing w:after="0"/>
              <w:rPr>
                <w:sz w:val="13"/>
                <w:szCs w:val="13"/>
                <w:color w:val="auto"/>
              </w:rPr>
            </w:pPr>
          </w:p>
        </w:tc>
        <w:tc>
          <w:tcPr>
            <w:tcW w:w="1240" w:type="dxa"/>
            <w:vAlign w:val="bottom"/>
          </w:tcPr>
          <w:p>
            <w:pPr>
              <w:jc w:val="right"/>
              <w:ind w:right="55"/>
              <w:spacing w:after="0" w:line="153" w:lineRule="exact"/>
              <w:rPr>
                <w:sz w:val="20"/>
                <w:szCs w:val="20"/>
                <w:color w:val="auto"/>
              </w:rPr>
            </w:pPr>
            <w:r>
              <w:rPr>
                <w:rFonts w:ascii="Arial" w:cs="Arial" w:eastAsia="Arial" w:hAnsi="Arial"/>
                <w:sz w:val="14"/>
                <w:szCs w:val="14"/>
                <w:b w:val="1"/>
                <w:bCs w:val="1"/>
                <w:color w:val="auto"/>
                <w:w w:val="90"/>
              </w:rPr>
              <w:t>Revised Reported</w:t>
            </w:r>
          </w:p>
        </w:tc>
      </w:tr>
      <w:tr>
        <w:trPr>
          <w:trHeight w:val="192"/>
        </w:trPr>
        <w:tc>
          <w:tcPr>
            <w:tcW w:w="49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b w:val="1"/>
                <w:bCs w:val="1"/>
                <w:color w:val="auto"/>
                <w:w w:val="95"/>
              </w:rPr>
              <w:t>(Previous Guidance)</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8"/>
              </w:rPr>
              <w:t>(New Guidance)</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operating activities</w:t>
            </w:r>
          </w:p>
        </w:tc>
        <w:tc>
          <w:tcPr>
            <w:tcW w:w="254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478,313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15,884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494,197</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Cash flows used in investing activities (no change)</w:t>
            </w:r>
          </w:p>
        </w:tc>
        <w:tc>
          <w:tcPr>
            <w:tcW w:w="2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(609,949)</w:t>
            </w:r>
          </w:p>
        </w:tc>
        <w:tc>
          <w:tcPr>
            <w:tcW w:w="24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(609,949)</w:t>
            </w:r>
          </w:p>
        </w:tc>
      </w:tr>
      <w:tr>
        <w:trPr>
          <w:trHeight w:val="27"/>
        </w:trPr>
        <w:tc>
          <w:tcPr>
            <w:tcW w:w="4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financing activities</w:t>
            </w:r>
          </w:p>
        </w:tc>
        <w:tc>
          <w:tcPr>
            <w:tcW w:w="2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260,637</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(15,884)</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244,753</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Effect of exchange rate changes (no change)</w:t>
            </w:r>
          </w:p>
        </w:tc>
        <w:tc>
          <w:tcPr>
            <w:tcW w:w="2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(1,080)</w:t>
            </w:r>
          </w:p>
        </w:tc>
        <w:tc>
          <w:tcPr>
            <w:tcW w:w="24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7"/>
        </w:trPr>
        <w:tc>
          <w:tcPr>
            <w:tcW w:w="49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in cash and cash equivalents (no change)</w:t>
            </w:r>
          </w:p>
        </w:tc>
        <w:tc>
          <w:tcPr>
            <w:tcW w:w="254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127,921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127,921</w:t>
            </w:r>
          </w:p>
        </w:tc>
      </w:tr>
      <w:tr>
        <w:trPr>
          <w:trHeight w:val="20"/>
        </w:trPr>
        <w:tc>
          <w:tcPr>
            <w:tcW w:w="492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764"/>
        </w:trPr>
        <w:tc>
          <w:tcPr>
            <w:tcW w:w="4920" w:type="dxa"/>
            <w:vAlign w:val="bottom"/>
          </w:tcPr>
          <w:p>
            <w:pPr>
              <w:spacing w:after="0"/>
              <w:rPr>
                <w:sz w:val="24"/>
                <w:szCs w:val="24"/>
                <w:color w:val="auto"/>
              </w:rPr>
            </w:pPr>
          </w:p>
        </w:tc>
        <w:tc>
          <w:tcPr>
            <w:tcW w:w="2160" w:type="dxa"/>
            <w:vAlign w:val="bottom"/>
          </w:tcPr>
          <w:p>
            <w:pPr>
              <w:jc w:val="right"/>
              <w:ind w:right="1230"/>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Standards Being Evaluated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authoritative guidance listed below is currently being evaluated for its impact to Company policies upon adoption as well as any significant implementation matters yet to be addressed.</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May 2014, the FASB issued ASU No. 2014-09, “Revenue from Contracts with Customers (Topic 606),” which supersedes the revenue recognition requirements in Accounting Standards Codification 605, “Revenue Recognition.” This ASU is based on the principle that revenue is recognized to depict the transfer of goods or services to customers in an amount that reflects the consideration to which the company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Subsequent to the issuance of ASU 2014-09, the FASB has issued several amendments, which do not change the core principle of the guidance and are intended to clarify and improve understanding of certain topics included within the revenue standard. This standard will be effective for the first interim period within fiscal years beginning after December 15, 2017 (the Company’s first quarter of fiscal 2019), using one of two retrospective application methods. The Company will not early adopt this standard and is evaluating the impacts, if any, the adoption of this accounting standard will have on the Company’s financial position or results of operations and cash flows and related disclosures and is determining the appropriate transition method. The Company has completed a review of the majority of our revenue streams consisting of (i) season pass sales, (ii) non-season pass lift ticket sales, (iii) ski school sales, (iv) retail/rental sales, (v) food and beverage sales and (vi) hospitality services and determined the recognition and measurement shall remain unchanged under the revised standard as compared to the prior guidance. The Company is continuing to evaluate its remaining revenue streams as well as disclosure requirements of the new standard in advance of the required date of adoption.</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February 2016, the FASB issued ASU No. 2016-02, “Leases (Topic 842),” which supersedes “Leases (Topic 840).” The standard requires lessees to recognize the assets and liabilities arising from all leases, including those classified as operating leases under previous accounting guidance, on the balance sheet and disclose key information about leasing arrangements. The standard also allows for an accounting policy election not to recognize on the balance sheet lease assets and liabilities for leases with a term of 12 months or less. Under the new guidance, lessees will be required to recognize a lease liability and a right-of-use asset on their balance sheets, while lessor accounting will be largely unchanged. The standard will be effective for fiscal years beginning after December 15, 2018, including interim periods within those years (the Company’s first quarter of fiscal 2020), and must be applied using a modified retrospective transition approach to leases existing at, or entered into after, the beginning of the earliest comparative period presented in the financial statements, with early adoption permitted. The Company is currently evaluating the impacts the adoption of this accounting standard will have on the Company’s financial position or results of operations and cash flows and related disclosures. Additionally, the Company is evaluating the impacts of the standard beyond accounting, including system, data and process changes required to comply with the standard and has selected an information system application that will centralize the Company’s lease information and be utilized for accounting under the new standard.</w:t>
      </w:r>
    </w:p>
    <w:p>
      <w:pPr>
        <w:spacing w:after="0" w:line="17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earnings per share (“EPS”) excludes dilution and is computed by dividing net income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Company’s acquisition of Whistler Blackcomb in October 2016 (see Note 5, Acquisitions), the Company issued consideration in the form of shares of Vail Resorts common stock (the “Vail Shares”) and shares of the Company’s wholly-owned Canadian subsidiary (“Exchangeco”). Whistler Blackcomb shareholders elected to receive 3,327,719 Vail Shares and 418,095 shares of Exchangeco (the “Exchangeco Shares”). Both Vail Shares and Exchangeco Shares have a par value of $0.01 per share, and Exchangeco Shares, while outstanding, are substantially the economic equivalent of Vail Shares and are exchangeable, at any time prior to the seventh anniversary of the closing of the acquisition, into Vail Shares. The Company’s calculation of weighted-average shares outstanding includes the Exchangeco Shares.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Presented below is basic and diluted EPS for the three months ended April 30, 2018 and 2017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Three Months Ended April 30,</w:t>
            </w: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9"/>
              </w:rPr>
              <w:t>2018</w:t>
            </w: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2017</w:t>
            </w:r>
          </w:p>
        </w:tc>
        <w:tc>
          <w:tcPr>
            <w:tcW w:w="1080" w:type="dxa"/>
            <w:vAlign w:val="bottom"/>
            <w:tcBorders>
              <w:bottom w:val="single" w:sz="8" w:color="auto"/>
            </w:tcBorders>
          </w:tcPr>
          <w:p>
            <w:pPr>
              <w:spacing w:after="0"/>
              <w:rPr>
                <w:sz w:val="22"/>
                <w:szCs w:val="22"/>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Basic</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Diluted</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Basic</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Diluted</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Vail Resorts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256,252</w:t>
            </w:r>
          </w:p>
        </w:tc>
        <w:tc>
          <w:tcPr>
            <w:tcW w:w="5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256,252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181,107</w:t>
            </w:r>
          </w:p>
        </w:tc>
        <w:tc>
          <w:tcPr>
            <w:tcW w:w="4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181,107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Vail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40,379</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40,379</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39,996</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39,996</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5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59</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4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72</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40,438</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40,438</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40,068</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40,068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1,107</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1,113</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40,438</w:t>
            </w: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41,545</w:t>
            </w:r>
          </w:p>
        </w:tc>
        <w:tc>
          <w:tcPr>
            <w:tcW w:w="4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40,068</w:t>
            </w: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41,181</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per share attributable to Vail Resorts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5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6.17</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4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4.40</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computes the effect of dilutive securities using the treasury stock method and average market prices during the period. The number of shares issuable upon the exercise of share based awards excluded from the calculation of diluted EPS because the effect of their inclusion would have been anti-dilutive totaled approximately 5,000 and 12,000 for the three months ended April 30,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basic and diluted EPS for the nine months ended April 30, 2018 and 2017 (in thousands, except per share amounts):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4"/>
                <w:szCs w:val="14"/>
                <w:b w:val="1"/>
                <w:bCs w:val="1"/>
                <w:color w:val="auto"/>
              </w:rPr>
              <w:t>Nine Months Ended April 30,</w:t>
            </w: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55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9"/>
              </w:rPr>
              <w:t>2018</w:t>
            </w: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2017</w:t>
            </w:r>
          </w:p>
        </w:tc>
        <w:tc>
          <w:tcPr>
            <w:tcW w:w="1080" w:type="dxa"/>
            <w:vAlign w:val="bottom"/>
            <w:tcBorders>
              <w:bottom w:val="single" w:sz="8" w:color="auto"/>
            </w:tcBorders>
          </w:tcPr>
          <w:p>
            <w:pPr>
              <w:spacing w:after="0"/>
              <w:rPr>
                <w:sz w:val="22"/>
                <w:szCs w:val="22"/>
                <w:color w:val="auto"/>
              </w:rPr>
            </w:pPr>
          </w:p>
        </w:tc>
      </w:tr>
      <w:tr>
        <w:trPr>
          <w:trHeight w:val="264"/>
        </w:trPr>
        <w:tc>
          <w:tcPr>
            <w:tcW w:w="55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Basic</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Diluted</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Basic</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Diluted</w:t>
            </w: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Net income attributable to Vail Resorts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463,558</w:t>
            </w:r>
          </w:p>
        </w:tc>
        <w:tc>
          <w:tcPr>
            <w:tcW w:w="5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463,558</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267,699</w:t>
            </w:r>
          </w:p>
        </w:tc>
        <w:tc>
          <w:tcPr>
            <w:tcW w:w="5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267,699</w:t>
            </w: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Weighted-average Vail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40,313</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40,313</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38,871</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38,871</w:t>
            </w:r>
          </w:p>
        </w:tc>
      </w:tr>
      <w:tr>
        <w:trPr>
          <w:trHeight w:val="243"/>
        </w:trPr>
        <w:tc>
          <w:tcPr>
            <w:tcW w:w="5580" w:type="dxa"/>
            <w:vAlign w:val="bottom"/>
          </w:tcPr>
          <w:p>
            <w:pPr>
              <w:ind w:left="26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5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101</w:t>
            </w:r>
          </w:p>
        </w:tc>
      </w:tr>
      <w:tr>
        <w:trPr>
          <w:trHeight w:val="27"/>
        </w:trPr>
        <w:tc>
          <w:tcPr>
            <w:tcW w:w="5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40,374</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40,374</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38,972</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38,972</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1,267</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1,097</w:t>
            </w:r>
          </w:p>
        </w:tc>
      </w:tr>
      <w:tr>
        <w:trPr>
          <w:trHeight w:val="27"/>
        </w:trPr>
        <w:tc>
          <w:tcPr>
            <w:tcW w:w="5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40,374</w:t>
            </w: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41,641</w:t>
            </w: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38,972</w:t>
            </w: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40,069</w:t>
            </w:r>
          </w:p>
        </w:tc>
      </w:tr>
      <w:tr>
        <w:trPr>
          <w:trHeight w:val="237"/>
        </w:trPr>
        <w:tc>
          <w:tcPr>
            <w:tcW w:w="5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income per share attributable to Vail Resorts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5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11.13</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5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6.68</w:t>
            </w:r>
          </w:p>
        </w:tc>
      </w:tr>
      <w:tr>
        <w:trPr>
          <w:trHeight w:val="27"/>
        </w:trPr>
        <w:tc>
          <w:tcPr>
            <w:tcW w:w="5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number of shares issuable upon the exercise of share based awards excluded from the calculation of diluted EPS because the effect of their inclusion would have been anti-dilutive totaled approximately 5,000 and 4,000 for the nine months ended April 30, 2018 and 2017,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three and nine months ended April 30, 2018, the Company paid cash dividends of $1.47 and $3.576 per share ($59.5 million and $144.7 million, respectively, in the aggregate). During the three and nine months ended April 30, 2017, the Company paid cash dividends of $1.053 and $2.673 per share ($42.3 million and $104.0 million, respectively, in the aggregate). On June 6, 2018, the Company’s Board of Directors declared a quarterly cash dividend of $1.47 per share, for Vail Shares, payable on July 12, 2018 to stockholders of record as of June 27, 2018. Additionally, a Canadian dollar equivalent dividend on the Exchangeco Shares will be payable on July 12, 2018 to the shareholders of record on June 27, 2018.</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2" w:name="page13"/>
    <w:bookmarkEnd w:id="12"/>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net as of April 30, 2018, July 31, 2017 and April 30, 2017 is summarized as follows (in thousands):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Maturity</w:t>
            </w: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April 30, 2018</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July 31, 2017</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April 30, 2017</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Vail Holdings Credit Agreement term loan (a)</w:t>
            </w:r>
          </w:p>
        </w:tc>
        <w:tc>
          <w:tcPr>
            <w:tcW w:w="2000" w:type="dxa"/>
            <w:vAlign w:val="bottom"/>
            <w:tcBorders>
              <w:bottom w:val="single" w:sz="8" w:color="CCEEFF"/>
            </w:tcBorders>
            <w:shd w:val="clear" w:color="auto" w:fill="CCEEFF"/>
          </w:tcPr>
          <w:p>
            <w:pPr>
              <w:jc w:val="center"/>
              <w:ind w:left="553"/>
              <w:spacing w:after="0"/>
              <w:rPr>
                <w:sz w:val="20"/>
                <w:szCs w:val="20"/>
                <w:color w:val="auto"/>
              </w:rPr>
            </w:pPr>
            <w:r>
              <w:rPr>
                <w:rFonts w:ascii="Arial" w:cs="Arial" w:eastAsia="Arial" w:hAnsi="Arial"/>
                <w:sz w:val="18"/>
                <w:szCs w:val="18"/>
                <w:color w:val="auto"/>
                <w:w w:val="89"/>
              </w:rPr>
              <w:t>2021</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693,750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721,875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731,250</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Vail Holdings Credit Agreement revolver (a)</w:t>
            </w:r>
          </w:p>
        </w:tc>
        <w:tc>
          <w:tcPr>
            <w:tcW w:w="2000" w:type="dxa"/>
            <w:vAlign w:val="bottom"/>
          </w:tcPr>
          <w:p>
            <w:pPr>
              <w:jc w:val="center"/>
              <w:ind w:left="553"/>
              <w:spacing w:after="0"/>
              <w:rPr>
                <w:sz w:val="20"/>
                <w:szCs w:val="20"/>
                <w:color w:val="auto"/>
              </w:rPr>
            </w:pPr>
            <w:r>
              <w:rPr>
                <w:rFonts w:ascii="Arial" w:cs="Arial" w:eastAsia="Arial" w:hAnsi="Arial"/>
                <w:sz w:val="18"/>
                <w:szCs w:val="18"/>
                <w:color w:val="auto"/>
                <w:w w:val="89"/>
              </w:rPr>
              <w:t>2021</w:t>
            </w:r>
          </w:p>
        </w:tc>
        <w:tc>
          <w:tcPr>
            <w:tcW w:w="4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4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Whistler Credit Agreement revolver (b)</w:t>
            </w:r>
          </w:p>
        </w:tc>
        <w:tc>
          <w:tcPr>
            <w:tcW w:w="2000" w:type="dxa"/>
            <w:vAlign w:val="bottom"/>
            <w:tcBorders>
              <w:bottom w:val="single" w:sz="8" w:color="CCEEFF"/>
            </w:tcBorders>
            <w:shd w:val="clear" w:color="auto" w:fill="CCEEFF"/>
          </w:tcPr>
          <w:p>
            <w:pPr>
              <w:jc w:val="center"/>
              <w:ind w:left="553"/>
              <w:spacing w:after="0"/>
              <w:rPr>
                <w:sz w:val="20"/>
                <w:szCs w:val="20"/>
                <w:color w:val="auto"/>
              </w:rPr>
            </w:pPr>
            <w:r>
              <w:rPr>
                <w:rFonts w:ascii="Arial" w:cs="Arial" w:eastAsia="Arial" w:hAnsi="Arial"/>
                <w:sz w:val="18"/>
                <w:szCs w:val="18"/>
                <w:color w:val="auto"/>
                <w:w w:val="89"/>
              </w:rPr>
              <w:t>2022</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31,153</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113,119</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89,379</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Employee housing bonds</w:t>
            </w:r>
          </w:p>
        </w:tc>
        <w:tc>
          <w:tcPr>
            <w:tcW w:w="2000" w:type="dxa"/>
            <w:vAlign w:val="bottom"/>
          </w:tcPr>
          <w:p>
            <w:pPr>
              <w:jc w:val="center"/>
              <w:ind w:left="573"/>
              <w:spacing w:after="0"/>
              <w:rPr>
                <w:sz w:val="20"/>
                <w:szCs w:val="20"/>
                <w:color w:val="auto"/>
              </w:rPr>
            </w:pPr>
            <w:r>
              <w:rPr>
                <w:rFonts w:ascii="Arial" w:cs="Arial" w:eastAsia="Arial" w:hAnsi="Arial"/>
                <w:sz w:val="18"/>
                <w:szCs w:val="18"/>
                <w:color w:val="auto"/>
                <w:w w:val="90"/>
              </w:rPr>
              <w:t>2027-2039</w:t>
            </w:r>
          </w:p>
        </w:tc>
        <w:tc>
          <w:tcPr>
            <w:tcW w:w="4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52,575</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52,575</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52,575</w:t>
            </w:r>
          </w:p>
        </w:tc>
      </w:tr>
      <w:tr>
        <w:trPr>
          <w:trHeight w:val="27"/>
        </w:trPr>
        <w:tc>
          <w:tcPr>
            <w:tcW w:w="4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Canyons obligation</w:t>
            </w:r>
          </w:p>
        </w:tc>
        <w:tc>
          <w:tcPr>
            <w:tcW w:w="2000" w:type="dxa"/>
            <w:vAlign w:val="bottom"/>
            <w:tcBorders>
              <w:bottom w:val="single" w:sz="8" w:color="CCEEFF"/>
            </w:tcBorders>
            <w:shd w:val="clear" w:color="auto" w:fill="CCEEFF"/>
          </w:tcPr>
          <w:p>
            <w:pPr>
              <w:jc w:val="center"/>
              <w:ind w:left="553"/>
              <w:spacing w:after="0"/>
              <w:rPr>
                <w:sz w:val="20"/>
                <w:szCs w:val="20"/>
                <w:color w:val="auto"/>
              </w:rPr>
            </w:pPr>
            <w:r>
              <w:rPr>
                <w:rFonts w:ascii="Arial" w:cs="Arial" w:eastAsia="Arial" w:hAnsi="Arial"/>
                <w:sz w:val="18"/>
                <w:szCs w:val="18"/>
                <w:color w:val="auto"/>
                <w:w w:val="89"/>
              </w:rPr>
              <w:t>2063</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333,078</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328,786</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327,364</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Other</w:t>
            </w:r>
          </w:p>
        </w:tc>
        <w:tc>
          <w:tcPr>
            <w:tcW w:w="2000" w:type="dxa"/>
            <w:vAlign w:val="bottom"/>
          </w:tcPr>
          <w:p>
            <w:pPr>
              <w:jc w:val="center"/>
              <w:ind w:left="573"/>
              <w:spacing w:after="0"/>
              <w:rPr>
                <w:sz w:val="20"/>
                <w:szCs w:val="20"/>
                <w:color w:val="auto"/>
              </w:rPr>
            </w:pPr>
            <w:r>
              <w:rPr>
                <w:rFonts w:ascii="Arial" w:cs="Arial" w:eastAsia="Arial" w:hAnsi="Arial"/>
                <w:sz w:val="18"/>
                <w:szCs w:val="18"/>
                <w:color w:val="auto"/>
                <w:w w:val="90"/>
              </w:rPr>
              <w:t>2024-2028</w:t>
            </w:r>
          </w:p>
        </w:tc>
        <w:tc>
          <w:tcPr>
            <w:tcW w:w="4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9,430</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10,166</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10,316</w:t>
            </w:r>
          </w:p>
        </w:tc>
      </w:tr>
      <w:tr>
        <w:trPr>
          <w:trHeight w:val="27"/>
        </w:trPr>
        <w:tc>
          <w:tcPr>
            <w:tcW w:w="4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debt</w:t>
            </w:r>
          </w:p>
        </w:tc>
        <w:tc>
          <w:tcPr>
            <w:tcW w:w="2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1,119,986</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1,276,521</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1,210,884</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2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3,537</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4,100</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4,288</w:t>
            </w:r>
          </w:p>
        </w:tc>
      </w:tr>
      <w:tr>
        <w:trPr>
          <w:trHeight w:val="27"/>
        </w:trPr>
        <w:tc>
          <w:tcPr>
            <w:tcW w:w="4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 (c)</w:t>
            </w:r>
          </w:p>
        </w:tc>
        <w:tc>
          <w:tcPr>
            <w:tcW w:w="20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38,444</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38,397</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38,386</w:t>
            </w:r>
          </w:p>
        </w:tc>
      </w:tr>
      <w:tr>
        <w:trPr>
          <w:trHeight w:val="237"/>
        </w:trPr>
        <w:tc>
          <w:tcPr>
            <w:tcW w:w="428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Long-term debt, net</w:t>
            </w:r>
          </w:p>
        </w:tc>
        <w:tc>
          <w:tcPr>
            <w:tcW w:w="20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1,078,005</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1,234,024</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1,168,210</w:t>
            </w:r>
          </w:p>
        </w:tc>
      </w:tr>
      <w:tr>
        <w:trPr>
          <w:trHeight w:val="27"/>
        </w:trPr>
        <w:tc>
          <w:tcPr>
            <w:tcW w:w="4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left="540" w:hanging="316"/>
        <w:spacing w:after="0" w:line="268"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October 14, 2016, in order to finance the cash portion of the consideration and payment of associated fees and expenses of the Whistler Blackcomb acquisition (see Note 5, Acquisitions), the Company’s wholly owned subsidiary, Vail Holdings, Inc. (“VHI”), entered into the Second Amendment to the Seventh Amended and Restated Credit Agreement, dated as of May 1, 2015 (the “Vail Holdings Credit Agreement”), with Bank of America, N.A., as administrative agent, and other lenders named therein, through which these lenders provided an additional $509.4 million in incremental term loans and agreed, on behalf of all lenders, to extend the maturity date for the outstanding term loans and revolver facility under the Vail Holdings Credit Agreement to October 14, 2021 (the “Amendment”). The Vail Holdings Credit Agreement consists of a $400.0 million revolving credit facility and a $750.0 million term loan facility. The other material terms of the Vail Holdings Credit Agreement were not altered by the Amendment. Borrowings under the Vail Holdings Credit Agreement, including the term loan facility, bear interest annually at the rate of LIBOR plus 1.25% (3.15%, as of April 30, 2018), and interest payments are due monthly. Additionally, the term loan facility is subject to quarterly principal payments of approximately $9.4 million, which began on January 31, 2017. Final payment of the remaining principal outstanding plus accrued and unpaid interest is due upon maturity in October 2021. The Vail Holdings Credit Agreement provides for affirmative and negative covenants that restrict, among other things, the Company’s ability to incur indebtedness, dispose of assets, make capital expenditures, make distributions and make investments.</w:t>
      </w:r>
    </w:p>
    <w:p>
      <w:pPr>
        <w:spacing w:after="0" w:line="25" w:lineRule="exact"/>
        <w:rPr>
          <w:rFonts w:ascii="Arial" w:cs="Arial" w:eastAsia="Arial" w:hAnsi="Arial"/>
          <w:sz w:val="17"/>
          <w:szCs w:val="17"/>
          <w:color w:val="auto"/>
        </w:rPr>
      </w:pPr>
    </w:p>
    <w:p>
      <w:pPr>
        <w:jc w:val="both"/>
        <w:ind w:left="540" w:hanging="316"/>
        <w:spacing w:after="0" w:line="283"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WB Partnerships (as defined in Note 5, Acquisitions) are party to a credit agreement, dated as of November 12, 2013 (as amended, the “Whistler Credit Agreement”), by and among Whistler Mountain Resort Limited Partnership (“Whistler LP”), Blackcomb Skiing Enterprises Limited Partnership (“Blackcomb LP”), certain subsidiaries of Whistler LP and Blackcomb LP party thereto as guarantors (the “Whistler Subsidiary Guarantors”), the financial institutions party thereto as lenders and The Toronto-Dominion Bank, as administrative agent. The Whistler Credit Agreement consists of a C$300.0 million revolving credit facility, and during the nine months ended April 30, 2018, the Company exercised its right under the Whistler Credit Agreement, with the consent of the lender parties thereto, to extend the maturity date for the Whistler Credit Agreement from November 12, 2021 to November 12, 2022. No other terms of the Whistler Credit agreement were altered. The WB Partnerships’ obligations under the Whistler Credit Agreement are guaranteed by the Whistler Subsidiary Guarantors and are collateralized by a pledge of the capital stock of the Whistler Subsidiary Guarantors and a pledge of substantially all of the assets of Whistler LP, Blackcomb LP and the Whistler Subsidiary Guarantors. In addition, pursuant to the terms of the Whistler Credit Agreement, the WB Partnerships have the ability to increase the commitment amount by up to C$75.0 million subject to lender approval. Borrowings under the Whistler Credit Agreement are available in Canadian or U.S. dollars and bear interest annually, subject to an applicable margin based on the WB Partnerships’ Consolidated Total Leverage Ratio (as defined in the Whistler Credit Agreement), with pricing as of April 30, 2018, in the case of borrowings (i) in Canadian dollars, at the WB Partnerships’ option, either</w:t>
      </w:r>
    </w:p>
    <w:p>
      <w:pPr>
        <w:spacing w:after="0" w:line="3" w:lineRule="exact"/>
        <w:rPr>
          <w:rFonts w:ascii="Arial" w:cs="Arial" w:eastAsia="Arial" w:hAnsi="Arial"/>
          <w:sz w:val="16"/>
          <w:szCs w:val="16"/>
          <w:color w:val="auto"/>
        </w:rPr>
      </w:pPr>
    </w:p>
    <w:p>
      <w:pPr>
        <w:jc w:val="both"/>
        <w:ind w:left="540" w:firstLine="8"/>
        <w:spacing w:after="0" w:line="268" w:lineRule="auto"/>
        <w:tabs>
          <w:tab w:leader="none" w:pos="794" w:val="left"/>
        </w:tabs>
        <w:numPr>
          <w:ilvl w:val="1"/>
          <w:numId w:val="8"/>
        </w:numPr>
        <w:rPr>
          <w:rFonts w:ascii="Arial" w:cs="Arial" w:eastAsia="Arial" w:hAnsi="Arial"/>
          <w:sz w:val="17"/>
          <w:szCs w:val="17"/>
          <w:color w:val="auto"/>
        </w:rPr>
      </w:pPr>
      <w:r>
        <w:rPr>
          <w:rFonts w:ascii="Arial" w:cs="Arial" w:eastAsia="Arial" w:hAnsi="Arial"/>
          <w:sz w:val="17"/>
          <w:szCs w:val="17"/>
          <w:color w:val="auto"/>
        </w:rPr>
        <w:t>at the Canadian Prime Rate plus 0.75% per annum or (b) by way of the issuance of bankers’ acceptances plus 1.75% per annum; and (ii) in U.S. dollars, at the WB Partnerships option, either at (a) the U.S. Base Rate plus 0.75% per annum or (b) Bankers Acceptance Rate plus 1.75% per annum. As of April 30, 2018 all borrowings under the Whistler Credit Agreement were made in Canadian dollars and by way of the issuance of bankers’ acceptances plus 1.75% (approximately 3.43%). The Whistler Credit Agreement also includes a quarterly unused commitment fee based on the Consolidated Total Leverage Ratio, which as of April 30, 2018 is equal to 0.3937% per annum. The Whistler Credit Agreement provides for affirmative and negative covenants that restrict, among other things, the WB Partnerships’ ability to incur indebtedness and liens, dispose of assets, make capital expenditures, make distributions and make investments. In addition, the Whistler Credit Agreement includes the restrictive financial covenants (leverage ratios and interest coverage ratios) customary for facilities of this type.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3" w:name="page14"/>
    <w:bookmarkEnd w:id="13"/>
    <w:p>
      <w:pPr>
        <w:ind w:left="260"/>
        <w:spacing w:after="0"/>
        <w:rPr>
          <w:sz w:val="20"/>
          <w:szCs w:val="20"/>
          <w:color w:val="auto"/>
        </w:rPr>
      </w:pPr>
      <w:r>
        <w:rPr>
          <w:rFonts w:ascii="Arial" w:cs="Arial" w:eastAsia="Arial" w:hAnsi="Arial"/>
          <w:sz w:val="18"/>
          <w:szCs w:val="18"/>
          <w:color w:val="auto"/>
        </w:rPr>
        <w:t>(c)  Current maturities represent principal payments due in the next 12 months.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debt outstanding as of April 30, 2018 reflected by fiscal year (August 1 through July 31) are as follows (in thousands):</w:t>
      </w:r>
    </w:p>
    <w:p>
      <w:pPr>
        <w:spacing w:after="0" w:line="275"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50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(May 2018 through July 2018)</w:t>
            </w:r>
          </w:p>
        </w:tc>
        <w:tc>
          <w:tcPr>
            <w:tcW w:w="2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2019</w:t>
            </w:r>
          </w:p>
        </w:tc>
        <w:tc>
          <w:tcPr>
            <w:tcW w:w="2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38,455</w:t>
            </w:r>
          </w:p>
        </w:tc>
      </w:tr>
      <w:tr>
        <w:trPr>
          <w:trHeight w:val="27"/>
        </w:trPr>
        <w:tc>
          <w:tcPr>
            <w:tcW w:w="50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38,516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2021</w:t>
            </w:r>
          </w:p>
        </w:tc>
        <w:tc>
          <w:tcPr>
            <w:tcW w:w="2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38,580</w:t>
            </w:r>
          </w:p>
        </w:tc>
      </w:tr>
      <w:tr>
        <w:trPr>
          <w:trHeight w:val="27"/>
        </w:trPr>
        <w:tc>
          <w:tcPr>
            <w:tcW w:w="50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573,023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421,877</w:t>
            </w:r>
          </w:p>
        </w:tc>
      </w:tr>
      <w:tr>
        <w:trPr>
          <w:trHeight w:val="27"/>
        </w:trPr>
        <w:tc>
          <w:tcPr>
            <w:tcW w:w="50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2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1,119,986</w:t>
            </w:r>
          </w:p>
        </w:tc>
      </w:tr>
      <w:tr>
        <w:trPr>
          <w:trHeight w:val="20"/>
        </w:trPr>
        <w:tc>
          <w:tcPr>
            <w:tcW w:w="5080" w:type="dxa"/>
            <w:vAlign w:val="bottom"/>
            <w:tcBorders>
              <w:top w:val="single" w:sz="8" w:color="auto"/>
              <w:bottom w:val="single" w:sz="8" w:color="auto"/>
            </w:tcBorders>
          </w:tcPr>
          <w:p>
            <w:pPr>
              <w:spacing w:after="0" w:line="20" w:lineRule="exact"/>
              <w:rPr>
                <w:sz w:val="1"/>
                <w:szCs w:val="1"/>
                <w:color w:val="auto"/>
              </w:rPr>
            </w:pPr>
          </w:p>
        </w:tc>
        <w:tc>
          <w:tcPr>
            <w:tcW w:w="27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recorded gross interest expense of $15.6 million and $14.2 million for the three months ended April 30, 2018 and 2017, respectively, of which $0.3 million was amortization of deferred financing costs in both periods. The Company recorded gross interest expense of $46.8 million and $40.4 million for the nine months ended April 30, 2018 and 2017, respectively, of which $1.0 million and $0.8 million, respectively, were amortization of deferred financing costs. The Company was in compliance with all of its financial and operating covenants required to be maintained under its debt instruments for all periods presented.</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acquisition of Whistler Blackcomb, VHI funded a portion of the purchase price through an intercompany loan to Whistler Blackcomb of $210.0 million,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$9.5 million and $6.5 million, respectively, of non-cash foreign currency losses on the intercompany loan to Whistler Blackcomb for the three and nine months ended April 30, 2018 on the Company’s Consolidated Condensed Statements of Operations. Additionally, the Company recognized approximately $9.1 million and $3.9 million, respectively, of non-cash foreign currency losses on the intercompany loan to Whistler Blackcomb for the three and nine months ended April 30, 2017 on the Company’s Consolidated Condensed Statements of Operations.</w:t>
      </w:r>
    </w:p>
    <w:p>
      <w:pPr>
        <w:spacing w:after="0" w:line="16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Acquisitions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Stowe</w:t>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7, 2017, the Company, through a wholly-owned subsidiary, acquired Stowe Mountain Resort in Stowe, Vermont, from Mt. Mansfield Company, Inc., a wholly-owned subsidiary of American International Group, Inc., for total cash consideration of $40.7 million. The Company acquired all of the assets related to the mountain operations of the resort, including base area skier services (food and beverage, retail and rental, lift ticket offices and ski and snowboard school facilities). The purchase price was allocated to identifiable tangible and intangible assets acquired based on their estimated fair values at the acquisition date. The Company has completed its purchase price allocation and has recorded $39.2 million in property, plant and equipment; $3.0 million in intangible assets; $2.3 million in other assets; and $3.8 million of assumed liabilities on the date of acquisition. The operating results of Stowe are reported within the Mountain segment.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Whistler Blackcomb</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17, 2016, the Company, through Exchangeco, acquired all of the outstanding common shares of Whistler Blackcomb, for aggregate purchase consideration paid to Whistler Blackcomb shareholders of $1.09 billion. The consideration paid consisted of (i) approximately C$673.8 million ($512.6 million) in cash (or C$17.50 per Whistler Blackcomb share), (ii) 3,327,719 Vail Shares and (iii) 418,095 Exchangeco Shares. Each Exchangeco Share is exchangeable by the holder thereof for one Vail Share (subject to customary adjustments for stock splits or other reorganizations). In addition, the Company may require all outstanding Exchangeco Shares to be exchanged into an equal number of Vail Shares upon the occurrence of certain events and at any time following the seventh anniversary of the closing of the acquisition. While outstanding, holders of Exchangeco Shares are entitled to cast votes on matters for which holders of Vail Shares are entitled to vote and are entitled to receive dividends economically equivalent to the dividends declared by the Company with respect to the Vail Shares.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4" w:name="page15"/>
    <w:bookmarkEnd w:id="14"/>
    <w:p>
      <w:pPr>
        <w:jc w:val="both"/>
        <w:spacing w:after="0" w:line="255" w:lineRule="auto"/>
        <w:rPr>
          <w:sz w:val="20"/>
          <w:szCs w:val="20"/>
          <w:color w:val="auto"/>
        </w:rPr>
      </w:pPr>
      <w:r>
        <w:rPr>
          <w:rFonts w:ascii="Arial" w:cs="Arial" w:eastAsia="Arial" w:hAnsi="Arial"/>
          <w:sz w:val="18"/>
          <w:szCs w:val="18"/>
          <w:color w:val="auto"/>
        </w:rPr>
        <w:t>Whistler Blackcomb owns a 75% interest in each of Whistler LP and Blackcomb LP (the “WB Partnerships”), which together operate Whistler Blackcomb Resort, a year round mountain resort in British Columbia, Canada with a comprehensive offering of recreational activities, including both snow sports and summer activities. The remaining 25% limited partnership interest in each of the WB Partnerships is owned by Nippon Cable Co. Ltd. (“Nippon Cable”), an unrelated party to the Company. The WB Partnerships hold land leases and rights-of-way under long-term agreements with the government of the province of British Columbia, Canada within the traditional territory of the Squamish and Lil’wat Nations, which provide for the use of land at Whistler Mountain and Blackcomb Mountain.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executed forward contracts for the underlying Canadian dollar cash consideration to economically hedge the risk associated with the U.S. dollar to Canadian dollar exchange rates. The Company’s total cost was $509.2 million to accumulate C$673.8 million which was required for the cash component of the purchase consideration. The estimated fair value of the Canadian dollars was approximately $512.6 million upon settlement. Accordingly, the Company realized a gain of $3.4 million on foreign currency exchange rate changes during the nine months ended April 30, 2017. The gain on foreign currency is a separate transaction as it primarily benefited the Company and therefore the Company recorded this gain within Investment income and other, net in its Consolidated Condensed Statements of Operations. The estimated fair value of $512.6 million is considered the cash component of the purchase consideration.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held shares of Whistler Blackcomb common stock prior to the acquisition and, as such, the acquisition-date estimated fair value of this previously held investment was a component of the purchase consideration. Based on the acquisition-date estimated fair value of this investment of $4.3 million, the Company recorded a gain of $0.8 million within Investment income and other, net in its Consolidated Condensed Statements of Operations during the nine months ended April 30, 2017.</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Nippon Cable’s 25% limited partnership interest is a noncontrolling economic interest containing certain protective rights and no ability to participate in the day to day operations of the WB Partnerships. The WB Partnership agreements provide that distributions made out of the partnerships be made on the basis of 75% to Whistler Blackcomb and 25% to Nippon Cable. In addition, based upon the terms of the WB Partnership agreements, the annual distribution rights are non-transferable and transfer of the limited partnership interest is limited to Nippon Cable’s entire interest. Accordingly, the estimate of fair value associated with the noncontrolling interest at the date of acquisition has been determined based on expected underlying cash flows of the WB Partnerships discounted at a rate commensurate with a market participant’s expected rate of return for an equity instrument with these associated restrictions.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estimated fair values of the identifiable assets acquired and liabilities assumed at the date the transaction was effective (in thousands, except exchange ratio and share price):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exchange ratio and share price amounts)</w:t>
            </w:r>
          </w:p>
        </w:tc>
        <w:tc>
          <w:tcPr>
            <w:tcW w:w="120" w:type="dxa"/>
            <w:vAlign w:val="bottom"/>
            <w:vMerge w:val="restart"/>
          </w:tcPr>
          <w:p>
            <w:pPr>
              <w:spacing w:after="0"/>
              <w:rPr>
                <w:sz w:val="13"/>
                <w:szCs w:val="13"/>
                <w:color w:val="auto"/>
              </w:rPr>
            </w:pPr>
          </w:p>
        </w:tc>
        <w:tc>
          <w:tcPr>
            <w:tcW w:w="1820" w:type="dxa"/>
            <w:vAlign w:val="bottom"/>
            <w:gridSpan w:val="2"/>
          </w:tcPr>
          <w:p>
            <w:pPr>
              <w:ind w:left="40"/>
              <w:spacing w:after="0"/>
              <w:rPr>
                <w:sz w:val="20"/>
                <w:szCs w:val="20"/>
                <w:color w:val="auto"/>
              </w:rPr>
            </w:pPr>
            <w:r>
              <w:rPr>
                <w:rFonts w:ascii="Arial" w:cs="Arial" w:eastAsia="Arial" w:hAnsi="Arial"/>
                <w:sz w:val="13"/>
                <w:szCs w:val="13"/>
                <w:b w:val="1"/>
                <w:bCs w:val="1"/>
                <w:color w:val="auto"/>
                <w:w w:val="89"/>
              </w:rPr>
              <w:t>Acquisition Date Estimated Fair</w:t>
            </w:r>
          </w:p>
        </w:tc>
        <w:tc>
          <w:tcPr>
            <w:tcW w:w="0" w:type="dxa"/>
            <w:vAlign w:val="bottom"/>
          </w:tcPr>
          <w:p>
            <w:pPr>
              <w:spacing w:after="0"/>
              <w:rPr>
                <w:sz w:val="1"/>
                <w:szCs w:val="1"/>
                <w:color w:val="auto"/>
              </w:rPr>
            </w:pPr>
          </w:p>
        </w:tc>
      </w:tr>
      <w:tr>
        <w:trPr>
          <w:trHeight w:val="174"/>
        </w:trPr>
        <w:tc>
          <w:tcPr>
            <w:tcW w:w="94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Whistler Blackcomb shares acquired</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38,500</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Exchange ratio as of October 14, 2016</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0.097294</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Vail Shares issued to Whistler Blackcomb shareholders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Vail Resorts closing share price on October 14, 2016</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153.41</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value of Vail Shares issued</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574,645</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Total cash consideration paid at C$17.50 ($13.31 on October 17, 2016) per Whistler Blackcomb share</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512,558</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purchase consideration to Whistler Blackcomb shareholders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1,087,203</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Estimated fair value of previously held investment in Whistler Blackcomb</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Estimated fair value of Nippon Cable’s 25% interest in Whistler Blackcomb</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180,803</w:t>
            </w:r>
          </w:p>
        </w:tc>
        <w:tc>
          <w:tcPr>
            <w:tcW w:w="0" w:type="dxa"/>
            <w:vAlign w:val="bottom"/>
          </w:tcPr>
          <w:p>
            <w:pPr>
              <w:spacing w:after="0"/>
              <w:rPr>
                <w:sz w:val="1"/>
                <w:szCs w:val="1"/>
                <w:color w:val="auto"/>
              </w:rPr>
            </w:pPr>
          </w:p>
        </w:tc>
      </w:tr>
      <w:tr>
        <w:trPr>
          <w:trHeight w:val="297"/>
        </w:trPr>
        <w:tc>
          <w:tcPr>
            <w:tcW w:w="96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 estimated purchase consideration</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1,272,314</w:t>
            </w:r>
          </w:p>
        </w:tc>
        <w:tc>
          <w:tcPr>
            <w:tcW w:w="0" w:type="dxa"/>
            <w:vAlign w:val="bottom"/>
          </w:tcPr>
          <w:p>
            <w:pPr>
              <w:spacing w:after="0"/>
              <w:rPr>
                <w:sz w:val="1"/>
                <w:szCs w:val="1"/>
                <w:color w:val="auto"/>
              </w:rPr>
            </w:pPr>
          </w:p>
        </w:tc>
      </w:tr>
      <w:tr>
        <w:trPr>
          <w:trHeight w:val="271"/>
        </w:trPr>
        <w:tc>
          <w:tcPr>
            <w:tcW w:w="9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Allocation of total estimated purchase consideration:</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Estimated fair values of assets acquired:</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36,820</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332,609</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8,216</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956,459</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Identifiable intangibles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150,681</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7,992</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(74,358)</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Assumed long-term debt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(144,922)</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57"/>
        </w:trPr>
        <w:tc>
          <w:tcPr>
            <w:tcW w:w="9600" w:type="dxa"/>
            <w:vAlign w:val="bottom"/>
            <w:gridSpan w:val="2"/>
          </w:tcPr>
          <w:p>
            <w:pPr>
              <w:ind w:left="280"/>
              <w:spacing w:after="0"/>
              <w:rPr>
                <w:sz w:val="20"/>
                <w:szCs w:val="20"/>
                <w:color w:val="auto"/>
              </w:rPr>
            </w:pPr>
            <w:r>
              <w:rPr>
                <w:rFonts w:ascii="Arial" w:cs="Arial" w:eastAsia="Arial" w:hAnsi="Arial"/>
                <w:sz w:val="18"/>
                <w:szCs w:val="18"/>
                <w:color w:val="auto"/>
              </w:rPr>
              <w:t>Net assets acquired</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1,272,314</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October 31, 2017, the Company recorded adjustments in the measurement period to its purchase price allocation which decreased the estimated fair value of noncontrolling interest and season pass holder relationships intangible asset with a corresponding net decrease to goodwill.</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fair values of definite-lived and indefinite-lived identifiable intangible assets were determined using significant estimates and assumptions. The estimated fair value and estimated useful lives of identifiable intangible assets, where applicable,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7660" w:type="dxa"/>
            <w:vAlign w:val="bottom"/>
          </w:tcPr>
          <w:p>
            <w:pPr>
              <w:spacing w:after="0"/>
              <w:rPr>
                <w:sz w:val="18"/>
                <w:szCs w:val="18"/>
                <w:color w:val="auto"/>
              </w:rPr>
            </w:pPr>
          </w:p>
        </w:tc>
        <w:tc>
          <w:tcPr>
            <w:tcW w:w="1820" w:type="dxa"/>
            <w:vAlign w:val="bottom"/>
            <w:gridSpan w:val="2"/>
          </w:tcPr>
          <w:p>
            <w:pPr>
              <w:jc w:val="right"/>
              <w:ind w:right="72"/>
              <w:spacing w:after="0"/>
              <w:rPr>
                <w:sz w:val="20"/>
                <w:szCs w:val="20"/>
                <w:color w:val="auto"/>
              </w:rPr>
            </w:pPr>
            <w:r>
              <w:rPr>
                <w:rFonts w:ascii="Arial" w:cs="Arial" w:eastAsia="Arial" w:hAnsi="Arial"/>
                <w:sz w:val="16"/>
                <w:szCs w:val="16"/>
                <w:b w:val="1"/>
                <w:bCs w:val="1"/>
                <w:color w:val="auto"/>
              </w:rPr>
              <w:t>Estimated Fair Value</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3"/>
              </w:rPr>
              <w:t>Amortization Period</w:t>
            </w:r>
          </w:p>
        </w:tc>
      </w:tr>
      <w:tr>
        <w:trPr>
          <w:trHeight w:val="33"/>
        </w:trPr>
        <w:tc>
          <w:tcPr>
            <w:tcW w:w="76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89"/>
              </w:rPr>
              <w:t>in thousands)</w:t>
            </w:r>
          </w:p>
        </w:tc>
        <w:tc>
          <w:tcPr>
            <w:tcW w:w="1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 xml:space="preserve">(in years) </w:t>
            </w:r>
            <w:r>
              <w:rPr>
                <w:rFonts w:ascii="Arial" w:cs="Arial" w:eastAsia="Arial" w:hAnsi="Arial"/>
                <w:sz w:val="21"/>
                <w:szCs w:val="21"/>
                <w:b w:val="1"/>
                <w:bCs w:val="1"/>
                <w:color w:val="auto"/>
                <w:w w:val="88"/>
                <w:vertAlign w:val="superscript"/>
              </w:rPr>
              <w:t>(1)</w:t>
            </w: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52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139,977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Season pass holder relationships</w:t>
            </w:r>
          </w:p>
        </w:tc>
        <w:tc>
          <w:tcPr>
            <w:tcW w:w="5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6,596</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5</w:t>
            </w:r>
          </w:p>
        </w:tc>
      </w:tr>
      <w:tr>
        <w:trPr>
          <w:trHeight w:val="27"/>
        </w:trPr>
        <w:tc>
          <w:tcPr>
            <w:tcW w:w="7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management contracts</w:t>
            </w:r>
          </w:p>
        </w:tc>
        <w:tc>
          <w:tcPr>
            <w:tcW w:w="5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4,108</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Total acquired identifiable intangible assets</w:t>
            </w:r>
          </w:p>
        </w:tc>
        <w:tc>
          <w:tcPr>
            <w:tcW w:w="5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150,681</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76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ind w:left="200" w:hanging="192"/>
        <w:spacing w:after="0"/>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Trademarks and trade names and property management contracts are indefinite-lived intangible assets.</w:t>
      </w:r>
    </w:p>
    <w:p>
      <w:pPr>
        <w:spacing w:after="0" w:line="20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excess of the purchase consideration over the aggregate estimated fair values of assets acquired and liabilities assumed was recorded as goodwill. The goodwill recognized is attributable primarily to expected cost efficiencies from the elimination of certain public company costs as well as other select areas of general and administrative functions, synergies (including utilization of the Company’s yield management strategies at Whistler Blackcomb and increased season pass sales and visitation across the Company’s resort portfolio) the assembled workforce of Whistler Blackcomb and other factors. The goodwill is not expected to be deductible for income tax purposes. The operating results of Whistler Blackcomb, which are primarily recorded in the Mountain segment, contributed $229.7 million of net revenue for the nine months ended April 30, 2017, prospectively from the acquisition date</w:t>
      </w:r>
    </w:p>
    <w:p>
      <w:pPr>
        <w:sectPr>
          <w:pgSz w:w="11900" w:h="16838" w:orient="portrait"/>
          <w:cols w:equalWidth="0" w:num="1">
            <w:col w:w="11420"/>
          </w:cols>
          <w:pgMar w:left="240" w:top="584"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584" w:right="239" w:bottom="1440" w:gutter="0" w:footer="0" w:header="0"/>
          <w:type w:val="continuous"/>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(acquired on October 17, 2016). The Company recognized $3.2 million of transaction related expenses in Mountain operating expense in the Consolidated Condensed Statements of Operations for the nine months ended April 30,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Whistler Blackcomb Pro Forma Financial Information</w:t>
      </w:r>
    </w:p>
    <w:p>
      <w:pPr>
        <w:spacing w:after="0" w:line="2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presents the unaudited pro forma consolidated financial information of the Company as if the acquisition of Whistler Blackcomb was completed on August 1, 2015. The following unaudited pro forma financial information includes adjustments for (i) depreciation on acquired property, plant and equipment; (ii) amortization of intangible assets recorded at the date of the transactions; (iii) transaction and business integration related costs; (iv) interest expense associated with financing the cash portion of the transaction; and (v) total weighted average shares outstanding related to the acquisition; and excludes the impact of the intercompany loan. This unaudited pro forma financial information is presented for informational purposes only and does not purport to be indicative of the results of future operations or the results that would have occurred had the transaction taken place on August 1, 2015 (in thousands, except per share amounts).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40" w:type="dxa"/>
            <w:vAlign w:val="bottom"/>
            <w:gridSpan w:val="3"/>
          </w:tcPr>
          <w:p>
            <w:pPr>
              <w:jc w:val="right"/>
              <w:ind w:right="4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220" w:type="dxa"/>
            <w:vAlign w:val="bottom"/>
            <w:tcBorders>
              <w:bottom w:val="single" w:sz="8" w:color="auto"/>
            </w:tcBorders>
          </w:tcPr>
          <w:p>
            <w:pPr>
              <w:spacing w:after="0"/>
              <w:rPr>
                <w:sz w:val="16"/>
                <w:szCs w:val="16"/>
                <w:color w:val="auto"/>
              </w:rPr>
            </w:pPr>
          </w:p>
        </w:tc>
        <w:tc>
          <w:tcPr>
            <w:tcW w:w="56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671"/>
              <w:spacing w:after="0"/>
              <w:rPr>
                <w:sz w:val="20"/>
                <w:szCs w:val="20"/>
                <w:color w:val="auto"/>
              </w:rPr>
            </w:pPr>
            <w:r>
              <w:rPr>
                <w:rFonts w:ascii="Arial" w:cs="Arial" w:eastAsia="Arial" w:hAnsi="Arial"/>
                <w:sz w:val="14"/>
                <w:szCs w:val="14"/>
                <w:b w:val="1"/>
                <w:bCs w:val="1"/>
                <w:color w:val="auto"/>
                <w:w w:val="99"/>
              </w:rPr>
              <w:t>April 30, 2017</w:t>
            </w: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 forma net revenue</w:t>
            </w:r>
          </w:p>
        </w:tc>
        <w:tc>
          <w:tcPr>
            <w:tcW w:w="7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1,720,758</w:t>
            </w: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Pro forma net income attributable to Vail Resorts, Inc.</w:t>
            </w:r>
          </w:p>
        </w:tc>
        <w:tc>
          <w:tcPr>
            <w:tcW w:w="7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270,418</w:t>
            </w:r>
          </w:p>
        </w:tc>
      </w:tr>
      <w:tr>
        <w:trPr>
          <w:trHeight w:val="27"/>
        </w:trPr>
        <w:tc>
          <w:tcPr>
            <w:tcW w:w="58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 forma basic net income per share attributable to Vail Resorts, Inc.</w:t>
            </w:r>
          </w:p>
        </w:tc>
        <w:tc>
          <w:tcPr>
            <w:tcW w:w="7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w:t>
            </w: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Pro forma diluted net income per share attributable to Vail Resorts, Inc.</w:t>
            </w:r>
          </w:p>
        </w:tc>
        <w:tc>
          <w:tcPr>
            <w:tcW w:w="7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6.58</w:t>
            </w:r>
          </w:p>
        </w:tc>
      </w:tr>
      <w:tr>
        <w:trPr>
          <w:trHeight w:val="27"/>
        </w:trPr>
        <w:tc>
          <w:tcPr>
            <w:tcW w:w="220" w:type="dxa"/>
            <w:vAlign w:val="bottom"/>
            <w:tcBorders>
              <w:bottom w:val="single" w:sz="8" w:color="auto"/>
            </w:tcBorders>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426"/>
        </w:trPr>
        <w:tc>
          <w:tcPr>
            <w:tcW w:w="220" w:type="dxa"/>
            <w:vAlign w:val="bottom"/>
          </w:tcPr>
          <w:p>
            <w:pPr>
              <w:spacing w:after="0"/>
              <w:rPr>
                <w:sz w:val="20"/>
                <w:szCs w:val="20"/>
                <w:color w:val="auto"/>
              </w:rPr>
            </w:pPr>
            <w:r>
              <w:rPr>
                <w:rFonts w:ascii="Arial" w:cs="Arial" w:eastAsia="Arial" w:hAnsi="Arial"/>
                <w:sz w:val="18"/>
                <w:szCs w:val="18"/>
                <w:b w:val="1"/>
                <w:bCs w:val="1"/>
                <w:color w:val="auto"/>
              </w:rPr>
              <w:t>6.</w:t>
            </w:r>
          </w:p>
        </w:tc>
        <w:tc>
          <w:tcPr>
            <w:tcW w:w="5660" w:type="dxa"/>
            <w:vAlign w:val="bottom"/>
          </w:tcPr>
          <w:p>
            <w:pPr>
              <w:ind w:left="440"/>
              <w:spacing w:after="0"/>
              <w:rPr>
                <w:sz w:val="20"/>
                <w:szCs w:val="20"/>
                <w:color w:val="auto"/>
              </w:rPr>
            </w:pPr>
            <w:r>
              <w:rPr>
                <w:rFonts w:ascii="Arial" w:cs="Arial" w:eastAsia="Arial" w:hAnsi="Arial"/>
                <w:sz w:val="18"/>
                <w:szCs w:val="18"/>
                <w:b w:val="1"/>
                <w:bCs w:val="1"/>
                <w:color w:val="auto"/>
              </w:rPr>
              <w:t>Supplementary Balance Sheet Information</w:t>
            </w: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4"/>
        </w:trPr>
        <w:tc>
          <w:tcPr>
            <w:tcW w:w="5880" w:type="dxa"/>
            <w:vAlign w:val="bottom"/>
            <w:gridSpan w:val="2"/>
          </w:tcPr>
          <w:p>
            <w:pPr>
              <w:spacing w:after="0"/>
              <w:rPr>
                <w:sz w:val="20"/>
                <w:szCs w:val="20"/>
                <w:color w:val="auto"/>
              </w:rPr>
            </w:pPr>
            <w:r>
              <w:rPr>
                <w:rFonts w:ascii="Arial" w:cs="Arial" w:eastAsia="Arial" w:hAnsi="Arial"/>
                <w:sz w:val="18"/>
                <w:szCs w:val="18"/>
                <w:color w:val="auto"/>
              </w:rPr>
              <w:t>The composition of property, plant and equipment follows (in thousands):</w:t>
            </w: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9"/>
        </w:trPr>
        <w:tc>
          <w:tcPr>
            <w:tcW w:w="22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April 30, 2018</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July 31, 2017</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April 30, 2017</w:t>
            </w: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553,366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553,655</w:t>
            </w:r>
          </w:p>
        </w:tc>
        <w:tc>
          <w:tcPr>
            <w:tcW w:w="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531,058</w:t>
            </w: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Buildings and building improvements</w:t>
            </w:r>
          </w:p>
        </w:tc>
        <w:tc>
          <w:tcPr>
            <w:tcW w:w="78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1,194,877</w:t>
            </w:r>
          </w:p>
        </w:tc>
        <w:tc>
          <w:tcPr>
            <w:tcW w:w="3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1,210,864</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1,170,700</w:t>
            </w:r>
          </w:p>
        </w:tc>
      </w:tr>
      <w:tr>
        <w:trPr>
          <w:trHeight w:val="27"/>
        </w:trPr>
        <w:tc>
          <w:tcPr>
            <w:tcW w:w="58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7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1,024,483</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987,080</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967,157</w:t>
            </w: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Furniture and fixtures</w:t>
            </w:r>
          </w:p>
        </w:tc>
        <w:tc>
          <w:tcPr>
            <w:tcW w:w="78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275,959</w:t>
            </w:r>
          </w:p>
        </w:tc>
        <w:tc>
          <w:tcPr>
            <w:tcW w:w="3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280,292</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275,235</w:t>
            </w:r>
          </w:p>
        </w:tc>
      </w:tr>
      <w:tr>
        <w:trPr>
          <w:trHeight w:val="27"/>
        </w:trPr>
        <w:tc>
          <w:tcPr>
            <w:tcW w:w="58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7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110,789</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108,048</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105,352</w:t>
            </w: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Vehicles</w:t>
            </w:r>
          </w:p>
        </w:tc>
        <w:tc>
          <w:tcPr>
            <w:tcW w:w="78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60,266</w:t>
            </w:r>
          </w:p>
        </w:tc>
        <w:tc>
          <w:tcPr>
            <w:tcW w:w="3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59,596</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61,415</w:t>
            </w:r>
          </w:p>
        </w:tc>
      </w:tr>
      <w:tr>
        <w:trPr>
          <w:trHeight w:val="27"/>
        </w:trPr>
        <w:tc>
          <w:tcPr>
            <w:tcW w:w="58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7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35,895</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49,359</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34,029</w:t>
            </w:r>
          </w:p>
        </w:tc>
      </w:tr>
      <w:tr>
        <w:trPr>
          <w:trHeight w:val="237"/>
        </w:trPr>
        <w:tc>
          <w:tcPr>
            <w:tcW w:w="220" w:type="dxa"/>
            <w:vAlign w:val="bottom"/>
            <w:tcBorders>
              <w:top w:val="single" w:sz="8" w:color="auto"/>
            </w:tcBorders>
          </w:tcPr>
          <w:p>
            <w:pPr>
              <w:spacing w:after="0"/>
              <w:rPr>
                <w:sz w:val="20"/>
                <w:szCs w:val="20"/>
                <w:color w:val="auto"/>
              </w:rPr>
            </w:pPr>
          </w:p>
        </w:tc>
        <w:tc>
          <w:tcPr>
            <w:tcW w:w="56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Gross property, plant and equipment</w:t>
            </w:r>
          </w:p>
        </w:tc>
        <w:tc>
          <w:tcPr>
            <w:tcW w:w="7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3,255,635</w:t>
            </w: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3,248,894</w:t>
            </w: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3,144,946</w:t>
            </w:r>
          </w:p>
        </w:tc>
      </w:tr>
      <w:tr>
        <w:trPr>
          <w:trHeight w:val="27"/>
        </w:trPr>
        <w:tc>
          <w:tcPr>
            <w:tcW w:w="58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7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(1,614,908)</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(1,534,740)</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(1,497,942)</w:t>
            </w:r>
          </w:p>
        </w:tc>
      </w:tr>
      <w:tr>
        <w:trPr>
          <w:trHeight w:val="237"/>
        </w:trPr>
        <w:tc>
          <w:tcPr>
            <w:tcW w:w="220" w:type="dxa"/>
            <w:vAlign w:val="bottom"/>
            <w:tcBorders>
              <w:top w:val="single" w:sz="8" w:color="auto"/>
            </w:tcBorders>
          </w:tcPr>
          <w:p>
            <w:pPr>
              <w:spacing w:after="0"/>
              <w:rPr>
                <w:sz w:val="20"/>
                <w:szCs w:val="20"/>
                <w:color w:val="auto"/>
              </w:rPr>
            </w:pPr>
          </w:p>
        </w:tc>
        <w:tc>
          <w:tcPr>
            <w:tcW w:w="56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Property, plant and equipment, net</w:t>
            </w: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1,640,727</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1,714,154</w:t>
            </w:r>
          </w:p>
        </w:tc>
        <w:tc>
          <w:tcPr>
            <w:tcW w:w="3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1,647,004</w:t>
            </w:r>
          </w:p>
        </w:tc>
      </w:tr>
      <w:tr>
        <w:trPr>
          <w:trHeight w:val="27"/>
        </w:trPr>
        <w:tc>
          <w:tcPr>
            <w:tcW w:w="220" w:type="dxa"/>
            <w:vAlign w:val="bottom"/>
            <w:tcBorders>
              <w:bottom w:val="single" w:sz="8" w:color="auto"/>
            </w:tcBorders>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5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accounts payable and accrued liabilities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April 30, 2018</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July 31, 2017</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April 30, 2017</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payables</w:t>
            </w: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58,228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71,558</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51,305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96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251,110</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240,096</w:t>
            </w:r>
          </w:p>
        </w:tc>
        <w:tc>
          <w:tcPr>
            <w:tcW w:w="3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206,534</w:t>
            </w:r>
          </w:p>
        </w:tc>
      </w:tr>
      <w:tr>
        <w:trPr>
          <w:trHeight w:val="27"/>
        </w:trPr>
        <w:tc>
          <w:tcPr>
            <w:tcW w:w="47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salaries, wages and deferred compensation</w:t>
            </w:r>
          </w:p>
        </w:tc>
        <w:tc>
          <w:tcPr>
            <w:tcW w:w="19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24,645</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44,869</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36,162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Accrued benefits</w:t>
            </w:r>
          </w:p>
        </w:tc>
        <w:tc>
          <w:tcPr>
            <w:tcW w:w="196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37,776</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32,505</w:t>
            </w:r>
          </w:p>
        </w:tc>
        <w:tc>
          <w:tcPr>
            <w:tcW w:w="3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36,401</w:t>
            </w:r>
          </w:p>
        </w:tc>
      </w:tr>
      <w:tr>
        <w:trPr>
          <w:trHeight w:val="27"/>
        </w:trPr>
        <w:tc>
          <w:tcPr>
            <w:tcW w:w="47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19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24,326</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23,742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22,117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96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33,773</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54,899</w:t>
            </w:r>
          </w:p>
        </w:tc>
        <w:tc>
          <w:tcPr>
            <w:tcW w:w="3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50,766</w:t>
            </w:r>
          </w:p>
        </w:tc>
      </w:tr>
      <w:tr>
        <w:trPr>
          <w:trHeight w:val="27"/>
        </w:trPr>
        <w:tc>
          <w:tcPr>
            <w:tcW w:w="47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accounts payable and accrued liabilities</w:t>
            </w: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429,858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467,669</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403,285</w:t>
            </w: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1960" w:type="dxa"/>
            <w:vAlign w:val="bottom"/>
          </w:tcPr>
          <w:p>
            <w:pPr>
              <w:jc w:val="right"/>
              <w:ind w:right="770"/>
              <w:spacing w:after="0"/>
              <w:rPr>
                <w:sz w:val="20"/>
                <w:szCs w:val="20"/>
                <w:color w:val="auto"/>
              </w:rPr>
            </w:pPr>
            <w:r>
              <w:rPr>
                <w:rFonts w:ascii="Arial" w:cs="Arial" w:eastAsia="Arial" w:hAnsi="Arial"/>
                <w:sz w:val="18"/>
                <w:szCs w:val="18"/>
                <w:color w:val="auto"/>
              </w:rPr>
              <w:t>16</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composition of other long-term liabilities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April 30, 2018</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July 31, 2017</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April 30, 2017</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club deferred initiation fee revenue</w:t>
            </w:r>
          </w:p>
        </w:tc>
        <w:tc>
          <w:tcPr>
            <w:tcW w:w="1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116,375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118,417</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120,260</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Unfavorable lease obligation, net</w:t>
            </w:r>
          </w:p>
        </w:tc>
        <w:tc>
          <w:tcPr>
            <w:tcW w:w="1880" w:type="dxa"/>
            <w:vAlign w:val="bottom"/>
          </w:tcPr>
          <w:p>
            <w:pPr>
              <w:spacing w:after="0"/>
              <w:rPr>
                <w:sz w:val="21"/>
                <w:szCs w:val="21"/>
                <w:color w:val="auto"/>
              </w:rPr>
            </w:pP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22,537</w:t>
            </w:r>
          </w:p>
        </w:tc>
        <w:tc>
          <w:tcPr>
            <w:tcW w:w="3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24,664</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25,254</w:t>
            </w:r>
          </w:p>
        </w:tc>
      </w:tr>
      <w:tr>
        <w:trPr>
          <w:trHeight w:val="27"/>
        </w:trPr>
        <w:tc>
          <w:tcPr>
            <w:tcW w:w="47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8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140,885</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158,655</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134,689</w:t>
            </w:r>
          </w:p>
        </w:tc>
      </w:tr>
      <w:tr>
        <w:trPr>
          <w:trHeight w:val="237"/>
        </w:trPr>
        <w:tc>
          <w:tcPr>
            <w:tcW w:w="47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other long-term liabilities</w:t>
            </w:r>
          </w:p>
        </w:tc>
        <w:tc>
          <w:tcPr>
            <w:tcW w:w="1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279,797</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301,736</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280,203</w:t>
            </w:r>
          </w:p>
        </w:tc>
      </w:tr>
      <w:tr>
        <w:trPr>
          <w:trHeight w:val="27"/>
        </w:trPr>
        <w:tc>
          <w:tcPr>
            <w:tcW w:w="47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FASB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that reflect unadjusted quoted prices in active markets that are accessible to the Company for identical assets or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Inputs include quoted prices for similar assets and liabilities in active and inactive markets or that are observable for the asset or liability either directly or indirectly;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which are supported by little or no market activity.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The table below summarizes the Company’s cash equivalents, Contingent Consideration and Interest Rate Swap measured at estimated fair value (all other assets and liabilities measured at fair value are immaterial)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gridSpan w:val="6"/>
          </w:tcPr>
          <w:p>
            <w:pPr>
              <w:jc w:val="center"/>
              <w:ind w:left="655"/>
              <w:spacing w:after="0"/>
              <w:rPr>
                <w:sz w:val="20"/>
                <w:szCs w:val="20"/>
                <w:color w:val="auto"/>
              </w:rPr>
            </w:pPr>
            <w:r>
              <w:rPr>
                <w:rFonts w:ascii="Arial" w:cs="Arial" w:eastAsia="Arial" w:hAnsi="Arial"/>
                <w:sz w:val="14"/>
                <w:szCs w:val="14"/>
                <w:b w:val="1"/>
                <w:bCs w:val="1"/>
                <w:color w:val="auto"/>
                <w:w w:val="94"/>
              </w:rPr>
              <w:t>Estimated Fair Value Measurement as of April 30, 2018</w:t>
            </w:r>
          </w:p>
        </w:tc>
        <w:tc>
          <w:tcPr>
            <w:tcW w:w="104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3,017</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3,017</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2,401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2,401</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6,849</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6,849</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21,300</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21,300</w:t>
            </w:r>
          </w:p>
        </w:tc>
      </w:tr>
      <w:tr>
        <w:trPr>
          <w:trHeight w:val="527"/>
        </w:trPr>
        <w:tc>
          <w:tcPr>
            <w:tcW w:w="562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4440" w:type="dxa"/>
            <w:vAlign w:val="bottom"/>
            <w:tcBorders>
              <w:top w:val="single" w:sz="8" w:color="auto"/>
              <w:bottom w:val="single" w:sz="8" w:color="auto"/>
            </w:tcBorders>
            <w:gridSpan w:val="6"/>
          </w:tcPr>
          <w:p>
            <w:pPr>
              <w:jc w:val="center"/>
              <w:ind w:left="655"/>
              <w:spacing w:after="0"/>
              <w:rPr>
                <w:sz w:val="20"/>
                <w:szCs w:val="20"/>
                <w:color w:val="auto"/>
              </w:rPr>
            </w:pPr>
            <w:r>
              <w:rPr>
                <w:rFonts w:ascii="Arial" w:cs="Arial" w:eastAsia="Arial" w:hAnsi="Arial"/>
                <w:sz w:val="14"/>
                <w:szCs w:val="14"/>
                <w:b w:val="1"/>
                <w:bCs w:val="1"/>
                <w:color w:val="auto"/>
                <w:w w:val="93"/>
              </w:rPr>
              <w:t>Estimated Fair Value Measurement as of July 31, 2017</w:t>
            </w:r>
          </w:p>
        </w:tc>
        <w:tc>
          <w:tcPr>
            <w:tcW w:w="1040" w:type="dxa"/>
            <w:vAlign w:val="bottom"/>
            <w:tcBorders>
              <w:top w:val="single" w:sz="8" w:color="auto"/>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3,008</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3,008</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2,401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2,401</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2,403</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2,403</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Interest Rate Swap</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236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236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27,400</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27,400</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gridSpan w:val="6"/>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527"/>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6"/>
          </w:tcPr>
          <w:p>
            <w:pPr>
              <w:jc w:val="center"/>
              <w:ind w:left="655"/>
              <w:spacing w:after="0"/>
              <w:rPr>
                <w:sz w:val="20"/>
                <w:szCs w:val="20"/>
                <w:color w:val="auto"/>
              </w:rPr>
            </w:pPr>
            <w:r>
              <w:rPr>
                <w:rFonts w:ascii="Arial" w:cs="Arial" w:eastAsia="Arial" w:hAnsi="Arial"/>
                <w:sz w:val="14"/>
                <w:szCs w:val="14"/>
                <w:b w:val="1"/>
                <w:bCs w:val="1"/>
                <w:color w:val="auto"/>
                <w:w w:val="94"/>
              </w:rPr>
              <w:t>Estimated Fair Value Measurement as of April 30, 2017</w:t>
            </w:r>
          </w:p>
        </w:tc>
        <w:tc>
          <w:tcPr>
            <w:tcW w:w="104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3,005</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3,005</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2,401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2,401</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2,404</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2,404</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26,200</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26,200</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Interest Rate Swap</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1,181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1,181</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cash equivalents and Interest Rate Swap are measured utilizing quoted market prices or pricing models whereby all significant inputs are either observable or corroborated by observable market data. The Interest Rate Swap was an instrument assumed in the Whistler Blackcomb acquisition that was a C$125.0 million fixed swap on the floating interest rate for the assumed Whistler Credit Agreement, and was originally set to expire in September 2020. However, the Company settled the Interest Rate Swap in September 2017 and therefore no longer utilized an Interest Rate Swap as of April 30, 2018. Interest Rate Swap settlements and changes in estimated fair value were recognized in Interest expense, net on the Consolidated Condensed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Contingent Consideration during the nine months ended April 30, 2018 and 2017 were as follows (in thousands):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7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31, 2017 and 2016, respectively</w:t>
            </w:r>
          </w:p>
        </w:tc>
        <w:tc>
          <w:tcPr>
            <w:tcW w:w="260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27,400</w:t>
            </w:r>
          </w:p>
        </w:tc>
        <w:tc>
          <w:tcPr>
            <w:tcW w:w="72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11,100</w:t>
            </w: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Payments</w:t>
            </w:r>
          </w:p>
        </w:tc>
        <w:tc>
          <w:tcPr>
            <w:tcW w:w="26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(3,646)</w:t>
            </w:r>
          </w:p>
        </w:tc>
        <w:tc>
          <w:tcPr>
            <w:tcW w:w="7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estimated fair value</w:t>
            </w:r>
          </w:p>
        </w:tc>
        <w:tc>
          <w:tcPr>
            <w:tcW w:w="26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(2,454)</w:t>
            </w:r>
          </w:p>
        </w:tc>
        <w:tc>
          <w:tcPr>
            <w:tcW w:w="7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15,100</w:t>
            </w:r>
          </w:p>
        </w:tc>
      </w:tr>
      <w:tr>
        <w:trPr>
          <w:trHeight w:val="237"/>
        </w:trPr>
        <w:tc>
          <w:tcPr>
            <w:tcW w:w="5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April 30, 2018 and 2017, respectively</w:t>
            </w:r>
          </w:p>
        </w:tc>
        <w:tc>
          <w:tcPr>
            <w:tcW w:w="26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21,300</w:t>
            </w:r>
          </w:p>
        </w:tc>
        <w:tc>
          <w:tcPr>
            <w:tcW w:w="7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26,200</w:t>
            </w:r>
          </w:p>
        </w:tc>
      </w:tr>
      <w:tr>
        <w:trPr>
          <w:trHeight w:val="27"/>
        </w:trPr>
        <w:tc>
          <w:tcPr>
            <w:tcW w:w="57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lease for Park City provides for participating contingent payments (the “Contingent Consideration”) to the landlord of 42% of the amount by which EBITDA for the Park City resort operations, as calculated under the lease, exceeds approximately $35 million, as established at the transaction date, with such threshold amount subsequently increased annually by an inflation linked index and a 10% adjustment for any capital improvements or investments made under the lease by the Company. The estimated</w:t>
      </w:r>
    </w:p>
    <w:p>
      <w:pPr>
        <w:sectPr>
          <w:pgSz w:w="11900" w:h="16838" w:orient="portrait"/>
          <w:cols w:equalWidth="0" w:num="1">
            <w:col w:w="11420"/>
          </w:cols>
          <w:pgMar w:left="240" w:top="584"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584" w:right="239" w:bottom="1440" w:gutter="0" w:footer="0" w:header="0"/>
          <w:type w:val="continuous"/>
        </w:sectPr>
      </w:pPr>
    </w:p>
    <w:bookmarkStart w:id="19" w:name="page20"/>
    <w:bookmarkEnd w:id="19"/>
    <w:p>
      <w:pPr>
        <w:jc w:val="both"/>
        <w:spacing w:after="0" w:line="272" w:lineRule="auto"/>
        <w:rPr>
          <w:sz w:val="20"/>
          <w:szCs w:val="20"/>
          <w:color w:val="auto"/>
        </w:rPr>
      </w:pPr>
      <w:r>
        <w:rPr>
          <w:rFonts w:ascii="Arial" w:cs="Arial" w:eastAsia="Arial" w:hAnsi="Arial"/>
          <w:sz w:val="17"/>
          <w:szCs w:val="17"/>
          <w:color w:val="auto"/>
        </w:rPr>
        <w:t>fair value of Contingent Consideration includes the future period resort operations of Park City in the calculation of EBITDA on which participating contingent payments are made, which is determined on the basis of estimated subsequent year performance, escalated by an assumed growth factor. The Company estimated the fair value of the Contingent Consideration payments using an option pricing valuation model. Key assumptions included a discount rate of 11.3%, volatility of 17.5% and future period Park City EBITDA and capital expenditures, which are unobservable inputs and thus are considered Level 3 inputs. 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would result in a change in the estimated fair value within the range of approximately $3.9 million to $5.3 million.</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Contingent Consideration is classified as a liability, which is remeasured to fair value at each reporting date until the contingency is resolved. During the nine months ended April 30, 2018, the Company made a payment to the landlord for Contingent Consideration of approximately $3.6 million and recorded a decrease of approximately $2.5 million primarily related to the estimated Contingent Consideration payment for the fiscal year ending July 31, 2018. These changes resulted in an estimated fair value of the Contingent Consideration of approximately $21.3 million, which is reflected in accounts payable and accrued liabilities and other long-term liabilities in the Consolidated Condensed Balance Sheet.</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Metropolitan Districts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credit-enhances $6.3 million of bonds issued by Holland Creek Metropolitan District (“HCMD”) through a $6.4 million letter of credit issued under the Vail Holdings Credit Agreement. HCMD’s bonds were issued and used to build infrastructure associated with the Company’s Red Sky Ranch residential development. The Company has agreed to pay capital improvement fees to the Red Sky Ranch Metropolitan District (“RSRMD”) until RSRMD’s revenue streams from property taxes are sufficient to meet debt service requirements under HCMD’s bonds. The Company has recorded a liability of $2.0 million primarily within other long-term liabilities in the accompanying Consolidated Condensed Balance Sheets, as of April 30, 2018, July 31, 2017 and April 30, 2017, respectively, with respect to the estimated present value of future RSRMD capital improvement fees. The Company estimates it will make capital improvement fee payments under this arrangement through the fiscal year ending July 31, 2031.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Guarantees/Indemnifications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April 30, 2018, the Company had various other letters of credit totaling $63.3 million, consisting of $53.4 million to support the Employee Housing Bonds and $9.9 million for workers’ compensation, general liability construction related deductibles and other activities. The Company also had surety bonds of $9.3 million as of April 30, 2018, primarily to provide collateral for its U.S. workers compensation self-insurance programs.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Self-Insurance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6, Supplementary Balance Sheet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a party to various lawsuits arising in the ordinary course of business. Management believes the Company has adequate insurance coverage and/or has accrued for all loss contingencies for asserted and unasserted matters deemed to be probable losses and estimable. As of April 30, 2018, July 31, 2017 and April 30, 2017, the accruals for the above loss contingencies were not material individually or in the aggregate.</w:t>
      </w:r>
    </w:p>
    <w:p>
      <w:pPr>
        <w:spacing w:after="0" w:line="16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concessionaire properties, condominium management, CME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reports its segment results using Reported EBITDA (defined as segment net revenue less segment operating expenses, plus or minus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Items excluded from Reported EBITDA are significant components in understanding and assessing financial performance. Reported EBITDA should not be considered in isolation or as an alternative to, or substitute for, net income, net change in cash and cash equivalents or other financial statement data presented in the consolidated condensed financial statements as indicators of financial performance or liquidity.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utilizes Reported EBITDA in evaluating the performance of the Company and in allocating resources to its segments. Mountain Reported EBITDA consists of Mountain net revenue less Mountain operating expense plus or minus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allocated between segments, or used to evaluate performance, except as shown in the table below.</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t>The following table presents financial information by reportable segment, which is used by management in evaluating performance and allocating resources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April 30,</w:t>
            </w:r>
          </w:p>
        </w:tc>
        <w:tc>
          <w:tcPr>
            <w:tcW w:w="320" w:type="dxa"/>
            <w:vAlign w:val="bottom"/>
          </w:tcPr>
          <w:p>
            <w:pPr>
              <w:spacing w:after="0"/>
              <w:rPr>
                <w:sz w:val="16"/>
                <w:szCs w:val="16"/>
                <w:color w:val="auto"/>
              </w:rPr>
            </w:pPr>
          </w:p>
        </w:tc>
        <w:tc>
          <w:tcPr>
            <w:tcW w:w="252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Nine Months Ended April 30,</w:t>
            </w:r>
          </w:p>
        </w:tc>
      </w:tr>
      <w:tr>
        <w:trPr>
          <w:trHeight w:val="264"/>
        </w:trPr>
        <w:tc>
          <w:tcPr>
            <w:tcW w:w="55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2017</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Lift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452,723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419,647</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860,103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799,324</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101,213</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91,704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185,767</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173,674</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Dining</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70,678</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65,618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142,890</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133,352</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104,162</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102,104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265,015</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261,816</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43,748</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42,087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137,776</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117,860</w:t>
            </w:r>
          </w:p>
        </w:tc>
      </w:tr>
      <w:tr>
        <w:trPr>
          <w:trHeight w:val="27"/>
        </w:trPr>
        <w:tc>
          <w:tcPr>
            <w:tcW w:w="5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772,524</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721,160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1,591,551</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1,486,026</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Lodging</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68,827</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68,601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204,455</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201,887</w:t>
            </w:r>
          </w:p>
        </w:tc>
      </w:tr>
      <w:tr>
        <w:trPr>
          <w:trHeight w:val="27"/>
        </w:trPr>
        <w:tc>
          <w:tcPr>
            <w:tcW w:w="5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Resort net revenue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841,351</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789,761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1,796,006</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1,687,913</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Real Estate</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3,140</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4,870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3,910</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10,181</w:t>
            </w:r>
          </w:p>
        </w:tc>
      </w:tr>
      <w:tr>
        <w:trPr>
          <w:trHeight w:val="27"/>
        </w:trPr>
        <w:tc>
          <w:tcPr>
            <w:tcW w:w="5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844,491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794,631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1,799,916</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1,698,094</w:t>
            </w:r>
          </w:p>
        </w:tc>
      </w:tr>
      <w:tr>
        <w:trPr>
          <w:trHeight w:val="20"/>
        </w:trPr>
        <w:tc>
          <w:tcPr>
            <w:tcW w:w="5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500" w:type="dxa"/>
            <w:vAlign w:val="bottom"/>
          </w:tcPr>
          <w:p>
            <w:pPr>
              <w:ind w:left="40"/>
              <w:spacing w:after="0"/>
              <w:rPr>
                <w:sz w:val="20"/>
                <w:szCs w:val="20"/>
                <w:color w:val="auto"/>
              </w:rPr>
            </w:pPr>
            <w:r>
              <w:rPr>
                <w:rFonts w:ascii="Arial" w:cs="Arial" w:eastAsia="Arial" w:hAnsi="Arial"/>
                <w:sz w:val="18"/>
                <w:szCs w:val="18"/>
                <w:color w:val="auto"/>
              </w:rPr>
              <w:t>Segment operating expense:</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363,878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340,390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936,567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863,882</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Lodging</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58,352</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57,897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185,957</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181,660</w:t>
            </w:r>
          </w:p>
        </w:tc>
      </w:tr>
      <w:tr>
        <w:trPr>
          <w:trHeight w:val="27"/>
        </w:trPr>
        <w:tc>
          <w:tcPr>
            <w:tcW w:w="5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422,230</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398,287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1,122,524</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1,045,542</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Real Estate, net</w:t>
            </w:r>
          </w:p>
        </w:tc>
        <w:tc>
          <w:tcPr>
            <w:tcW w:w="3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(597)</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9,818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2,301</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17,144</w:t>
            </w:r>
          </w:p>
        </w:tc>
      </w:tr>
      <w:tr>
        <w:trPr>
          <w:trHeight w:val="27"/>
        </w:trPr>
        <w:tc>
          <w:tcPr>
            <w:tcW w:w="5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421,633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408,105</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1,124,825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1,062,686</w:t>
            </w:r>
          </w:p>
        </w:tc>
      </w:tr>
      <w:tr>
        <w:trPr>
          <w:trHeight w:val="20"/>
        </w:trPr>
        <w:tc>
          <w:tcPr>
            <w:tcW w:w="5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500" w:type="dxa"/>
            <w:vAlign w:val="bottom"/>
          </w:tcPr>
          <w:p>
            <w:pPr>
              <w:ind w:left="40"/>
              <w:spacing w:after="0"/>
              <w:rPr>
                <w:sz w:val="20"/>
                <w:szCs w:val="20"/>
                <w:color w:val="auto"/>
              </w:rPr>
            </w:pPr>
            <w:r>
              <w:rPr>
                <w:rFonts w:ascii="Arial" w:cs="Arial" w:eastAsia="Arial" w:hAnsi="Arial"/>
                <w:sz w:val="18"/>
                <w:szCs w:val="18"/>
                <w:color w:val="auto"/>
              </w:rPr>
              <w:t>Gain on sale of real property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515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6,466</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equity investment income, net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1,094</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1,510</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Reported EBITDA:</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409,253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381,291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656,078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623,654</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Lodging</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10,475</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10,704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18,498</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20,227</w:t>
            </w:r>
          </w:p>
        </w:tc>
      </w:tr>
      <w:tr>
        <w:trPr>
          <w:trHeight w:val="27"/>
        </w:trPr>
        <w:tc>
          <w:tcPr>
            <w:tcW w:w="5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419,728</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391,995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674,576</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643,881</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Real Estate</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3,737</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(4,948)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2,124</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7"/>
        </w:trPr>
        <w:tc>
          <w:tcPr>
            <w:tcW w:w="5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Reported EBITDA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423,465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387,047</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676,700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643,384</w:t>
            </w:r>
          </w:p>
        </w:tc>
      </w:tr>
      <w:tr>
        <w:trPr>
          <w:trHeight w:val="20"/>
        </w:trPr>
        <w:tc>
          <w:tcPr>
            <w:tcW w:w="5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50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99,623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108,217</w:t>
            </w:r>
          </w:p>
        </w:tc>
        <w:tc>
          <w:tcPr>
            <w:tcW w:w="2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99,623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108,217</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to net income attributable to Vail Resorts, Inc.:</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Total Reported EBITDA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423,465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387,047</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676,700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643,384</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(54,104)</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(50,029)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(154,132)</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(140,236)</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Change in estimated fair value of contingent consideration</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2,454</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(14,500)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2,454</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(15,100)</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disposal of fixed assets and other, net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(3,230)</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(2,125)</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Investment income and other, net</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736</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1,516</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5,881</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loss on intercompany loans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(9,502)</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(6,511)</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(3,899)</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(15,648)</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(14,248)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(46,795)</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(40,426)</w:t>
            </w:r>
          </w:p>
        </w:tc>
      </w:tr>
      <w:tr>
        <w:trPr>
          <w:trHeight w:val="27"/>
        </w:trPr>
        <w:tc>
          <w:tcPr>
            <w:tcW w:w="5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benefit from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344,171</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297,491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471,107</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444,899</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(Provision) benefit from income taxes</w:t>
            </w:r>
          </w:p>
        </w:tc>
        <w:tc>
          <w:tcPr>
            <w:tcW w:w="3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(71,896)</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(100,635)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17,914</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(151,933)</w:t>
            </w:r>
          </w:p>
        </w:tc>
      </w:tr>
      <w:tr>
        <w:trPr>
          <w:trHeight w:val="27"/>
        </w:trPr>
        <w:tc>
          <w:tcPr>
            <w:tcW w:w="5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272,275</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196,856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489,021</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292,966</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(16,023)</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(15,749)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(25,463)</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(25,267)</w:t>
            </w:r>
          </w:p>
        </w:tc>
      </w:tr>
      <w:tr>
        <w:trPr>
          <w:trHeight w:val="27"/>
        </w:trPr>
        <w:tc>
          <w:tcPr>
            <w:tcW w:w="5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256,252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181,107</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463,558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267,699</w:t>
            </w:r>
          </w:p>
        </w:tc>
      </w:tr>
      <w:tr>
        <w:trPr>
          <w:trHeight w:val="20"/>
        </w:trPr>
        <w:tc>
          <w:tcPr>
            <w:tcW w:w="5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46" w:right="239" w:bottom="1440" w:gutter="0" w:footer="0" w:header="0"/>
          <w:type w:val="continuous"/>
        </w:sectPr>
      </w:pPr>
    </w:p>
    <w:bookmarkStart w:id="22" w:name="page23"/>
    <w:bookmarkEnd w:id="22"/>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9, 2006, the Company’s Board of Directors approved a share repurchase program, authorizing the Company to repurchase up to 3,000,000 Vail Shares. On July 16, 2008, the Company’s Board of Directors increased the authorization by an additional 3,000,000 Vail Shares, and on December 4, 2015, the Company’s Board of Directors increased the authorization by an additional 1,500,000 Vail Shares for a total authorization to repurchase up to 7,500,000 total shares. The Company repurchased 115,422 Vail Shares (at a total cost of $25.8 million) during the three and nine months ended April 30, 2018. The Company repurchased zero and 1,317 Vail Shares (at a total cost of $0.2 million), respectively, during the three and nine months ended April 30, 2017. Since inception of its share repurchase program through April 30, 2018, the Company has repurchased 5,551,716 Vail Shares for $273.0 million. As of April 30, 2018, 1,948,284 Vail Shares remained available to repurchase under the existing share repurchase program, which has no expiration date. Vail Shares purchased pursuant to the repurchase program will be held as treasury shares and may be used for the issuance of Vail Shares under the Company’s employee share award plan.</w:t>
      </w:r>
    </w:p>
    <w:p>
      <w:pPr>
        <w:spacing w:after="0" w:line="1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Okemo Mountain Resort, Crested Butte Mountain Resort, Mount Sunapee Resort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4, 2018, the Company, through a wholly-owned subsidiary, entered into a purchase agreement to acquire Triple Peaks, LLC (“Triple Peaks”), the parent company of Okemo Mountain Resort in Vermont, Crested Butte Mountain Resort in Colorado, and Mount Sunapee Resort in New Hampshire. The Company will purchase Triple Peaks from the Mueller family for a cash purchase price of $82.0 million, subject to certain adjustments. In addition, at closing, Triple Peaks will pay $155.0 million to pay off the leases that all three resorts have with Ski Resort Holdings, LLC, an affiliate of Oz Real Estate, with funds to be provided by the Company. The transaction will be recorded as a business combination and is subject to certain closing conditions, including regulatory approvals. The Company, subject to approval, will be obtaining a new Special Use Permit from the U.S. Forest Service for Crested Butte Mountain Resort, and will be assuming the state land leases for Okemo Mountain Resort and Mount Sunapee Resort. The state land lease transfers are subject to administrative review and consent from their respective states. The transaction is expected to close in the summer of 2018. The Company expects to fund the cash purchase price through cash on-hand and/or incremental borrowings.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Stevens Pass Resort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4, 2018, the Company, through a wholly-owned subsidiary, entered into a purchase agreement to acquire Stevens Pass Resort in the State of Washington from Ski Resort Holdings, LLC for a total purchase price of $67.0 million, subject to certain adjustments. The transaction will be recorded as a business combination and is subject to certain closing conditions, including regulatory approval. The Company, subject to approval, will be obtaining a new Special Use Permit from the U.S. Forest Service and expects the transaction to close in the summer of 2018. The Company expects to fund the cash purchase price through cash on-hand and/or incremental borrowings.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together with its subsidiaries, is referred to throughout this Quarterly Report on Form 10-Q for the periods ended April 30, 2018 (“Form 10-Q”) as “we,” “us,” “our” or the “Company.”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our Annual Report on Form 10-K for the fiscal year ended July 31, 2017 (“Form 10-K”) and the Consolidated Condensed Financial Statements as of April 30, 2018 and 2017 and for the three and nine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our filings with the Securities and Exchange Commission (“SEC”), including the risks described in Item 1A “Risk Factors” of Part I of our Form 10-K, which was filed on September 28, 2017 and the Form 10-Q for the quarter ended January 31, 2018, which was filed on March 8, 2018.</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MD&amp;A includes discussion of financial performance within each of our three segments. We have chosen to specifically include Reported EBITDA (defined as segment net revenue less segment operating expense, plus or minus segment equity investment income or loss and for the Real Estate segment, plus gain or loss on sale of real property) and Net Debt (defined as long-term debt, net plus long-term debt due within one year less cash and cash equivalents), in the following discussion because we consider these measurements to be significant indications of our financial performance and available capital resources. Resort Reported EBITDA, Total Reported EBITDA and Net Debt are not measures of financial performance or liquidity under generally accepted accounting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principles (“GAAP”). We utilize segment Reported EBITDA in evaluating our performance and in allocating resources to our segments. Refer to the end of the Results of Operations section for a reconciliation of segment Reported EBITDA to net income attributable to Vail Resorts, Inc. We also believe that Net Debt is an important measurement as it is an indicator of our ability to obtain additional capital resources for our future cash needs. Refer to the end of the Results of Operations section for a reconciliation of Net Debt to long-term debt, net.</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Items excluded from Reported EBITDA and Net Debt are significant components in understanding and assessing financial performance or liquidity. Reported EBITDA and Net Debt should not be considered in isolation or as an alternative to, or substitute for, net income (loss), net change in cash and cash equivalents or other financial statement data presented in the Consolidated Condensed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operations are grouped into three integrated and interdependent segments: Mountain, Lodging and Real Estate. We refer to “Resort” as the combination of the Mountain and Lodging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Mountain segment is comprised of the operations of eleven mountain resort properties and three urban ski areas including: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Mountain Resorts:</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Vail Mountain Resort (“Vail Mountain”)</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Breckenridge Ski Resort (“Breckenridge”)</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Keystone Resort (“Keystone”)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Beaver Creek Resort (“Beaver Creek”)</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Park City Resort (“Park City”)</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Utah</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Heavenly Mountain Resort (“Heavenly”)</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Nevada and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Northstar Resort (“Northstar”)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8.</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Kirkwood Mountain Resort (“Kirkwood”)</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Perisher Ski Resort (“Perisher”)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South Wales, Australia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Whistler Blackcomb Resort (“Whistler Blackcomb”)</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British Columbia, Canada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Stowe Mountain Resort (“Stowe”)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Vermont</w:t>
            </w:r>
          </w:p>
        </w:tc>
      </w:tr>
      <w:tr>
        <w:trPr>
          <w:trHeight w:val="243"/>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Urban Ski Areas (“Urban”):</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Wilmot Mountain (“Wilmot”)</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Wisconsin</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Afton Alps Ski Area (“Afton Alps”)</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Minnesota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Mount Brighton Ski Area (“Mt. Brighton”)</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Michigan</w:t>
            </w:r>
          </w:p>
        </w:tc>
      </w:tr>
    </w:tbl>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Additionally, we operate ancillary services, primarily including ski school, dining and retail/rental operations, and for Perisher, including lodging and transportation operations. Mountain segment revenue is seasonal, with the majority of revenue earned from our North American mountain resorts and ski areas occurring in our second and third fiscal quarters and the majority of revenue earned from Perisher occurring in our first and fourth fiscal quarters. Our North American mountain resorts are typically open for business from mid-November through mid-April, which is the peak operating season for the Mountain segment, and Perisher is typically open for business from June to early October. Consequently, our first fiscal quarter is a seasonally low period as our North American ski operations are generally not open for business until our second fiscal quarter, while the activity of Perisher’s peak season and our North American summer operating results are not sufficient to offset the losses incurred during the seasonally low periods at our North American mountain resorts and ski areas. Revenue of the Mountain segment during the first fiscal quarter is primarily generated from summer and group related visitation at our North American mountain resorts, retail/rental operations and peak season Perisher operations. Our largest source of Mountain segment revenue is the sale of lift tickets (including season passes), which represented approximately 59% and 58% of Mountain net revenue for the three months ended April 30, 2018 and 2017, respectively, and approximately 54% of Mountain net revenue for both the nine months ended April 30, 2018 and 2017.</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4" w:name="page25"/>
    <w:bookmarkEnd w:id="24"/>
    <w:p>
      <w:pPr>
        <w:jc w:val="both"/>
        <w:spacing w:after="0" w:line="254" w:lineRule="auto"/>
        <w:rPr>
          <w:sz w:val="20"/>
          <w:szCs w:val="20"/>
          <w:color w:val="auto"/>
        </w:rPr>
      </w:pPr>
      <w:r>
        <w:rPr>
          <w:rFonts w:ascii="Arial" w:cs="Arial" w:eastAsia="Arial" w:hAnsi="Arial"/>
          <w:sz w:val="18"/>
          <w:szCs w:val="18"/>
          <w:color w:val="auto"/>
        </w:rPr>
        <w:t>Lift revenue is driven by volume and pricing. Pricing is impacted by both absolute pricing, as well as the demographic mix of guests, which impacts the price points at which various products are purchased. The demographic mix of guests that visit our U.S. mountain resorts is divided into two primary categories: (i) out-of-state and international (“Destination”) guests and (ii) in-state and local (“Local”) guests. For both the 2017/2018 and 2016/2017 U.S. ski seasons, Destination guests comprised approximately 61% of our U.S. mountain resort skier visits, while Local guests comprised approximately 39% of our U.S. mountain resort skier visits. Destination guests generally purchase our higher-priced lift ticket products and utilize more ancillary services such as ski school, dining and retail/rental, as well as lodging at or around our mountain resorts. Destination guest visitation is less likely to be impacted by changes in the weather, but may be more impacted by adverse economic conditions or the global geopolitical climate. Local guests tend to be more value-oriented and weather sensitive.</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offer a variety of season pass products for all of our mountain resorts and ski areas (collectively, “Resorts”), marketed towards both Destination and Local guests. Our season pass product offerings range from providing access to one or a combination of our Resorts to our Epic Season Pass, which allows pass holders unlimited and unrestricted access to all of our Resorts. Our season pass program provides a compelling value proposition to our guests, which in turn assists us in developing a loyal base of customers who commit to ski at our Resorts generally in advance of the ski season and typically ski more days each season at our Resorts than those guests who do not buy season passes. As such, our season pass program drives strong customer loyalty; mitigates exposure to more weather sensitive guests; generates additional ancillary spending; and provides cash flow in advance of winter season operations. In addition, our season pass program attracts new guests to our Resorts. All of our season pass products, including the Epic Pass, are predominately sold prior to the start of the ski season. Season pass revenue, although primarily collected prior to the ski season, is recognized in the Consolidated Condensed Statements of Operations throughout the ski season.</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Lift revenue consists of season pass lift revenue (“pass revenue”) and non-season pass lift revenue (“non-pass revenue”). For the 2018/2017 and 2016/2017 North American ski seasons, respectively, approximately 48% and 44% of total lift revenue was comprised of pass revenue.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structure of our mountain resort operations has a significant fixed component with variable expenses including, but not limited to, land use permit or lease fees, credit card fees, retail/rental cost of sales and labor, ski school labor and dining operations; as such, profit margins can fluctuate greatly based on the level of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Operations within the Lodging segment include (i) ownership/management of a group of luxury hotels and condominiums through the RockResorts brand proximate to our Colorado and Utah mountain resorts; (ii) ownership/management of non-RockResorts branded hotels and condominiums proximate to our North American mountain resorts; (iii) National Park Service (“NPS”) concessionaire properties including the Grand Teton Lodge Company (“GTLC”); (iv) Colorado Mountain Express (“CME”), a Colorado resort ground transportation company; and (v) mountain resort golf courses.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performance of our Lodging segment properties (including managed condominium units) proximate to our mountain resorts as well as CME is closely aligned with the performance of the Mountain segment and generally experiences similar seasonal trends, particularly with respect to visitation by Destination guests. Revenues from such properties represented approximately 93% and 92% of Lodging segment revenue (excluding Lodging segment revenue associated with reimbursement of payroll costs) for the three months ended April 30, 2018 and 2017, respectively, and 77% of Lodging segment revenue (excluding Lodging segment revenue associated with reimbursement of payroll costs) for both the nine months ended April 30, 2018 and 2017.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as such the revenue and corresponding expense have no effect on our Lodging Reported EBITDA, which we use to evaluate Lodging segment performance. Revenue of the Lodging segment during our first and fourth fiscal quarters is generated primarily by the operations of our NPS concessionaire properties (as their operating season generally occurs from June to the end of September); mountain resort golf operations and seasonally lower volume from our other owned and managed properties and businesses.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based upon the timing of closings and the type of real estate being sold, causing volatility in the Real Estate segment’s operating results from period to period.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Together with those risk factors we have identified in our Form 10-K and our Form 10-Q for the quarter ended January 31, 2018, we have identified the following important factors (as well as risks and uncertainties associated with such factors) that could impact our future financial performance or condition:</w:t>
      </w:r>
    </w:p>
    <w:p>
      <w:pPr>
        <w:spacing w:after="0" w:line="124" w:lineRule="exact"/>
        <w:rPr>
          <w:sz w:val="20"/>
          <w:szCs w:val="20"/>
          <w:color w:val="auto"/>
        </w:rPr>
      </w:pPr>
    </w:p>
    <w:p>
      <w:pPr>
        <w:jc w:val="both"/>
        <w:ind w:left="640" w:hanging="321"/>
        <w:spacing w:after="0" w:line="270"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timing and amount of snowfall can have an impact on Mountain and Lodging revenue, particularly in regards to skier visits and the duration and frequency of guest visitation. To help mitigate this impact, we sell a variety of pass products prior to the beginning of the ski season resulting in a more stabilized stream of lift revenue. Additionally, our pass products provide a compelling value proposition to our guests, which in turn create a guest commitment predominately prior to the start of the ski season. In March 2018, we began our early season pass sales program for the 2018/2019 North American ski season. Through May 29, 2018, our early pass sales for the 2018/2019 North American ski season, excluding our Military Epic pass products, increased approximately 12% in units and approximately 19% in sales dollars compared to the prior year period ended May 30, 2017, adjusted to eliminate the impact of foreign currency by applying current period exchange rates to the prior period for Whistler Blackcomb pass sales. However, we cannot predict if this favorable trend will continue through the fall 2018 North American pass sales campaign or the overall impact that pass sales will have on lift revenue for the 2018/2019 North American ski season.</w:t>
      </w:r>
    </w:p>
    <w:p>
      <w:pPr>
        <w:spacing w:after="0" w:line="181" w:lineRule="exact"/>
        <w:rPr>
          <w:rFonts w:ascii="Arial" w:cs="Arial" w:eastAsia="Arial" w:hAnsi="Arial"/>
          <w:sz w:val="17"/>
          <w:szCs w:val="17"/>
          <w:color w:val="auto"/>
        </w:rPr>
      </w:pPr>
    </w:p>
    <w:p>
      <w:pPr>
        <w:jc w:val="both"/>
        <w:ind w:left="640" w:hanging="321"/>
        <w:spacing w:after="0" w:line="25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experienced at or near historical low snowfall levels across our western U.S. resorts for much of the 2017/2018 North American ski season, including the key Christmas holiday period, which had an adverse impact on skier visitation and our results of operations. We cannot predict whether our resorts will experience normal snowfall conditions for the upcoming 2018/2019 North American ski season nor can we estimate the impact there may be to advance bookings, guest travel, season pass sales, lift revenue (excluding season passes), retail/rental sales or other ancillary services revenue next ski season as a result of past snowfall conditions.</w:t>
      </w:r>
    </w:p>
    <w:p>
      <w:pPr>
        <w:spacing w:after="0" w:line="188" w:lineRule="exact"/>
        <w:rPr>
          <w:rFonts w:ascii="Arial" w:cs="Arial" w:eastAsia="Arial" w:hAnsi="Arial"/>
          <w:sz w:val="18"/>
          <w:szCs w:val="18"/>
          <w:color w:val="auto"/>
        </w:rPr>
      </w:pPr>
    </w:p>
    <w:p>
      <w:pPr>
        <w:jc w:val="both"/>
        <w:ind w:left="640" w:hanging="321"/>
        <w:spacing w:after="0" w:line="25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Key U.S. economic indicators have remained steady into 2018, including strong consumer confidence and declines in the unemployment rate. However, the growth in the U.S. economy may be impacted by economic challenges in the U.S. or declining or slowing growth in economies outside of the U.S., accompanied by devaluation of currencies, rising inflation and lower commodity prices. Given these economic uncertainties, we cannot predict what the impact will be on overall travel and leisure spending or more specifically, on our guest visitation, guest spending or other related trends for the upcoming 2018/2019 North American ski season.</w:t>
      </w:r>
    </w:p>
    <w:p>
      <w:pPr>
        <w:spacing w:after="0" w:line="188" w:lineRule="exact"/>
        <w:rPr>
          <w:rFonts w:ascii="Arial" w:cs="Arial" w:eastAsia="Arial" w:hAnsi="Arial"/>
          <w:sz w:val="18"/>
          <w:szCs w:val="18"/>
          <w:color w:val="auto"/>
        </w:rPr>
      </w:pPr>
    </w:p>
    <w:p>
      <w:pPr>
        <w:jc w:val="both"/>
        <w:ind w:left="640" w:hanging="321"/>
        <w:spacing w:after="0" w:line="268"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December 22, 2017, the U.S. government enacted comprehensive tax legislation commonly referred to as the Tax Cuts and Jobs Act (the “Tax Act”). The Tax Act transitions the U.S. tax system to a new territorial system and lowers the statutory federal corporate income tax rate from 35% to 21%. The reduction of the statutory federal corporate tax rate to 21% became effective on January 1, 2018. In fiscal 2018, we expect our U.S. blended federal statutory income tax rate to be approximately 27%, which will be reduced to 21% in fiscal 2019 and thereafter. As a result of the Tax Act, we recorded a one-time, provisional net tax benefit of approximately $64.6 million on our Consolidated Condensed Statement of Operations for the nine months ended April 30, 2018. Due to the reduction in the federal corporate tax rate, we remeasured our U.S net deferred tax liabilities as of the effective date of the Tax Act. The U.S. net deferred tax liabilities remeasurement resulted in a one-time tax benefit estimated to be approximately $71.0 million and was recorded during the nine month period ended April 30, 2018. Also, in transitioning to the new territorial tax system, the Tax Act requires us to include certain foreign earnings of non-U.S. subsidiaries in our fiscal 2018 taxable income. Such foreign earnings are subject to a one-time tax referred to as the “Transition Tax,” which was estimated to be $6.4 million, and was recorded during the nine month period ended April 30, 2018. The above-mentioned accounting impacts of the deferred tax remeasurement and Transition Tax are provisional, based on currently available information and technical guidance on the interpretation of the new law. The provisional accounting impacts may change in future reporting periods until the accounting analysis is finalized, which will occur no later than December 22, 2018, as permitted by the SEC. For further discussion related to the Tax Act see “Other Items” within MD&amp;A and Notes to Consolidated Condensed Financial Statements, Note 2, Summary of Significant Accounting Policies - Income Taxes.</w:t>
      </w:r>
    </w:p>
    <w:p>
      <w:pPr>
        <w:spacing w:after="0" w:line="183" w:lineRule="exact"/>
        <w:rPr>
          <w:rFonts w:ascii="Arial" w:cs="Arial" w:eastAsia="Arial" w:hAnsi="Arial"/>
          <w:sz w:val="17"/>
          <w:szCs w:val="17"/>
          <w:color w:val="auto"/>
        </w:rPr>
      </w:pPr>
    </w:p>
    <w:p>
      <w:pPr>
        <w:jc w:val="both"/>
        <w:ind w:left="640" w:hanging="321"/>
        <w:spacing w:after="0" w:line="25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April 30, 2018, we had $331.3 million available under the revolver component of our Seventh Amended and Restated Credit Agreement, dated as of May 1, 2015 (the “Vail Holdings Credit Agreement”), which represents the total commitment of $400.0 million less certain letters of credit outstanding of $68.7 million. Additionally, under our Whistler Blackcomb credit facility (the “Whistler Credit Agreement”), as of April 30, 2018, we had C$259.1 million ($201.8 million) available under the revolver component of the Whistler Credit Agreement (which represents the total commitment of C$300.0</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6" w:name="page27"/>
    <w:bookmarkEnd w:id="26"/>
    <w:p>
      <w:pPr>
        <w:jc w:val="both"/>
        <w:ind w:left="640"/>
        <w:spacing w:after="0" w:line="336" w:lineRule="auto"/>
        <w:rPr>
          <w:sz w:val="20"/>
          <w:szCs w:val="20"/>
          <w:color w:val="auto"/>
        </w:rPr>
      </w:pPr>
      <w:r>
        <w:rPr>
          <w:rFonts w:ascii="Arial" w:cs="Arial" w:eastAsia="Arial" w:hAnsi="Arial"/>
          <w:sz w:val="17"/>
          <w:szCs w:val="17"/>
          <w:color w:val="auto"/>
        </w:rPr>
        <w:t>million ($233.7 million) less outstanding borrowings of C$40.0 million ($31.2 million) and a letter of credit outstanding of C$0.9 million ($0.7 million)). During the nine months ended April 30, 2018, we exercised our right under the Whistler Credit Agreement, with the consent of the lender parties thereto, to extend the maturity date for the Whistler Credit Agreement from November 12, 2021 to November 12, 2022.</w:t>
      </w:r>
    </w:p>
    <w:p>
      <w:pPr>
        <w:spacing w:after="0" w:line="138" w:lineRule="exact"/>
        <w:rPr>
          <w:sz w:val="20"/>
          <w:szCs w:val="20"/>
          <w:color w:val="auto"/>
        </w:rPr>
      </w:pPr>
    </w:p>
    <w:p>
      <w:pPr>
        <w:jc w:val="both"/>
        <w:ind w:left="640"/>
        <w:spacing w:after="0" w:line="257" w:lineRule="auto"/>
        <w:rPr>
          <w:sz w:val="20"/>
          <w:szCs w:val="20"/>
          <w:color w:val="auto"/>
        </w:rPr>
      </w:pPr>
      <w:r>
        <w:rPr>
          <w:rFonts w:ascii="Arial" w:cs="Arial" w:eastAsia="Arial" w:hAnsi="Arial"/>
          <w:sz w:val="18"/>
          <w:szCs w:val="18"/>
          <w:color w:val="auto"/>
        </w:rPr>
        <w:t>We believe that the terms of our credit agreements allow for sufficient flexibility in our ability to make future acquisitions, investments, distributions to stockholders and incur additional debt. This, combined with the continued positive cash flow from operating activities of our Mountain and Lodging segments less resort capital expenditures, has and is anticipated to continue to provide us with significant liquidity. We believe our liquidity will allow us to consider strategic investments and other forms of returning value to our stockholders including additional share repurchases and the continued payment of a quarterly cash dividend.</w:t>
      </w:r>
    </w:p>
    <w:p>
      <w:pPr>
        <w:spacing w:after="0" w:line="188" w:lineRule="exact"/>
        <w:rPr>
          <w:sz w:val="20"/>
          <w:szCs w:val="20"/>
          <w:color w:val="auto"/>
        </w:rPr>
      </w:pPr>
    </w:p>
    <w:p>
      <w:pPr>
        <w:jc w:val="both"/>
        <w:ind w:left="640" w:hanging="321"/>
        <w:spacing w:after="0" w:line="269"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June 4, 2018, through a wholly-owned subsidiary, we entered into a purchase agreement to acquire Triple Peaks, LLC (“Triple Peaks”), the parent company of Okemo Mountain Resort in Vermont, Crested Butte Mountain Resort in Colorado, and Mount Sunapee Resort in New Hampshire. We will purchase Triple Peaks from the Mueller family for a cash purchase price of $82.0 million, subject to certain adjustments. In addition, at closing, Triple Peaks will pay $155.0 million to pay off the leases that all three resorts have with Ski Resort Holdings, LLC, an affiliate of Oz Real Estate, with funds to be provided by us. Additionally, on June 4, 2018, as part of a separate transaction and through a wholly-owned subsidiary, we entered into a purchase agreement to acquire Stevens Pass Resort in the State of Washington from Ski Resort Holdings, LLC for a total purchase price of $67.0 million, subject to certain adjustments. Both transactions will be recorded as business combinations and are subject to certain closing conditions, including regulatory approval. The transactions are expected to close in the summer of 2018, subject to receipt of new Special Use Permits from the U.S. Forest Service for Crested Butte Mountain Resort and Stevens Pass Resort, as well as administrative review and consent from the States of Vermont and New Hampshire. We expect to fund the cash purchase price for both transactions through cash on-hand and/or incremental borrowings.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Below is a summary of operating results for the three and nine months ended April 30, 2018, compared to the three and nine months ended April 30, 2017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 April 30,</w:t>
            </w:r>
          </w:p>
        </w:tc>
        <w:tc>
          <w:tcPr>
            <w:tcW w:w="360" w:type="dxa"/>
            <w:vAlign w:val="bottom"/>
          </w:tcPr>
          <w:p>
            <w:pPr>
              <w:spacing w:after="0"/>
              <w:rPr>
                <w:sz w:val="16"/>
                <w:szCs w:val="16"/>
                <w:color w:val="auto"/>
              </w:rPr>
            </w:pPr>
          </w:p>
        </w:tc>
        <w:tc>
          <w:tcPr>
            <w:tcW w:w="2700" w:type="dxa"/>
            <w:vAlign w:val="bottom"/>
            <w:gridSpan w:val="3"/>
          </w:tcPr>
          <w:p>
            <w:pPr>
              <w:jc w:val="right"/>
              <w:ind w:right="513"/>
              <w:spacing w:after="0"/>
              <w:rPr>
                <w:sz w:val="20"/>
                <w:szCs w:val="20"/>
                <w:color w:val="auto"/>
              </w:rPr>
            </w:pPr>
            <w:r>
              <w:rPr>
                <w:rFonts w:ascii="Arial" w:cs="Arial" w:eastAsia="Arial" w:hAnsi="Arial"/>
                <w:sz w:val="14"/>
                <w:szCs w:val="14"/>
                <w:b w:val="1"/>
                <w:bCs w:val="1"/>
                <w:color w:val="auto"/>
              </w:rPr>
              <w:t>Nine Months Ended April 30,</w:t>
            </w:r>
          </w:p>
        </w:tc>
      </w:tr>
      <w:tr>
        <w:trPr>
          <w:trHeight w:val="264"/>
        </w:trPr>
        <w:tc>
          <w:tcPr>
            <w:tcW w:w="516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409,253</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381,291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656,078</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623,654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36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10,475</w:t>
            </w:r>
          </w:p>
        </w:tc>
        <w:tc>
          <w:tcPr>
            <w:tcW w:w="4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10,704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18,498</w:t>
            </w:r>
          </w:p>
        </w:tc>
        <w:tc>
          <w:tcPr>
            <w:tcW w:w="4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20,227</w:t>
            </w:r>
          </w:p>
        </w:tc>
      </w:tr>
      <w:tr>
        <w:trPr>
          <w:trHeight w:val="27"/>
        </w:trPr>
        <w:tc>
          <w:tcPr>
            <w:tcW w:w="5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Reported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419,728</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391,995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674,576</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643,881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Real Estate Reported EBITDA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3,737</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(4,948)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2,124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benefit from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344,171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297,491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471,107</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444,899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256,252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181,107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463,558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267,699</w:t>
            </w:r>
          </w:p>
        </w:tc>
      </w:tr>
      <w:tr>
        <w:trPr>
          <w:trHeight w:val="27"/>
        </w:trPr>
        <w:tc>
          <w:tcPr>
            <w:tcW w:w="5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the segment results and other items can be found below.</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1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2018 compared to the three months ended April 30, 2017</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Mountain segment operating results for the three months ended April 30, 2018 and 2017 are presented by category as follows (in thousands, except effective ticket price (“ETP”)):</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040" w:type="dxa"/>
            <w:vAlign w:val="bottom"/>
            <w:gridSpan w:val="3"/>
          </w:tcPr>
          <w:p>
            <w:pPr>
              <w:jc w:val="right"/>
              <w:ind w:right="114"/>
              <w:spacing w:after="0"/>
              <w:rPr>
                <w:sz w:val="20"/>
                <w:szCs w:val="20"/>
                <w:color w:val="auto"/>
              </w:rPr>
            </w:pPr>
            <w:r>
              <w:rPr>
                <w:rFonts w:ascii="Arial" w:cs="Arial" w:eastAsia="Arial" w:hAnsi="Arial"/>
                <w:sz w:val="14"/>
                <w:szCs w:val="14"/>
                <w:b w:val="1"/>
                <w:bCs w:val="1"/>
                <w:color w:val="auto"/>
              </w:rPr>
              <w:t>Three Months Ended April 30,</w:t>
            </w:r>
          </w:p>
        </w:tc>
        <w:tc>
          <w:tcPr>
            <w:tcW w:w="720" w:type="dxa"/>
            <w:vAlign w:val="bottom"/>
          </w:tcPr>
          <w:p>
            <w:pPr>
              <w:spacing w:after="0"/>
              <w:rPr>
                <w:sz w:val="14"/>
                <w:szCs w:val="14"/>
                <w:color w:val="auto"/>
              </w:rPr>
            </w:pPr>
          </w:p>
        </w:tc>
        <w:tc>
          <w:tcPr>
            <w:tcW w:w="2000" w:type="dxa"/>
            <w:vAlign w:val="bottom"/>
          </w:tcPr>
          <w:p>
            <w:pPr>
              <w:jc w:val="center"/>
              <w:ind w:left="3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6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0" w:type="dxa"/>
            <w:vAlign w:val="bottom"/>
            <w:vMerge w:val="restart"/>
          </w:tcPr>
          <w:p>
            <w:pPr>
              <w:jc w:val="center"/>
              <w:ind w:left="33"/>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60" w:type="dxa"/>
            <w:vAlign w:val="bottom"/>
          </w:tcPr>
          <w:p>
            <w:pPr>
              <w:spacing w:after="0"/>
              <w:rPr>
                <w:sz w:val="5"/>
                <w:szCs w:val="5"/>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Pr>
          <w:p>
            <w:pPr>
              <w:spacing w:after="0"/>
              <w:rPr>
                <w:sz w:val="5"/>
                <w:szCs w:val="5"/>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720" w:type="dxa"/>
            <w:vAlign w:val="bottom"/>
          </w:tcPr>
          <w:p>
            <w:pPr>
              <w:spacing w:after="0"/>
              <w:rPr>
                <w:sz w:val="5"/>
                <w:szCs w:val="5"/>
                <w:color w:val="auto"/>
              </w:rPr>
            </w:pPr>
          </w:p>
        </w:tc>
        <w:tc>
          <w:tcPr>
            <w:tcW w:w="2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Mountain revenue:</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Lift</w:t>
            </w:r>
          </w:p>
        </w:tc>
        <w:tc>
          <w:tcPr>
            <w:tcW w:w="1100" w:type="dxa"/>
            <w:vAlign w:val="bottom"/>
          </w:tcPr>
          <w:p>
            <w:pPr>
              <w:jc w:val="right"/>
              <w:ind w:right="897"/>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452,723</w:t>
            </w:r>
          </w:p>
        </w:tc>
        <w:tc>
          <w:tcPr>
            <w:tcW w:w="1200" w:type="dxa"/>
            <w:vAlign w:val="bottom"/>
          </w:tcPr>
          <w:p>
            <w:pPr>
              <w:jc w:val="right"/>
              <w:ind w:right="89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419,647</w:t>
            </w:r>
          </w:p>
        </w:tc>
        <w:tc>
          <w:tcPr>
            <w:tcW w:w="20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101,213</w:t>
            </w: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91,704</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Dining</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70,678</w:t>
            </w:r>
          </w:p>
        </w:tc>
        <w:tc>
          <w:tcPr>
            <w:tcW w:w="1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65,618</w:t>
            </w:r>
          </w:p>
        </w:tc>
        <w:tc>
          <w:tcPr>
            <w:tcW w:w="20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104,162</w:t>
            </w: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102,104</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43,748</w:t>
            </w:r>
          </w:p>
        </w:tc>
        <w:tc>
          <w:tcPr>
            <w:tcW w:w="1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42,087</w:t>
            </w:r>
          </w:p>
        </w:tc>
        <w:tc>
          <w:tcPr>
            <w:tcW w:w="20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1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772,524</w:t>
            </w:r>
          </w:p>
        </w:tc>
        <w:tc>
          <w:tcPr>
            <w:tcW w:w="1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721,160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7"/>
        </w:trPr>
        <w:tc>
          <w:tcPr>
            <w:tcW w:w="5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operating expense:</w:t>
            </w:r>
          </w:p>
        </w:tc>
        <w:tc>
          <w:tcPr>
            <w:tcW w:w="1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Labor and labor-related benefits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147,722</w:t>
            </w: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139,811</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Retail cost of sales</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34,944</w:t>
            </w:r>
          </w:p>
        </w:tc>
        <w:tc>
          <w:tcPr>
            <w:tcW w:w="1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34,875</w:t>
            </w:r>
          </w:p>
        </w:tc>
        <w:tc>
          <w:tcPr>
            <w:tcW w:w="20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related fees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46,021</w:t>
            </w: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41,910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56,473</w:t>
            </w:r>
          </w:p>
        </w:tc>
        <w:tc>
          <w:tcPr>
            <w:tcW w:w="1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53,988</w:t>
            </w:r>
          </w:p>
        </w:tc>
        <w:tc>
          <w:tcPr>
            <w:tcW w:w="20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78,718</w:t>
            </w:r>
          </w:p>
        </w:tc>
        <w:tc>
          <w:tcPr>
            <w:tcW w:w="1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69,806</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7"/>
        </w:trPr>
        <w:tc>
          <w:tcPr>
            <w:tcW w:w="5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Mountain operating expense</w:t>
            </w:r>
          </w:p>
        </w:tc>
        <w:tc>
          <w:tcPr>
            <w:tcW w:w="1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363,878</w:t>
            </w:r>
          </w:p>
        </w:tc>
        <w:tc>
          <w:tcPr>
            <w:tcW w:w="1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340,390</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equity investment income, net</w:t>
            </w:r>
          </w:p>
        </w:tc>
        <w:tc>
          <w:tcPr>
            <w:tcW w:w="1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w:t>
            </w:r>
          </w:p>
        </w:tc>
        <w:tc>
          <w:tcPr>
            <w:tcW w:w="1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7"/>
        </w:trPr>
        <w:tc>
          <w:tcPr>
            <w:tcW w:w="5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Reported EBITDA</w:t>
            </w:r>
          </w:p>
        </w:tc>
        <w:tc>
          <w:tcPr>
            <w:tcW w:w="1100" w:type="dxa"/>
            <w:vAlign w:val="bottom"/>
            <w:tcBorders>
              <w:top w:val="single" w:sz="8" w:color="auto"/>
            </w:tcBorders>
          </w:tcPr>
          <w:p>
            <w:pPr>
              <w:jc w:val="right"/>
              <w:ind w:right="897"/>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409,253</w:t>
            </w:r>
          </w:p>
        </w:tc>
        <w:tc>
          <w:tcPr>
            <w:tcW w:w="1200" w:type="dxa"/>
            <w:vAlign w:val="bottom"/>
            <w:tcBorders>
              <w:top w:val="single" w:sz="8" w:color="auto"/>
            </w:tcBorders>
          </w:tcPr>
          <w:p>
            <w:pPr>
              <w:jc w:val="right"/>
              <w:ind w:right="894"/>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381,291</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67"/>
        </w:trPr>
        <w:tc>
          <w:tcPr>
            <w:tcW w:w="56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Total skier visits</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6,283</w:t>
            </w:r>
          </w:p>
        </w:tc>
        <w:tc>
          <w:tcPr>
            <w:tcW w:w="1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5,907</w:t>
            </w:r>
          </w:p>
        </w:tc>
        <w:tc>
          <w:tcPr>
            <w:tcW w:w="20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ETP</w:t>
            </w:r>
          </w:p>
        </w:tc>
        <w:tc>
          <w:tcPr>
            <w:tcW w:w="1100" w:type="dxa"/>
            <w:vAlign w:val="bottom"/>
            <w:shd w:val="clear" w:color="auto" w:fill="CCEEFF"/>
          </w:tcPr>
          <w:p>
            <w:pPr>
              <w:jc w:val="right"/>
              <w:ind w:right="897"/>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72.06</w:t>
            </w:r>
          </w:p>
        </w:tc>
        <w:tc>
          <w:tcPr>
            <w:tcW w:w="120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71.04</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6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Mountain Reported EBITDA includes $3.8 million and $3.6 million of stock-based compensation expense for the three months ended April 30, 2018 and 2017, respectively.</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Mountain Reported EBITDA increased $28.0 million, or 7.3%. This increase was primarily the result of strong North American pass sales growth for the 2017/2018 North American ski season and incremental operations of Stowe (acquired in June 2017). Our results across all lines of business at our western U.S. resorts for the three months ended April 30, 2018 compared to the same period in the prior year were impacted by challenging ski conditions as a result of historically low snowfall for much of the 2017/2018 ski season. However, conditions progressively improved during the third quarter of fiscal 2018 and total skier visitation increased 6.4% for the three months ended April 30, 2018 compared to the prior year. Additionally, we recorded $3.5 million and $2.3 million of acquisition and integration related expenses for the three months ended April 30, 2018 and 2017, respectively.</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Lift revenue increased $33.1 million, or 7.9%, primarily due to an increase in pass revenue and incremental revenue from Stowe. Pass revenue increased 14.8%, which was driven by a combination of an increase in both pricing and units sold and was also favorably impacted by increased pass sales to Destination guests. Non-pass revenue increased 3.6%, which was the result of incremental non-pass revenue from Stowe and increased non-pass revenue from Whistler Blackcomb, and was partially offset by lower non-pass revenue at our western U.S. resorts.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Ski school revenue increased $9.5 million, or 10.4%, and dining revenue increased $5.1 million, or 7.7%. These increases were primarily the result of increased revenue at our Colorado resorts and at Whistler Blackcomb, as well as incremental revenue from Stowe.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Retail/rental revenue increased $2.1 million, or 2.0%, for which rental revenue increased $1.1 million, or 2.6%, and retail sales increased $1.0 million, or 1.6%. The increase in revenue was primarily due to incremental retail/rental revenue from Stowe and an increase in retail revenue at Whistler Blackcomb, partially offset by decreased retail/rental revenue at stores proximate to our western U.S. resorts and other city stores.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8" w:name="page29"/>
    <w:bookmarkEnd w:id="28"/>
    <w:p>
      <w:pPr>
        <w:jc w:val="both"/>
        <w:spacing w:after="0" w:line="312" w:lineRule="auto"/>
        <w:rPr>
          <w:sz w:val="20"/>
          <w:szCs w:val="20"/>
          <w:color w:val="auto"/>
        </w:rPr>
      </w:pPr>
      <w:r>
        <w:rPr>
          <w:rFonts w:ascii="Arial" w:cs="Arial" w:eastAsia="Arial" w:hAnsi="Arial"/>
          <w:sz w:val="16"/>
          <w:szCs w:val="16"/>
          <w:color w:val="auto"/>
        </w:rPr>
        <w:t>Other revenue mainly consists of other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increased $1.7 million, or 3.9%, primarily due to an increase in mountain activities revenue.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 increased $23.5 million, or 6.9%, which was primarily attributable to the inclusion of incremental operating expenses from Stowe.</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Labor and labor-related benefits increased 5.7% primarily due to incremental expense from Stowe and normal annual wage adjustments, partially offset by lower estimated performance-based variable compensation. Resort related fees increased 9.8% primarily due to higher revenue on which those fees are based and incremental expenses from Stowe. General and administrative expense increased 4.6% due to higher corporate overhead costs, including incremental expenses from Stowe, partially offset by lower estimated performance-based variable compensation. Other expense increased 12.8% primarily due to incremental expenses from Stowe, as well as increases in acquisition and integration expenses, utilities expense (related to increased snowmaking operations) and food and beverage cost of sales.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joint venture.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2018 compared to the nine months ended April 30, 2017</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Mountain segment operating results for the nine months ended April 30, 2018 and 2017 are presented by category as follows (in thousands, except ETP):</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20" w:type="dxa"/>
            <w:vAlign w:val="bottom"/>
            <w:gridSpan w:val="3"/>
          </w:tcPr>
          <w:p>
            <w:pPr>
              <w:jc w:val="right"/>
              <w:ind w:right="871"/>
              <w:spacing w:after="0"/>
              <w:rPr>
                <w:sz w:val="20"/>
                <w:szCs w:val="20"/>
                <w:color w:val="auto"/>
              </w:rPr>
            </w:pPr>
            <w:r>
              <w:rPr>
                <w:rFonts w:ascii="Arial" w:cs="Arial" w:eastAsia="Arial" w:hAnsi="Arial"/>
                <w:sz w:val="14"/>
                <w:szCs w:val="14"/>
                <w:b w:val="1"/>
                <w:bCs w:val="1"/>
                <w:color w:val="auto"/>
              </w:rPr>
              <w:t>Nine Months Ended April 30,</w:t>
            </w:r>
          </w:p>
        </w:tc>
        <w:tc>
          <w:tcPr>
            <w:tcW w:w="2040" w:type="dxa"/>
            <w:vAlign w:val="bottom"/>
          </w:tcPr>
          <w:p>
            <w:pPr>
              <w:jc w:val="center"/>
              <w:ind w:left="3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40" w:type="dxa"/>
            <w:vAlign w:val="bottom"/>
            <w:vMerge w:val="restart"/>
          </w:tcPr>
          <w:p>
            <w:pPr>
              <w:jc w:val="center"/>
              <w:ind w:left="33"/>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0" w:type="dxa"/>
            <w:vAlign w:val="bottom"/>
            <w:vMerge w:val="restart"/>
          </w:tcPr>
          <w:p>
            <w:pPr>
              <w:jc w:val="right"/>
              <w:ind w:right="692"/>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5"/>
                <w:szCs w:val="5"/>
                <w:color w:val="auto"/>
              </w:rPr>
            </w:pPr>
          </w:p>
        </w:tc>
        <w:tc>
          <w:tcPr>
            <w:tcW w:w="1380" w:type="dxa"/>
            <w:vAlign w:val="bottom"/>
            <w:vMerge w:val="restart"/>
          </w:tcPr>
          <w:p>
            <w:pPr>
              <w:jc w:val="right"/>
              <w:ind w:right="671"/>
              <w:spacing w:after="0"/>
              <w:rPr>
                <w:sz w:val="20"/>
                <w:szCs w:val="20"/>
                <w:color w:val="auto"/>
              </w:rPr>
            </w:pPr>
            <w:r>
              <w:rPr>
                <w:rFonts w:ascii="Arial" w:cs="Arial" w:eastAsia="Arial" w:hAnsi="Arial"/>
                <w:sz w:val="14"/>
                <w:szCs w:val="14"/>
                <w:b w:val="1"/>
                <w:bCs w:val="1"/>
                <w:color w:val="auto"/>
              </w:rPr>
              <w:t>2017</w:t>
            </w: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Mountain revenue: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Lift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860,103</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799,324</w:t>
            </w:r>
          </w:p>
        </w:tc>
        <w:tc>
          <w:tcPr>
            <w:tcW w:w="2040" w:type="dxa"/>
            <w:vAlign w:val="bottom"/>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185,767</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173,674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Dining</w:t>
            </w:r>
          </w:p>
        </w:tc>
        <w:tc>
          <w:tcPr>
            <w:tcW w:w="4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142,890</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133,352</w:t>
            </w:r>
          </w:p>
        </w:tc>
        <w:tc>
          <w:tcPr>
            <w:tcW w:w="2040" w:type="dxa"/>
            <w:vAlign w:val="bottom"/>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265,015</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261,816</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137,776</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117,860</w:t>
            </w:r>
          </w:p>
        </w:tc>
        <w:tc>
          <w:tcPr>
            <w:tcW w:w="2040" w:type="dxa"/>
            <w:vAlign w:val="bottom"/>
          </w:tcPr>
          <w:p>
            <w:pPr>
              <w:jc w:val="right"/>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1,591,551</w:t>
            </w:r>
          </w:p>
        </w:tc>
        <w:tc>
          <w:tcPr>
            <w:tcW w:w="5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1,486,026</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operating expense:</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Labor and labor-related benefits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365,618</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334,024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Retail cost of sales</w:t>
            </w:r>
          </w:p>
        </w:tc>
        <w:tc>
          <w:tcPr>
            <w:tcW w:w="4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98,425</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98,263</w:t>
            </w:r>
          </w:p>
        </w:tc>
        <w:tc>
          <w:tcPr>
            <w:tcW w:w="2040" w:type="dxa"/>
            <w:vAlign w:val="bottom"/>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related fees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83,404</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78,976</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165,406</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156,442</w:t>
            </w:r>
          </w:p>
        </w:tc>
        <w:tc>
          <w:tcPr>
            <w:tcW w:w="2040" w:type="dxa"/>
            <w:vAlign w:val="bottom"/>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223,714</w:t>
            </w:r>
          </w:p>
        </w:tc>
        <w:tc>
          <w:tcPr>
            <w:tcW w:w="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196,177</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Mountain operating expense</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936,567</w:t>
            </w: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863,882</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equity investment income, net</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1,094</w:t>
            </w:r>
          </w:p>
        </w:tc>
        <w:tc>
          <w:tcPr>
            <w:tcW w:w="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1,510</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Reported EBITDA</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656,078</w:t>
            </w:r>
          </w:p>
        </w:tc>
        <w:tc>
          <w:tcPr>
            <w:tcW w:w="5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623,654</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67"/>
        </w:trPr>
        <w:tc>
          <w:tcPr>
            <w:tcW w:w="56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Total skier visits</w:t>
            </w:r>
          </w:p>
        </w:tc>
        <w:tc>
          <w:tcPr>
            <w:tcW w:w="4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11,914</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11,635</w:t>
            </w:r>
          </w:p>
        </w:tc>
        <w:tc>
          <w:tcPr>
            <w:tcW w:w="204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ETP</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72.19</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68.70</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$11.6 million and $11.1 million of stock-based compensation expense for the nine months ended April 30, 2018 and 2017, respectively.</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Mountain Reported EBITDA increased $32.4 million, or 5.2%. This increase was primarily the result of strong North American pass sales growth for the 2017/2018 North American ski season, improved operating results at Whistler Blackcomb and incremental operations of Stowe (acquired in June 2017). Our results across all lines of business at our western U.S. resorts for the nine months ended April 30, 2018 compared to the same period in the prior year were impacted by challenging ski conditions as a result of historically low snowfall for much of the ski season, although conditions progressively improved during the third quarter of fiscal 2018. Total skier visitation increased 2.4%, which was primarily the result of incremental skier visitation at Stowe and an increase in skier visitation at Whistler Blackcomb, partially offset by lower visitation to our western U.S. resorts. Additionally, we recorded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$7.0 million and $8.0 million of acquisition and integration related expenses for the nine months ended April 30, 2018 and 2017, respectively.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Lift revenue increased $60.8 million, or 7.6%, primarily due to an increase in pass revenue and incremental revenue from Stowe. Pass revenue increased 17.6%, which was driven by a combination of an increase in both pricing and units sold and was also favorably impacted by increased pass sales to Destination guests. Non-pass revenue was flat, which was primarily the result of incremental non-pass revenue from Stowe and an increase in non-pass revenue from Whistler Blackcomb, offset by a decrease in non-pass skier visitation to our western U.S. resorts. Total ETP increased $3.49, or 5.1%, due to price increases in both our lift ticket and season pass products and slightly lower average visitation by season pass holders during the nine months ended April 30, 2018 compared to the same period in the prior year.</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Ski school revenue increased $12.1 million, or 7.0%, primarily as a result of an increase in revenue at Whistler Blackcomb and incremental revenue from Stowe.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Dining revenue increased $9.5 million, or 7.2%, primarily due to incremental revenue from Stowe, as well as increased revenue from Whistler Blackcomb, reflecting a full quarter of operations for the three months ended October 31, 2017, as compared to the prior year period which included operations from the date of acquisition, October 17, 2016, through April 30, 2017. However, these increases were partially offset by lower revenue at our western U.S. resorts, which experienced delays in the opening of certain on-mountain dining venues as a result of challenging weather conditions for much of the 2017/2018 North American ski season.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Retail/rental revenue increased a total of $3.2 million, or 1.2%, of which rental revenue increased $2.5 million, or 3.0%, and retail revenue increased $0.7 million, or 0.4%. The increase in both rental and retail revenue was primarily due to an increase in revenue at Whistler Blackcomb and incremental revenue from Stowe, partially offset by decreased revenue at stores proximate to our western U.S. resorts and other city stores.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revenue mainly consists of summer visitation and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is also comprised of Perisher lodging and transportation revenue. Other revenue increased $19.9 million, or 16.9%, compared to the same period in the prior year, primarily attributable to incremental summer activities and events revenue at Whistler Blackcomb and the inclusion of Stowe operations.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 increased $72.7 million, or 8.4%, which was primarily attributable to the inclusion of Stowe operations and incremental operating expenses from Whistler Blackcomb as a result of reflecting a full quarter of operations for the three months ended October 31, 2017, as compared to the prior year period which included operations from the date of acquisition, October 17, 2016, through April 30, 2017.</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Labor and labor-related benefits increased 9.5% primarily due to incremental expense from Stowe and Whistler Blackcomb, normal annual wage adjustments and increased staffing levels at Perisher during the three months ended October 31, 2017 to support higher visitation, partially offset by lower estimated performance-based variable compensation. Resort related fees increased 5.6% primarily due to higher revenue on which those fees are based, including incremental expenses from Stowe. General and administrative expense increased 5.7% primarily due to incremental expenses from Stowe, as well as higher corporate overhead costs, partially offset by lower estimated performance-based variable compensation. Other expense increased 14.0% due to incremental expenses from Whistler Blackcomb and Stowe, as well as increases in utilities expense (related to increased snowmaking operations), repairs and maintenance expense and food and beverage cost of sales commensurate with increases in dining revenue, partially offset by a reduction of acquisition and integration related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joint venture.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2018 compared to the three months ended April 30, 2017</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Lodging segment operating results for the three months ended April 30, 2018 and 2017 are presented by category as follows (in thousands, except average daily rates (“ADR”) and revenue per available room (“RevPAR”)):</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20" w:type="dxa"/>
            <w:vAlign w:val="bottom"/>
            <w:gridSpan w:val="3"/>
          </w:tcPr>
          <w:p>
            <w:pPr>
              <w:jc w:val="right"/>
              <w:ind w:right="831"/>
              <w:spacing w:after="0"/>
              <w:rPr>
                <w:sz w:val="20"/>
                <w:szCs w:val="20"/>
                <w:color w:val="auto"/>
              </w:rPr>
            </w:pPr>
            <w:r>
              <w:rPr>
                <w:rFonts w:ascii="Arial" w:cs="Arial" w:eastAsia="Arial" w:hAnsi="Arial"/>
                <w:sz w:val="14"/>
                <w:szCs w:val="14"/>
                <w:b w:val="1"/>
                <w:bCs w:val="1"/>
                <w:color w:val="auto"/>
              </w:rPr>
              <w:t>Three Months Ended April 30,</w:t>
            </w:r>
          </w:p>
        </w:tc>
        <w:tc>
          <w:tcPr>
            <w:tcW w:w="2040" w:type="dxa"/>
            <w:vAlign w:val="bottom"/>
          </w:tcPr>
          <w:p>
            <w:pPr>
              <w:jc w:val="center"/>
              <w:ind w:left="32"/>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40" w:type="dxa"/>
            <w:vAlign w:val="bottom"/>
            <w:vMerge w:val="restart"/>
          </w:tcPr>
          <w:p>
            <w:pPr>
              <w:jc w:val="center"/>
              <w:ind w:left="32"/>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0" w:type="dxa"/>
            <w:vAlign w:val="bottom"/>
            <w:vMerge w:val="restart"/>
          </w:tcPr>
          <w:p>
            <w:pPr>
              <w:jc w:val="right"/>
              <w:ind w:right="692"/>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5"/>
                <w:szCs w:val="5"/>
                <w:color w:val="auto"/>
              </w:rPr>
            </w:pPr>
          </w:p>
        </w:tc>
        <w:tc>
          <w:tcPr>
            <w:tcW w:w="1380" w:type="dxa"/>
            <w:vAlign w:val="bottom"/>
            <w:vMerge w:val="restart"/>
          </w:tcPr>
          <w:p>
            <w:pPr>
              <w:jc w:val="right"/>
              <w:ind w:right="671"/>
              <w:spacing w:after="0"/>
              <w:rPr>
                <w:sz w:val="20"/>
                <w:szCs w:val="20"/>
                <w:color w:val="auto"/>
              </w:rPr>
            </w:pPr>
            <w:r>
              <w:rPr>
                <w:rFonts w:ascii="Arial" w:cs="Arial" w:eastAsia="Arial" w:hAnsi="Arial"/>
                <w:sz w:val="14"/>
                <w:szCs w:val="14"/>
                <w:b w:val="1"/>
                <w:bCs w:val="1"/>
                <w:color w:val="auto"/>
              </w:rPr>
              <w:t>2017</w:t>
            </w: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net revenue: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Owned hotel rooms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12,518</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12,494</w:t>
            </w:r>
          </w:p>
        </w:tc>
        <w:tc>
          <w:tcPr>
            <w:tcW w:w="2040" w:type="dxa"/>
            <w:vAlign w:val="bottom"/>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Managed condominium rooms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24,604</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23,907</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Dining</w:t>
            </w:r>
          </w:p>
        </w:tc>
        <w:tc>
          <w:tcPr>
            <w:tcW w:w="4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8,660</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9,324</w:t>
            </w:r>
          </w:p>
        </w:tc>
        <w:tc>
          <w:tcPr>
            <w:tcW w:w="20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8,164</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8,611</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11,074</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10,820</w:t>
            </w:r>
          </w:p>
        </w:tc>
        <w:tc>
          <w:tcPr>
            <w:tcW w:w="204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65,020</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65,156</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Payroll cost reimbursements</w:t>
            </w:r>
          </w:p>
        </w:tc>
        <w:tc>
          <w:tcPr>
            <w:tcW w:w="4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3,807</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3,445</w:t>
            </w:r>
          </w:p>
        </w:tc>
        <w:tc>
          <w:tcPr>
            <w:tcW w:w="2040" w:type="dxa"/>
            <w:vAlign w:val="bottom"/>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net revenue</w:t>
            </w: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68,827</w:t>
            </w:r>
          </w:p>
        </w:tc>
        <w:tc>
          <w:tcPr>
            <w:tcW w:w="5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68,601</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Lodging operating expense:</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Labor and labor-related benefits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27,318</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27,204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9,708</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9,848</w:t>
            </w:r>
          </w:p>
        </w:tc>
        <w:tc>
          <w:tcPr>
            <w:tcW w:w="20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17,519</w:t>
            </w:r>
          </w:p>
        </w:tc>
        <w:tc>
          <w:tcPr>
            <w:tcW w:w="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17,400</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54,545</w:t>
            </w: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54,452</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Reimbursed payroll costs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3,807</w:t>
            </w:r>
          </w:p>
        </w:tc>
        <w:tc>
          <w:tcPr>
            <w:tcW w:w="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3,445</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Lodging operating expense</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58,352</w:t>
            </w: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57,897</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Reported EBITDA</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10,475</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Owned hotel statistics: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ADR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291.94</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294.75</w:t>
            </w:r>
          </w:p>
        </w:tc>
        <w:tc>
          <w:tcPr>
            <w:tcW w:w="20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RevPAR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198.97</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200.94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Managed condominium statistics:</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428.57</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428.83</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RevPAR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185.54</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183.08</w:t>
            </w:r>
          </w:p>
        </w:tc>
        <w:tc>
          <w:tcPr>
            <w:tcW w:w="204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Owned hotel and managed condominium statistics (combined):</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ADR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389.90</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389.94</w:t>
            </w:r>
          </w:p>
        </w:tc>
        <w:tc>
          <w:tcPr>
            <w:tcW w:w="20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RevPAR</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188.23</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186.72</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Lodging Reported EBITDA includes $0.8 million of stock-based compensation expense for both the three months ended April 30, 2018 and 2017.</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Lodging Reported EBITDA decreased $0.2 million, or 2.1%. Revenue from managed condominium rooms increased $0.7 million, or 2.9%, primarily due to an increase in visitation at our managed lodging properties proximate to our Colorado mountain resorts and Park City. Dining revenue decreased $0.7 million, or 7.1%, primarily due to decreased revenue at our Colorado and Park City lodging properties. Transportation revenue decreased $0.4 million, or 5.2%, primarily due to decreased passenger volume. Other revenue increased $0.3 million, or 2.3%, primarily due to increases in spa revenue and conference services revenue.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 (excluding reimbursed payroll costs) was relatively flat as compared to the prior year period, with an increase of 0.2%. General and administrative expenses decreased 1.4% due to lower corporate overhead costs.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ectPr>
          <w:pgSz w:w="11900" w:h="16838" w:orient="portrait"/>
          <w:cols w:equalWidth="0" w:num="1">
            <w:col w:w="11420"/>
          </w:cols>
          <w:pgMar w:left="240" w:top="584"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584"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Nine months ended April 30, 2018 compared to the nine months ended April 30, 2017</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Lodging segment operating results for the nine months ended April 30, 2018 and 2017 are presented by category as follows (in thousands, except ADR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RevPAR):</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20" w:type="dxa"/>
            <w:vAlign w:val="bottom"/>
            <w:gridSpan w:val="3"/>
          </w:tcPr>
          <w:p>
            <w:pPr>
              <w:jc w:val="right"/>
              <w:ind w:right="871"/>
              <w:spacing w:after="0"/>
              <w:rPr>
                <w:sz w:val="20"/>
                <w:szCs w:val="20"/>
                <w:color w:val="auto"/>
              </w:rPr>
            </w:pPr>
            <w:r>
              <w:rPr>
                <w:rFonts w:ascii="Arial" w:cs="Arial" w:eastAsia="Arial" w:hAnsi="Arial"/>
                <w:sz w:val="14"/>
                <w:szCs w:val="14"/>
                <w:b w:val="1"/>
                <w:bCs w:val="1"/>
                <w:color w:val="auto"/>
              </w:rPr>
              <w:t>Nine Months Ended April 30,</w:t>
            </w:r>
          </w:p>
        </w:tc>
        <w:tc>
          <w:tcPr>
            <w:tcW w:w="2040" w:type="dxa"/>
            <w:vAlign w:val="bottom"/>
          </w:tcPr>
          <w:p>
            <w:pPr>
              <w:jc w:val="center"/>
              <w:ind w:left="32"/>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40" w:type="dxa"/>
            <w:vAlign w:val="bottom"/>
            <w:vMerge w:val="restart"/>
          </w:tcPr>
          <w:p>
            <w:pPr>
              <w:jc w:val="center"/>
              <w:ind w:left="32"/>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0" w:type="dxa"/>
            <w:vAlign w:val="bottom"/>
            <w:vMerge w:val="restart"/>
          </w:tcPr>
          <w:p>
            <w:pPr>
              <w:jc w:val="right"/>
              <w:ind w:right="691"/>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5"/>
                <w:szCs w:val="5"/>
                <w:color w:val="auto"/>
              </w:rPr>
            </w:pPr>
          </w:p>
        </w:tc>
        <w:tc>
          <w:tcPr>
            <w:tcW w:w="1380" w:type="dxa"/>
            <w:vAlign w:val="bottom"/>
            <w:vMerge w:val="restart"/>
          </w:tcPr>
          <w:p>
            <w:pPr>
              <w:jc w:val="right"/>
              <w:ind w:right="671"/>
              <w:spacing w:after="0"/>
              <w:rPr>
                <w:sz w:val="20"/>
                <w:szCs w:val="20"/>
                <w:color w:val="auto"/>
              </w:rPr>
            </w:pPr>
            <w:r>
              <w:rPr>
                <w:rFonts w:ascii="Arial" w:cs="Arial" w:eastAsia="Arial" w:hAnsi="Arial"/>
                <w:sz w:val="14"/>
                <w:szCs w:val="14"/>
                <w:b w:val="1"/>
                <w:bCs w:val="1"/>
                <w:color w:val="auto"/>
              </w:rPr>
              <w:t>2017</w:t>
            </w: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net revenue: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Owned hotel rooms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43,506</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42,559</w:t>
            </w:r>
          </w:p>
        </w:tc>
        <w:tc>
          <w:tcPr>
            <w:tcW w:w="204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Managed condominium rooms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58,133</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55,417</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Dining</w:t>
            </w: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32,409</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33,384</w:t>
            </w:r>
          </w:p>
        </w:tc>
        <w:tc>
          <w:tcPr>
            <w:tcW w:w="20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18,177</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19,428</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Golf</w:t>
            </w: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8,903</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8,921</w:t>
            </w:r>
          </w:p>
        </w:tc>
        <w:tc>
          <w:tcPr>
            <w:tcW w:w="20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32,626</w:t>
            </w:r>
          </w:p>
        </w:tc>
        <w:tc>
          <w:tcPr>
            <w:tcW w:w="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31,806</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193,754</w:t>
            </w: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191,515</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Payroll cost reimbursements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10,701</w:t>
            </w:r>
          </w:p>
        </w:tc>
        <w:tc>
          <w:tcPr>
            <w:tcW w:w="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10,372</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Lodging net revenue</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204,455</w:t>
            </w: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201,887</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operating expense: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Labor and labor-related benefits</w:t>
            </w: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86,966</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84,515</w:t>
            </w:r>
          </w:p>
        </w:tc>
        <w:tc>
          <w:tcPr>
            <w:tcW w:w="204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29,374</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29,360</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58,916</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57,413</w:t>
            </w:r>
          </w:p>
        </w:tc>
        <w:tc>
          <w:tcPr>
            <w:tcW w:w="204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175,256</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171,288</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Reimbursed payroll costs</w:t>
            </w: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10,701</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10,372</w:t>
            </w:r>
          </w:p>
        </w:tc>
        <w:tc>
          <w:tcPr>
            <w:tcW w:w="2040" w:type="dxa"/>
            <w:vAlign w:val="bottom"/>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operating expense</w:t>
            </w: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185,957</w:t>
            </w:r>
          </w:p>
        </w:tc>
        <w:tc>
          <w:tcPr>
            <w:tcW w:w="5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181,660</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Lodging Reported EBITDA</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18,498</w:t>
            </w:r>
          </w:p>
        </w:tc>
        <w:tc>
          <w:tcPr>
            <w:tcW w:w="5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20,227</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67"/>
        </w:trPr>
        <w:tc>
          <w:tcPr>
            <w:tcW w:w="56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6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Owned hotel statistics:</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257.27</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254.29</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RevPAR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175.73</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168.45</w:t>
            </w:r>
          </w:p>
        </w:tc>
        <w:tc>
          <w:tcPr>
            <w:tcW w:w="204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Managed condominium statistics: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ADR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369.54</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382.35</w:t>
            </w:r>
          </w:p>
        </w:tc>
        <w:tc>
          <w:tcPr>
            <w:tcW w:w="20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RevPAR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135.12</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134.38</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Owned hotel and managed condominium statistics (combined):</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327.86</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332.33</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RevPAR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144.87</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143.03</w:t>
            </w:r>
          </w:p>
        </w:tc>
        <w:tc>
          <w:tcPr>
            <w:tcW w:w="204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Lodging Reported EBITDA includes $2.4 million of stock-based compensation expense for both the nine months ended April 30, 2018 and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Lodging Reported EBITDA decreased $1.7 million, or 8.5%, primarily due to reductions in operating results from CME.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from owned hotel rooms increased $0.9 million, or 2.2%, primarily due to an increase in occupancy at Flagg Ranch, which incurred an early closure in the prior fiscal year period as a result of a forest fire in Grand Teton National Park, as well as an increase in revenue at GTLC, partially offset by decreased revenue at our owned Colorado lodging properties as a result of lower winter visitation. Revenue from managed condominium rooms increased $2.7 million, or 4.9%, primarily due to increased revenue at our Colorado managed properties primarily as a result of increased occupancy and incremental revenue from Whistler Blackcomb.</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Dining revenue decreased $1.0 million, or 2.9%, primarily due to the closure of a dining outlet and decreased dining revenue generated at our Colorado lodging properties, partially offset by an increase in revenue at Flagg Ranch. Transportation revenue decreased $1.3 million, or 6.4%, primarily due to decreased passenger volume. Other revenue increased $0.8 million, or 2.6%, primarily due to increases in conference services revenue and ancillary revenue.</w:t>
      </w:r>
    </w:p>
    <w:p>
      <w:pPr>
        <w:sectPr>
          <w:pgSz w:w="11900" w:h="16838" w:orient="portrait"/>
          <w:cols w:equalWidth="0" w:num="1">
            <w:col w:w="11420"/>
          </w:cols>
          <w:pgMar w:left="240" w:top="800"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800" w:right="239" w:bottom="1440" w:gutter="0" w:footer="0" w:header="0"/>
          <w:type w:val="continuous"/>
        </w:sectPr>
      </w:pPr>
    </w:p>
    <w:bookmarkStart w:id="32" w:name="page33"/>
    <w:bookmarkEnd w:id="32"/>
    <w:p>
      <w:pPr>
        <w:jc w:val="both"/>
        <w:spacing w:after="0" w:line="259" w:lineRule="auto"/>
        <w:rPr>
          <w:sz w:val="20"/>
          <w:szCs w:val="20"/>
          <w:color w:val="auto"/>
        </w:rPr>
      </w:pPr>
      <w:r>
        <w:rPr>
          <w:rFonts w:ascii="Arial" w:cs="Arial" w:eastAsia="Arial" w:hAnsi="Arial"/>
          <w:sz w:val="18"/>
          <w:szCs w:val="18"/>
          <w:color w:val="auto"/>
        </w:rPr>
        <w:t>Operating expense (excluding reimbursed payroll costs) increased 2.3%. Labor and labor-related benefits increased 2.9%, primarily resulting from incremental expenses from Whistler Blackcomb, normal annual wage increases and higher labor expense for Flagg Ranch, which was closed for a portion of the prior year period, partially offset by lower estimated performance-based variable compensation. Other expense increased 2.6%, primarily due to increases in variable operating expenses, as well as an increase in property taxes.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2018 compared to the three months ended April 30, 2017</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three months ended April 30, 2018 and 2017 are presented by category as follows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060" w:type="dxa"/>
            <w:vAlign w:val="bottom"/>
            <w:gridSpan w:val="3"/>
          </w:tcPr>
          <w:p>
            <w:pPr>
              <w:jc w:val="right"/>
              <w:ind w:right="156"/>
              <w:spacing w:after="0"/>
              <w:rPr>
                <w:sz w:val="20"/>
                <w:szCs w:val="20"/>
                <w:color w:val="auto"/>
              </w:rPr>
            </w:pPr>
            <w:r>
              <w:rPr>
                <w:rFonts w:ascii="Arial" w:cs="Arial" w:eastAsia="Arial" w:hAnsi="Arial"/>
                <w:sz w:val="14"/>
                <w:szCs w:val="14"/>
                <w:b w:val="1"/>
                <w:bCs w:val="1"/>
                <w:color w:val="auto"/>
              </w:rPr>
              <w:t>Three Months Ended April 30,</w:t>
            </w:r>
          </w:p>
        </w:tc>
        <w:tc>
          <w:tcPr>
            <w:tcW w:w="660" w:type="dxa"/>
            <w:vAlign w:val="bottom"/>
          </w:tcPr>
          <w:p>
            <w:pPr>
              <w:spacing w:after="0"/>
              <w:rPr>
                <w:sz w:val="14"/>
                <w:szCs w:val="14"/>
                <w:color w:val="auto"/>
              </w:rPr>
            </w:pPr>
          </w:p>
        </w:tc>
        <w:tc>
          <w:tcPr>
            <w:tcW w:w="2040" w:type="dxa"/>
            <w:vAlign w:val="bottom"/>
          </w:tcPr>
          <w:p>
            <w:pPr>
              <w:jc w:val="center"/>
              <w:ind w:left="37"/>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40" w:type="dxa"/>
            <w:vAlign w:val="bottom"/>
            <w:vMerge w:val="restart"/>
          </w:tcPr>
          <w:p>
            <w:pPr>
              <w:jc w:val="center"/>
              <w:ind w:left="37"/>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60" w:type="dxa"/>
            <w:vAlign w:val="bottom"/>
          </w:tcPr>
          <w:p>
            <w:pPr>
              <w:spacing w:after="0"/>
              <w:rPr>
                <w:sz w:val="5"/>
                <w:szCs w:val="5"/>
                <w:color w:val="auto"/>
              </w:rPr>
            </w:pPr>
          </w:p>
        </w:tc>
        <w:tc>
          <w:tcPr>
            <w:tcW w:w="11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5"/>
                <w:szCs w:val="5"/>
                <w:color w:val="auto"/>
              </w:rPr>
            </w:pPr>
          </w:p>
        </w:tc>
        <w:tc>
          <w:tcPr>
            <w:tcW w:w="12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3,140</w:t>
            </w:r>
          </w:p>
        </w:tc>
        <w:tc>
          <w:tcPr>
            <w:tcW w:w="122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4,870</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Real Estate operating expense:</w:t>
            </w: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sales (including sales commission)</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3,456</w:t>
            </w:r>
          </w:p>
        </w:tc>
        <w:tc>
          <w:tcPr>
            <w:tcW w:w="1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4,281</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1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(4,053)</w:t>
            </w:r>
          </w:p>
        </w:tc>
        <w:tc>
          <w:tcPr>
            <w:tcW w:w="12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5,537</w:t>
            </w:r>
          </w:p>
        </w:tc>
        <w:tc>
          <w:tcPr>
            <w:tcW w:w="2040" w:type="dxa"/>
            <w:vAlign w:val="bottom"/>
          </w:tcPr>
          <w:p>
            <w:pPr>
              <w:jc w:val="right"/>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operating expense</w:t>
            </w:r>
          </w:p>
        </w:tc>
        <w:tc>
          <w:tcPr>
            <w:tcW w:w="1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9,818</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37"/>
        </w:trPr>
        <w:tc>
          <w:tcPr>
            <w:tcW w:w="56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Real Estate Reported EBITDA</w:t>
            </w:r>
          </w:p>
        </w:tc>
        <w:tc>
          <w:tcPr>
            <w:tcW w:w="1140" w:type="dxa"/>
            <w:vAlign w:val="bottom"/>
            <w:tcBorders>
              <w:top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3,737</w:t>
            </w:r>
          </w:p>
        </w:tc>
        <w:tc>
          <w:tcPr>
            <w:tcW w:w="1220" w:type="dxa"/>
            <w:vAlign w:val="bottom"/>
            <w:tcBorders>
              <w:top w:val="single" w:sz="8" w:color="auto"/>
            </w:tcBorders>
          </w:tcPr>
          <w:p>
            <w:pPr>
              <w:jc w:val="right"/>
              <w:ind w:right="956"/>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(4,948)</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175.5 %</w:t>
            </w: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on sale of real property and Real Estate Reported EBITDA.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2018</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April 30, 2018, we closed on the sale of a development land parcel for $3.0 million which was recorded within Real Estate net revenue.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net operating expense included the recognition of a $5.5 million benefit (non-cash in the current period) related to a legal settlement in fiscal 2015 for which cash proceeds were received and established as a liability for estimated future remediation costs of a construction development. All known items have been remediated and, based on continued monitoring, the Company has concluded that the need for further remediation is remote. Additionally, other, net operating expense included general and administrative costs, such as labor and labor-related benefits, professional services expense and allocated corporate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2017</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Real Estate segment net revenue for the three months ended April 30, 2017 was primarily driven by the closing of two condominium units at The Ritz-Carlton Residences, Vail ($4.7 million of revenue with an average selling price of $2.4 million and an average price per square foot of $1,268). The average price per square foot of this project is driven by its premier location and the comprehensive and exclusive amenities related to this project.</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expense for the three months ended April 30, 2017 included cost of sales of $4.0 million resulting from the closing of two condominium units at The Ritz-Carlton Residences, Vail (average cost per square foot of $1,060). The cost per square foot for this project reflects the high-end features and amenities and high construction costs associated with mountain resort development. Additionally, sales commissions of approximately $0.3 million were incurred commensurate with revenue recognized. Other, net operating expense of $5.5 million for the three months ended April 30, 2017 was primarily comprised of general and administrative costs, carrying costs for units available for sale and overhead costs, such as labor and labor-related benefits and allocated corporate costs. In addition, included in other, net operating expense is a $4.3 million one-time non-cash charge related to the resolution of a financial contingency to the Town of Vail for incremental parking capacity. This obligation was settled through a cash payment to the Town of Vail during the third quarter of fiscal 2018.</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Nine months ended April 30, 2018 compared to the nine months ended April 30,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Real Estate segment operating results for the nine months ended April 30, 2018 and 2017 are presented by category as follows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060" w:type="dxa"/>
            <w:vAlign w:val="bottom"/>
            <w:gridSpan w:val="3"/>
          </w:tcPr>
          <w:p>
            <w:pPr>
              <w:jc w:val="right"/>
              <w:ind w:right="196"/>
              <w:spacing w:after="0"/>
              <w:rPr>
                <w:sz w:val="20"/>
                <w:szCs w:val="20"/>
                <w:color w:val="auto"/>
              </w:rPr>
            </w:pPr>
            <w:r>
              <w:rPr>
                <w:rFonts w:ascii="Arial" w:cs="Arial" w:eastAsia="Arial" w:hAnsi="Arial"/>
                <w:sz w:val="14"/>
                <w:szCs w:val="14"/>
                <w:b w:val="1"/>
                <w:bCs w:val="1"/>
                <w:color w:val="auto"/>
              </w:rPr>
              <w:t>Nine Months Ended April 30,</w:t>
            </w:r>
          </w:p>
        </w:tc>
        <w:tc>
          <w:tcPr>
            <w:tcW w:w="680" w:type="dxa"/>
            <w:vAlign w:val="bottom"/>
          </w:tcPr>
          <w:p>
            <w:pPr>
              <w:spacing w:after="0"/>
              <w:rPr>
                <w:sz w:val="14"/>
                <w:szCs w:val="14"/>
                <w:color w:val="auto"/>
              </w:rPr>
            </w:pPr>
          </w:p>
        </w:tc>
        <w:tc>
          <w:tcPr>
            <w:tcW w:w="2040" w:type="dxa"/>
            <w:vAlign w:val="bottom"/>
          </w:tcPr>
          <w:p>
            <w:pPr>
              <w:jc w:val="center"/>
              <w:ind w:left="36"/>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4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40" w:type="dxa"/>
            <w:vAlign w:val="bottom"/>
            <w:vMerge w:val="restart"/>
          </w:tcPr>
          <w:p>
            <w:pPr>
              <w:jc w:val="center"/>
              <w:ind w:left="36"/>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40" w:type="dxa"/>
            <w:vAlign w:val="bottom"/>
          </w:tcPr>
          <w:p>
            <w:pPr>
              <w:spacing w:after="0"/>
              <w:rPr>
                <w:sz w:val="5"/>
                <w:szCs w:val="5"/>
                <w:color w:val="auto"/>
              </w:rPr>
            </w:pPr>
          </w:p>
        </w:tc>
        <w:tc>
          <w:tcPr>
            <w:tcW w:w="11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720" w:type="dxa"/>
            <w:vAlign w:val="bottom"/>
          </w:tcPr>
          <w:p>
            <w:pPr>
              <w:spacing w:after="0"/>
              <w:rPr>
                <w:sz w:val="5"/>
                <w:szCs w:val="5"/>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3,910</w:t>
            </w:r>
          </w:p>
        </w:tc>
        <w:tc>
          <w:tcPr>
            <w:tcW w:w="120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10,181</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Real Estate operating expense:</w:t>
            </w: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sales (including sales commission)</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3,967</w:t>
            </w:r>
          </w:p>
        </w:tc>
        <w:tc>
          <w:tcPr>
            <w:tcW w:w="1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8,877</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43"/>
        </w:trPr>
        <w:tc>
          <w:tcPr>
            <w:tcW w:w="564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1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(1,666)</w:t>
            </w:r>
          </w:p>
        </w:tc>
        <w:tc>
          <w:tcPr>
            <w:tcW w:w="12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8,267</w:t>
            </w:r>
          </w:p>
        </w:tc>
        <w:tc>
          <w:tcPr>
            <w:tcW w:w="2040" w:type="dxa"/>
            <w:vAlign w:val="bottom"/>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7"/>
        </w:trPr>
        <w:tc>
          <w:tcPr>
            <w:tcW w:w="5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operating expense</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2,301</w:t>
            </w:r>
          </w:p>
        </w:tc>
        <w:tc>
          <w:tcPr>
            <w:tcW w:w="1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17,144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Gain on sale of real property</w:t>
            </w:r>
          </w:p>
        </w:tc>
        <w:tc>
          <w:tcPr>
            <w:tcW w:w="114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515</w:t>
            </w:r>
          </w:p>
        </w:tc>
        <w:tc>
          <w:tcPr>
            <w:tcW w:w="12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6,466</w:t>
            </w:r>
          </w:p>
        </w:tc>
        <w:tc>
          <w:tcPr>
            <w:tcW w:w="2040" w:type="dxa"/>
            <w:vAlign w:val="bottom"/>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7"/>
        </w:trPr>
        <w:tc>
          <w:tcPr>
            <w:tcW w:w="5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Reported EBITDA</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2,124</w:t>
            </w:r>
          </w:p>
        </w:tc>
        <w:tc>
          <w:tcPr>
            <w:tcW w:w="120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527.4 %</w:t>
            </w:r>
          </w:p>
        </w:tc>
        <w:tc>
          <w:tcPr>
            <w:tcW w:w="0" w:type="dxa"/>
            <w:vAlign w:val="bottom"/>
          </w:tcPr>
          <w:p>
            <w:pPr>
              <w:spacing w:after="0"/>
              <w:rPr>
                <w:sz w:val="1"/>
                <w:szCs w:val="1"/>
                <w:color w:val="auto"/>
              </w:rPr>
            </w:pPr>
          </w:p>
        </w:tc>
      </w:tr>
      <w:tr>
        <w:trPr>
          <w:trHeight w:val="20"/>
        </w:trPr>
        <w:tc>
          <w:tcPr>
            <w:tcW w:w="56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2018</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April 30, 2018, we closed on the sales of development land parcels for $3.5 million which were recorded within Real Estate net revenue.</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net operating expense included the recognition of a $5.5 million benefit (non-cash in the current period) related to a legal settlement in fiscal 2015 for which cash proceeds were received and established as a liability for estimated future remediation costs of a construction development. All known items have been remediated and, based on continued monitoring, the Company has concluded that the need for further remediation is remote. Additionally, other, net operating expense included general and administrative costs, such as labor and labor-related benefits and allocated corporate costs. Real Estate Reported EBITDA also included a gain on sale of real property of $0.5 million for the sale of a land parcel.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2017</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Real Estate segment net revenue for the nine months ended April 30, 2017 was primarily driven by the closing of three condominium units at The Ritz-Carlton Residences, Vail ($7.5 million of revenue with an average selling price of $2.5 million and an average price per square foot of $1,366) and two condominium units at One Ski Hill Place in Breckenridge ($2.3 million of revenue with an average sales price of $1.1 million and an average price per square foot of $983). The average price per square foot of both of these projects is driven by their premier locations and the comprehensive and exclusive amenities related to these projects. Additionally, we recorded a gain on sale of real property of $6.5 million for a land parcel in Breckenridge which sold for cash proceeds of $9.3 million during the three months ended October 31, 2016.</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Operating expense for the nine months ended April 30, 2017 included cost of sales of $8.2 million resulting from the closing of three condominium units at The Ritz-Carlton Residences, Vail (average cost per square foot of $1,143) and two condominium units at One Ski Hill Place (average cost per square foot of $838). Additionally, sales commissions of approximately $0.6 million were incurred commensurate with revenue recognized. Other, net operating expense of $8.3 million for the nine months ended April 30, 2017 was primarily comprised of general and administrative costs, which includes marketing expense for the real estate available for sale (including those units that have not yet closed), carrying costs for units available for sale and overhead costs, such as labor and labor-related benefits and allocated corporate costs. In addition, included in other, net operating expense is a $4.3 million one-time non-cash charge related to the resolution of a financial contingency to the Town of Vail for incremental parking capacity. This obligation was settled through a cash payment to the Town of Vail during the third quarter of fiscal 2018.</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0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segment operating results, the following material items contribute to our overall financial position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3"/>
          </w:tcPr>
          <w:p>
            <w:pPr>
              <w:jc w:val="right"/>
              <w:ind w:right="6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3"/>
          </w:tcPr>
          <w:p>
            <w:pPr>
              <w:jc w:val="right"/>
              <w:ind w:right="59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April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Increase</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April 30,</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72"/>
        </w:trPr>
        <w:tc>
          <w:tcPr>
            <w:tcW w:w="29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6"/>
                <w:szCs w:val="6"/>
                <w:color w:val="auto"/>
              </w:rPr>
            </w:pPr>
          </w:p>
        </w:tc>
        <w:tc>
          <w:tcPr>
            <w:tcW w:w="100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6"/>
                <w:szCs w:val="6"/>
                <w:color w:val="auto"/>
              </w:rPr>
            </w:pPr>
          </w:p>
        </w:tc>
        <w:tc>
          <w:tcPr>
            <w:tcW w:w="96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(54,104)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(50,029)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(154,132)</w:t>
            </w:r>
          </w:p>
        </w:tc>
        <w:tc>
          <w:tcPr>
            <w:tcW w:w="6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8"/>
              </w:rPr>
              <w:t>(140,236)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Investment income and other,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96"/>
              <w:spacing w:after="0"/>
              <w:rPr>
                <w:sz w:val="20"/>
                <w:szCs w:val="20"/>
                <w:color w:val="auto"/>
              </w:rPr>
            </w:pPr>
            <w:r>
              <w:rPr>
                <w:rFonts w:ascii="Arial" w:cs="Arial" w:eastAsia="Arial" w:hAnsi="Arial"/>
                <w:sz w:val="18"/>
                <w:szCs w:val="18"/>
                <w:color w:val="auto"/>
              </w:rPr>
              <w:t>736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210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250.5 %</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1,516</w:t>
            </w:r>
          </w:p>
        </w:tc>
        <w:tc>
          <w:tcPr>
            <w:tcW w:w="6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3"/>
              <w:spacing w:after="0"/>
              <w:rPr>
                <w:sz w:val="20"/>
                <w:szCs w:val="20"/>
                <w:color w:val="auto"/>
              </w:rPr>
            </w:pPr>
            <w:r>
              <w:rPr>
                <w:rFonts w:ascii="Arial" w:cs="Arial" w:eastAsia="Arial" w:hAnsi="Arial"/>
                <w:sz w:val="18"/>
                <w:szCs w:val="18"/>
                <w:color w:val="auto"/>
              </w:rPr>
              <w:t>5,881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Foreign currency loss on intercompany</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(9,502)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(9,065)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6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(3,899)</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67.0 %</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6"/>
              <w:spacing w:after="0"/>
              <w:rPr>
                <w:sz w:val="20"/>
                <w:szCs w:val="20"/>
                <w:color w:val="auto"/>
              </w:rPr>
            </w:pPr>
            <w:r>
              <w:rPr>
                <w:rFonts w:ascii="Arial" w:cs="Arial" w:eastAsia="Arial" w:hAnsi="Arial"/>
                <w:sz w:val="18"/>
                <w:szCs w:val="18"/>
                <w:color w:val="auto"/>
              </w:rPr>
              <w:t>(15,648)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(14,248)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(46,795)</w:t>
            </w:r>
          </w:p>
        </w:tc>
        <w:tc>
          <w:tcPr>
            <w:tcW w:w="6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(40,426)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(Provision) benefit from income taxes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(71,896)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(100,635)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17,914</w:t>
            </w:r>
          </w:p>
        </w:tc>
        <w:tc>
          <w:tcPr>
            <w:tcW w:w="6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8"/>
              </w:rPr>
              <w:t>(151,933)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Effective tax rate (provision) benefit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420" w:type="dxa"/>
            <w:vAlign w:val="bottom"/>
            <w:gridSpan w:val="2"/>
          </w:tcPr>
          <w:p>
            <w:pPr>
              <w:ind w:left="380"/>
              <w:spacing w:after="0"/>
              <w:rPr>
                <w:sz w:val="20"/>
                <w:szCs w:val="20"/>
                <w:color w:val="auto"/>
              </w:rPr>
            </w:pPr>
            <w:r>
              <w:rPr>
                <w:rFonts w:ascii="Arial" w:cs="Arial" w:eastAsia="Arial" w:hAnsi="Arial"/>
                <w:sz w:val="18"/>
                <w:szCs w:val="18"/>
                <w:color w:val="auto"/>
              </w:rPr>
              <w:t>(12.9 pts)</w:t>
            </w:r>
          </w:p>
        </w:tc>
        <w:tc>
          <w:tcPr>
            <w:tcW w:w="300" w:type="dxa"/>
            <w:vAlign w:val="bottom"/>
          </w:tcPr>
          <w:p>
            <w:pPr>
              <w:spacing w:after="0"/>
              <w:rPr>
                <w:sz w:val="21"/>
                <w:szCs w:val="21"/>
                <w:color w:val="auto"/>
              </w:rPr>
            </w:pPr>
          </w:p>
        </w:tc>
        <w:tc>
          <w:tcPr>
            <w:tcW w:w="1480" w:type="dxa"/>
            <w:vAlign w:val="bottom"/>
            <w:gridSpan w:val="2"/>
          </w:tcPr>
          <w:p>
            <w:pPr>
              <w:jc w:val="right"/>
              <w:ind w:right="433"/>
              <w:spacing w:after="0"/>
              <w:rPr>
                <w:sz w:val="20"/>
                <w:szCs w:val="20"/>
                <w:color w:val="auto"/>
              </w:rPr>
            </w:pPr>
            <w:r>
              <w:rPr>
                <w:rFonts w:ascii="Arial" w:cs="Arial" w:eastAsia="Arial" w:hAnsi="Arial"/>
                <w:sz w:val="18"/>
                <w:szCs w:val="18"/>
                <w:color w:val="auto"/>
              </w:rPr>
              <w:t>3.8%</w:t>
            </w:r>
          </w:p>
        </w:tc>
        <w:tc>
          <w:tcPr>
            <w:tcW w:w="96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1300" w:type="dxa"/>
            <w:vAlign w:val="bottom"/>
          </w:tcPr>
          <w:p>
            <w:pPr>
              <w:jc w:val="right"/>
              <w:ind w:right="162"/>
              <w:spacing w:after="0"/>
              <w:rPr>
                <w:sz w:val="20"/>
                <w:szCs w:val="20"/>
                <w:color w:val="auto"/>
              </w:rPr>
            </w:pPr>
            <w:r>
              <w:rPr>
                <w:rFonts w:ascii="Arial" w:cs="Arial" w:eastAsia="Arial" w:hAnsi="Arial"/>
                <w:sz w:val="18"/>
                <w:szCs w:val="18"/>
                <w:color w:val="auto"/>
              </w:rPr>
              <w:t>(37.9 pts)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for the three and nine months ended April 30, 2018 increased $4.1 million and $13.9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compared to the same period in the prior year, primarily due to ongoing depreciation and amortization related to assets acquired in the Whistler Blackcomb and Stowe acquisitions.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Investment income and other, net. </w:t>
      </w:r>
      <w:r>
        <w:rPr>
          <w:rFonts w:ascii="Arial" w:cs="Arial" w:eastAsia="Arial" w:hAnsi="Arial"/>
          <w:sz w:val="18"/>
          <w:szCs w:val="18"/>
          <w:color w:val="auto"/>
        </w:rPr>
        <w:t>Investment income and other, net for nine months ended April 30, 2017 included a $3.4 million gain recognized on short-term foreign currency forward contracts that were entered into in conjunction with funding the cash consideration required for the Whistler Blackcomb acquisition, a $0.9 million gain recorded for the sale of a lodging property and a $0.8 million non-cash gain recognized on an investment in Whistler Blackcomb shares that we held prior to the acquisition. As a result, investment income and other, net for the nine months ended April 30, 2018 decreased $4.4 million compared to the same period in the prior year.</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Foreign currency loss on intercompany loans. </w:t>
      </w:r>
      <w:r>
        <w:rPr>
          <w:rFonts w:ascii="Arial" w:cs="Arial" w:eastAsia="Arial" w:hAnsi="Arial"/>
          <w:sz w:val="18"/>
          <w:szCs w:val="18"/>
          <w:color w:val="auto"/>
        </w:rPr>
        <w:t>Foreign currency loss on intercompany loans for the three and nine months ended April 30, 2018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$0.4 million and $2.6 million, respectively, and was associated with an intercompany loan from Vail Holdings, Inc. to Whistler Blackcomb in the amount of $210.0 million that was funded, effective as of November 1, 2016, in connection with the acquisition of Whistler Blackcomb. This intercompany loan requires foreign currency remeasurement to Canadian dollars, the functional currency for Whistler Blackcomb. As a result, foreign currency fluctuations associated with the loan are recorded within our results of operations.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Interest expense, net for the three and nine months ended April 30, 2018 increased $1.4 million and $6.4 million, respectively,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same period in the prior year, primarily due to interest expense associated with term loan borrowings under the Vail Holdings Credit Agreement of $509.4 million, which was used to fund the cash consideration portion of the Whistler Blackcomb acquisition, as well as the Whistler Credit Agreement, which was assumed as part of the Whistler Blackcomb acquisition and had $31.2 million (C$40.0 million) outstanding as of April 30, 2018.</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(Provision) benefit from income taxes. </w:t>
      </w:r>
      <w:r>
        <w:rPr>
          <w:rFonts w:ascii="Arial" w:cs="Arial" w:eastAsia="Arial" w:hAnsi="Arial"/>
          <w:sz w:val="18"/>
          <w:szCs w:val="18"/>
          <w:color w:val="auto"/>
        </w:rPr>
        <w:t>The effective tax rate (provision) benefit for the three and nine months ended April 30, 2018 was (20.9%) and 3.8%,</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compared to (33.8%) and (34.1%), respectively, for the three and nine months ended April 30, 2017. The interim period effective tax rate is primarily driven by anticipated pre-tax book income for the full fiscal year adjusted for items that are deductible/non-deductible for tax purposes only (i.e., permanent items), excess tax benefits from employee share awards and enacted tax legislation, which are both recorded as discrete items, taxable income generated by state and foreign jurisdictions that varies from anticipated consolidated pre-tax book income (loss) and the amount of net income attributable to noncontrolling interests. The decrease in the effective tax rate for the three and nine months ended April 30, 2018 compared to the three and nine months ended April 30, 2017 was primarily driven by the Tax Act and excess tax benefits from employee share awards that were exercised as further discussed below.</w:t>
      </w:r>
    </w:p>
    <w:p>
      <w:pPr>
        <w:spacing w:after="0" w:line="192" w:lineRule="exact"/>
        <w:rPr>
          <w:sz w:val="20"/>
          <w:szCs w:val="20"/>
          <w:color w:val="auto"/>
        </w:rPr>
      </w:pPr>
    </w:p>
    <w:p>
      <w:pPr>
        <w:jc w:val="both"/>
        <w:ind w:left="60"/>
        <w:spacing w:after="0" w:line="271"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Act. The Tax Act transitions the U.S. tax system to a new territorial system and lowers the statutory federal corporate income tax rate from 35% to 21%. The reduction of the statutory federal corporate tax rate to 21% became effective on January 1, 2018. As a result of the Tax Act, we recorded a one-time, provisional net tax benefit of approximately $64.6 million on our Consolidated Condensed Statements of Operations for the nine months ended April 30, 2018. Due to the reduction in the federal corporate tax rate, we remeasured our U.S. net deferred tax liabilities as of the effective date of the Tax Act using the reduced statutory federal corporate income tax rate. The U.S. net deferred tax liabilities remeasurement resulted in a one-time tax benefit estimated to be approximately $71.0 million which was recognized as a discrete item and was recorded within (provision) benefit from income taxes on our Consolidated Condensed Statement of Operations during the nine months ended April 30, 2018. Also, in transitioning to the new</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5" w:name="page36"/>
    <w:bookmarkEnd w:id="35"/>
    <w:p>
      <w:pPr>
        <w:jc w:val="both"/>
        <w:ind w:left="60"/>
        <w:spacing w:after="0" w:line="276" w:lineRule="auto"/>
        <w:rPr>
          <w:sz w:val="20"/>
          <w:szCs w:val="20"/>
          <w:color w:val="auto"/>
        </w:rPr>
      </w:pPr>
      <w:r>
        <w:rPr>
          <w:rFonts w:ascii="Arial" w:cs="Arial" w:eastAsia="Arial" w:hAnsi="Arial"/>
          <w:sz w:val="17"/>
          <w:szCs w:val="17"/>
          <w:color w:val="auto"/>
        </w:rPr>
        <w:t>territorial tax system, the Tax Act requires us to include certain foreign earnings of non-U.S. subsidiaries in our fiscal 2018 taxable income. Such foreign earnings are subject to a one-time tax. The Transition Tax was estimated to be approximately $6.4 million and was recorded during the nine months ended April 30, 2018. The above-mentioned accounting impacts of the deferred tax remeasurement and Transition Tax are provisional, based on currently available information and technical guidance on the interpretation of the new law. The provisional accounting impacts may change in future reporting periods until the accounting analysis is finalized, which will occur not later than the second quarter of fiscal 2019, as permitted by the SEC.</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the decrease in the effective tax rate during the three and nine months ended April 30, 2018 compared to the three and nine months ended April 30, 2017 was also due to excess tax benefits from employee share awards that were exercised (stock appreciation awards) and that vested (restricted stock awards), which were recorded within (provision) benefit from income taxes during the three and nine months ended April 30, 2018 as a result of new accounting guidance that was adopted prospectively as of August 1, 2017. The new guidance requires excess tax benefits to be recorded in the period realized as a discrete item within earnings rather than within equity. As a result of adopting this guidance, we recorded $1.4 million and $54.5 million, respectively, of excess tax benefits within (provision) benefit from income taxes on our Consolidated Condensed Statements of Operations for the three and nine months ended April 30,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Segment Earnings and Net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from segment Reported EBITDA to net income attributable to Vail Resorts, Inc.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 April 30,</w:t>
            </w:r>
          </w:p>
        </w:tc>
        <w:tc>
          <w:tcPr>
            <w:tcW w:w="360" w:type="dxa"/>
            <w:vAlign w:val="bottom"/>
          </w:tcPr>
          <w:p>
            <w:pPr>
              <w:spacing w:after="0"/>
              <w:rPr>
                <w:sz w:val="16"/>
                <w:szCs w:val="16"/>
                <w:color w:val="auto"/>
              </w:rPr>
            </w:pPr>
          </w:p>
        </w:tc>
        <w:tc>
          <w:tcPr>
            <w:tcW w:w="2700" w:type="dxa"/>
            <w:vAlign w:val="bottom"/>
            <w:gridSpan w:val="3"/>
          </w:tcPr>
          <w:p>
            <w:pPr>
              <w:jc w:val="right"/>
              <w:ind w:right="511"/>
              <w:spacing w:after="0"/>
              <w:rPr>
                <w:sz w:val="20"/>
                <w:szCs w:val="20"/>
                <w:color w:val="auto"/>
              </w:rPr>
            </w:pPr>
            <w:r>
              <w:rPr>
                <w:rFonts w:ascii="Arial" w:cs="Arial" w:eastAsia="Arial" w:hAnsi="Arial"/>
                <w:sz w:val="14"/>
                <w:szCs w:val="14"/>
                <w:b w:val="1"/>
                <w:bCs w:val="1"/>
                <w:color w:val="auto"/>
              </w:rPr>
              <w:t>Nine Months Ended April 30,</w:t>
            </w:r>
          </w:p>
        </w:tc>
      </w:tr>
      <w:tr>
        <w:trPr>
          <w:trHeight w:val="264"/>
        </w:trPr>
        <w:tc>
          <w:tcPr>
            <w:tcW w:w="516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409,253</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381,291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656,078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623,654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10,475</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10,704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18,498</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20,227</w:t>
            </w:r>
          </w:p>
        </w:tc>
      </w:tr>
      <w:tr>
        <w:trPr>
          <w:trHeight w:val="27"/>
        </w:trPr>
        <w:tc>
          <w:tcPr>
            <w:tcW w:w="5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Reported EBITDA</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419,728</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391,995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674,576</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643,881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Real Estate Reported EBITDA</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3,737</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2,124</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7"/>
        </w:trPr>
        <w:tc>
          <w:tcPr>
            <w:tcW w:w="5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Reported EBITDA</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423,465</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387,047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676,700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643,384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(54,104)</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(154,132)</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(140,236)</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fixed assets and other, net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(3,230)</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Change in estimated fair value of contingent consideration</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2,454</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2,454</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(15,100)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 and other, net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736</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1,516</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loss on intercompany loans</w:t>
            </w:r>
          </w:p>
        </w:tc>
        <w:tc>
          <w:tcPr>
            <w:tcW w:w="3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(9,502)</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(6,511)</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(3,899)</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(15,648)</w:t>
            </w: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(46,795)</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(40,426)</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before (provision) benefit from income taxes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344,171</w:t>
            </w:r>
          </w:p>
        </w:tc>
        <w:tc>
          <w:tcPr>
            <w:tcW w:w="4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297,491</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471,107</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444,899</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benefit from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(71,896)</w:t>
            </w: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17,914</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(151,933)</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272,275</w:t>
            </w:r>
          </w:p>
        </w:tc>
        <w:tc>
          <w:tcPr>
            <w:tcW w:w="4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196,856</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489,021</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292,966</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(16,023)</w:t>
            </w: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(25,463)</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(25,267)</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256,252</w:t>
            </w:r>
          </w:p>
        </w:tc>
        <w:tc>
          <w:tcPr>
            <w:tcW w:w="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181,107</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463,558</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267,699</w:t>
            </w:r>
          </w:p>
        </w:tc>
      </w:tr>
      <w:tr>
        <w:trPr>
          <w:trHeight w:val="27"/>
        </w:trPr>
        <w:tc>
          <w:tcPr>
            <w:tcW w:w="5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Debt to long-term debt, net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April 30,</w:t>
            </w:r>
          </w:p>
        </w:tc>
        <w:tc>
          <w:tcPr>
            <w:tcW w:w="1320" w:type="dxa"/>
            <w:vAlign w:val="bottom"/>
            <w:tcBorders>
              <w:bottom w:val="single" w:sz="8" w:color="auto"/>
            </w:tcBorders>
          </w:tcPr>
          <w:p>
            <w:pPr>
              <w:spacing w:after="0"/>
              <w:rPr>
                <w:sz w:val="16"/>
                <w:szCs w:val="16"/>
                <w:color w:val="auto"/>
              </w:rPr>
            </w:pPr>
          </w:p>
        </w:tc>
      </w:tr>
      <w:tr>
        <w:trPr>
          <w:trHeight w:val="264"/>
        </w:trPr>
        <w:tc>
          <w:tcPr>
            <w:tcW w:w="4120" w:type="dxa"/>
            <w:vAlign w:val="bottom"/>
            <w:tcBorders>
              <w:bottom w:val="single" w:sz="8" w:color="auto"/>
            </w:tcBorders>
          </w:tcPr>
          <w:p>
            <w:pPr>
              <w:spacing w:after="0"/>
              <w:rPr>
                <w:sz w:val="22"/>
                <w:szCs w:val="22"/>
                <w:color w:val="auto"/>
              </w:rPr>
            </w:pPr>
          </w:p>
        </w:tc>
        <w:tc>
          <w:tcPr>
            <w:tcW w:w="35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39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1,078,005</w:t>
            </w:r>
          </w:p>
        </w:tc>
        <w:tc>
          <w:tcPr>
            <w:tcW w:w="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1,168,210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debt due within one year</w:t>
            </w:r>
          </w:p>
        </w:tc>
        <w:tc>
          <w:tcPr>
            <w:tcW w:w="3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38,444</w:t>
            </w:r>
          </w:p>
        </w:tc>
        <w:tc>
          <w:tcPr>
            <w:tcW w:w="6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38,386</w:t>
            </w:r>
          </w:p>
        </w:tc>
      </w:tr>
      <w:tr>
        <w:trPr>
          <w:trHeight w:val="27"/>
        </w:trPr>
        <w:tc>
          <w:tcPr>
            <w:tcW w:w="41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35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1,116,449</w:t>
            </w: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1,206,596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Less: cash and cash equivalents</w:t>
            </w:r>
          </w:p>
        </w:tc>
        <w:tc>
          <w:tcPr>
            <w:tcW w:w="3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181,597</w:t>
            </w:r>
          </w:p>
        </w:tc>
        <w:tc>
          <w:tcPr>
            <w:tcW w:w="6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195,818</w:t>
            </w:r>
          </w:p>
        </w:tc>
      </w:tr>
      <w:tr>
        <w:trPr>
          <w:trHeight w:val="27"/>
        </w:trPr>
        <w:tc>
          <w:tcPr>
            <w:tcW w:w="41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Debt</w:t>
            </w:r>
          </w:p>
        </w:tc>
        <w:tc>
          <w:tcPr>
            <w:tcW w:w="39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934,852</w:t>
            </w:r>
          </w:p>
        </w:tc>
        <w:tc>
          <w:tcPr>
            <w:tcW w:w="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1,010,778</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3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3540" w:type="dxa"/>
            <w:vAlign w:val="bottom"/>
          </w:tcPr>
          <w:p>
            <w:pPr>
              <w:jc w:val="right"/>
              <w:ind w:right="1770"/>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Changes in significant sources of cash for the nine months ended April 30, 2018 and 2017 are presented by categories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Nine Months Ended April 30,</w:t>
            </w:r>
          </w:p>
        </w:tc>
      </w:tr>
      <w:tr>
        <w:trPr>
          <w:trHeight w:val="250"/>
        </w:trPr>
        <w:tc>
          <w:tcPr>
            <w:tcW w:w="84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583,312</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494,197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(100,582)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(609,949)</w:t>
            </w:r>
          </w:p>
        </w:tc>
      </w:tr>
      <w:tr>
        <w:trPr>
          <w:trHeight w:val="27"/>
        </w:trPr>
        <w:tc>
          <w:tcPr>
            <w:tcW w:w="8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(413,943)</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244,753</w:t>
            </w:r>
          </w:p>
        </w:tc>
      </w:tr>
      <w:tr>
        <w:trPr>
          <w:trHeight w:val="27"/>
        </w:trPr>
        <w:tc>
          <w:tcPr>
            <w:tcW w:w="8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second and third fiscal quarters historically result in seasonally high cash on hand as our North American mountain resorts and Urban ski areas are generally open for ski operations from mid-November to mid-April, from which we have historically generated a significant portion of our operating cash flows for the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2018 compared to the nine months ended April 30, 2017</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generated $583.3 million of cash from operating activities during the nine months ended April 30, 2018, an increase of $89.1 million compared to $494.2 million of cash generated during the nine months ended April 30, 2017. The increase in operating cash flows was primarily attributable to improved Mountain segment operating results during the nine months ended April 30, 2018 compared to the prior year. Additionally, the increase in operating cash flows was a result of an increase in accounts payable and a decrease in estimated tax payments primarily as a result of an increase in excess tax benefits from employee share awards that vested (restricted stock awards) or were exercised (stock appreciation awards), as applicable, during the nine months ended April 30, 2018. These increases were partially offset by an increase in cash interest payments during the nine months ended April 30, 2018, compared to the nine months ended April 30, 2017, from incremental term loan borrowings under our Vail Holdings Credit Agreement and borrowings under the Whistler Credit Agreement. Additionally, we generated $3.3 million of proceeds from real estate development land parcel sales during the nine months ended April 30, 2018 compared to $8.9 million in proceeds (net of sales commissions and deposits previously received) from real estate development project closings that occurred in the nine months ended April 30, 2017.</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for the nine months ended April 30, 2018 decreased by $509.4 million, primarily due to cash payments related to the acquisition of Whistler Blackcomb during the nine months ended April 30, 2017 of $512.3 million, net of cash acquired, and a decrease in capital expenditures of $5.5 million during the nine months ended April 30, 2018 compared to the nine months ended April 30, 2017, partially offset by a reduction in cash received from the sale of real property.</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used in financing activities increased $658.7 million during the nine months ended April 30, 2018, compared to the nine months ended April 30, 2017, primarily due to the reduction of net proceeds from borrowings under our Vail Holdings Credit Agreement during the nine months ended April 30, 2017, which was used to fund a portion of the cash consideration for the Whistler Blackcomb acquisition. Additionally, dividends paid increased $40.6 million during the nine months ended April 30, 2018, compared to April 30, 2017, and cash payments for employee taxes related to exercises of share awards increased $57.8 million. Due to the adoption of revised accounting guidance as discussed below, there was an elimination of excess tax benefits related to employee share awards of $9.5 million recorded within financing activities, with a corresponding increase in operating activities, which resulted in a decrease of $9.5 million in financing activities and an increase of $9.5 million in operating activities during the nine months ended April 30, 2018, compared to April 30, 2017.</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Effect of Adoption of Revised Accounting Guidance and U.S. Tax Reform</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adoption of revised accounting guidance related to employee stock based compensation, we prospectively presented, beginning August 1, 2017, excess tax benefits from the vesting or exercise of employee awards, as applicable, as operating activities on our Consolidated Condensed Statement of Cash Flows for the nine months ended April 30, 2018. Additionally, as of August 1, 2017, we retrospectively presented cash paid to taxing authorities on an employee’s behalf as financing activities on our Consolidated Condensed Statements of Cash Flows, which resulted in a $15.9 million decrease to cash provided by financing activities with a corresponding increase to cash provided by operating activities for the nine months ended April 30, 2017, as shown below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5"/>
          </w:tcPr>
          <w:p>
            <w:pPr>
              <w:jc w:val="center"/>
              <w:ind w:right="255"/>
              <w:spacing w:after="0"/>
              <w:rPr>
                <w:sz w:val="20"/>
                <w:szCs w:val="20"/>
                <w:color w:val="auto"/>
              </w:rPr>
            </w:pPr>
            <w:r>
              <w:rPr>
                <w:rFonts w:ascii="Arial" w:cs="Arial" w:eastAsia="Arial" w:hAnsi="Arial"/>
                <w:sz w:val="14"/>
                <w:szCs w:val="14"/>
                <w:b w:val="1"/>
                <w:bCs w:val="1"/>
                <w:color w:val="auto"/>
                <w:w w:val="95"/>
              </w:rPr>
              <w:t>Nine Months Ended April 30, 2017</w:t>
            </w:r>
          </w:p>
        </w:tc>
      </w:tr>
      <w:tr>
        <w:trPr>
          <w:trHeight w:val="152"/>
        </w:trPr>
        <w:tc>
          <w:tcPr>
            <w:tcW w:w="7080" w:type="dxa"/>
            <w:vAlign w:val="bottom"/>
          </w:tcPr>
          <w:p>
            <w:pPr>
              <w:spacing w:after="0"/>
              <w:rPr>
                <w:sz w:val="13"/>
                <w:szCs w:val="13"/>
                <w:color w:val="auto"/>
              </w:rPr>
            </w:pPr>
          </w:p>
        </w:tc>
        <w:tc>
          <w:tcPr>
            <w:tcW w:w="1440" w:type="dxa"/>
            <w:vAlign w:val="bottom"/>
            <w:gridSpan w:val="2"/>
          </w:tcPr>
          <w:p>
            <w:pPr>
              <w:jc w:val="right"/>
              <w:ind w:right="33"/>
              <w:spacing w:after="0" w:line="153" w:lineRule="exact"/>
              <w:rPr>
                <w:sz w:val="20"/>
                <w:szCs w:val="20"/>
                <w:color w:val="auto"/>
              </w:rPr>
            </w:pPr>
            <w:r>
              <w:rPr>
                <w:rFonts w:ascii="Arial" w:cs="Arial" w:eastAsia="Arial" w:hAnsi="Arial"/>
                <w:sz w:val="14"/>
                <w:szCs w:val="14"/>
                <w:b w:val="1"/>
                <w:bCs w:val="1"/>
                <w:color w:val="auto"/>
                <w:w w:val="95"/>
              </w:rPr>
              <w:t>Previously Reported</w:t>
            </w:r>
          </w:p>
        </w:tc>
        <w:tc>
          <w:tcPr>
            <w:tcW w:w="240" w:type="dxa"/>
            <w:vAlign w:val="bottom"/>
          </w:tcPr>
          <w:p>
            <w:pPr>
              <w:spacing w:after="0"/>
              <w:rPr>
                <w:sz w:val="13"/>
                <w:szCs w:val="13"/>
                <w:color w:val="auto"/>
              </w:rPr>
            </w:pPr>
          </w:p>
        </w:tc>
        <w:tc>
          <w:tcPr>
            <w:tcW w:w="124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1"/>
              </w:rPr>
              <w:t>Tax Payments</w:t>
            </w:r>
          </w:p>
        </w:tc>
        <w:tc>
          <w:tcPr>
            <w:tcW w:w="180" w:type="dxa"/>
            <w:vAlign w:val="bottom"/>
          </w:tcPr>
          <w:p>
            <w:pPr>
              <w:spacing w:after="0"/>
              <w:rPr>
                <w:sz w:val="13"/>
                <w:szCs w:val="13"/>
                <w:color w:val="auto"/>
              </w:rPr>
            </w:pPr>
          </w:p>
        </w:tc>
        <w:tc>
          <w:tcPr>
            <w:tcW w:w="1240" w:type="dxa"/>
            <w:vAlign w:val="bottom"/>
          </w:tcPr>
          <w:p>
            <w:pPr>
              <w:jc w:val="right"/>
              <w:ind w:right="55"/>
              <w:spacing w:after="0" w:line="153" w:lineRule="exact"/>
              <w:rPr>
                <w:sz w:val="20"/>
                <w:szCs w:val="20"/>
                <w:color w:val="auto"/>
              </w:rPr>
            </w:pPr>
            <w:r>
              <w:rPr>
                <w:rFonts w:ascii="Arial" w:cs="Arial" w:eastAsia="Arial" w:hAnsi="Arial"/>
                <w:sz w:val="14"/>
                <w:szCs w:val="14"/>
                <w:b w:val="1"/>
                <w:bCs w:val="1"/>
                <w:color w:val="auto"/>
                <w:w w:val="90"/>
              </w:rPr>
              <w:t>Revised Reported</w:t>
            </w:r>
          </w:p>
        </w:tc>
      </w:tr>
      <w:tr>
        <w:trPr>
          <w:trHeight w:val="192"/>
        </w:trPr>
        <w:tc>
          <w:tcPr>
            <w:tcW w:w="70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b w:val="1"/>
                <w:bCs w:val="1"/>
                <w:color w:val="auto"/>
                <w:w w:val="95"/>
              </w:rPr>
              <w:t>(Previous Guidance)</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8"/>
              </w:rPr>
              <w:t>(New Guidance)</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operating activities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478,313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15,884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494,197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flows used in investing activities (no change)</w:t>
            </w:r>
          </w:p>
        </w:tc>
        <w:tc>
          <w:tcPr>
            <w:tcW w:w="3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(609,949)</w:t>
            </w:r>
          </w:p>
        </w:tc>
        <w:tc>
          <w:tcPr>
            <w:tcW w:w="24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(609,949)</w:t>
            </w:r>
          </w:p>
        </w:tc>
      </w:tr>
      <w:tr>
        <w:trPr>
          <w:trHeight w:val="27"/>
        </w:trPr>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260,637</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(15,884)</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244,753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Effect of exchange rate changes (no change)</w:t>
            </w:r>
          </w:p>
        </w:tc>
        <w:tc>
          <w:tcPr>
            <w:tcW w:w="3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(1,080)</w:t>
            </w:r>
          </w:p>
        </w:tc>
        <w:tc>
          <w:tcPr>
            <w:tcW w:w="24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7"/>
        </w:trPr>
        <w:tc>
          <w:tcPr>
            <w:tcW w:w="7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in cash and cash equivalents (no change)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127,921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127,921</w:t>
            </w:r>
          </w:p>
        </w:tc>
      </w:tr>
      <w:tr>
        <w:trPr>
          <w:trHeight w:val="20"/>
        </w:trPr>
        <w:tc>
          <w:tcPr>
            <w:tcW w:w="7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adoption of this revised accounting guidance did not have an impact on our total cash flows for the nine months ended April 30, 2018 or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Tax Reform</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Beginning with our taxable year ending December 31, 2018, we expect to realize an increase in our operating cash flows as a result of the Tax Act, which will reduce our statutory federal corporate income tax rate from 35% to 21%. We expect that incremental cash flows generated from the reduction of the statutory federal corporate income tax rate and the accelerated deductibility of capital expenditures will be approximately $40.0 million in calendar 2018. We plan to use those incremental cash flows to reinvest in wages for our employees, in capital for our resorts and by increasing our return of capital to shareholders.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Sources of Cash</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had $181.6 million of cash and cash equivalents as of April 30, 2018, compared to $195.8 million as of April 30, 2017. We currently anticipate that our Mountain and Lodging segment operating results will continue to provide a significant source of future operating cash flows (primarily those generated in our second and third fiscal quarters).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April 30, 2018, we had $331.3 million available under the revolver component of our Vail Holdings Credit Agreement (which represents the total commitment of $400.0 million less certain letters of credit outstanding of $68.7 million). Also, to further support the liquidity needs of Whistler Blackcomb, we had C$259.1 million ($201.8 million) available under the revolver component of our Whistler Credit Agreement (which represents the total commitment of C$300.0 million ($233.7 million) less outstanding borrowings of C$40.0 million ($31.2 million) and a letter of credit outstanding of C$0.9 million ($0.7 million)). We expect that our liquidity needs in the near term will be met by continued use of operating cash flows and borrowings under both the Vail Holdings Credit Agreement and Whistler Credit Agreement, if needed. We believe the Vail Holdings Credit Agreement, which matures in October 2021, provides adequate flexibility and is priced favorably with any new borrowings currently priced at LIBOR plus 1.125%.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section identifying our “Significant Uses of Cash” excludes the consideration of purchase price, operating expense or capital expenditures associated with our June 4, 2018 announcement for the pending acquisitions of Okemo Mountain Resort, Crested Butte Mountain Resort, Mount Sunapee Resort and Stevens Pass Resort as the acquisitions are subject to third party approvals.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Expenditures</w:t>
      </w:r>
    </w:p>
    <w:p>
      <w:pPr>
        <w:spacing w:after="0" w:line="9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have historically invested significant amounts of cash in capital expenditures for our resort operations, and we expect to continue to do so subject to operating performance particularly as it relates to discretionary projects. In addition, we may incur capital expenditures for retained ownership interests associated with third-party real estate development projects. Currently planned capital expenditures primarily include investments that will allow us to maintain our high-quality standards, as well as certain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8" w:name="page39"/>
    <w:bookmarkEnd w:id="38"/>
    <w:p>
      <w:pPr>
        <w:jc w:val="both"/>
        <w:spacing w:after="0" w:line="286" w:lineRule="auto"/>
        <w:rPr>
          <w:sz w:val="20"/>
          <w:szCs w:val="20"/>
          <w:color w:val="auto"/>
        </w:rPr>
      </w:pPr>
      <w:r>
        <w:rPr>
          <w:rFonts w:ascii="Arial" w:cs="Arial" w:eastAsia="Arial" w:hAnsi="Arial"/>
          <w:sz w:val="16"/>
          <w:szCs w:val="16"/>
          <w:color w:val="auto"/>
        </w:rPr>
        <w:t>incremental discretionary improvements at our Resorts and throughout our owned hotels. We evaluate additional discretionary capital improvements based on an expected level of return on investment. We currently anticipate we will spend approximately $150.0 million on resort capital expenditures during calendar year 2018, excluding anticipated investments for U.S. summer related activities, one-time integration related capital expenditures and capital investments associated with third party reimbursements. This estimated spending includes normal inflation on our capital investments at our resorts. Included in these estimated capital expenditures are approximately $80.0 million of maintenance capital expenditures, which are necessary to maintain appearance and level of service appropriate to our resort operations. Additionally, we plan to make a discretionary investment of approximately $40.0 million (C$52.0 million) at Whistler Blackcomb, as part of an approximate $50.0 million (C$65.0 million) total capital plan at the resort. Discretionary expenditures for calendar year 2018 include, among other projects, a new gondola at Whistler Blackcomb running from the base to the top of Blackcomb Mountain, replacing the Wizard and Solar four person chairs with a single state-of-the-art gondola, and upgrading several other chair lifts at Whistler Blackcomb; upgrading the fixed grip High Meadow chair at Park City to a four person high speed lift; expanding Cloud Dine restaurant at Park City by adding 200 additional seats and upgrading the Park City Mid-Mountain Lodge; replacing the Galaxy two-person chairlift at Heavenly with a three-person chairlift; and upgrading the Leichhardt T-bar at Perisher to a four-person chairlift. We also expect to invest approximately $3.0 million in calendar year 2018 for summer investments. Additionally, we expect to invest approximately $8.0 million in capital for the integration of Stowe and the completion of Whistler Blackcomb integration. Lastly, we plan to spend approximately $6.0 million during calendar year 2018 on capital projects to repair infrastructure that was damaged due to snowfall, including the Heavenly coaster and the Ten Mile Room in Breckenridge. We expect that repair costs will be covered by insurance proceeds.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Approximately $19.0 million has been spent for capital expenditures in calendar year 2018 as of April 30, 2018, leaving approximately $148.0 million to spend in the remainder of calendar year 2018, including anticipated investments for U.S. summer related activities, one-time integration related capital expenditures and capital investments associated with third party reimbursements.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plan to utilize cash on hand, borrowings available under our credit agreements and/or cash flow generated from future operations to provide the cash necessary to complete our capital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Principal payments on the majority of our long-term debt ($994.9 million of the total $1,120.0 million debt outstanding as of April 30, 2018) are not due until fiscal 2022 and beyond. As of April 30, 2018 and 2017, total long-term debt, net (including long-term debt due within one year) was $1,116.4 million and $1,206.6 million, respectively. Net Debt (defined as long-term debt, net plus long-term debt due within one year less cash and cash equivalents) decreased from $1,010.8 million as of April 30, 2017 to $934.9 million as of April 30, 2018, primarily due to a reduction in the borrowings outstanding under the term loan of our Vail Holdings Credit Agreement and an increase in cash and cash equivalents. In addition, we exercised our right under the Whistler Credit Agreement, with the consent of the lender parties thereto, to extend the maturity date of our Whistler Credit Agreement to November 2022 during the nine months ended April 30, 2018. There were no other changes to the terms of the Whistler Credit Agreement.</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debt service requirements can be impacted by changing interest rates as we had $777.5 million of variable-rate debt outstanding as of April 30, 2018. A 100-basis point change in our borrowing rates would cause our annual interest payments to change by approximately $7.8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which can be mitigated by adjustments to capital expenditures, flexibility of investment activities and the ability to obtain favorable future financing. We can respond to liquidity impacts of changes in the business and economic environment by managing our capital expenditures, the timing of new real estate development activity and the payment of our regular quarterly cash dividend on our common stock.</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auto"/>
        </w:rPr>
        <w:t>Dividend Payments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fiscal 2011, our Board of Directors approved the commencement of a regular quarterly cash dividend on our common stock at an annual rate of $0.60 per share, subject to quarterly declaration. Since the initial commencement of a regular quarterly cash dividend, our Board of Directors has annually approved an increase to our cash dividend on our common stock and on March 7, 2018, our Board of Directors approved a 40% increase to our quarterly cash dividend to $1.47 per share (or approximately $59.4 million per quarter based upon shares outstanding as of April 30, 2018). For the nine months ended April 30, 2018, we paid cash dividends of $3.576 per share ($144.7 million in the aggregate). These dividends were funded through available cash on hand and borrowings under the revolving portion of our Vail Holdings Credit Agreement. Subject to the discretion of our Board of Directors, applicable law and contractual restrictions, we anticipate paying regular quarterly cash dividends on our common stock for the foreseeable future. The amount, if any, of the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share repurchase program is conducted under authorizations made from time to time by our Board of Directors. On March 9, 2006, our Board of Directors initially authorized the repurchase of up to 3,000,000 shares of Vail Resorts common stock (“Vail Shares”) and later authorized additional repurchases of up to 3,000,000 additional Vail Shares (July 16, 2008) and 1,500,000 shares (December 4, 2015), for a total authorization to repurchase up to 7,500,000 Vail Shares. During the nine months ended April 30, 2018, we repurchased 115,422 Vail Shares at a total cost of $25.8 million. During the nine months ended April 30, 2017, we repurchased 1,317 Vail Shares at a total cost of $0.2 million. Since inception of this stock repurchase program through April 30, 2018, we have repurchased 5,551,716 Vail Shares at a cost of approximately $273.0 million. As of April 30, 2018, 1,948,284 Vail Shares remained available to repurchase under the existing repurchase authorization.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 share repurchase program has no expiration date.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Limitations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must abide by certain restrictive financial covenants under our credit agreements. The most restrictive of those covenants include the following covenants: for the Vail Holdings Credit Agreement, Net Funded Debt to Adjusted EBITDA ratio and the Interest Coverage ratio (each as defined in the Vail Holdings Credit Agreement); and for the Whistler Credit Agreement, Consolidated Total Leverage Ratio and Consolidated Interest Coverage Ratio (each as defined in the Whistler Credit Agreement). In addition, our financing arrangements limit our ability to make certain restricted payments, pay dividends on or redeem or repurchase stock, make certain investments,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were in compliance with all restrictive financial covenants in our debt instruments as of April 30, 2018. We expect that we will meet all applicable financial maintenance covenants in our credit agreements throughout the fiscal year ending July 31, 2018.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Except for any historical information contained herein, the matters discussed or incorporated by reference in this Form 10-Q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154" w:lineRule="exact"/>
        <w:rPr>
          <w:sz w:val="20"/>
          <w:szCs w:val="20"/>
          <w:color w:val="auto"/>
        </w:rPr>
      </w:pPr>
    </w:p>
    <w:p>
      <w:pPr>
        <w:ind w:left="820" w:hanging="650"/>
        <w:spacing w:after="0"/>
        <w:tabs>
          <w:tab w:leader="none" w:pos="8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prolonged weakness in general economic conditions, including adverse effects on the overall travel and leisure related industries;</w:t>
      </w:r>
    </w:p>
    <w:p>
      <w:pPr>
        <w:spacing w:after="0" w:line="23" w:lineRule="exact"/>
        <w:rPr>
          <w:rFonts w:ascii="Arial" w:cs="Arial" w:eastAsia="Arial" w:hAnsi="Arial"/>
          <w:sz w:val="18"/>
          <w:szCs w:val="18"/>
          <w:i w:val="1"/>
          <w:iCs w:val="1"/>
          <w:color w:val="auto"/>
        </w:rPr>
      </w:pPr>
    </w:p>
    <w:p>
      <w:pPr>
        <w:ind w:left="820" w:hanging="650"/>
        <w:spacing w:after="0"/>
        <w:tabs>
          <w:tab w:leader="none" w:pos="8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weather conditions or the impact of natural disasters;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willingness of our guests to travel due to terrorism, the uncertainty of military conflicts or outbreaks of contagious diseases, and the cost and availability of travel options and changing consumer preferences;</w:t>
      </w:r>
    </w:p>
    <w:p>
      <w:pPr>
        <w:ind w:left="820" w:hanging="650"/>
        <w:spacing w:after="0"/>
        <w:tabs>
          <w:tab w:leader="none" w:pos="8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the seasonality of our business combined with adverse events that occur during our peak operating periods;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mountain and lodging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high fixed cost structure of our business;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fund resort capital expenditures;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government permits or approvals for our use of public land or to make operational and capital improvements;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risks of delay associated with governmental and third party approvals of the pending Triple Peaks and Stevens Pass Resort transactions;</w:t>
      </w:r>
    </w:p>
    <w:p>
      <w:pPr>
        <w:spacing w:after="0" w:line="20" w:lineRule="exact"/>
        <w:rPr>
          <w:rFonts w:ascii="Arial" w:cs="Arial" w:eastAsia="Arial" w:hAnsi="Arial"/>
          <w:sz w:val="17"/>
          <w:szCs w:val="17"/>
          <w:i w:val="1"/>
          <w:iCs w:val="1"/>
          <w:color w:val="auto"/>
        </w:rPr>
      </w:pPr>
    </w:p>
    <w:p>
      <w:pPr>
        <w:ind w:left="820" w:hanging="650"/>
        <w:spacing w:after="0"/>
        <w:tabs>
          <w:tab w:leader="none" w:pos="8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a disruption in our water supply that would impact our snowmaking capabilities and operations;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federal, state, local and foreign government laws, rules and regulations;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risks related to our reliance on information technology, including our failure to maintain the integrity of our customer or employee data;</w:t>
      </w:r>
    </w:p>
    <w:p>
      <w:pPr>
        <w:spacing w:after="0" w:line="20" w:lineRule="exact"/>
        <w:rPr>
          <w:rFonts w:ascii="Arial" w:cs="Arial" w:eastAsia="Arial" w:hAnsi="Arial"/>
          <w:sz w:val="17"/>
          <w:szCs w:val="17"/>
          <w:i w:val="1"/>
          <w:iCs w:val="1"/>
          <w:color w:val="auto"/>
        </w:rPr>
      </w:pPr>
    </w:p>
    <w:p>
      <w:pPr>
        <w:ind w:left="820" w:hanging="650"/>
        <w:spacing w:after="0"/>
        <w:tabs>
          <w:tab w:leader="none" w:pos="8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hire and retain a sufficient seasonal workforce;</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workforce, including increased labor costs;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loss of key personnel;</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adverse consequences of current or future legal claims;</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 deterioration in the quality or reputation of our brands, including our ability to protect our intellectual property and the risk of accidents at our mountain resorts;</w:t>
      </w:r>
    </w:p>
    <w:p>
      <w:pPr>
        <w:ind w:left="820" w:right="20" w:hanging="650"/>
        <w:spacing w:after="0" w:line="250" w:lineRule="auto"/>
        <w:tabs>
          <w:tab w:leader="none" w:pos="8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acquired businesses, or that acquired businesses may fail to perform in accordance with expectations, including Whistler Blackcomb, Stowe or future acquisitions;</w:t>
      </w:r>
    </w:p>
    <w:p>
      <w:pPr>
        <w:ind w:left="820" w:hanging="650"/>
        <w:spacing w:after="0"/>
        <w:tabs>
          <w:tab w:leader="none" w:pos="8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satisfy the requirements of Section 404 of the Sarbanes-Oxley Act of 2002, with respect to acquired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international operations;</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foreign currency exchange rates where the Company has foreign currency exposure, primarily the Canadian and Australian dollars;</w:t>
      </w:r>
    </w:p>
    <w:p>
      <w:pPr>
        <w:ind w:left="820" w:hanging="650"/>
        <w:spacing w:after="0" w:line="250" w:lineRule="auto"/>
        <w:tabs>
          <w:tab w:leader="none" w:pos="8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accounting judgments and estimates, tax law, accounting principles, policies or guidelines or adverse determinations by taxing authorities; and</w:t>
      </w:r>
    </w:p>
    <w:p>
      <w:pPr>
        <w:ind w:left="820" w:hanging="650"/>
        <w:spacing w:after="0"/>
        <w:tabs>
          <w:tab w:leader="none" w:pos="8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 materially adverse change in our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All forward-looking statements attributable to us or any persons acting on our behalf are expressly qualified in their entirety by these cautionary statements.</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one or more of these risks or uncertainties materialize, or if underlying assumptions prove incorrect, our actual results may vary materially from those expected, estimated or projected. Given these uncertainties, users of the information included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in Part I, Item 1A “Risk Factors” of the Form 10-K and our Form 10-Q for the quarter ended January 31, 2018.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market risk is limited primarily to the fluctuating interest rates associated with variable rate indebtedness. At April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we had $777.5 million of variable rate indebtedness, representing approximately 69.4% of our total debt outstanding, at an average interest rate during the three and nine months ended April 30, 2018 of 2.9% and 2.7%, respectively. Based on variable-rate borrowings outstanding as of April 30, 2018, a 100-basis point (or 1.0%) change in our borrowing rates would result in our annual interest payments changing by approximately $7.8 million. Our market risk exposure fluctuates based on changes in underlying interest rates.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Foreign Currency Exchange Rate Risk. </w:t>
      </w:r>
      <w:r>
        <w:rPr>
          <w:rFonts w:ascii="Arial" w:cs="Arial" w:eastAsia="Arial" w:hAnsi="Arial"/>
          <w:sz w:val="17"/>
          <w:szCs w:val="17"/>
          <w:color w:val="auto"/>
        </w:rPr>
        <w:t>We are exposed to currency translation risk because the results of our international entities are reported in local</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which we then translate to U.S. dollars for inclusion in our consolidated condensed financial statements. As a result, changes between the foreign exchange rates, in particular the Canadian dollar and Australian dollar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have and could materially change due to fluctuations in the Canadian dollar exchange rate. The results of Whistler Blackcomb and Perisher are reported in Canadian dollars and Australian dollars respectively, which we then translate to U.S. dollars for inclusion in our consolidated condensed financial statements. We do not currently enter into hedging arrangements to minimize the impact of foreign currency fluctuations on our operations.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amounts of foreign currency translation adjustments, net of tax, representing losses, and foreign currency loss on intercompany loans recognized, in comprehensive income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4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4"/>
                <w:szCs w:val="14"/>
                <w:b w:val="1"/>
                <w:bCs w:val="1"/>
                <w:color w:val="auto"/>
              </w:rPr>
              <w:t>Nine Months Ended April 30,</w:t>
            </w:r>
          </w:p>
        </w:tc>
        <w:tc>
          <w:tcPr>
            <w:tcW w:w="72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 net of tax</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(44,417)</w:t>
            </w:r>
          </w:p>
        </w:tc>
        <w:tc>
          <w:tcPr>
            <w:tcW w:w="116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(47,452)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Foreign currency loss on intercompany loans</w:t>
            </w:r>
          </w:p>
        </w:tc>
        <w:tc>
          <w:tcPr>
            <w:tcW w:w="1120" w:type="dxa"/>
            <w:vAlign w:val="bottom"/>
          </w:tcPr>
          <w:p>
            <w:pPr>
              <w:jc w:val="right"/>
              <w:ind w:right="919"/>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(6,511)</w:t>
            </w:r>
          </w:p>
        </w:tc>
        <w:tc>
          <w:tcPr>
            <w:tcW w:w="1160" w:type="dxa"/>
            <w:vAlign w:val="bottom"/>
          </w:tcPr>
          <w:p>
            <w:pPr>
              <w:jc w:val="right"/>
              <w:ind w:right="896"/>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(3,899)</w:t>
            </w:r>
          </w:p>
        </w:tc>
      </w:tr>
      <w:tr>
        <w:trPr>
          <w:trHeight w:val="34"/>
        </w:trPr>
        <w:tc>
          <w:tcPr>
            <w:tcW w:w="7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of the Company, under the supervision and with participation of the Chief Executive Officer (“CEO”) and Chief Financial Officer (“CFO”), evaluated the effectiveness of the Company’s disclosure controls and procedures as such term is defined in Rule 13a-15(e) and 15d-15(e) under the Securities Exchange Act of 1934 (the “Act”) as of the end of the period covered by this report on Form 10-Q.</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upon their evaluation of the Company’s disclosure controls and procedures, the CEO and the CFO concluded that the disclosure controls and procedures are effective to provide reasonable assurance that information required to be disclosed by the Company in the reports that it files or submits under the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2016, Kirkwood received a Notice of Violation (“NOV”) from the State of California Central Valley Regional Water Quality Control Board (the “Regional Water Board”) regarding the disposition of asphalt grindings used in parking lot surfacing in and around Kirkwood Creek. We have cooperated with the Regional Water Board staff and the California Department of Fish and Wildlife (“CDFW”) to satisfactorily resolve the matters identified in the NOV.</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0" w:right="239" w:bottom="1440" w:gutter="0" w:footer="0" w:header="0"/>
        </w:sectPr>
      </w:pPr>
    </w:p>
    <w:bookmarkStart w:id="42" w:name="page43"/>
    <w:bookmarkEnd w:id="42"/>
    <w:p>
      <w:pPr>
        <w:jc w:val="both"/>
        <w:spacing w:after="0" w:line="257" w:lineRule="auto"/>
        <w:rPr>
          <w:sz w:val="20"/>
          <w:szCs w:val="20"/>
          <w:color w:val="auto"/>
        </w:rPr>
      </w:pPr>
      <w:r>
        <w:rPr>
          <w:rFonts w:ascii="Arial" w:cs="Arial" w:eastAsia="Arial" w:hAnsi="Arial"/>
          <w:sz w:val="18"/>
          <w:szCs w:val="18"/>
          <w:color w:val="auto"/>
        </w:rPr>
        <w:t>On December 13, 2017, Kirkwood entered into a Settlement Agreement and Stipulation for Entry of Administrative Liability Order (“Stipulated Order”) with the Regional Water Board and CDFW. Under the Stipulated Order, Kirkwood agreed to be responsible for monetary penalties and agency costs totaling approximately $0.8 million, of which approximately half will be fulfilled by a supplemental environmental project run by the National Fish and Wildlife Foundation. All of these amounts have been paid by third-party insurance. The remaining remediation work required by the Stipulated Order and requested by the agencies should be completed in calendar year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resolution of the above item to have a material impact on our results of operations or cash flows.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material changes to the risk factors we previously disclosed in our Annual Report on Form 10-K, filed with the SEC on September 28, 2017, as of and for the year ended July 31, 2017, and in our Quarterly Report on Form 10-Q, filed with the SEC on March 8, 2018, as of and for the quarter ended January 31, 2018.</w:t>
      </w:r>
    </w:p>
    <w:p>
      <w:pPr>
        <w:spacing w:after="0" w:line="177" w:lineRule="exact"/>
        <w:rPr>
          <w:sz w:val="20"/>
          <w:szCs w:val="20"/>
          <w:color w:val="auto"/>
        </w:rPr>
      </w:pPr>
    </w:p>
    <w:p>
      <w:pPr>
        <w:ind w:right="4320"/>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Exchangeable Shares</w:t>
      </w:r>
    </w:p>
    <w:p>
      <w:pPr>
        <w:jc w:val="both"/>
        <w:spacing w:after="0" w:line="255" w:lineRule="auto"/>
        <w:rPr>
          <w:sz w:val="20"/>
          <w:szCs w:val="20"/>
          <w:color w:val="auto"/>
        </w:rPr>
      </w:pPr>
      <w:r>
        <w:rPr>
          <w:rFonts w:ascii="Arial" w:cs="Arial" w:eastAsia="Arial" w:hAnsi="Arial"/>
          <w:sz w:val="18"/>
          <w:szCs w:val="18"/>
          <w:color w:val="auto"/>
        </w:rPr>
        <w:t>As described elsewhere in this report, on October 17, 2016, the Company acquired all of the outstanding common shares of Whistler Blackcomb. Part of the consideration paid to Whistler Blackcomb shareholders consisted of 3,327,719 Vail Shares and 418,095 shares of the Company’s wholly-owned Canadian subsidiary (the “Exchangeco Shares”). Each Exchangeco Share is exchangeable by the holder thereof for one Vail Share (subject to customary adjustments for stock splits or other reorganizations). In addition, the Company may require all outstanding Exchangeco Shares to be exchanged into an equal number of Vail Shares upon the occurrence of certain events and at any time following the seventh anniversary of the closing of the transaction. Exchangeco Shares, while outstanding, are substantially the economic equivalent of the corresponding Vail Shares. As of April 30, 2018, 57,852 Exchangeco Shares had not yet been exchanged into Vail Shares.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issued at closing of the Whistler Blackcomb acquisition were issued in reliance upon Section 3(a)(10) of the Securities Act of 1933, as amended (the “Securities Act”), which exempts from the registration requirements under the Securities Act any securities that are issued in exchange for one or more bona fide outstanding securities where the terms and conditions of such issuance and exchange are approved, after a hearing upon the fairness of such terms and conditions at which all persons to whom it is proposed to issue securities in such exchange shall have the right to appear, by any court expressly authorized by law to grant such approval. Although exempt from the registration requirements under the Securities Act, such shares are listed and freely tradeable on the New York Stock Exchange.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Repurchase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purchases of shares of our common stock during the third quarter of fiscal 2018:</w:t>
      </w:r>
    </w:p>
    <w:p>
      <w:pPr>
        <w:spacing w:after="0" w:line="31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600" w:type="dxa"/>
            <w:vAlign w:val="bottom"/>
          </w:tcPr>
          <w:p>
            <w:pPr>
              <w:jc w:val="right"/>
              <w:ind w:right="19"/>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25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Total Number of Shares</w:t>
            </w:r>
          </w:p>
        </w:tc>
        <w:tc>
          <w:tcPr>
            <w:tcW w:w="170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rPr>
              <w:t>Average Price Paid per</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Shares that May Yet Be</w:t>
            </w:r>
          </w:p>
        </w:tc>
        <w:tc>
          <w:tcPr>
            <w:tcW w:w="0" w:type="dxa"/>
            <w:vAlign w:val="bottom"/>
          </w:tcPr>
          <w:p>
            <w:pPr>
              <w:spacing w:after="0"/>
              <w:rPr>
                <w:sz w:val="1"/>
                <w:szCs w:val="1"/>
                <w:color w:val="auto"/>
              </w:rPr>
            </w:pPr>
          </w:p>
        </w:tc>
      </w:tr>
      <w:tr>
        <w:trPr>
          <w:trHeight w:val="149"/>
        </w:trPr>
        <w:tc>
          <w:tcPr>
            <w:tcW w:w="368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Period</w:t>
            </w:r>
          </w:p>
        </w:tc>
        <w:tc>
          <w:tcPr>
            <w:tcW w:w="2540" w:type="dxa"/>
            <w:vAlign w:val="bottom"/>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60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auto"/>
            </w:tcBorders>
            <w:vMerge w:val="continue"/>
          </w:tcPr>
          <w:p>
            <w:pPr>
              <w:spacing w:after="0"/>
              <w:rPr>
                <w:sz w:val="16"/>
                <w:szCs w:val="16"/>
                <w:color w:val="auto"/>
              </w:rPr>
            </w:pPr>
          </w:p>
        </w:tc>
        <w:tc>
          <w:tcPr>
            <w:tcW w:w="25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Purchased</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Share</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 (1)</w:t>
            </w: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Plans or Programs (1)</w:t>
            </w: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February 1, 2018 - February 28, 2018</w:t>
            </w:r>
          </w:p>
        </w:tc>
        <w:tc>
          <w:tcPr>
            <w:tcW w:w="25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2,063,706</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March 1, 2018 - March 31, 2018</w:t>
            </w:r>
          </w:p>
        </w:tc>
        <w:tc>
          <w:tcPr>
            <w:tcW w:w="2540" w:type="dxa"/>
            <w:vAlign w:val="bottom"/>
          </w:tcPr>
          <w:p>
            <w:pPr>
              <w:jc w:val="right"/>
              <w:ind w:right="76"/>
              <w:spacing w:after="0"/>
              <w:rPr>
                <w:sz w:val="20"/>
                <w:szCs w:val="20"/>
                <w:color w:val="auto"/>
              </w:rPr>
            </w:pPr>
            <w:r>
              <w:rPr>
                <w:rFonts w:ascii="Arial" w:cs="Arial" w:eastAsia="Arial" w:hAnsi="Arial"/>
                <w:sz w:val="18"/>
                <w:szCs w:val="18"/>
                <w:color w:val="auto"/>
              </w:rPr>
              <w:t>115,422</w:t>
            </w:r>
          </w:p>
        </w:tc>
        <w:tc>
          <w:tcPr>
            <w:tcW w:w="44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223.51</w:t>
            </w:r>
          </w:p>
        </w:tc>
        <w:tc>
          <w:tcPr>
            <w:tcW w:w="1680" w:type="dxa"/>
            <w:vAlign w:val="bottom"/>
          </w:tcPr>
          <w:p>
            <w:pPr>
              <w:jc w:val="right"/>
              <w:ind w:right="99"/>
              <w:spacing w:after="0"/>
              <w:rPr>
                <w:sz w:val="20"/>
                <w:szCs w:val="20"/>
                <w:color w:val="auto"/>
              </w:rPr>
            </w:pPr>
            <w:r>
              <w:rPr>
                <w:rFonts w:ascii="Arial" w:cs="Arial" w:eastAsia="Arial" w:hAnsi="Arial"/>
                <w:sz w:val="18"/>
                <w:szCs w:val="18"/>
                <w:color w:val="auto"/>
              </w:rPr>
              <w:t>115,422</w:t>
            </w:r>
          </w:p>
        </w:tc>
        <w:tc>
          <w:tcPr>
            <w:tcW w:w="1600" w:type="dxa"/>
            <w:vAlign w:val="bottom"/>
          </w:tcPr>
          <w:p>
            <w:pPr>
              <w:jc w:val="right"/>
              <w:ind w:right="19"/>
              <w:spacing w:after="0"/>
              <w:rPr>
                <w:sz w:val="20"/>
                <w:szCs w:val="20"/>
                <w:color w:val="auto"/>
              </w:rPr>
            </w:pPr>
            <w:r>
              <w:rPr>
                <w:rFonts w:ascii="Arial" w:cs="Arial" w:eastAsia="Arial" w:hAnsi="Arial"/>
                <w:sz w:val="18"/>
                <w:szCs w:val="18"/>
                <w:color w:val="auto"/>
              </w:rPr>
              <w:t>1,948,284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2018 - April 30, 2018</w:t>
            </w:r>
          </w:p>
        </w:tc>
        <w:tc>
          <w:tcPr>
            <w:tcW w:w="25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1,948,284</w:t>
            </w:r>
          </w:p>
        </w:tc>
        <w:tc>
          <w:tcPr>
            <w:tcW w:w="0" w:type="dxa"/>
            <w:vAlign w:val="bottom"/>
          </w:tcPr>
          <w:p>
            <w:pPr>
              <w:spacing w:after="0"/>
              <w:rPr>
                <w:sz w:val="1"/>
                <w:szCs w:val="1"/>
                <w:color w:val="auto"/>
              </w:rPr>
            </w:pPr>
          </w:p>
        </w:tc>
      </w:tr>
      <w:tr>
        <w:trPr>
          <w:trHeight w:val="237"/>
        </w:trPr>
        <w:tc>
          <w:tcPr>
            <w:tcW w:w="368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Total</w:t>
            </w:r>
          </w:p>
        </w:tc>
        <w:tc>
          <w:tcPr>
            <w:tcW w:w="254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115,422</w:t>
            </w:r>
          </w:p>
        </w:tc>
        <w:tc>
          <w:tcPr>
            <w:tcW w:w="44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223.51</w:t>
            </w:r>
          </w:p>
        </w:tc>
        <w:tc>
          <w:tcPr>
            <w:tcW w:w="168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115,422</w:t>
            </w: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1,948,284</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60" w:hanging="451"/>
        <w:spacing w:after="0" w:line="255"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share repurchase program is conducted under authorizations made from time to time by our Board of Directors. The Board of Directors initially authorized the repurchase of up to 3,000,000 shares of common stock (March 9, 2006), and later authorized additional repurchases of up to 3,000,000 additional shares (July 16, 2008) and 1,500,000 shares (December 4, 2015), for a total authorization to repurchase up to 7,500,000 shares. As of April 30, 2018, 1,948,284 shares remained available to repurchase under the existing repurchase authorization. Repurchases under these authorizations may be made from time to time at prevailing prices as permitted by applicable laws, and subject to market conditions and other factors. These authorizations have no expiration date.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20"/>
          </w:cols>
          <w:pgMar w:left="240" w:top="66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either filed or furnished herewith or, if so indicated, incorporated by reference to the documents indicated in parentheses, which have previously been filed or furnished with the Securities and Exchange Commission.</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960" w:type="dxa"/>
            <w:vAlign w:val="bottom"/>
            <w:gridSpan w:val="4"/>
            <w:vMerge w:val="restart"/>
          </w:tcPr>
          <w:p>
            <w:pPr>
              <w:ind w:left="4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3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99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1380" w:type="dxa"/>
            <w:vAlign w:val="bottom"/>
          </w:tcPr>
          <w:p>
            <w:pPr>
              <w:spacing w:after="0"/>
              <w:rPr>
                <w:sz w:val="20"/>
                <w:szCs w:val="20"/>
                <w:color w:val="auto"/>
              </w:rPr>
            </w:pPr>
            <w:r>
              <w:rPr>
                <w:rFonts w:ascii="Arial" w:cs="Arial" w:eastAsia="Arial" w:hAnsi="Arial"/>
                <w:sz w:val="18"/>
                <w:szCs w:val="18"/>
                <w:color w:val="auto"/>
              </w:rPr>
              <w:t>10.1</w:t>
            </w:r>
          </w:p>
        </w:tc>
        <w:tc>
          <w:tcPr>
            <w:tcW w:w="996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47">
              <w:r>
                <w:rPr>
                  <w:rFonts w:ascii="Arial" w:cs="Arial" w:eastAsia="Arial" w:hAnsi="Arial"/>
                  <w:sz w:val="18"/>
                  <w:szCs w:val="18"/>
                  <w:color w:val="0000FF"/>
                  <w:w w:val="92"/>
                </w:rPr>
                <w:t>Fourth Amendment to Seventh Amended and Restated Credit Agreement, dated as of April 13, 2018, by and among Vail Holdings, Inc.,</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880" w:type="dxa"/>
            <w:vAlign w:val="bottom"/>
            <w:tcBorders>
              <w:bottom w:val="single" w:sz="8" w:color="0000FF"/>
            </w:tcBorders>
          </w:tcPr>
          <w:p>
            <w:pPr>
              <w:spacing w:after="0" w:line="196" w:lineRule="exact"/>
              <w:rPr>
                <w:rFonts w:ascii="Arial" w:cs="Arial" w:eastAsia="Arial" w:hAnsi="Arial"/>
                <w:sz w:val="18"/>
                <w:szCs w:val="18"/>
                <w:color w:val="0000FF"/>
                <w:w w:val="91"/>
              </w:rPr>
            </w:pPr>
            <w:hyperlink w:anchor="page47">
              <w:r>
                <w:rPr>
                  <w:rFonts w:ascii="Arial" w:cs="Arial" w:eastAsia="Arial" w:hAnsi="Arial"/>
                  <w:sz w:val="18"/>
                  <w:szCs w:val="18"/>
                  <w:color w:val="0000FF"/>
                  <w:w w:val="91"/>
                </w:rPr>
                <w:t>Bank of America, N.A., as Administrative Agent, and the Lenders named therein.</w:t>
              </w:r>
            </w:hyperlink>
          </w:p>
        </w:tc>
        <w:tc>
          <w:tcPr>
            <w:tcW w:w="40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31.1</w:t>
            </w:r>
          </w:p>
        </w:tc>
        <w:tc>
          <w:tcPr>
            <w:tcW w:w="9960" w:type="dxa"/>
            <w:vAlign w:val="bottom"/>
            <w:gridSpan w:val="4"/>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31.2</w:t>
            </w:r>
          </w:p>
        </w:tc>
        <w:tc>
          <w:tcPr>
            <w:tcW w:w="71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2"/>
              </w:rPr>
            </w:pPr>
            <w:hyperlink w:anchor="page63">
              <w:r>
                <w:rPr>
                  <w:rFonts w:ascii="Arial" w:cs="Arial" w:eastAsia="Arial" w:hAnsi="Arial"/>
                  <w:sz w:val="18"/>
                  <w:szCs w:val="18"/>
                  <w:color w:val="0000FF"/>
                  <w:w w:val="92"/>
                </w:rPr>
                <w:t>Certification of Chief Financial Officer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420" w:right="20" w:hanging="1385"/>
        <w:spacing w:after="0" w:line="277" w:lineRule="auto"/>
        <w:tabs>
          <w:tab w:leader="none" w:pos="1420" w:val="left"/>
        </w:tabs>
        <w:numPr>
          <w:ilvl w:val="0"/>
          <w:numId w:val="16"/>
        </w:numPr>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Certifications of Chief Executive Officer and Chief Financial Officer pursuant to 18 U.S.C. Section 1350 as adopted pursuant to Section</w:t>
        </w:r>
      </w:hyperlink>
      <w:r>
        <w:rPr>
          <w:rFonts w:ascii="Arial" w:cs="Arial" w:eastAsia="Arial" w:hAnsi="Arial"/>
          <w:sz w:val="18"/>
          <w:szCs w:val="18"/>
          <w:u w:val="single" w:color="auto"/>
          <w:color w:val="0000FF"/>
        </w:rPr>
        <w:t xml:space="preserve"> </w:t>
      </w:r>
      <w:hyperlink w:anchor="page64">
        <w:r>
          <w:rPr>
            <w:rFonts w:ascii="Arial" w:cs="Arial" w:eastAsia="Arial" w:hAnsi="Arial"/>
            <w:sz w:val="18"/>
            <w:szCs w:val="18"/>
            <w:u w:val="single" w:color="auto"/>
            <w:color w:val="0000FF"/>
          </w:rPr>
          <w:t>906 of the Sarbanes-Oxley Act of 2002.</w:t>
        </w:r>
      </w:hyperlink>
    </w:p>
    <w:p>
      <w:pPr>
        <w:spacing w:after="0" w:line="184" w:lineRule="exact"/>
        <w:rPr>
          <w:rFonts w:ascii="Arial" w:cs="Arial" w:eastAsia="Arial" w:hAnsi="Arial"/>
          <w:sz w:val="18"/>
          <w:szCs w:val="18"/>
          <w:color w:val="auto"/>
        </w:rPr>
      </w:pPr>
    </w:p>
    <w:p>
      <w:pPr>
        <w:jc w:val="both"/>
        <w:ind w:left="1420" w:hanging="1385"/>
        <w:spacing w:after="0" w:line="272" w:lineRule="auto"/>
        <w:tabs>
          <w:tab w:leader="none" w:pos="14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following information from the Company’s Quarterly Report on Form 10-Q for the three and nine months ended April 30, 2018 formatted in eXtensible Business Reporting Language: (i) Unaudited Consolidated Condensed Balance Sheets as of April 30, 2018, July 31, 2017, and April 30, 2017; (ii) Unaudited Consolidated Condensed Statements of Operations for the three and nine months ended April 30, 2018 and 2017; (iii) Unaudited Consolidated Condensed Statements of Comprehensive Income for the three and nine months ended April 30, 2018 and 2017; (iv) Unaudited Consolidated Condensed Statements of Stockholders’ Equity for the nine months ended April 30, 2018 and 2017; (v) Unaudited Consolidated Condensed Statements of Cash Flows for the nine months ended April 30, 2018 and 2017; and (vi) Notes to the Consolidated Condensed Financial Statements.</w:t>
      </w: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877" w:right="259" w:bottom="1440" w:gutter="0" w:footer="0" w:header="0"/>
        </w:sectPr>
      </w:pPr>
    </w:p>
    <w:bookmarkStart w:id="45" w:name="page46"/>
    <w:bookmarkEnd w:id="45"/>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Vail Resorts, Inc.</w:t>
      </w:r>
    </w:p>
    <w:p>
      <w:pPr>
        <w:spacing w:after="0" w:line="387" w:lineRule="exact"/>
        <w:rPr>
          <w:sz w:val="20"/>
          <w:szCs w:val="20"/>
          <w:color w:val="auto"/>
        </w:rPr>
      </w:pPr>
    </w:p>
    <w:p>
      <w:pPr>
        <w:ind w:left="40"/>
        <w:spacing w:after="0"/>
        <w:tabs>
          <w:tab w:leader="none" w:pos="5680" w:val="left"/>
          <w:tab w:leader="none" w:pos="7860" w:val="left"/>
        </w:tabs>
        <w:rPr>
          <w:sz w:val="20"/>
          <w:szCs w:val="20"/>
          <w:color w:val="auto"/>
        </w:rPr>
      </w:pPr>
      <w:r>
        <w:rPr>
          <w:rFonts w:ascii="Arial" w:cs="Arial" w:eastAsia="Arial" w:hAnsi="Arial"/>
          <w:sz w:val="18"/>
          <w:szCs w:val="18"/>
          <w:color w:val="auto"/>
        </w:rPr>
        <w:t>Date: June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31750</wp:posOffset>
            </wp:positionV>
            <wp:extent cx="3087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left="40"/>
        <w:spacing w:after="0"/>
        <w:tabs>
          <w:tab w:leader="none" w:pos="5680" w:val="left"/>
          <w:tab w:leader="none" w:pos="7980" w:val="left"/>
        </w:tabs>
        <w:rPr>
          <w:sz w:val="20"/>
          <w:szCs w:val="20"/>
          <w:color w:val="auto"/>
        </w:rPr>
      </w:pPr>
      <w:r>
        <w:rPr>
          <w:rFonts w:ascii="Arial" w:cs="Arial" w:eastAsia="Arial" w:hAnsi="Arial"/>
          <w:sz w:val="18"/>
          <w:szCs w:val="18"/>
          <w:color w:val="auto"/>
        </w:rPr>
        <w:t>Date: June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H.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31750</wp:posOffset>
            </wp:positionV>
            <wp:extent cx="3087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Ryan H. Siurek</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Senior Vice President, Controller and</w:t>
      </w:r>
    </w:p>
    <w:p>
      <w:pPr>
        <w:spacing w:after="0" w:line="2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Chief Accounting Officer</w:t>
      </w:r>
    </w:p>
    <w:p>
      <w:pPr>
        <w:spacing w:after="0" w:line="49"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580" w:right="439" w:bottom="1440" w:gutter="0" w:footer="0" w:header="0"/>
        </w:sectPr>
      </w:pPr>
    </w:p>
    <w:bookmarkStart w:id="46" w:name="page47"/>
    <w:bookmarkEnd w:id="46"/>
    <w:p>
      <w:pPr>
        <w:ind w:left="10400"/>
        <w:spacing w:after="0"/>
        <w:rPr>
          <w:sz w:val="20"/>
          <w:szCs w:val="20"/>
          <w:color w:val="auto"/>
        </w:rPr>
      </w:pPr>
      <w:r>
        <w:rPr>
          <w:rFonts w:ascii="Arial" w:cs="Arial" w:eastAsia="Arial" w:hAnsi="Arial"/>
          <w:sz w:val="18"/>
          <w:szCs w:val="18"/>
          <w:b w:val="1"/>
          <w:bCs w:val="1"/>
          <w:color w:val="auto"/>
        </w:rPr>
        <w:t>Exhibit 10.1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FOURTH AMENDMENT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SEVENTH AMENDED AND RESTATED CREDIT AGREEMENT</w:t>
      </w:r>
    </w:p>
    <w:p>
      <w:pPr>
        <w:spacing w:after="0" w:line="20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THIS FOURTH AMENDMENT TO SEVENTH AMENDED AND RESTATED CREDIT AGREEMENT </w:t>
      </w:r>
      <w:r>
        <w:rPr>
          <w:rFonts w:ascii="Arial" w:cs="Arial" w:eastAsia="Arial" w:hAnsi="Arial"/>
          <w:sz w:val="20"/>
          <w:szCs w:val="20"/>
          <w:color w:val="auto"/>
        </w:rPr>
        <w:t>(this “</w:t>
      </w:r>
      <w:r>
        <w:rPr>
          <w:rFonts w:ascii="Arial" w:cs="Arial" w:eastAsia="Arial" w:hAnsi="Arial"/>
          <w:sz w:val="20"/>
          <w:szCs w:val="20"/>
          <w:b w:val="1"/>
          <w:bCs w:val="1"/>
          <w:i w:val="1"/>
          <w:iCs w:val="1"/>
          <w:color w:val="auto"/>
        </w:rPr>
        <w:t>Amendment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is made and entered into as of April 13, 2018, by and among Vail Holdings, Inc., a Colorado corporation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Bank of America, N.A., as Administrative Agent, a Swing Line Lender, a L/C Issuer and Lender (in its capacity as administrative agent, “</w:t>
      </w:r>
      <w:r>
        <w:rPr>
          <w:rFonts w:ascii="Arial" w:cs="Arial" w:eastAsia="Arial" w:hAnsi="Arial"/>
          <w:sz w:val="20"/>
          <w:szCs w:val="20"/>
          <w:b w:val="1"/>
          <w:bCs w:val="1"/>
          <w:i w:val="1"/>
          <w:iCs w:val="1"/>
          <w:color w:val="auto"/>
        </w:rPr>
        <w:t>Administrative Agent</w:t>
      </w:r>
      <w:r>
        <w:rPr>
          <w:rFonts w:ascii="Arial" w:cs="Arial" w:eastAsia="Arial" w:hAnsi="Arial"/>
          <w:sz w:val="20"/>
          <w:szCs w:val="20"/>
          <w:color w:val="auto"/>
        </w:rPr>
        <w:t>”), and the other Lenders, Swing Line Lenders and L/C Issuers named on the signature pages hereto.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 E C I T A L S</w:t>
      </w:r>
    </w:p>
    <w:p>
      <w:pPr>
        <w:spacing w:after="0" w:line="235" w:lineRule="exact"/>
        <w:rPr>
          <w:sz w:val="20"/>
          <w:szCs w:val="20"/>
          <w:color w:val="auto"/>
        </w:rPr>
      </w:pPr>
    </w:p>
    <w:p>
      <w:pPr>
        <w:jc w:val="both"/>
        <w:ind w:firstLine="656"/>
        <w:spacing w:after="0" w:line="243" w:lineRule="auto"/>
        <w:tabs>
          <w:tab w:leader="none" w:pos="1206" w:val="left"/>
        </w:tabs>
        <w:numPr>
          <w:ilvl w:val="0"/>
          <w:numId w:val="18"/>
        </w:numPr>
        <w:rPr>
          <w:rFonts w:ascii="Arial" w:cs="Arial" w:eastAsia="Arial" w:hAnsi="Arial"/>
          <w:sz w:val="20"/>
          <w:szCs w:val="20"/>
          <w:color w:val="auto"/>
        </w:rPr>
      </w:pPr>
      <w:r>
        <w:rPr>
          <w:rFonts w:ascii="Arial" w:cs="Arial" w:eastAsia="Arial" w:hAnsi="Arial"/>
          <w:sz w:val="20"/>
          <w:szCs w:val="20"/>
          <w:color w:val="auto"/>
        </w:rPr>
        <w:t>Borrower has entered into that certain Seventh Amended and Restated Credit Agreement dated as of May 1, 2015, with Administrative Agent and the Lenders (as amended by the First Amendment to Seventh Amended and Restated Credit Agreement dated as of December 4, 2015, as amended by the Second Amendment to Seventh Amended and Restated Credit Agreement dated as of October 14, 2016, as amended by the Third Amendment to Seventh Amended and Restated Credit Agreement dated as of April 7, 2017, as amended hereby, and as further amended, restated, or otherwise modified from time to time, the “</w:t>
      </w:r>
      <w:r>
        <w:rPr>
          <w:rFonts w:ascii="Arial" w:cs="Arial" w:eastAsia="Arial" w:hAnsi="Arial"/>
          <w:sz w:val="20"/>
          <w:szCs w:val="20"/>
          <w:b w:val="1"/>
          <w:bCs w:val="1"/>
          <w:i w:val="1"/>
          <w:iCs w:val="1"/>
          <w:color w:val="auto"/>
        </w:rPr>
        <w:t>Credit Agreement</w:t>
      </w:r>
      <w:r>
        <w:rPr>
          <w:rFonts w:ascii="Arial" w:cs="Arial" w:eastAsia="Arial" w:hAnsi="Arial"/>
          <w:sz w:val="20"/>
          <w:szCs w:val="20"/>
          <w:color w:val="auto"/>
        </w:rPr>
        <w:t>”), providing for revolving credit loans, letters of credit, and swing line loans.</w:t>
      </w:r>
    </w:p>
    <w:p>
      <w:pPr>
        <w:spacing w:after="0" w:line="210" w:lineRule="exact"/>
        <w:rPr>
          <w:rFonts w:ascii="Arial" w:cs="Arial" w:eastAsia="Arial" w:hAnsi="Arial"/>
          <w:sz w:val="20"/>
          <w:szCs w:val="20"/>
          <w:color w:val="auto"/>
        </w:rPr>
      </w:pPr>
    </w:p>
    <w:p>
      <w:pPr>
        <w:ind w:left="1040" w:hanging="384"/>
        <w:spacing w:after="0"/>
        <w:tabs>
          <w:tab w:leader="none" w:pos="10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Borrower has requested certain amendments to the Credit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Subject to the terms and conditions set forth herein, the Borrower, the Required Lenders party hereto, the Guarantors, and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agree as follows:</w:t>
      </w:r>
    </w:p>
    <w:p>
      <w:pPr>
        <w:spacing w:after="0" w:line="221" w:lineRule="exact"/>
        <w:rPr>
          <w:sz w:val="20"/>
          <w:szCs w:val="20"/>
          <w:color w:val="auto"/>
        </w:rPr>
      </w:pPr>
    </w:p>
    <w:p>
      <w:pPr>
        <w:ind w:firstLine="656"/>
        <w:spacing w:after="0" w:line="295" w:lineRule="auto"/>
        <w:tabs>
          <w:tab w:leader="none" w:pos="1445" w:val="left"/>
        </w:tabs>
        <w:numPr>
          <w:ilvl w:val="0"/>
          <w:numId w:val="19"/>
        </w:numPr>
        <w:rPr>
          <w:rFonts w:ascii="Arial" w:cs="Arial" w:eastAsia="Arial" w:hAnsi="Arial"/>
          <w:sz w:val="20"/>
          <w:szCs w:val="20"/>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b w:val="1"/>
          <w:bCs w:val="1"/>
          <w:color w:val="auto"/>
        </w:rPr>
        <w:t xml:space="preserve"> </w:t>
      </w:r>
      <w:r>
        <w:rPr>
          <w:rFonts w:ascii="Arial" w:cs="Arial" w:eastAsia="Arial" w:hAnsi="Arial"/>
          <w:sz w:val="20"/>
          <w:szCs w:val="20"/>
          <w:color w:val="auto"/>
        </w:rPr>
        <w:t>Unless otherwise defined in this Amendment, each capitalized term used but not otherwise defined herein has</w:t>
      </w:r>
      <w:r>
        <w:rPr>
          <w:rFonts w:ascii="Arial" w:cs="Arial" w:eastAsia="Arial" w:hAnsi="Arial"/>
          <w:sz w:val="20"/>
          <w:szCs w:val="20"/>
          <w:b w:val="1"/>
          <w:bCs w:val="1"/>
          <w:color w:val="auto"/>
        </w:rPr>
        <w:t xml:space="preserve"> </w:t>
      </w:r>
      <w:r>
        <w:rPr>
          <w:rFonts w:ascii="Arial" w:cs="Arial" w:eastAsia="Arial" w:hAnsi="Arial"/>
          <w:sz w:val="20"/>
          <w:szCs w:val="20"/>
          <w:color w:val="auto"/>
        </w:rPr>
        <w:t>the meaning given such term in the Credit Agreement.</w:t>
      </w:r>
    </w:p>
    <w:p>
      <w:pPr>
        <w:spacing w:after="0" w:line="177" w:lineRule="exact"/>
        <w:rPr>
          <w:rFonts w:ascii="Arial" w:cs="Arial" w:eastAsia="Arial" w:hAnsi="Arial"/>
          <w:sz w:val="20"/>
          <w:szCs w:val="20"/>
          <w:color w:val="auto"/>
        </w:rPr>
      </w:pPr>
    </w:p>
    <w:p>
      <w:pPr>
        <w:ind w:left="1460" w:hanging="804"/>
        <w:spacing w:after="0"/>
        <w:tabs>
          <w:tab w:leader="none" w:pos="1460" w:val="left"/>
        </w:tabs>
        <w:numPr>
          <w:ilvl w:val="0"/>
          <w:numId w:val="19"/>
        </w:numPr>
        <w:rPr>
          <w:rFonts w:ascii="Arial" w:cs="Arial" w:eastAsia="Arial" w:hAnsi="Arial"/>
          <w:sz w:val="20"/>
          <w:szCs w:val="20"/>
          <w:color w:val="auto"/>
        </w:rPr>
      </w:pPr>
      <w:r>
        <w:rPr>
          <w:rFonts w:ascii="Arial" w:cs="Arial" w:eastAsia="Arial" w:hAnsi="Arial"/>
          <w:sz w:val="20"/>
          <w:szCs w:val="20"/>
          <w:b w:val="1"/>
          <w:bCs w:val="1"/>
          <w:u w:val="single" w:color="auto"/>
          <w:color w:val="auto"/>
        </w:rPr>
        <w:t>Amendments to the Credit Agreement</w:t>
      </w:r>
      <w:r>
        <w:rPr>
          <w:rFonts w:ascii="Arial" w:cs="Arial" w:eastAsia="Arial" w:hAnsi="Arial"/>
          <w:sz w:val="20"/>
          <w:szCs w:val="20"/>
          <w:color w:val="auto"/>
        </w:rPr>
        <w:t>.</w:t>
      </w:r>
    </w:p>
    <w:p>
      <w:pPr>
        <w:spacing w:after="0" w:line="249"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8"/>
          <w:szCs w:val="18"/>
          <w:i w:val="1"/>
          <w:iCs w:val="1"/>
          <w:color w:val="auto"/>
        </w:rPr>
        <w:t xml:space="preserve">Section 1.1 </w:t>
      </w:r>
      <w:r>
        <w:rPr>
          <w:rFonts w:ascii="Arial" w:cs="Arial" w:eastAsia="Arial" w:hAnsi="Arial"/>
          <w:sz w:val="18"/>
          <w:szCs w:val="18"/>
          <w:color w:val="auto"/>
        </w:rPr>
        <w:t>of the Credit Agreement is hereby amended to add the following definition in appropriate alphabetical order:</w:t>
      </w:r>
    </w:p>
    <w:p>
      <w:pPr>
        <w:spacing w:after="0" w:line="216"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b w:val="1"/>
          <w:bCs w:val="1"/>
          <w:i w:val="1"/>
          <w:iCs w:val="1"/>
          <w:color w:val="auto"/>
        </w:rPr>
        <w:t xml:space="preserve">Approved Jurisdictions </w:t>
      </w:r>
      <w:r>
        <w:rPr>
          <w:rFonts w:ascii="Arial" w:cs="Arial" w:eastAsia="Arial" w:hAnsi="Arial"/>
          <w:sz w:val="20"/>
          <w:szCs w:val="20"/>
          <w:color w:val="auto"/>
        </w:rPr>
        <w:t>means the U.S., Australia, the Netherlands, Canada and such other jurisdiction approved in writing by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Administrative Agent from time to time.</w:t>
      </w:r>
    </w:p>
    <w:p>
      <w:pPr>
        <w:spacing w:after="0" w:line="177"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6"/>
          <w:szCs w:val="16"/>
          <w:i w:val="1"/>
          <w:iCs w:val="1"/>
          <w:color w:val="auto"/>
        </w:rPr>
        <w:t xml:space="preserve">Section 10.8(b) </w:t>
      </w:r>
      <w:r>
        <w:rPr>
          <w:rFonts w:ascii="Arial" w:cs="Arial" w:eastAsia="Arial" w:hAnsi="Arial"/>
          <w:sz w:val="16"/>
          <w:szCs w:val="16"/>
          <w:color w:val="auto"/>
        </w:rPr>
        <w:t>of Credit Agreement is hereby amended and restated in its entirety as follows:</w:t>
      </w:r>
    </w:p>
    <w:p>
      <w:pPr>
        <w:spacing w:after="0" w:line="216" w:lineRule="exact"/>
        <w:rPr>
          <w:sz w:val="20"/>
          <w:szCs w:val="20"/>
          <w:color w:val="auto"/>
        </w:rPr>
      </w:pPr>
    </w:p>
    <w:p>
      <w:pPr>
        <w:jc w:val="both"/>
        <w:ind w:left="660" w:hanging="4"/>
        <w:spacing w:after="0" w:line="250" w:lineRule="auto"/>
        <w:tabs>
          <w:tab w:leader="none" w:pos="1109" w:val="left"/>
        </w:tabs>
        <w:numPr>
          <w:ilvl w:val="0"/>
          <w:numId w:val="20"/>
        </w:numPr>
        <w:rPr>
          <w:rFonts w:ascii="Arial" w:cs="Arial" w:eastAsia="Arial" w:hAnsi="Arial"/>
          <w:sz w:val="20"/>
          <w:szCs w:val="20"/>
          <w:color w:val="auto"/>
        </w:rPr>
      </w:pPr>
      <w:r>
        <w:rPr>
          <w:rFonts w:ascii="Arial" w:cs="Arial" w:eastAsia="Arial" w:hAnsi="Arial"/>
          <w:sz w:val="20"/>
          <w:szCs w:val="20"/>
          <w:color w:val="auto"/>
        </w:rPr>
        <w:t>marketable obligations issued or unconditionally guaranteed by an Approved Jurisdiction or issued by an agency of an Approved Jurisdiction and backed by the full faith and credit of such Approved Jurisdiction, in each case maturing within one year from the date of acquisition;</w:t>
      </w:r>
    </w:p>
    <w:p>
      <w:pPr>
        <w:spacing w:after="0" w:line="18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6"/>
          <w:szCs w:val="16"/>
          <w:i w:val="1"/>
          <w:iCs w:val="1"/>
          <w:color w:val="auto"/>
        </w:rPr>
        <w:t xml:space="preserve">Section 10.8(c) </w:t>
      </w:r>
      <w:r>
        <w:rPr>
          <w:rFonts w:ascii="Arial" w:cs="Arial" w:eastAsia="Arial" w:hAnsi="Arial"/>
          <w:sz w:val="16"/>
          <w:szCs w:val="16"/>
          <w:color w:val="auto"/>
        </w:rPr>
        <w:t>of Credit Agreement is hereby amended and restated in its entirety as follows:</w:t>
      </w:r>
    </w:p>
    <w:p>
      <w:pPr>
        <w:spacing w:after="0" w:line="216" w:lineRule="exact"/>
        <w:rPr>
          <w:sz w:val="20"/>
          <w:szCs w:val="20"/>
          <w:color w:val="auto"/>
        </w:rPr>
      </w:pPr>
    </w:p>
    <w:p>
      <w:pPr>
        <w:jc w:val="both"/>
        <w:ind w:left="660" w:hanging="4"/>
        <w:spacing w:after="0" w:line="282" w:lineRule="auto"/>
        <w:tabs>
          <w:tab w:leader="none" w:pos="11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short-term investment grade domestic and eurodollar certificates of deposit or time deposits that are fully insured by the Federal Deposit Insurance Corporation or similar agency of an Approved Jurisdiction or are issued by commercial banks organized under the Laws of an Approved Jurisdiction or any state or province of an Approved Jurisdiction having combined capital, surplus, and undivided profits of not less than $100,000,000 (as shown on its most recently published statement of condition);</w:t>
      </w:r>
    </w:p>
    <w:p>
      <w:pPr>
        <w:spacing w:after="0" w:line="16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16"/>
          <w:szCs w:val="16"/>
          <w:i w:val="1"/>
          <w:iCs w:val="1"/>
          <w:color w:val="auto"/>
        </w:rPr>
        <w:t xml:space="preserve">Section 10.8(p) </w:t>
      </w:r>
      <w:r>
        <w:rPr>
          <w:rFonts w:ascii="Arial" w:cs="Arial" w:eastAsia="Arial" w:hAnsi="Arial"/>
          <w:sz w:val="16"/>
          <w:szCs w:val="16"/>
          <w:color w:val="auto"/>
        </w:rPr>
        <w:t>of Credit Agreement is hereby amended and restated in its entirety as follows:</w:t>
      </w:r>
    </w:p>
    <w:p>
      <w:pPr>
        <w:sectPr>
          <w:pgSz w:w="11900" w:h="16838" w:orient="portrait"/>
          <w:cols w:equalWidth="0" w:num="1">
            <w:col w:w="11420"/>
          </w:cols>
          <w:pgMar w:left="240" w:top="589" w:right="239" w:bottom="1440" w:gutter="0" w:footer="0" w:header="0"/>
        </w:sectPr>
      </w:pPr>
    </w:p>
    <w:bookmarkStart w:id="47" w:name="page48"/>
    <w:bookmarkEnd w:id="47"/>
    <w:p>
      <w:pPr>
        <w:jc w:val="both"/>
        <w:ind w:left="660" w:hanging="4"/>
        <w:spacing w:after="0" w:line="250" w:lineRule="auto"/>
        <w:tabs>
          <w:tab w:leader="none" w:pos="1125" w:val="left"/>
        </w:tabs>
        <w:numPr>
          <w:ilvl w:val="0"/>
          <w:numId w:val="22"/>
        </w:numPr>
        <w:rPr>
          <w:rFonts w:ascii="Arial" w:cs="Arial" w:eastAsia="Arial" w:hAnsi="Arial"/>
          <w:sz w:val="20"/>
          <w:szCs w:val="20"/>
          <w:color w:val="auto"/>
        </w:rPr>
      </w:pPr>
      <w:r>
        <w:rPr>
          <w:rFonts w:ascii="Arial" w:cs="Arial" w:eastAsia="Arial" w:hAnsi="Arial"/>
          <w:sz w:val="20"/>
          <w:szCs w:val="20"/>
          <w:color w:val="auto"/>
        </w:rPr>
        <w:t>short-term repurchase agreements with major banks and authorized dealers, fully collateralized to at least 100% of market value by marketable obligations issued or unconditionally guaranteed by an Approved Jurisdiction or issued by any agency of an Approved Jurisdiction and backed by the full faith and credit of such Approved Jurisdiction;</w:t>
      </w:r>
    </w:p>
    <w:p>
      <w:pPr>
        <w:spacing w:after="0" w:line="18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2.05.</w:t>
      </w:r>
      <w:r>
        <w:rPr>
          <w:sz w:val="20"/>
          <w:szCs w:val="20"/>
          <w:color w:val="auto"/>
        </w:rPr>
        <w:tab/>
      </w:r>
      <w:r>
        <w:rPr>
          <w:rFonts w:ascii="Arial" w:cs="Arial" w:eastAsia="Arial" w:hAnsi="Arial"/>
          <w:sz w:val="16"/>
          <w:szCs w:val="16"/>
          <w:i w:val="1"/>
          <w:iCs w:val="1"/>
          <w:color w:val="auto"/>
        </w:rPr>
        <w:t xml:space="preserve">Section 10.8(q) </w:t>
      </w:r>
      <w:r>
        <w:rPr>
          <w:rFonts w:ascii="Arial" w:cs="Arial" w:eastAsia="Arial" w:hAnsi="Arial"/>
          <w:sz w:val="16"/>
          <w:szCs w:val="16"/>
          <w:color w:val="auto"/>
        </w:rPr>
        <w:t>of Credit Agreement is hereby amended and restated in its entirety as follows:</w:t>
      </w:r>
    </w:p>
    <w:p>
      <w:pPr>
        <w:spacing w:after="0" w:line="216" w:lineRule="exact"/>
        <w:rPr>
          <w:sz w:val="20"/>
          <w:szCs w:val="20"/>
          <w:color w:val="auto"/>
        </w:rPr>
      </w:pPr>
    </w:p>
    <w:p>
      <w:pPr>
        <w:jc w:val="both"/>
        <w:ind w:left="660" w:hanging="4"/>
        <w:spacing w:after="0" w:line="246" w:lineRule="auto"/>
        <w:tabs>
          <w:tab w:leader="none" w:pos="1222" w:val="left"/>
        </w:tabs>
        <w:numPr>
          <w:ilvl w:val="0"/>
          <w:numId w:val="23"/>
        </w:numPr>
        <w:rPr>
          <w:rFonts w:ascii="Arial" w:cs="Arial" w:eastAsia="Arial" w:hAnsi="Arial"/>
          <w:sz w:val="20"/>
          <w:szCs w:val="20"/>
          <w:color w:val="auto"/>
        </w:rPr>
      </w:pPr>
      <w:r>
        <w:rPr>
          <w:rFonts w:ascii="Arial" w:cs="Arial" w:eastAsia="Arial" w:hAnsi="Arial"/>
          <w:sz w:val="20"/>
          <w:szCs w:val="20"/>
          <w:color w:val="auto"/>
        </w:rPr>
        <w:t>short-term variable rate demand notes that invest in tax-free municipal bonds of domestic issuers rated “</w:t>
      </w:r>
      <w:r>
        <w:rPr>
          <w:rFonts w:ascii="Arial" w:cs="Arial" w:eastAsia="Arial" w:hAnsi="Arial"/>
          <w:sz w:val="20"/>
          <w:szCs w:val="20"/>
          <w:i w:val="1"/>
          <w:iCs w:val="1"/>
          <w:color w:val="auto"/>
        </w:rPr>
        <w:t>A-2</w:t>
      </w:r>
      <w:r>
        <w:rPr>
          <w:rFonts w:ascii="Arial" w:cs="Arial" w:eastAsia="Arial" w:hAnsi="Arial"/>
          <w:sz w:val="20"/>
          <w:szCs w:val="20"/>
          <w:color w:val="auto"/>
        </w:rPr>
        <w:t>” or better by Moody’s or “</w:t>
      </w:r>
      <w:r>
        <w:rPr>
          <w:rFonts w:ascii="Arial" w:cs="Arial" w:eastAsia="Arial" w:hAnsi="Arial"/>
          <w:sz w:val="20"/>
          <w:szCs w:val="20"/>
          <w:i w:val="1"/>
          <w:iCs w:val="1"/>
          <w:color w:val="auto"/>
        </w:rPr>
        <w:t>A</w:t>
      </w:r>
      <w:r>
        <w:rPr>
          <w:rFonts w:ascii="Arial" w:cs="Arial" w:eastAsia="Arial" w:hAnsi="Arial"/>
          <w:sz w:val="20"/>
          <w:szCs w:val="20"/>
          <w:color w:val="auto"/>
        </w:rPr>
        <w:t>” or better by S&amp;P that are supported by irrevocable letters of credit issued by commercial banks organized under the laws of an Approved Jurisdiction or any state or province of an Approved Jurisdiction having combined capital, surplus, and undivided profits of not less than $100,000,000;</w:t>
      </w:r>
    </w:p>
    <w:p>
      <w:pPr>
        <w:spacing w:after="0" w:line="19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2.06.</w:t>
      </w:r>
      <w:r>
        <w:rPr>
          <w:sz w:val="20"/>
          <w:szCs w:val="20"/>
          <w:color w:val="auto"/>
        </w:rPr>
        <w:tab/>
      </w:r>
      <w:r>
        <w:rPr>
          <w:rFonts w:ascii="Arial" w:cs="Arial" w:eastAsia="Arial" w:hAnsi="Arial"/>
          <w:sz w:val="18"/>
          <w:szCs w:val="18"/>
          <w:i w:val="1"/>
          <w:iCs w:val="1"/>
          <w:color w:val="auto"/>
        </w:rPr>
        <w:t xml:space="preserve">Section 10.9(d)(iii) </w:t>
      </w:r>
      <w:r>
        <w:rPr>
          <w:rFonts w:ascii="Arial" w:cs="Arial" w:eastAsia="Arial" w:hAnsi="Arial"/>
          <w:sz w:val="18"/>
          <w:szCs w:val="18"/>
          <w:color w:val="auto"/>
        </w:rPr>
        <w:t>of Credit Agreement is hereby amended and restated in its entirety as follows:</w:t>
      </w:r>
    </w:p>
    <w:p>
      <w:pPr>
        <w:spacing w:after="0" w:line="216" w:lineRule="exact"/>
        <w:rPr>
          <w:sz w:val="20"/>
          <w:szCs w:val="20"/>
          <w:color w:val="auto"/>
        </w:rPr>
      </w:pPr>
    </w:p>
    <w:p>
      <w:pPr>
        <w:jc w:val="both"/>
        <w:ind w:left="660" w:hanging="4"/>
        <w:spacing w:after="0" w:line="246" w:lineRule="auto"/>
        <w:tabs>
          <w:tab w:leader="none" w:pos="1006" w:val="left"/>
        </w:tabs>
        <w:numPr>
          <w:ilvl w:val="0"/>
          <w:numId w:val="24"/>
        </w:numPr>
        <w:rPr>
          <w:rFonts w:ascii="Arial" w:cs="Arial" w:eastAsia="Arial" w:hAnsi="Arial"/>
          <w:sz w:val="20"/>
          <w:szCs w:val="20"/>
          <w:color w:val="auto"/>
        </w:rPr>
      </w:pPr>
      <w:r>
        <w:rPr>
          <w:rFonts w:ascii="Arial" w:cs="Arial" w:eastAsia="Arial" w:hAnsi="Arial"/>
          <w:sz w:val="20"/>
          <w:szCs w:val="20"/>
          <w:color w:val="auto"/>
        </w:rPr>
        <w:t xml:space="preserve">if no Default or Potential Default exists or arises, then VRI may pay dividends in an amount not to exceed, for any fiscal quarter, the greater of (a) $75,000,000, or (b) an amount equal to twenty percent (20%) of Adjusted EBITDA for the trailing twelve month period ended on the last day of the most-recently ended fiscal quarter (as calculated in the Compliance Certificate most-recently delivered pursuant to </w:t>
      </w:r>
      <w:r>
        <w:rPr>
          <w:rFonts w:ascii="Arial" w:cs="Arial" w:eastAsia="Arial" w:hAnsi="Arial"/>
          <w:sz w:val="20"/>
          <w:szCs w:val="20"/>
          <w:b w:val="1"/>
          <w:bCs w:val="1"/>
          <w:i w:val="1"/>
          <w:iCs w:val="1"/>
          <w:color w:val="auto"/>
        </w:rPr>
        <w:t>Section 9.1(a)</w:t>
      </w:r>
      <w:r>
        <w:rPr>
          <w:rFonts w:ascii="Arial" w:cs="Arial" w:eastAsia="Arial" w:hAnsi="Arial"/>
          <w:sz w:val="20"/>
          <w:szCs w:val="20"/>
          <w:color w:val="auto"/>
        </w:rPr>
        <w:t xml:space="preserve"> or </w:t>
      </w:r>
      <w:r>
        <w:rPr>
          <w:rFonts w:ascii="Arial" w:cs="Arial" w:eastAsia="Arial" w:hAnsi="Arial"/>
          <w:sz w:val="20"/>
          <w:szCs w:val="20"/>
          <w:b w:val="1"/>
          <w:bCs w:val="1"/>
          <w:i w:val="1"/>
          <w:iCs w:val="1"/>
          <w:color w:val="auto"/>
        </w:rPr>
        <w:t>(b)</w:t>
      </w:r>
      <w:r>
        <w:rPr>
          <w:rFonts w:ascii="Arial" w:cs="Arial" w:eastAsia="Arial" w:hAnsi="Arial"/>
          <w:sz w:val="20"/>
          <w:szCs w:val="20"/>
          <w:color w:val="auto"/>
        </w:rPr>
        <w:t>);</w:t>
      </w:r>
    </w:p>
    <w:p>
      <w:pPr>
        <w:spacing w:after="0" w:line="19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2.07. </w:t>
      </w:r>
      <w:r>
        <w:rPr>
          <w:rFonts w:ascii="Arial" w:cs="Arial" w:eastAsia="Arial" w:hAnsi="Arial"/>
          <w:sz w:val="20"/>
          <w:szCs w:val="20"/>
          <w:i w:val="1"/>
          <w:iCs w:val="1"/>
          <w:color w:val="auto"/>
        </w:rPr>
        <w:t>Clause (xiv)</w:t>
      </w:r>
      <w:r>
        <w:rPr>
          <w:rFonts w:ascii="Arial" w:cs="Arial" w:eastAsia="Arial" w:hAnsi="Arial"/>
          <w:sz w:val="20"/>
          <w:szCs w:val="20"/>
          <w:color w:val="auto"/>
        </w:rPr>
        <w:t xml:space="preserve"> of </w:t>
      </w:r>
      <w:r>
        <w:rPr>
          <w:rFonts w:ascii="Arial" w:cs="Arial" w:eastAsia="Arial" w:hAnsi="Arial"/>
          <w:sz w:val="20"/>
          <w:szCs w:val="20"/>
          <w:i w:val="1"/>
          <w:iCs w:val="1"/>
          <w:color w:val="auto"/>
        </w:rPr>
        <w:t>Section 10.9(d)</w:t>
      </w:r>
      <w:r>
        <w:rPr>
          <w:rFonts w:ascii="Arial" w:cs="Arial" w:eastAsia="Arial" w:hAnsi="Arial"/>
          <w:sz w:val="20"/>
          <w:szCs w:val="20"/>
          <w:color w:val="auto"/>
        </w:rPr>
        <w:t xml:space="preserve"> of </w:t>
      </w:r>
      <w:r>
        <w:rPr>
          <w:rFonts w:ascii="Arial" w:cs="Arial" w:eastAsia="Arial" w:hAnsi="Arial"/>
          <w:sz w:val="20"/>
          <w:szCs w:val="20"/>
          <w:i w:val="1"/>
          <w:iCs w:val="1"/>
          <w:color w:val="auto"/>
        </w:rPr>
        <w:t>Annex A</w:t>
      </w:r>
      <w:r>
        <w:rPr>
          <w:rFonts w:ascii="Arial" w:cs="Arial" w:eastAsia="Arial" w:hAnsi="Arial"/>
          <w:sz w:val="20"/>
          <w:szCs w:val="20"/>
          <w:color w:val="auto"/>
        </w:rPr>
        <w:t xml:space="preserve"> to </w:t>
      </w:r>
      <w:r>
        <w:rPr>
          <w:rFonts w:ascii="Arial" w:cs="Arial" w:eastAsia="Arial" w:hAnsi="Arial"/>
          <w:sz w:val="20"/>
          <w:szCs w:val="20"/>
          <w:i w:val="1"/>
          <w:iCs w:val="1"/>
          <w:color w:val="auto"/>
        </w:rPr>
        <w:t>Exhibit D</w:t>
      </w:r>
      <w:r>
        <w:rPr>
          <w:rFonts w:ascii="Arial" w:cs="Arial" w:eastAsia="Arial" w:hAnsi="Arial"/>
          <w:sz w:val="20"/>
          <w:szCs w:val="20"/>
          <w:color w:val="auto"/>
        </w:rPr>
        <w:t xml:space="preserve"> to the Credit Agreement is hereby amended and restated in its entirety as follows:</w:t>
      </w:r>
    </w:p>
    <w:p>
      <w:pPr>
        <w:sectPr>
          <w:pgSz w:w="11900" w:h="16838" w:orient="portrait"/>
          <w:cols w:equalWidth="0" w:num="1">
            <w:col w:w="11420"/>
          </w:cols>
          <w:pgMar w:left="240" w:top="595" w:right="239" w:bottom="1440" w:gutter="0" w:footer="0" w:header="0"/>
        </w:sectPr>
      </w:pPr>
    </w:p>
    <w:p>
      <w:pPr>
        <w:spacing w:after="0" w:line="339" w:lineRule="exact"/>
        <w:rPr>
          <w:sz w:val="20"/>
          <w:szCs w:val="20"/>
          <w:color w:val="auto"/>
        </w:rPr>
      </w:pPr>
    </w:p>
    <w:p>
      <w:pPr>
        <w:ind w:left="680"/>
        <w:spacing w:after="0"/>
        <w:rPr>
          <w:sz w:val="20"/>
          <w:szCs w:val="20"/>
          <w:color w:val="auto"/>
        </w:rPr>
      </w:pPr>
      <w:r>
        <w:rPr>
          <w:rFonts w:ascii="Arial" w:cs="Arial" w:eastAsia="Arial" w:hAnsi="Arial"/>
          <w:sz w:val="20"/>
          <w:szCs w:val="20"/>
          <w:color w:val="auto"/>
        </w:rPr>
        <w:t>(xiv) If</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firstLine="79"/>
        <w:spacing w:after="0" w:line="287" w:lineRule="auto"/>
        <w:rPr>
          <w:sz w:val="20"/>
          <w:szCs w:val="20"/>
          <w:color w:val="auto"/>
        </w:rPr>
      </w:pPr>
      <w:r>
        <w:rPr>
          <w:rFonts w:ascii="Arial" w:cs="Arial" w:eastAsia="Arial" w:hAnsi="Arial"/>
          <w:sz w:val="19"/>
          <w:szCs w:val="19"/>
          <w:color w:val="auto"/>
        </w:rPr>
        <w:t>Distribution #1 is a dividend, does any Default or Potential Default exist under the Credit Agreement or would any Default or Potential Default arise after giving effect to Distribution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Yes/No</w:t>
      </w:r>
    </w:p>
    <w:p>
      <w:pPr>
        <w:spacing w:after="0" w:line="308" w:lineRule="exact"/>
        <w:rPr>
          <w:sz w:val="20"/>
          <w:szCs w:val="20"/>
          <w:color w:val="auto"/>
        </w:rPr>
      </w:pPr>
    </w:p>
    <w:p>
      <w:pPr>
        <w:sectPr>
          <w:pgSz w:w="11900" w:h="16838" w:orient="portrait"/>
          <w:cols w:equalWidth="0" w:num="3">
            <w:col w:w="1300" w:space="40"/>
            <w:col w:w="7960" w:space="100"/>
            <w:col w:w="2020"/>
          </w:cols>
          <w:pgMar w:left="240" w:top="595" w:right="239" w:bottom="1440" w:gutter="0" w:footer="0" w:header="0"/>
          <w:type w:val="continuous"/>
        </w:sectPr>
      </w:pPr>
    </w:p>
    <w:p>
      <w:pPr>
        <w:spacing w:after="0" w:line="7" w:lineRule="exact"/>
        <w:rPr>
          <w:sz w:val="20"/>
          <w:szCs w:val="20"/>
          <w:color w:val="auto"/>
        </w:rPr>
      </w:pPr>
    </w:p>
    <w:p>
      <w:pPr>
        <w:ind w:left="1340" w:right="2140" w:hanging="13"/>
        <w:spacing w:after="0" w:line="269" w:lineRule="auto"/>
        <w:rPr>
          <w:sz w:val="20"/>
          <w:szCs w:val="20"/>
          <w:color w:val="auto"/>
        </w:rPr>
      </w:pPr>
      <w:r>
        <w:rPr>
          <w:rFonts w:ascii="Arial" w:cs="Arial" w:eastAsia="Arial" w:hAnsi="Arial"/>
          <w:sz w:val="19"/>
          <w:szCs w:val="19"/>
          <w:color w:val="auto"/>
        </w:rPr>
        <w:t>(If No, then VRI may pay dividends in an amount not to exceed greater of (a) $75,000,000, or (b) an amount equal to twenty percent (20%) of Adjusted EBITDA for the trailing twelve month period ended on the last day of the most-recently ended fiscal quarter)</w:t>
      </w:r>
    </w:p>
    <w:p>
      <w:pPr>
        <w:sectPr>
          <w:pgSz w:w="11900" w:h="16838" w:orient="portrait"/>
          <w:cols w:equalWidth="0" w:num="1">
            <w:col w:w="11420"/>
          </w:cols>
          <w:pgMar w:left="240" w:top="595" w:right="239" w:bottom="1440" w:gutter="0" w:footer="0" w:header="0"/>
          <w:type w:val="continuous"/>
        </w:sectPr>
      </w:pPr>
    </w:p>
    <w:p>
      <w:pPr>
        <w:spacing w:after="0" w:line="224" w:lineRule="exact"/>
        <w:rPr>
          <w:sz w:val="20"/>
          <w:szCs w:val="20"/>
          <w:color w:val="auto"/>
        </w:rPr>
      </w:pPr>
    </w:p>
    <w:p>
      <w:pPr>
        <w:jc w:val="both"/>
        <w:ind w:left="1980" w:hanging="647"/>
        <w:spacing w:after="0" w:line="246" w:lineRule="auto"/>
        <w:rPr>
          <w:sz w:val="20"/>
          <w:szCs w:val="20"/>
          <w:color w:val="auto"/>
        </w:rPr>
      </w:pPr>
      <w:r>
        <w:rPr>
          <w:rFonts w:ascii="Arial" w:cs="Arial" w:eastAsia="Arial" w:hAnsi="Arial"/>
          <w:sz w:val="20"/>
          <w:szCs w:val="20"/>
          <w:color w:val="auto"/>
        </w:rPr>
        <w:t xml:space="preserve">(A) Are the dividends paid during the Subject Period under </w:t>
      </w:r>
      <w:r>
        <w:rPr>
          <w:rFonts w:ascii="Arial" w:cs="Arial" w:eastAsia="Arial" w:hAnsi="Arial"/>
          <w:sz w:val="20"/>
          <w:szCs w:val="20"/>
          <w:i w:val="1"/>
          <w:iCs w:val="1"/>
          <w:color w:val="auto"/>
        </w:rPr>
        <w:t>Section 10.9(d)(iii)</w:t>
      </w:r>
      <w:r>
        <w:rPr>
          <w:rFonts w:ascii="Arial" w:cs="Arial" w:eastAsia="Arial" w:hAnsi="Arial"/>
          <w:sz w:val="20"/>
          <w:szCs w:val="20"/>
          <w:color w:val="auto"/>
        </w:rPr>
        <w:t xml:space="preserve"> of the Credit Agreement greater than the greater of (a) $75,000,000, or (b) an amount equal to twenty percent (20%) of Adjusted EBITDA for the trailing twelve month period ended on the last day of the most-recently ended fiscal quarter?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Yes/No</w:t>
      </w:r>
    </w:p>
    <w:p>
      <w:pPr>
        <w:spacing w:after="0" w:line="270" w:lineRule="exact"/>
        <w:rPr>
          <w:sz w:val="20"/>
          <w:szCs w:val="20"/>
          <w:color w:val="auto"/>
        </w:rPr>
      </w:pPr>
    </w:p>
    <w:p>
      <w:pPr>
        <w:sectPr>
          <w:pgSz w:w="11900" w:h="16838" w:orient="portrait"/>
          <w:cols w:equalWidth="0" w:num="2">
            <w:col w:w="9300" w:space="100"/>
            <w:col w:w="2020"/>
          </w:cols>
          <w:pgMar w:left="240" w:top="595" w:right="239" w:bottom="1440" w:gutter="0" w:footer="0" w:header="0"/>
          <w:type w:val="continuous"/>
        </w:sectPr>
      </w:pPr>
    </w:p>
    <w:p>
      <w:pPr>
        <w:spacing w:after="0" w:line="24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2.08. </w:t>
      </w:r>
      <w:r>
        <w:rPr>
          <w:rFonts w:ascii="Arial" w:cs="Arial" w:eastAsia="Arial" w:hAnsi="Arial"/>
          <w:sz w:val="20"/>
          <w:szCs w:val="20"/>
          <w:i w:val="1"/>
          <w:iCs w:val="1"/>
          <w:color w:val="auto"/>
        </w:rPr>
        <w:t>Clause (xiv)</w:t>
      </w:r>
      <w:r>
        <w:rPr>
          <w:rFonts w:ascii="Arial" w:cs="Arial" w:eastAsia="Arial" w:hAnsi="Arial"/>
          <w:sz w:val="20"/>
          <w:szCs w:val="20"/>
          <w:color w:val="auto"/>
        </w:rPr>
        <w:t xml:space="preserve"> of </w:t>
      </w:r>
      <w:r>
        <w:rPr>
          <w:rFonts w:ascii="Arial" w:cs="Arial" w:eastAsia="Arial" w:hAnsi="Arial"/>
          <w:sz w:val="20"/>
          <w:szCs w:val="20"/>
          <w:i w:val="1"/>
          <w:iCs w:val="1"/>
          <w:color w:val="auto"/>
        </w:rPr>
        <w:t>Section 11.1</w:t>
      </w:r>
      <w:r>
        <w:rPr>
          <w:rFonts w:ascii="Arial" w:cs="Arial" w:eastAsia="Arial" w:hAnsi="Arial"/>
          <w:sz w:val="20"/>
          <w:szCs w:val="20"/>
          <w:color w:val="auto"/>
        </w:rPr>
        <w:t xml:space="preserve"> of </w:t>
      </w:r>
      <w:r>
        <w:rPr>
          <w:rFonts w:ascii="Arial" w:cs="Arial" w:eastAsia="Arial" w:hAnsi="Arial"/>
          <w:sz w:val="20"/>
          <w:szCs w:val="20"/>
          <w:i w:val="1"/>
          <w:iCs w:val="1"/>
          <w:color w:val="auto"/>
        </w:rPr>
        <w:t>Annex A</w:t>
      </w:r>
      <w:r>
        <w:rPr>
          <w:rFonts w:ascii="Arial" w:cs="Arial" w:eastAsia="Arial" w:hAnsi="Arial"/>
          <w:sz w:val="20"/>
          <w:szCs w:val="20"/>
          <w:color w:val="auto"/>
        </w:rPr>
        <w:t xml:space="preserve"> to </w:t>
      </w:r>
      <w:r>
        <w:rPr>
          <w:rFonts w:ascii="Arial" w:cs="Arial" w:eastAsia="Arial" w:hAnsi="Arial"/>
          <w:sz w:val="20"/>
          <w:szCs w:val="20"/>
          <w:i w:val="1"/>
          <w:iCs w:val="1"/>
          <w:color w:val="auto"/>
        </w:rPr>
        <w:t>Exhibit D</w:t>
      </w:r>
      <w:r>
        <w:rPr>
          <w:rFonts w:ascii="Arial" w:cs="Arial" w:eastAsia="Arial" w:hAnsi="Arial"/>
          <w:sz w:val="20"/>
          <w:szCs w:val="20"/>
          <w:color w:val="auto"/>
        </w:rPr>
        <w:t xml:space="preserve"> to the Credit Agreement is hereby amended and restated in its entirety as follows:</w:t>
      </w:r>
    </w:p>
    <w:p>
      <w:pPr>
        <w:spacing w:after="0" w:line="339"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8460" w:type="dxa"/>
            <w:vAlign w:val="bottom"/>
          </w:tcPr>
          <w:p>
            <w:pPr>
              <w:jc w:val="right"/>
              <w:spacing w:after="0"/>
              <w:rPr>
                <w:sz w:val="20"/>
                <w:szCs w:val="20"/>
                <w:color w:val="auto"/>
              </w:rPr>
            </w:pPr>
            <w:r>
              <w:rPr>
                <w:rFonts w:ascii="Arial" w:cs="Arial" w:eastAsia="Arial" w:hAnsi="Arial"/>
                <w:sz w:val="20"/>
                <w:szCs w:val="20"/>
                <w:color w:val="auto"/>
                <w:w w:val="90"/>
              </w:rPr>
              <w:t>(xiv) Investments of the Companies in marketable obligations issued or unconditionally guaranteed by an</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8460" w:type="dxa"/>
            <w:vAlign w:val="bottom"/>
          </w:tcPr>
          <w:p>
            <w:pPr>
              <w:jc w:val="right"/>
              <w:spacing w:after="0"/>
              <w:rPr>
                <w:sz w:val="20"/>
                <w:szCs w:val="20"/>
                <w:color w:val="auto"/>
              </w:rPr>
            </w:pPr>
            <w:r>
              <w:rPr>
                <w:rFonts w:ascii="Arial" w:cs="Arial" w:eastAsia="Arial" w:hAnsi="Arial"/>
                <w:sz w:val="20"/>
                <w:szCs w:val="20"/>
                <w:color w:val="auto"/>
                <w:w w:val="98"/>
              </w:rPr>
              <w:t>Approved Jurisdiction or issued by an agency of an Approved Jurisdiction and backed by the full</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8460" w:type="dxa"/>
            <w:vAlign w:val="bottom"/>
          </w:tcPr>
          <w:p>
            <w:pPr>
              <w:jc w:val="right"/>
              <w:spacing w:after="0"/>
              <w:rPr>
                <w:sz w:val="20"/>
                <w:szCs w:val="20"/>
                <w:color w:val="auto"/>
              </w:rPr>
            </w:pPr>
            <w:r>
              <w:rPr>
                <w:rFonts w:ascii="Arial" w:cs="Arial" w:eastAsia="Arial" w:hAnsi="Arial"/>
                <w:sz w:val="20"/>
                <w:szCs w:val="20"/>
                <w:color w:val="auto"/>
              </w:rPr>
              <w:t>faith and credit of such Approved Jurisdiction, in each case maturing within one year from the</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06"/>
        </w:trPr>
        <w:tc>
          <w:tcPr>
            <w:tcW w:w="8460" w:type="dxa"/>
            <w:vAlign w:val="bottom"/>
          </w:tcPr>
          <w:p>
            <w:pPr>
              <w:jc w:val="right"/>
              <w:ind w:right="6201"/>
              <w:spacing w:after="0" w:line="206" w:lineRule="exact"/>
              <w:rPr>
                <w:sz w:val="20"/>
                <w:szCs w:val="20"/>
                <w:color w:val="auto"/>
              </w:rPr>
            </w:pPr>
            <w:r>
              <w:rPr>
                <w:rFonts w:ascii="Arial" w:cs="Arial" w:eastAsia="Arial" w:hAnsi="Arial"/>
                <w:sz w:val="20"/>
                <w:szCs w:val="20"/>
                <w:color w:val="auto"/>
              </w:rPr>
              <w:t>date of acquisition:</w:t>
            </w:r>
          </w:p>
        </w:tc>
        <w:tc>
          <w:tcPr>
            <w:tcW w:w="120" w:type="dxa"/>
            <w:vAlign w:val="bottom"/>
          </w:tcPr>
          <w:p>
            <w:pPr>
              <w:jc w:val="right"/>
              <w:spacing w:after="0" w:line="206" w:lineRule="exact"/>
              <w:rPr>
                <w:sz w:val="20"/>
                <w:szCs w:val="20"/>
                <w:color w:val="auto"/>
              </w:rPr>
            </w:pPr>
            <w:r>
              <w:rPr>
                <w:rFonts w:ascii="Arial" w:cs="Arial" w:eastAsia="Arial" w:hAnsi="Arial"/>
                <w:sz w:val="20"/>
                <w:szCs w:val="20"/>
                <w:color w:val="auto"/>
                <w:w w:val="89"/>
              </w:rPr>
              <w:t>$</w:t>
            </w:r>
          </w:p>
        </w:tc>
        <w:tc>
          <w:tcPr>
            <w:tcW w:w="1480" w:type="dxa"/>
            <w:vAlign w:val="bottom"/>
            <w:tcBorders>
              <w:bottom w:val="single" w:sz="8" w:color="auto"/>
            </w:tcBorders>
          </w:tcPr>
          <w:p>
            <w:pPr>
              <w:spacing w:after="0"/>
              <w:rPr>
                <w:sz w:val="17"/>
                <w:szCs w:val="17"/>
                <w:color w:val="auto"/>
              </w:rPr>
            </w:pPr>
          </w:p>
        </w:tc>
      </w:tr>
    </w:tbl>
    <w:p>
      <w:pPr>
        <w:spacing w:after="0" w:line="25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2.09. </w:t>
      </w:r>
      <w:r>
        <w:rPr>
          <w:rFonts w:ascii="Arial" w:cs="Arial" w:eastAsia="Arial" w:hAnsi="Arial"/>
          <w:sz w:val="20"/>
          <w:szCs w:val="20"/>
          <w:i w:val="1"/>
          <w:iCs w:val="1"/>
          <w:color w:val="auto"/>
        </w:rPr>
        <w:t>Clause (xv)</w:t>
      </w:r>
      <w:r>
        <w:rPr>
          <w:rFonts w:ascii="Arial" w:cs="Arial" w:eastAsia="Arial" w:hAnsi="Arial"/>
          <w:sz w:val="20"/>
          <w:szCs w:val="20"/>
          <w:color w:val="auto"/>
        </w:rPr>
        <w:t xml:space="preserve"> of </w:t>
      </w:r>
      <w:r>
        <w:rPr>
          <w:rFonts w:ascii="Arial" w:cs="Arial" w:eastAsia="Arial" w:hAnsi="Arial"/>
          <w:sz w:val="20"/>
          <w:szCs w:val="20"/>
          <w:i w:val="1"/>
          <w:iCs w:val="1"/>
          <w:color w:val="auto"/>
        </w:rPr>
        <w:t>Section 11.1</w:t>
      </w:r>
      <w:r>
        <w:rPr>
          <w:rFonts w:ascii="Arial" w:cs="Arial" w:eastAsia="Arial" w:hAnsi="Arial"/>
          <w:sz w:val="20"/>
          <w:szCs w:val="20"/>
          <w:color w:val="auto"/>
        </w:rPr>
        <w:t xml:space="preserve"> of </w:t>
      </w:r>
      <w:r>
        <w:rPr>
          <w:rFonts w:ascii="Arial" w:cs="Arial" w:eastAsia="Arial" w:hAnsi="Arial"/>
          <w:sz w:val="20"/>
          <w:szCs w:val="20"/>
          <w:i w:val="1"/>
          <w:iCs w:val="1"/>
          <w:color w:val="auto"/>
        </w:rPr>
        <w:t>Annex A</w:t>
      </w:r>
      <w:r>
        <w:rPr>
          <w:rFonts w:ascii="Arial" w:cs="Arial" w:eastAsia="Arial" w:hAnsi="Arial"/>
          <w:sz w:val="20"/>
          <w:szCs w:val="20"/>
          <w:color w:val="auto"/>
        </w:rPr>
        <w:t xml:space="preserve"> to </w:t>
      </w:r>
      <w:r>
        <w:rPr>
          <w:rFonts w:ascii="Arial" w:cs="Arial" w:eastAsia="Arial" w:hAnsi="Arial"/>
          <w:sz w:val="20"/>
          <w:szCs w:val="20"/>
          <w:i w:val="1"/>
          <w:iCs w:val="1"/>
          <w:color w:val="auto"/>
        </w:rPr>
        <w:t>Exhibit D</w:t>
      </w:r>
      <w:r>
        <w:rPr>
          <w:rFonts w:ascii="Arial" w:cs="Arial" w:eastAsia="Arial" w:hAnsi="Arial"/>
          <w:sz w:val="20"/>
          <w:szCs w:val="20"/>
          <w:color w:val="auto"/>
        </w:rPr>
        <w:t xml:space="preserve"> to the Credit Agreement is hereby amended and restated in its entirety as follows: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5" w:right="239" w:bottom="1440" w:gutter="0" w:footer="0" w:header="0"/>
          <w:type w:val="continuous"/>
        </w:sectPr>
      </w:pPr>
    </w:p>
    <w:bookmarkStart w:id="48" w:name="page49"/>
    <w:bookmarkEnd w:id="48"/>
    <w:p>
      <w:pPr>
        <w:jc w:val="right"/>
        <w:ind w:left="1340" w:right="2320" w:hanging="657"/>
        <w:spacing w:after="0" w:line="278" w:lineRule="auto"/>
        <w:tabs>
          <w:tab w:leader="none" w:pos="1071"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Investments of the Companies in short-term investment grade domestic and eurodollar certificates of deposit or time deposits that are fully insured by the Federal Deposit Insurance Corporation or</w:t>
      </w:r>
    </w:p>
    <w:p>
      <w:pPr>
        <w:sectPr>
          <w:pgSz w:w="11900" w:h="16838" w:orient="portrait"/>
          <w:cols w:equalWidth="0" w:num="1">
            <w:col w:w="11420"/>
          </w:cols>
          <w:pgMar w:left="240" w:top="757" w:right="239" w:bottom="1440" w:gutter="0" w:footer="0" w:header="0"/>
        </w:sectPr>
      </w:pPr>
    </w:p>
    <w:p>
      <w:pPr>
        <w:jc w:val="both"/>
        <w:ind w:left="1340"/>
        <w:spacing w:after="0" w:line="256" w:lineRule="auto"/>
        <w:rPr>
          <w:sz w:val="20"/>
          <w:szCs w:val="20"/>
          <w:color w:val="auto"/>
        </w:rPr>
      </w:pPr>
      <w:r>
        <w:rPr>
          <w:rFonts w:ascii="Arial" w:cs="Arial" w:eastAsia="Arial" w:hAnsi="Arial"/>
          <w:sz w:val="19"/>
          <w:szCs w:val="19"/>
          <w:color w:val="auto"/>
        </w:rPr>
        <w:t>similar agency of an Approved Jurisdiction or are issued by commercial banks organized under the Laws of an Approved Jurisdiction or any state or province of an Approved Jurisdiction having combined capital, surplus, and undivided profits of not less than $100,000,000 (as shown on its most recently published statement of condition):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80" w:lineRule="exact"/>
        <w:rPr>
          <w:sz w:val="20"/>
          <w:szCs w:val="20"/>
          <w:color w:val="auto"/>
        </w:rPr>
      </w:pPr>
    </w:p>
    <w:p>
      <w:pPr>
        <w:sectPr>
          <w:pgSz w:w="11900" w:h="16838" w:orient="portrait"/>
          <w:cols w:equalWidth="0" w:num="2">
            <w:col w:w="9100" w:space="60"/>
            <w:col w:w="2260"/>
          </w:cols>
          <w:pgMar w:left="240" w:top="757" w:right="239" w:bottom="1440" w:gutter="0" w:footer="0" w:header="0"/>
          <w:type w:val="continuous"/>
        </w:sectPr>
      </w:pPr>
    </w:p>
    <w:p>
      <w:pPr>
        <w:spacing w:after="0" w:line="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2.10. </w:t>
      </w:r>
      <w:r>
        <w:rPr>
          <w:rFonts w:ascii="Arial" w:cs="Arial" w:eastAsia="Arial" w:hAnsi="Arial"/>
          <w:sz w:val="20"/>
          <w:szCs w:val="20"/>
          <w:i w:val="1"/>
          <w:iCs w:val="1"/>
          <w:color w:val="auto"/>
        </w:rPr>
        <w:t>Clause (xx)</w:t>
      </w:r>
      <w:r>
        <w:rPr>
          <w:rFonts w:ascii="Arial" w:cs="Arial" w:eastAsia="Arial" w:hAnsi="Arial"/>
          <w:sz w:val="20"/>
          <w:szCs w:val="20"/>
          <w:color w:val="auto"/>
        </w:rPr>
        <w:t xml:space="preserve"> of </w:t>
      </w:r>
      <w:r>
        <w:rPr>
          <w:rFonts w:ascii="Arial" w:cs="Arial" w:eastAsia="Arial" w:hAnsi="Arial"/>
          <w:sz w:val="20"/>
          <w:szCs w:val="20"/>
          <w:i w:val="1"/>
          <w:iCs w:val="1"/>
          <w:color w:val="auto"/>
        </w:rPr>
        <w:t>Section 11.1</w:t>
      </w:r>
      <w:r>
        <w:rPr>
          <w:rFonts w:ascii="Arial" w:cs="Arial" w:eastAsia="Arial" w:hAnsi="Arial"/>
          <w:sz w:val="20"/>
          <w:szCs w:val="20"/>
          <w:color w:val="auto"/>
        </w:rPr>
        <w:t xml:space="preserve"> of </w:t>
      </w:r>
      <w:r>
        <w:rPr>
          <w:rFonts w:ascii="Arial" w:cs="Arial" w:eastAsia="Arial" w:hAnsi="Arial"/>
          <w:sz w:val="20"/>
          <w:szCs w:val="20"/>
          <w:i w:val="1"/>
          <w:iCs w:val="1"/>
          <w:color w:val="auto"/>
        </w:rPr>
        <w:t>Annex A</w:t>
      </w:r>
      <w:r>
        <w:rPr>
          <w:rFonts w:ascii="Arial" w:cs="Arial" w:eastAsia="Arial" w:hAnsi="Arial"/>
          <w:sz w:val="20"/>
          <w:szCs w:val="20"/>
          <w:color w:val="auto"/>
        </w:rPr>
        <w:t xml:space="preserve"> to </w:t>
      </w:r>
      <w:r>
        <w:rPr>
          <w:rFonts w:ascii="Arial" w:cs="Arial" w:eastAsia="Arial" w:hAnsi="Arial"/>
          <w:sz w:val="20"/>
          <w:szCs w:val="20"/>
          <w:i w:val="1"/>
          <w:iCs w:val="1"/>
          <w:color w:val="auto"/>
        </w:rPr>
        <w:t>Exhibit D</w:t>
      </w:r>
      <w:r>
        <w:rPr>
          <w:rFonts w:ascii="Arial" w:cs="Arial" w:eastAsia="Arial" w:hAnsi="Arial"/>
          <w:sz w:val="20"/>
          <w:szCs w:val="20"/>
          <w:color w:val="auto"/>
        </w:rPr>
        <w:t xml:space="preserve"> to the Credit Agreement is hereby amended and restated in its entirety as follows:</w:t>
      </w:r>
    </w:p>
    <w:p>
      <w:pPr>
        <w:spacing w:after="0" w:line="339" w:lineRule="exact"/>
        <w:rPr>
          <w:sz w:val="20"/>
          <w:szCs w:val="20"/>
          <w:color w:val="auto"/>
        </w:rPr>
      </w:pPr>
    </w:p>
    <w:p>
      <w:pPr>
        <w:jc w:val="right"/>
        <w:ind w:left="1340" w:right="2320" w:hanging="657"/>
        <w:spacing w:after="0" w:line="306" w:lineRule="auto"/>
        <w:tabs>
          <w:tab w:leader="none" w:pos="1071"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Investments of the Companies in short-term repurchase agreements with major banks and authorized dealers, fully collateralized to at least 100% of market value by marketable obligations issued or unconditionally guaranteed by an Approved Jurisdiction or issued by any agency of an Approved</w:t>
      </w:r>
    </w:p>
    <w:p>
      <w:pPr>
        <w:spacing w:after="0" w:line="1" w:lineRule="exact"/>
        <w:rPr>
          <w:sz w:val="20"/>
          <w:szCs w:val="20"/>
          <w:color w:val="auto"/>
        </w:rPr>
      </w:pPr>
    </w:p>
    <w:p>
      <w:pPr>
        <w:ind w:left="1340"/>
        <w:spacing w:after="0"/>
        <w:tabs>
          <w:tab w:leader="none" w:pos="9140" w:val="left"/>
        </w:tabs>
        <w:rPr>
          <w:sz w:val="20"/>
          <w:szCs w:val="20"/>
          <w:color w:val="auto"/>
        </w:rPr>
      </w:pPr>
      <w:r>
        <w:rPr>
          <w:rFonts w:ascii="Arial" w:cs="Arial" w:eastAsia="Arial" w:hAnsi="Arial"/>
          <w:sz w:val="20"/>
          <w:szCs w:val="20"/>
          <w:color w:val="auto"/>
        </w:rPr>
        <w:t>Jurisdiction and backed by the full faith and credit of such Approved Jurisdiction:</w:t>
      </w:r>
      <w:r>
        <w:rPr>
          <w:sz w:val="20"/>
          <w:szCs w:val="20"/>
          <w:color w:val="auto"/>
        </w:rPr>
        <w:tab/>
      </w:r>
      <w:r>
        <w:rPr>
          <w:rFonts w:ascii="Arial" w:cs="Arial" w:eastAsia="Arial" w:hAnsi="Arial"/>
          <w:sz w:val="16"/>
          <w:szCs w:val="16"/>
          <w:color w:val="auto"/>
        </w:rPr>
        <w:t>$______________</w:t>
      </w:r>
    </w:p>
    <w:p>
      <w:pPr>
        <w:spacing w:after="0" w:line="254" w:lineRule="exact"/>
        <w:rPr>
          <w:sz w:val="20"/>
          <w:szCs w:val="20"/>
          <w:color w:val="auto"/>
        </w:rPr>
      </w:pPr>
    </w:p>
    <w:p>
      <w:pPr>
        <w:ind w:left="40" w:right="2320" w:firstLine="648"/>
        <w:spacing w:after="0" w:line="260" w:lineRule="auto"/>
        <w:rPr>
          <w:sz w:val="20"/>
          <w:szCs w:val="20"/>
          <w:color w:val="auto"/>
        </w:rPr>
      </w:pPr>
      <w:r>
        <w:rPr>
          <w:rFonts w:ascii="Arial" w:cs="Arial" w:eastAsia="Arial" w:hAnsi="Arial"/>
          <w:sz w:val="20"/>
          <w:szCs w:val="20"/>
          <w:color w:val="auto"/>
        </w:rPr>
        <w:t xml:space="preserve">2.11. </w:t>
      </w:r>
      <w:r>
        <w:rPr>
          <w:rFonts w:ascii="Arial" w:cs="Arial" w:eastAsia="Arial" w:hAnsi="Arial"/>
          <w:sz w:val="20"/>
          <w:szCs w:val="20"/>
          <w:i w:val="1"/>
          <w:iCs w:val="1"/>
          <w:color w:val="auto"/>
        </w:rPr>
        <w:t>Clause (xxi)</w:t>
      </w:r>
      <w:r>
        <w:rPr>
          <w:rFonts w:ascii="Arial" w:cs="Arial" w:eastAsia="Arial" w:hAnsi="Arial"/>
          <w:sz w:val="20"/>
          <w:szCs w:val="20"/>
          <w:color w:val="auto"/>
        </w:rPr>
        <w:t xml:space="preserve"> of </w:t>
      </w:r>
      <w:r>
        <w:rPr>
          <w:rFonts w:ascii="Arial" w:cs="Arial" w:eastAsia="Arial" w:hAnsi="Arial"/>
          <w:sz w:val="20"/>
          <w:szCs w:val="20"/>
          <w:i w:val="1"/>
          <w:iCs w:val="1"/>
          <w:color w:val="auto"/>
        </w:rPr>
        <w:t>Section 11.1</w:t>
      </w:r>
      <w:r>
        <w:rPr>
          <w:rFonts w:ascii="Arial" w:cs="Arial" w:eastAsia="Arial" w:hAnsi="Arial"/>
          <w:sz w:val="20"/>
          <w:szCs w:val="20"/>
          <w:color w:val="auto"/>
        </w:rPr>
        <w:t xml:space="preserve"> of </w:t>
      </w:r>
      <w:r>
        <w:rPr>
          <w:rFonts w:ascii="Arial" w:cs="Arial" w:eastAsia="Arial" w:hAnsi="Arial"/>
          <w:sz w:val="20"/>
          <w:szCs w:val="20"/>
          <w:i w:val="1"/>
          <w:iCs w:val="1"/>
          <w:color w:val="auto"/>
        </w:rPr>
        <w:t>Annex A</w:t>
      </w:r>
      <w:r>
        <w:rPr>
          <w:rFonts w:ascii="Arial" w:cs="Arial" w:eastAsia="Arial" w:hAnsi="Arial"/>
          <w:sz w:val="20"/>
          <w:szCs w:val="20"/>
          <w:color w:val="auto"/>
        </w:rPr>
        <w:t xml:space="preserve"> to </w:t>
      </w:r>
      <w:r>
        <w:rPr>
          <w:rFonts w:ascii="Arial" w:cs="Arial" w:eastAsia="Arial" w:hAnsi="Arial"/>
          <w:sz w:val="20"/>
          <w:szCs w:val="20"/>
          <w:i w:val="1"/>
          <w:iCs w:val="1"/>
          <w:color w:val="auto"/>
        </w:rPr>
        <w:t>Exhibit D</w:t>
      </w:r>
      <w:r>
        <w:rPr>
          <w:rFonts w:ascii="Arial" w:cs="Arial" w:eastAsia="Arial" w:hAnsi="Arial"/>
          <w:sz w:val="20"/>
          <w:szCs w:val="20"/>
          <w:color w:val="auto"/>
        </w:rPr>
        <w:t xml:space="preserve"> to the Credit Agreement is hereby amended and restated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left="1340" w:right="2320" w:hanging="657"/>
        <w:spacing w:after="0" w:line="270" w:lineRule="auto"/>
        <w:tabs>
          <w:tab w:leader="none" w:pos="1166"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Investments of the Companies in short-term variable rate demand notes that invest in tax-free municipal bonds of domestic issuers rated “</w:t>
      </w:r>
      <w:r>
        <w:rPr>
          <w:rFonts w:ascii="Arial" w:cs="Arial" w:eastAsia="Arial" w:hAnsi="Arial"/>
          <w:sz w:val="18"/>
          <w:szCs w:val="18"/>
          <w:i w:val="1"/>
          <w:iCs w:val="1"/>
          <w:color w:val="auto"/>
        </w:rPr>
        <w:t>A-2</w:t>
      </w:r>
      <w:r>
        <w:rPr>
          <w:rFonts w:ascii="Arial" w:cs="Arial" w:eastAsia="Arial" w:hAnsi="Arial"/>
          <w:sz w:val="18"/>
          <w:szCs w:val="18"/>
          <w:color w:val="auto"/>
        </w:rPr>
        <w:t>” or better by Moody’s or “</w:t>
      </w:r>
      <w:r>
        <w:rPr>
          <w:rFonts w:ascii="Arial" w:cs="Arial" w:eastAsia="Arial" w:hAnsi="Arial"/>
          <w:sz w:val="18"/>
          <w:szCs w:val="18"/>
          <w:i w:val="1"/>
          <w:iCs w:val="1"/>
          <w:color w:val="auto"/>
        </w:rPr>
        <w:t>A</w:t>
      </w:r>
      <w:r>
        <w:rPr>
          <w:rFonts w:ascii="Arial" w:cs="Arial" w:eastAsia="Arial" w:hAnsi="Arial"/>
          <w:sz w:val="18"/>
          <w:szCs w:val="18"/>
          <w:color w:val="auto"/>
        </w:rPr>
        <w:t>” or better by S&amp;P that are supported by irrevocable letters of credit issued by commercial banks organized under the laws of an Approved Jurisdiction or any state or province of an Approved Jurisdiction having</w:t>
      </w:r>
    </w:p>
    <w:p>
      <w:pPr>
        <w:spacing w:after="0" w:line="3" w:lineRule="exact"/>
        <w:rPr>
          <w:sz w:val="20"/>
          <w:szCs w:val="20"/>
          <w:color w:val="auto"/>
        </w:rPr>
      </w:pPr>
    </w:p>
    <w:p>
      <w:pPr>
        <w:ind w:left="1340"/>
        <w:spacing w:after="0"/>
        <w:tabs>
          <w:tab w:leader="none" w:pos="9140" w:val="left"/>
        </w:tabs>
        <w:rPr>
          <w:sz w:val="20"/>
          <w:szCs w:val="20"/>
          <w:color w:val="auto"/>
        </w:rPr>
      </w:pPr>
      <w:r>
        <w:rPr>
          <w:rFonts w:ascii="Arial" w:cs="Arial" w:eastAsia="Arial" w:hAnsi="Arial"/>
          <w:sz w:val="20"/>
          <w:szCs w:val="20"/>
          <w:color w:val="auto"/>
        </w:rPr>
        <w:t>combined capital, surplus, and undivided profits of not less than $100,000,000:</w:t>
      </w:r>
      <w:r>
        <w:rPr>
          <w:sz w:val="20"/>
          <w:szCs w:val="20"/>
          <w:color w:val="auto"/>
        </w:rPr>
        <w:tab/>
      </w:r>
      <w:r>
        <w:rPr>
          <w:rFonts w:ascii="Arial" w:cs="Arial" w:eastAsia="Arial" w:hAnsi="Arial"/>
          <w:sz w:val="16"/>
          <w:szCs w:val="16"/>
          <w:color w:val="auto"/>
        </w:rPr>
        <w:t>$______________</w:t>
      </w:r>
    </w:p>
    <w:p>
      <w:pPr>
        <w:spacing w:after="0" w:line="200" w:lineRule="exact"/>
        <w:rPr>
          <w:sz w:val="20"/>
          <w:szCs w:val="20"/>
          <w:color w:val="auto"/>
        </w:rPr>
      </w:pPr>
    </w:p>
    <w:p>
      <w:pPr>
        <w:spacing w:after="0" w:line="237" w:lineRule="exact"/>
        <w:rPr>
          <w:sz w:val="20"/>
          <w:szCs w:val="20"/>
          <w:color w:val="auto"/>
        </w:rPr>
      </w:pPr>
    </w:p>
    <w:p>
      <w:pPr>
        <w:jc w:val="both"/>
        <w:ind w:firstLine="656"/>
        <w:spacing w:after="0" w:line="248" w:lineRule="auto"/>
        <w:tabs>
          <w:tab w:leader="none" w:pos="1004" w:val="left"/>
        </w:tabs>
        <w:numPr>
          <w:ilvl w:val="0"/>
          <w:numId w:val="28"/>
        </w:numPr>
        <w:rPr>
          <w:rFonts w:ascii="Arial" w:cs="Arial" w:eastAsia="Arial" w:hAnsi="Arial"/>
          <w:sz w:val="20"/>
          <w:szCs w:val="20"/>
          <w:color w:val="auto"/>
        </w:rPr>
      </w:pPr>
      <w:r>
        <w:rPr>
          <w:rFonts w:ascii="Arial" w:cs="Arial" w:eastAsia="Arial" w:hAnsi="Arial"/>
          <w:sz w:val="20"/>
          <w:szCs w:val="20"/>
          <w:b w:val="1"/>
          <w:bCs w:val="1"/>
          <w:u w:val="single" w:color="auto"/>
          <w:color w:val="auto"/>
        </w:rPr>
        <w:t>Guarantors’ Consent</w:t>
      </w:r>
      <w:r>
        <w:rPr>
          <w:rFonts w:ascii="Arial" w:cs="Arial" w:eastAsia="Arial" w:hAnsi="Arial"/>
          <w:sz w:val="20"/>
          <w:szCs w:val="20"/>
          <w:color w:val="auto"/>
        </w:rPr>
        <w:t>. Each of the undersigned Guarantors hereby (a) consents to this Amendment, (b) acknowledges and agrees</w:t>
      </w:r>
      <w:r>
        <w:rPr>
          <w:rFonts w:ascii="Arial" w:cs="Arial" w:eastAsia="Arial" w:hAnsi="Arial"/>
          <w:sz w:val="20"/>
          <w:szCs w:val="20"/>
          <w:b w:val="1"/>
          <w:bCs w:val="1"/>
          <w:color w:val="auto"/>
        </w:rPr>
        <w:t xml:space="preserve"> </w:t>
      </w:r>
      <w:r>
        <w:rPr>
          <w:rFonts w:ascii="Arial" w:cs="Arial" w:eastAsia="Arial" w:hAnsi="Arial"/>
          <w:sz w:val="20"/>
          <w:szCs w:val="20"/>
          <w:color w:val="auto"/>
        </w:rPr>
        <w:t>that its obligations and liabilities under and pursuant to its Guaranty are not released, diminished, impaired, or otherwise adversely affected by this Amendment, and that all such obligations and liabilities are, and shall continue to be, in full force and effect, and (c) agrees that its Guaranty is hereby ratified in all respects.</w:t>
      </w:r>
    </w:p>
    <w:p>
      <w:pPr>
        <w:spacing w:after="0" w:line="183" w:lineRule="exact"/>
        <w:rPr>
          <w:rFonts w:ascii="Arial" w:cs="Arial" w:eastAsia="Arial" w:hAnsi="Arial"/>
          <w:sz w:val="20"/>
          <w:szCs w:val="20"/>
          <w:color w:val="auto"/>
        </w:rPr>
      </w:pPr>
    </w:p>
    <w:p>
      <w:pPr>
        <w:ind w:firstLine="656"/>
        <w:spacing w:after="0" w:line="267" w:lineRule="auto"/>
        <w:tabs>
          <w:tab w:leader="none" w:pos="977" w:val="left"/>
        </w:tabs>
        <w:numPr>
          <w:ilvl w:val="0"/>
          <w:numId w:val="28"/>
        </w:numPr>
        <w:rPr>
          <w:rFonts w:ascii="Arial" w:cs="Arial" w:eastAsia="Arial" w:hAnsi="Arial"/>
          <w:sz w:val="20"/>
          <w:szCs w:val="20"/>
          <w:color w:val="auto"/>
        </w:rPr>
      </w:pPr>
      <w:r>
        <w:rPr>
          <w:rFonts w:ascii="Arial" w:cs="Arial" w:eastAsia="Arial" w:hAnsi="Arial"/>
          <w:sz w:val="20"/>
          <w:szCs w:val="20"/>
          <w:b w:val="1"/>
          <w:bCs w:val="1"/>
          <w:u w:val="single" w:color="auto"/>
          <w:color w:val="auto"/>
        </w:rPr>
        <w:t>Execution and Delivery of this Amendment</w:t>
      </w:r>
      <w:r>
        <w:rPr>
          <w:rFonts w:ascii="Arial" w:cs="Arial" w:eastAsia="Arial" w:hAnsi="Arial"/>
          <w:sz w:val="20"/>
          <w:szCs w:val="20"/>
          <w:color w:val="auto"/>
        </w:rPr>
        <w:t>. This Amendment shall be effective, and shall constitute a binding agreement among</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hereto, on the date that each of the following conditions precedent has been satisfied:</w:t>
      </w:r>
    </w:p>
    <w:p>
      <w:pPr>
        <w:spacing w:after="0" w:line="183" w:lineRule="exact"/>
        <w:rPr>
          <w:sz w:val="20"/>
          <w:szCs w:val="20"/>
          <w:color w:val="auto"/>
        </w:rPr>
      </w:pPr>
    </w:p>
    <w:p>
      <w:pPr>
        <w:ind w:firstLine="656"/>
        <w:spacing w:after="0" w:line="289" w:lineRule="auto"/>
        <w:tabs>
          <w:tab w:leader="none" w:pos="1516" w:val="left"/>
        </w:tabs>
        <w:numPr>
          <w:ilvl w:val="0"/>
          <w:numId w:val="29"/>
        </w:numPr>
        <w:rPr>
          <w:rFonts w:ascii="Arial" w:cs="Arial" w:eastAsia="Arial" w:hAnsi="Arial"/>
          <w:sz w:val="20"/>
          <w:szCs w:val="20"/>
          <w:color w:val="auto"/>
        </w:rPr>
      </w:pPr>
      <w:r>
        <w:rPr>
          <w:rFonts w:ascii="Arial" w:cs="Arial" w:eastAsia="Arial" w:hAnsi="Arial"/>
          <w:sz w:val="20"/>
          <w:szCs w:val="20"/>
          <w:color w:val="auto"/>
        </w:rPr>
        <w:t>Receipt by Administrative Agent of counterparts of this Amendment executed by Required Lenders, Borrower, the Swing Line Lenders and L/C Issuers; and</w:t>
      </w:r>
    </w:p>
    <w:p>
      <w:pPr>
        <w:spacing w:after="0" w:line="188" w:lineRule="exact"/>
        <w:rPr>
          <w:rFonts w:ascii="Arial" w:cs="Arial" w:eastAsia="Arial" w:hAnsi="Arial"/>
          <w:sz w:val="20"/>
          <w:szCs w:val="20"/>
          <w:color w:val="auto"/>
        </w:rPr>
      </w:pPr>
    </w:p>
    <w:p>
      <w:pPr>
        <w:jc w:val="both"/>
        <w:ind w:firstLine="656"/>
        <w:spacing w:after="0" w:line="278" w:lineRule="auto"/>
        <w:tabs>
          <w:tab w:leader="none" w:pos="1527" w:val="left"/>
        </w:tabs>
        <w:numPr>
          <w:ilvl w:val="0"/>
          <w:numId w:val="29"/>
        </w:numPr>
        <w:rPr>
          <w:rFonts w:ascii="Arial" w:cs="Arial" w:eastAsia="Arial" w:hAnsi="Arial"/>
          <w:sz w:val="20"/>
          <w:szCs w:val="20"/>
          <w:color w:val="auto"/>
        </w:rPr>
      </w:pPr>
      <w:r>
        <w:rPr>
          <w:rFonts w:ascii="Arial" w:cs="Arial" w:eastAsia="Arial" w:hAnsi="Arial"/>
          <w:sz w:val="20"/>
          <w:szCs w:val="20"/>
          <w:color w:val="auto"/>
        </w:rPr>
        <w:t>payment of all fees payable on or prior to the Execution Date to Administrative Agent, any Related Party of Administrative Agent, and any Lender as provided for in Section 5 of the Credit Agreement, and unless waived by Administrative Agent, payment in full of all reasonable fees, expenses, and disbursements of Haynes and Boone, LLP.</w:t>
      </w:r>
    </w:p>
    <w:p>
      <w:pPr>
        <w:spacing w:after="0" w:line="181" w:lineRule="exact"/>
        <w:rPr>
          <w:sz w:val="20"/>
          <w:szCs w:val="20"/>
          <w:color w:val="auto"/>
        </w:rPr>
      </w:pPr>
    </w:p>
    <w:p>
      <w:pPr>
        <w:jc w:val="both"/>
        <w:ind w:firstLine="656"/>
        <w:spacing w:after="0" w:line="253" w:lineRule="auto"/>
        <w:tabs>
          <w:tab w:leader="none" w:pos="1044" w:val="left"/>
        </w:tabs>
        <w:numPr>
          <w:ilvl w:val="0"/>
          <w:numId w:val="30"/>
        </w:numPr>
        <w:rPr>
          <w:rFonts w:ascii="Arial" w:cs="Arial" w:eastAsia="Arial" w:hAnsi="Arial"/>
          <w:sz w:val="20"/>
          <w:szCs w:val="20"/>
          <w:color w:val="auto"/>
        </w:rPr>
      </w:pPr>
      <w:r>
        <w:rPr>
          <w:rFonts w:ascii="Arial" w:cs="Arial" w:eastAsia="Arial" w:hAnsi="Arial"/>
          <w:sz w:val="20"/>
          <w:szCs w:val="20"/>
          <w:b w:val="1"/>
          <w:bCs w:val="1"/>
          <w:u w:val="single" w:color="auto"/>
          <w:color w:val="auto"/>
        </w:rPr>
        <w:t>Representations and Warranties</w:t>
      </w:r>
      <w:r>
        <w:rPr>
          <w:rFonts w:ascii="Arial" w:cs="Arial" w:eastAsia="Arial" w:hAnsi="Arial"/>
          <w:sz w:val="20"/>
          <w:szCs w:val="20"/>
          <w:color w:val="auto"/>
        </w:rPr>
        <w:t>. In order to induce Administrative Agent, the Lenders, the Swing Line Lenders and the L/C</w:t>
      </w:r>
      <w:r>
        <w:rPr>
          <w:rFonts w:ascii="Arial" w:cs="Arial" w:eastAsia="Arial" w:hAnsi="Arial"/>
          <w:sz w:val="20"/>
          <w:szCs w:val="20"/>
          <w:b w:val="1"/>
          <w:bCs w:val="1"/>
          <w:color w:val="auto"/>
        </w:rPr>
        <w:t xml:space="preserve"> </w:t>
      </w:r>
      <w:r>
        <w:rPr>
          <w:rFonts w:ascii="Arial" w:cs="Arial" w:eastAsia="Arial" w:hAnsi="Arial"/>
          <w:sz w:val="20"/>
          <w:szCs w:val="20"/>
          <w:color w:val="auto"/>
        </w:rPr>
        <w:t>Issuers to enter into this Amendment, Borrower represents and warrants to Administrative Agent, the Lenders, the Swing Line Lenders and the L/C Issuers as follows: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57" w:right="239" w:bottom="1440" w:gutter="0" w:footer="0" w:header="0"/>
          <w:type w:val="continuous"/>
        </w:sectPr>
      </w:pPr>
    </w:p>
    <w:bookmarkStart w:id="49" w:name="page50"/>
    <w:bookmarkEnd w:id="49"/>
    <w:p>
      <w:pPr>
        <w:jc w:val="both"/>
        <w:ind w:firstLine="656"/>
        <w:spacing w:after="0" w:line="322" w:lineRule="auto"/>
        <w:tabs>
          <w:tab w:leader="none" w:pos="15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Amendment and each Loan Paper has been duly authorized, executed, and delivered by Borrower and constitutes its legal, valid, and binding obligations enforceable in accordance with their respective terms (subject to applicable bankruptcy, reorganization, insolvency, moratorium, and similar laws affecting creditors’ rights generally and to general principles of equity).</w:t>
      </w:r>
    </w:p>
    <w:p>
      <w:pPr>
        <w:spacing w:after="0" w:line="166" w:lineRule="exact"/>
        <w:rPr>
          <w:rFonts w:ascii="Arial" w:cs="Arial" w:eastAsia="Arial" w:hAnsi="Arial"/>
          <w:sz w:val="18"/>
          <w:szCs w:val="18"/>
          <w:color w:val="auto"/>
        </w:rPr>
      </w:pPr>
    </w:p>
    <w:p>
      <w:pPr>
        <w:ind w:firstLine="656"/>
        <w:spacing w:after="0" w:line="289" w:lineRule="auto"/>
        <w:tabs>
          <w:tab w:leader="none" w:pos="1581"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representations and warranties set forth in the Loan Papers are true and correct in all material respects (except to the extent qualified by materiality, in which case they shall be true and correct).</w:t>
      </w:r>
    </w:p>
    <w:p>
      <w:pPr>
        <w:spacing w:after="0" w:line="188" w:lineRule="exact"/>
        <w:rPr>
          <w:rFonts w:ascii="Arial" w:cs="Arial" w:eastAsia="Arial" w:hAnsi="Arial"/>
          <w:sz w:val="20"/>
          <w:szCs w:val="20"/>
          <w:color w:val="auto"/>
        </w:rPr>
      </w:pPr>
    </w:p>
    <w:p>
      <w:pPr>
        <w:ind w:left="1580" w:hanging="924"/>
        <w:spacing w:after="0"/>
        <w:tabs>
          <w:tab w:leader="none" w:pos="15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Before and after giving effect to this Amendment, no Event of Default exists.</w:t>
      </w:r>
    </w:p>
    <w:p>
      <w:pPr>
        <w:spacing w:after="0" w:line="237" w:lineRule="exact"/>
        <w:rPr>
          <w:sz w:val="20"/>
          <w:szCs w:val="20"/>
          <w:color w:val="auto"/>
        </w:rPr>
      </w:pPr>
    </w:p>
    <w:p>
      <w:pPr>
        <w:jc w:val="both"/>
        <w:ind w:firstLine="656"/>
        <w:spacing w:after="0" w:line="280" w:lineRule="auto"/>
        <w:tabs>
          <w:tab w:leader="none" w:pos="977"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Amendment</w:t>
      </w:r>
      <w:r>
        <w:rPr>
          <w:rFonts w:ascii="Arial" w:cs="Arial" w:eastAsia="Arial" w:hAnsi="Arial"/>
          <w:sz w:val="18"/>
          <w:szCs w:val="18"/>
          <w:color w:val="auto"/>
        </w:rPr>
        <w:t>. Except as specifically set forth herein, this Amendment shall not impair the validity or enforceability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Agreement or any other Loan Paper, or alter, modify, or in any way affect any of the terms, conditions, obligations, covenants or agreements contained in the Credit Agreement, all of which are hereby ratified and affirmed in all respects. Nothing herein shall act as a waiver of any Default or of any of Administrative Agent’s or any Lender’s rights under the Loan Papers (except as specifically set forth herein), or prejudice any right which Administrative Agent or any Lender may have under or in connection with the Credit Agreement.</w:t>
      </w:r>
    </w:p>
    <w:p>
      <w:pPr>
        <w:spacing w:after="0" w:line="156" w:lineRule="exact"/>
        <w:rPr>
          <w:rFonts w:ascii="Arial" w:cs="Arial" w:eastAsia="Arial" w:hAnsi="Arial"/>
          <w:sz w:val="18"/>
          <w:szCs w:val="18"/>
          <w:color w:val="auto"/>
        </w:rPr>
      </w:pPr>
    </w:p>
    <w:p>
      <w:pPr>
        <w:jc w:val="both"/>
        <w:ind w:firstLine="656"/>
        <w:spacing w:after="0" w:line="277" w:lineRule="auto"/>
        <w:tabs>
          <w:tab w:leader="none" w:pos="1017"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 This Amendment is a “Loan Paper” as defined in the Credit Agreement. This Amendment shall be governed by,</w:t>
      </w:r>
      <w:r>
        <w:rPr>
          <w:rFonts w:ascii="Arial" w:cs="Arial" w:eastAsia="Arial" w:hAnsi="Arial"/>
          <w:sz w:val="18"/>
          <w:szCs w:val="18"/>
          <w:b w:val="1"/>
          <w:bCs w:val="1"/>
          <w:color w:val="auto"/>
        </w:rPr>
        <w:t xml:space="preserve"> </w:t>
      </w:r>
      <w:r>
        <w:rPr>
          <w:rFonts w:ascii="Arial" w:cs="Arial" w:eastAsia="Arial" w:hAnsi="Arial"/>
          <w:sz w:val="18"/>
          <w:szCs w:val="18"/>
          <w:color w:val="auto"/>
        </w:rPr>
        <w:t>and construed in accordance with, the laws of the State of New York. The captions in this Amendment are for convenience of reference only and shall not define or limit the provisions hereof. This Amendment may be executed in separate counterparts, each of which when so executed and delivered shall be an original, but all of which together shall constitute one instrument. In proving this Amendment, it shall not be necessary to produce or account for more than one such counterpart. Delivery of an executed counterpart of this Amendment by telecopier or other electronic means shall be effective as delivery of a manually executed counterpart of this Amendment.</w:t>
      </w:r>
    </w:p>
    <w:p>
      <w:pPr>
        <w:spacing w:after="0" w:line="160" w:lineRule="exact"/>
        <w:rPr>
          <w:rFonts w:ascii="Arial" w:cs="Arial" w:eastAsia="Arial" w:hAnsi="Arial"/>
          <w:sz w:val="18"/>
          <w:szCs w:val="18"/>
          <w:color w:val="auto"/>
        </w:rPr>
      </w:pPr>
    </w:p>
    <w:p>
      <w:pPr>
        <w:jc w:val="both"/>
        <w:ind w:firstLine="656"/>
        <w:spacing w:after="0" w:line="253" w:lineRule="auto"/>
        <w:tabs>
          <w:tab w:leader="none" w:pos="1004" w:val="left"/>
        </w:tabs>
        <w:numPr>
          <w:ilvl w:val="0"/>
          <w:numId w:val="32"/>
        </w:numPr>
        <w:rPr>
          <w:rFonts w:ascii="Arial" w:cs="Arial" w:eastAsia="Arial" w:hAnsi="Arial"/>
          <w:sz w:val="20"/>
          <w:szCs w:val="20"/>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color w:val="auto"/>
        </w:rPr>
        <w:t>. The Credit Agreement, this Amendment and the other Loan Papers represent the final agreement between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and may not be contradicted by evidence of prior, contemporaneous, or subsequent oral agreements of the parties. There are no unwritten oral agreements between the 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Remainder of Page Intentionally Blank.</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Signature Pages to Follow.</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09" w:right="239" w:bottom="1440" w:gutter="0" w:footer="0" w:header="0"/>
        </w:sectPr>
      </w:pPr>
    </w:p>
    <w:bookmarkStart w:id="50" w:name="page51"/>
    <w:bookmarkEnd w:id="50"/>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and delivered by their proper and duly authorized officers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VAIL HOLDINGS, INC.</w:t>
      </w:r>
      <w:r>
        <w:rPr>
          <w:rFonts w:ascii="Arial" w:cs="Arial" w:eastAsia="Arial" w:hAnsi="Arial"/>
          <w:sz w:val="20"/>
          <w:szCs w:val="20"/>
          <w:color w:val="auto"/>
        </w:rPr>
        <w:t>,</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Borrower</w:t>
      </w:r>
    </w:p>
    <w:p>
      <w:pPr>
        <w:spacing w:after="0" w:line="200" w:lineRule="exact"/>
        <w:rPr>
          <w:sz w:val="20"/>
          <w:szCs w:val="20"/>
          <w:color w:val="auto"/>
        </w:rPr>
      </w:pPr>
    </w:p>
    <w:p>
      <w:pPr>
        <w:ind w:left="3980"/>
        <w:spacing w:after="0"/>
        <w:tabs>
          <w:tab w:leader="none" w:pos="4520" w:val="left"/>
        </w:tabs>
        <w:rPr>
          <w:sz w:val="20"/>
          <w:szCs w:val="20"/>
          <w:color w:val="auto"/>
        </w:rPr>
      </w:pPr>
      <w:r>
        <w:rPr>
          <w:rFonts w:ascii="Arial" w:cs="Arial" w:eastAsia="Arial" w:hAnsi="Arial"/>
          <w:sz w:val="20"/>
          <w:szCs w:val="20"/>
          <w:color w:val="auto"/>
        </w:rPr>
        <w:t>By:</w:t>
        <w:tab/>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-14605</wp:posOffset>
            </wp:positionV>
            <wp:extent cx="14522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224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Michael Z. Barkin</w:t>
      </w:r>
    </w:p>
    <w:p>
      <w:pPr>
        <w:ind w:left="4540"/>
        <w:spacing w:after="0"/>
        <w:rPr>
          <w:sz w:val="20"/>
          <w:szCs w:val="20"/>
          <w:color w:val="auto"/>
        </w:rPr>
      </w:pPr>
      <w:r>
        <w:rPr>
          <w:rFonts w:ascii="Arial" w:cs="Arial" w:eastAsia="Arial" w:hAnsi="Arial"/>
          <w:sz w:val="20"/>
          <w:szCs w:val="20"/>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Fourth Amendment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Seventh Amended and Restated Credit Agreement</w:t>
      </w:r>
    </w:p>
    <w:p>
      <w:pPr>
        <w:sectPr>
          <w:pgSz w:w="11900" w:h="16838" w:orient="portrait"/>
          <w:cols w:equalWidth="0" w:num="1">
            <w:col w:w="11400"/>
          </w:cols>
          <w:pgMar w:left="240" w:top="595" w:right="259" w:bottom="1440" w:gutter="0" w:footer="0" w:header="0"/>
        </w:sectPr>
      </w:pPr>
    </w:p>
    <w:bookmarkStart w:id="51" w:name="page52"/>
    <w:bookmarkEnd w:id="51"/>
    <w:p>
      <w:pPr>
        <w:ind w:left="270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27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24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Scott W. Blackman</w:t>
            </w:r>
          </w:p>
        </w:tc>
      </w:tr>
      <w:tr>
        <w:trPr>
          <w:trHeight w:val="233"/>
        </w:trPr>
        <w:tc>
          <w:tcPr>
            <w:tcW w:w="64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Arial" w:cs="Arial" w:eastAsia="Arial" w:hAnsi="Arial"/>
                <w:sz w:val="20"/>
                <w:szCs w:val="20"/>
                <w:color w:val="auto"/>
              </w:rPr>
              <w:t>Scott W. Blackman</w:t>
            </w:r>
          </w:p>
        </w:tc>
      </w:tr>
      <w:tr>
        <w:trPr>
          <w:trHeight w:val="250"/>
        </w:trPr>
        <w:tc>
          <w:tcPr>
            <w:tcW w:w="640" w:type="dxa"/>
            <w:vAlign w:val="bottom"/>
          </w:tcPr>
          <w:p>
            <w:pPr>
              <w:spacing w:after="0"/>
              <w:rPr>
                <w:sz w:val="21"/>
                <w:szCs w:val="21"/>
                <w:color w:val="auto"/>
              </w:rPr>
            </w:pPr>
          </w:p>
        </w:tc>
        <w:tc>
          <w:tcPr>
            <w:tcW w:w="2460" w:type="dxa"/>
            <w:vAlign w:val="bottom"/>
          </w:tcPr>
          <w:p>
            <w:pPr>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Fourth Amendment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Seventh Amended and Restated Credit Agreement</w:t>
      </w:r>
    </w:p>
    <w:p>
      <w:pPr>
        <w:sectPr>
          <w:pgSz w:w="11900" w:h="16838" w:orient="portrait"/>
          <w:cols w:equalWidth="0" w:num="1">
            <w:col w:w="9019"/>
          </w:cols>
          <w:pgMar w:left="1440" w:top="589" w:right="1440" w:bottom="1440" w:gutter="0" w:footer="0" w:header="0"/>
        </w:sectPr>
      </w:pPr>
    </w:p>
    <w:bookmarkStart w:id="52" w:name="page53"/>
    <w:bookmarkEnd w:id="52"/>
    <w:p>
      <w:pPr>
        <w:ind w:left="270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as an L/C Issuer, a Swing Line Lender, a Revolver Lender and a Term Loan Lender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7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23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Scott W. Blackman</w:t>
            </w:r>
          </w:p>
        </w:tc>
      </w:tr>
      <w:tr>
        <w:trPr>
          <w:trHeight w:val="233"/>
        </w:trPr>
        <w:tc>
          <w:tcPr>
            <w:tcW w:w="64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20"/>
                <w:szCs w:val="20"/>
                <w:color w:val="auto"/>
              </w:rPr>
              <w:t>Scott W. Blackman</w:t>
            </w:r>
          </w:p>
        </w:tc>
      </w:tr>
      <w:tr>
        <w:trPr>
          <w:trHeight w:val="250"/>
        </w:trPr>
        <w:tc>
          <w:tcPr>
            <w:tcW w:w="640" w:type="dxa"/>
            <w:vAlign w:val="bottom"/>
          </w:tcPr>
          <w:p>
            <w:pPr>
              <w:spacing w:after="0"/>
              <w:rPr>
                <w:sz w:val="21"/>
                <w:szCs w:val="21"/>
                <w:color w:val="auto"/>
              </w:rPr>
            </w:pPr>
          </w:p>
        </w:tc>
        <w:tc>
          <w:tcPr>
            <w:tcW w:w="2360" w:type="dxa"/>
            <w:vAlign w:val="bottom"/>
          </w:tcPr>
          <w:p>
            <w:pPr>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pacing w:after="0" w:line="241" w:lineRule="exact"/>
        <w:rPr>
          <w:sz w:val="20"/>
          <w:szCs w:val="20"/>
          <w:color w:val="auto"/>
        </w:rPr>
      </w:pPr>
    </w:p>
    <w:p>
      <w:pPr>
        <w:jc w:val="center"/>
        <w:ind w:right="260"/>
        <w:spacing w:after="0"/>
        <w:rPr>
          <w:sz w:val="20"/>
          <w:szCs w:val="20"/>
          <w:color w:val="auto"/>
        </w:rPr>
      </w:pPr>
      <w:r>
        <w:rPr>
          <w:rFonts w:ascii="Arial" w:cs="Arial" w:eastAsia="Arial" w:hAnsi="Arial"/>
          <w:sz w:val="18"/>
          <w:szCs w:val="18"/>
          <w:i w:val="1"/>
          <w:iCs w:val="1"/>
          <w:color w:val="auto"/>
        </w:rPr>
        <w:t>Signature Page to Fourth Amendment to</w:t>
      </w:r>
    </w:p>
    <w:p>
      <w:pPr>
        <w:spacing w:after="0" w:line="23" w:lineRule="exact"/>
        <w:rPr>
          <w:sz w:val="20"/>
          <w:szCs w:val="20"/>
          <w:color w:val="auto"/>
        </w:rPr>
      </w:pPr>
    </w:p>
    <w:p>
      <w:pPr>
        <w:jc w:val="center"/>
        <w:ind w:right="260"/>
        <w:spacing w:after="0"/>
        <w:rPr>
          <w:sz w:val="20"/>
          <w:szCs w:val="20"/>
          <w:color w:val="auto"/>
        </w:rPr>
      </w:pPr>
      <w:r>
        <w:rPr>
          <w:rFonts w:ascii="Arial" w:cs="Arial" w:eastAsia="Arial" w:hAnsi="Arial"/>
          <w:sz w:val="16"/>
          <w:szCs w:val="16"/>
          <w:i w:val="1"/>
          <w:iCs w:val="1"/>
          <w:color w:val="auto"/>
        </w:rPr>
        <w:t>Seventh Amended and Restated Credit Agreement</w:t>
      </w:r>
    </w:p>
    <w:p>
      <w:pPr>
        <w:sectPr>
          <w:pgSz w:w="11900" w:h="16838" w:orient="portrait"/>
          <w:cols w:equalWidth="0" w:num="1">
            <w:col w:w="9300"/>
          </w:cols>
          <w:pgMar w:left="1440" w:top="589" w:right="1159" w:bottom="1440" w:gutter="0" w:footer="0" w:header="0"/>
        </w:sectPr>
      </w:pPr>
    </w:p>
    <w:bookmarkStart w:id="53" w:name="page54"/>
    <w:bookmarkEnd w:id="53"/>
    <w:p>
      <w:pPr>
        <w:ind w:left="2700"/>
        <w:spacing w:after="0"/>
        <w:rPr>
          <w:sz w:val="20"/>
          <w:szCs w:val="20"/>
          <w:color w:val="auto"/>
        </w:rPr>
      </w:pPr>
      <w:r>
        <w:rPr>
          <w:rFonts w:ascii="Arial" w:cs="Arial" w:eastAsia="Arial" w:hAnsi="Arial"/>
          <w:sz w:val="20"/>
          <w:szCs w:val="20"/>
          <w:b w:val="1"/>
          <w:bCs w:val="1"/>
          <w:color w:val="auto"/>
        </w:rPr>
        <w:t>U.S. BANK NATIONAL ASSOCIATION</w:t>
      </w:r>
      <w:r>
        <w:rPr>
          <w:rFonts w:ascii="Arial" w:cs="Arial" w:eastAsia="Arial" w:hAnsi="Arial"/>
          <w:sz w:val="20"/>
          <w:szCs w:val="20"/>
          <w:color w:val="auto"/>
        </w:rPr>
        <w:t>,</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as a Swing Line Lender, a Revolver Lender and a Term Loan Lender</w:t>
      </w:r>
    </w:p>
    <w:p>
      <w:pPr>
        <w:spacing w:after="0" w:line="200" w:lineRule="exact"/>
        <w:rPr>
          <w:sz w:val="20"/>
          <w:szCs w:val="20"/>
          <w:color w:val="auto"/>
        </w:rPr>
      </w:pPr>
    </w:p>
    <w:p>
      <w:pPr>
        <w:spacing w:after="0" w:line="251" w:lineRule="exact"/>
        <w:rPr>
          <w:sz w:val="20"/>
          <w:szCs w:val="20"/>
          <w:color w:val="auto"/>
        </w:rPr>
      </w:pPr>
    </w:p>
    <w:tbl>
      <w:tblPr>
        <w:tblLayout w:type="fixed"/>
        <w:tblInd w:w="27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19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Greg Blanchard</w:t>
            </w:r>
          </w:p>
        </w:tc>
      </w:tr>
      <w:tr>
        <w:trPr>
          <w:trHeight w:val="233"/>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1900" w:type="dxa"/>
            <w:vAlign w:val="bottom"/>
          </w:tcPr>
          <w:p>
            <w:pPr>
              <w:spacing w:after="0"/>
              <w:rPr>
                <w:sz w:val="20"/>
                <w:szCs w:val="20"/>
                <w:color w:val="auto"/>
              </w:rPr>
            </w:pPr>
            <w:r>
              <w:rPr>
                <w:rFonts w:ascii="Arial" w:cs="Arial" w:eastAsia="Arial" w:hAnsi="Arial"/>
                <w:sz w:val="20"/>
                <w:szCs w:val="20"/>
                <w:color w:val="auto"/>
              </w:rPr>
              <w:t>Greg Blanchard</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1900" w:type="dxa"/>
            <w:vAlign w:val="bottom"/>
          </w:tcPr>
          <w:p>
            <w:pPr>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Fourth Amendment 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Seventh Amended and Restated Credit Agreement</w:t>
      </w:r>
    </w:p>
    <w:p>
      <w:pPr>
        <w:sectPr>
          <w:pgSz w:w="11900" w:h="16838" w:orient="portrait"/>
          <w:cols w:equalWidth="0" w:num="1">
            <w:col w:w="9019"/>
          </w:cols>
          <w:pgMar w:left="1440" w:top="589" w:right="1440" w:bottom="1440" w:gutter="0" w:footer="0" w:header="0"/>
        </w:sectPr>
      </w:pPr>
    </w:p>
    <w:bookmarkStart w:id="54" w:name="page55"/>
    <w:bookmarkEnd w:id="54"/>
    <w:p>
      <w:pPr>
        <w:ind w:left="2700"/>
        <w:spacing w:after="0" w:line="267" w:lineRule="auto"/>
        <w:rPr>
          <w:sz w:val="20"/>
          <w:szCs w:val="20"/>
          <w:color w:val="auto"/>
        </w:rPr>
      </w:pPr>
      <w:r>
        <w:rPr>
          <w:rFonts w:ascii="Arial" w:cs="Arial" w:eastAsia="Arial" w:hAnsi="Arial"/>
          <w:sz w:val="20"/>
          <w:szCs w:val="20"/>
          <w:b w:val="1"/>
          <w:bCs w:val="1"/>
          <w:color w:val="auto"/>
        </w:rPr>
        <w:t>WELLS FARGO BANK, NATIONAL ASSOCIATION</w:t>
      </w:r>
      <w:r>
        <w:rPr>
          <w:rFonts w:ascii="Arial" w:cs="Arial" w:eastAsia="Arial" w:hAnsi="Arial"/>
          <w:sz w:val="20"/>
          <w:szCs w:val="20"/>
          <w:color w:val="auto"/>
        </w:rPr>
        <w:t>, as an L/C Issuer, a Revolver</w:t>
      </w:r>
      <w:r>
        <w:rPr>
          <w:rFonts w:ascii="Arial" w:cs="Arial" w:eastAsia="Arial" w:hAnsi="Arial"/>
          <w:sz w:val="20"/>
          <w:szCs w:val="20"/>
          <w:b w:val="1"/>
          <w:bCs w:val="1"/>
          <w:color w:val="auto"/>
        </w:rPr>
        <w:t xml:space="preserve"> </w:t>
      </w:r>
      <w:r>
        <w:rPr>
          <w:rFonts w:ascii="Arial" w:cs="Arial" w:eastAsia="Arial" w:hAnsi="Arial"/>
          <w:sz w:val="20"/>
          <w:szCs w:val="20"/>
          <w:color w:val="auto"/>
        </w:rPr>
        <w:t>Lender and a Term Loan Lender</w:t>
      </w:r>
    </w:p>
    <w:p>
      <w:pPr>
        <w:spacing w:after="0" w:line="159" w:lineRule="exact"/>
        <w:rPr>
          <w:sz w:val="20"/>
          <w:szCs w:val="20"/>
          <w:color w:val="auto"/>
        </w:rPr>
      </w:pPr>
    </w:p>
    <w:tbl>
      <w:tblPr>
        <w:tblLayout w:type="fixed"/>
        <w:tblInd w:w="27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1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Paige Mason</w:t>
            </w:r>
          </w:p>
        </w:tc>
        <w:tc>
          <w:tcPr>
            <w:tcW w:w="60" w:type="dxa"/>
            <w:vAlign w:val="bottom"/>
          </w:tcPr>
          <w:p>
            <w:pPr>
              <w:spacing w:after="0"/>
              <w:rPr>
                <w:sz w:val="19"/>
                <w:szCs w:val="19"/>
                <w:color w:val="auto"/>
              </w:rPr>
            </w:pPr>
          </w:p>
        </w:tc>
      </w:tr>
      <w:tr>
        <w:trPr>
          <w:trHeight w:val="233"/>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1920" w:type="dxa"/>
            <w:vAlign w:val="bottom"/>
            <w:gridSpan w:val="2"/>
          </w:tcPr>
          <w:p>
            <w:pPr>
              <w:spacing w:after="0"/>
              <w:rPr>
                <w:sz w:val="20"/>
                <w:szCs w:val="20"/>
                <w:color w:val="auto"/>
              </w:rPr>
            </w:pPr>
            <w:r>
              <w:rPr>
                <w:rFonts w:ascii="Arial" w:cs="Arial" w:eastAsia="Arial" w:hAnsi="Arial"/>
                <w:sz w:val="20"/>
                <w:szCs w:val="20"/>
                <w:color w:val="auto"/>
              </w:rPr>
              <w:t>Paige Mason</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1920" w:type="dxa"/>
            <w:vAlign w:val="bottom"/>
            <w:gridSpan w:val="2"/>
          </w:tcPr>
          <w:p>
            <w:pPr>
              <w:spacing w:after="0"/>
              <w:rPr>
                <w:sz w:val="20"/>
                <w:szCs w:val="20"/>
                <w:color w:val="auto"/>
              </w:rPr>
            </w:pPr>
            <w:r>
              <w:rPr>
                <w:rFonts w:ascii="Arial" w:cs="Arial" w:eastAsia="Arial" w:hAnsi="Arial"/>
                <w:sz w:val="20"/>
                <w:szCs w:val="20"/>
                <w:color w:val="auto"/>
                <w:w w:val="88"/>
              </w:rPr>
              <w:t>Assistant Vice President</w:t>
            </w:r>
          </w:p>
        </w:tc>
      </w:tr>
    </w:tbl>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Signature Page to Fourth Amendment to</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6"/>
          <w:szCs w:val="16"/>
          <w:i w:val="1"/>
          <w:iCs w:val="1"/>
          <w:color w:val="auto"/>
        </w:rPr>
        <w:t>Seventh Amended and Restated Credit Agreement</w:t>
      </w:r>
    </w:p>
    <w:p>
      <w:pPr>
        <w:sectPr>
          <w:pgSz w:w="11900" w:h="16838" w:orient="portrait"/>
          <w:cols w:equalWidth="0" w:num="1">
            <w:col w:w="9680"/>
          </w:cols>
          <w:pgMar w:left="1440" w:top="589" w:right="779" w:bottom="1440" w:gutter="0" w:footer="0" w:header="0"/>
        </w:sectPr>
      </w:pPr>
    </w:p>
    <w:bookmarkStart w:id="55" w:name="page56"/>
    <w:bookmarkEnd w:id="55"/>
    <w:p>
      <w:pPr>
        <w:ind w:left="2700"/>
        <w:spacing w:after="0"/>
        <w:rPr>
          <w:sz w:val="20"/>
          <w:szCs w:val="20"/>
          <w:color w:val="auto"/>
        </w:rPr>
      </w:pPr>
      <w:r>
        <w:rPr>
          <w:rFonts w:ascii="Arial" w:cs="Arial" w:eastAsia="Arial" w:hAnsi="Arial"/>
          <w:sz w:val="20"/>
          <w:szCs w:val="20"/>
          <w:b w:val="1"/>
          <w:bCs w:val="1"/>
          <w:color w:val="auto"/>
        </w:rPr>
        <w:t>SUNTRUST BANK</w:t>
      </w:r>
      <w:r>
        <w:rPr>
          <w:rFonts w:ascii="Arial" w:cs="Arial" w:eastAsia="Arial" w:hAnsi="Arial"/>
          <w:sz w:val="20"/>
          <w:szCs w:val="20"/>
          <w:color w:val="auto"/>
        </w:rPr>
        <w:t>,</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as a Revolver Lender and a Term Loan Lender</w:t>
      </w:r>
    </w:p>
    <w:p>
      <w:pPr>
        <w:spacing w:after="0" w:line="222" w:lineRule="exact"/>
        <w:rPr>
          <w:sz w:val="20"/>
          <w:szCs w:val="20"/>
          <w:color w:val="auto"/>
        </w:rPr>
      </w:pPr>
    </w:p>
    <w:tbl>
      <w:tblPr>
        <w:tblLayout w:type="fixed"/>
        <w:tblInd w:w="27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17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Justin Lien</w:t>
            </w:r>
          </w:p>
        </w:tc>
      </w:tr>
      <w:tr>
        <w:trPr>
          <w:trHeight w:val="233"/>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1720" w:type="dxa"/>
            <w:vAlign w:val="bottom"/>
          </w:tcPr>
          <w:p>
            <w:pPr>
              <w:spacing w:after="0"/>
              <w:rPr>
                <w:sz w:val="20"/>
                <w:szCs w:val="20"/>
                <w:color w:val="auto"/>
              </w:rPr>
            </w:pPr>
            <w:r>
              <w:rPr>
                <w:rFonts w:ascii="Arial" w:cs="Arial" w:eastAsia="Arial" w:hAnsi="Arial"/>
                <w:sz w:val="20"/>
                <w:szCs w:val="20"/>
                <w:color w:val="auto"/>
              </w:rPr>
              <w:t>Justin Lien</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1720" w:type="dxa"/>
            <w:vAlign w:val="bottom"/>
          </w:tcPr>
          <w:p>
            <w:pPr>
              <w:spacing w:after="0"/>
              <w:rPr>
                <w:sz w:val="20"/>
                <w:szCs w:val="20"/>
                <w:color w:val="auto"/>
              </w:rPr>
            </w:pPr>
            <w:r>
              <w:rPr>
                <w:rFonts w:ascii="Arial" w:cs="Arial" w:eastAsia="Arial" w:hAnsi="Arial"/>
                <w:sz w:val="20"/>
                <w:szCs w:val="20"/>
                <w:color w:val="auto"/>
              </w:rPr>
              <w:t>Director</w:t>
            </w:r>
          </w:p>
        </w:tc>
      </w:tr>
    </w:tbl>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Fourth Amendment 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Seventh Amended and Restated Credit Agreement</w:t>
      </w:r>
    </w:p>
    <w:p>
      <w:pPr>
        <w:sectPr>
          <w:pgSz w:w="11900" w:h="16838" w:orient="portrait"/>
          <w:cols w:equalWidth="0" w:num="1">
            <w:col w:w="9019"/>
          </w:cols>
          <w:pgMar w:left="1440" w:top="589" w:right="1440" w:bottom="1440" w:gutter="0" w:footer="0" w:header="0"/>
        </w:sectPr>
      </w:pPr>
    </w:p>
    <w:bookmarkStart w:id="56" w:name="page57"/>
    <w:bookmarkEnd w:id="56"/>
    <w:p>
      <w:pPr>
        <w:ind w:left="2700"/>
        <w:spacing w:after="0"/>
        <w:rPr>
          <w:sz w:val="20"/>
          <w:szCs w:val="20"/>
          <w:color w:val="auto"/>
        </w:rPr>
      </w:pPr>
      <w:r>
        <w:rPr>
          <w:rFonts w:ascii="Arial" w:cs="Arial" w:eastAsia="Arial" w:hAnsi="Arial"/>
          <w:sz w:val="20"/>
          <w:szCs w:val="20"/>
          <w:b w:val="1"/>
          <w:bCs w:val="1"/>
          <w:color w:val="auto"/>
        </w:rPr>
        <w:t>BANK OF THE WEST</w:t>
      </w:r>
      <w:r>
        <w:rPr>
          <w:rFonts w:ascii="Arial" w:cs="Arial" w:eastAsia="Arial" w:hAnsi="Arial"/>
          <w:sz w:val="20"/>
          <w:szCs w:val="20"/>
          <w:color w:val="auto"/>
        </w:rPr>
        <w:t>,</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as a Revolver Lender and a Term Loan Lender</w:t>
      </w:r>
    </w:p>
    <w:p>
      <w:pPr>
        <w:spacing w:after="0" w:line="222" w:lineRule="exact"/>
        <w:rPr>
          <w:sz w:val="20"/>
          <w:szCs w:val="20"/>
          <w:color w:val="auto"/>
        </w:rPr>
      </w:pPr>
    </w:p>
    <w:tbl>
      <w:tblPr>
        <w:tblLayout w:type="fixed"/>
        <w:tblInd w:w="27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22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Phillip Garlinghouse</w:t>
            </w:r>
          </w:p>
        </w:tc>
      </w:tr>
      <w:tr>
        <w:trPr>
          <w:trHeight w:val="233"/>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2280" w:type="dxa"/>
            <w:vAlign w:val="bottom"/>
          </w:tcPr>
          <w:p>
            <w:pPr>
              <w:spacing w:after="0"/>
              <w:rPr>
                <w:sz w:val="20"/>
                <w:szCs w:val="20"/>
                <w:color w:val="auto"/>
              </w:rPr>
            </w:pPr>
            <w:r>
              <w:rPr>
                <w:rFonts w:ascii="Arial" w:cs="Arial" w:eastAsia="Arial" w:hAnsi="Arial"/>
                <w:sz w:val="20"/>
                <w:szCs w:val="20"/>
                <w:color w:val="auto"/>
              </w:rPr>
              <w:t>Phillip Garlinghouse</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2280" w:type="dxa"/>
            <w:vAlign w:val="bottom"/>
          </w:tcPr>
          <w:p>
            <w:pPr>
              <w:spacing w:after="0"/>
              <w:rPr>
                <w:sz w:val="20"/>
                <w:szCs w:val="20"/>
                <w:color w:val="auto"/>
              </w:rPr>
            </w:pPr>
            <w:r>
              <w:rPr>
                <w:rFonts w:ascii="Arial" w:cs="Arial" w:eastAsia="Arial" w:hAnsi="Arial"/>
                <w:sz w:val="20"/>
                <w:szCs w:val="20"/>
                <w:color w:val="auto"/>
              </w:rPr>
              <w:t>Vice President</w:t>
            </w:r>
          </w:p>
        </w:tc>
      </w:tr>
    </w:tbl>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Fourth Amendment 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Seventh Amended and Restated Credit Agreement</w:t>
      </w:r>
    </w:p>
    <w:p>
      <w:pPr>
        <w:sectPr>
          <w:pgSz w:w="11900" w:h="16838" w:orient="portrait"/>
          <w:cols w:equalWidth="0" w:num="1">
            <w:col w:w="9019"/>
          </w:cols>
          <w:pgMar w:left="1440" w:top="589" w:right="1440" w:bottom="1440" w:gutter="0" w:footer="0" w:header="0"/>
        </w:sectPr>
      </w:pPr>
    </w:p>
    <w:bookmarkStart w:id="57" w:name="page58"/>
    <w:bookmarkEnd w:id="57"/>
    <w:p>
      <w:pPr>
        <w:ind w:left="2700" w:right="1339"/>
        <w:spacing w:after="0" w:line="267" w:lineRule="auto"/>
        <w:rPr>
          <w:sz w:val="20"/>
          <w:szCs w:val="20"/>
          <w:color w:val="auto"/>
        </w:rPr>
      </w:pPr>
      <w:r>
        <w:rPr>
          <w:rFonts w:ascii="Arial" w:cs="Arial" w:eastAsia="Arial" w:hAnsi="Arial"/>
          <w:sz w:val="20"/>
          <w:szCs w:val="20"/>
          <w:b w:val="1"/>
          <w:bCs w:val="1"/>
          <w:color w:val="auto"/>
        </w:rPr>
        <w:t>BOKF, N.A. DBA COLORADO STATE BANK &amp; TRUST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as a Revolver Lender and a Term Loan Lender</w:t>
      </w:r>
    </w:p>
    <w:p>
      <w:pPr>
        <w:spacing w:after="0" w:line="159" w:lineRule="exact"/>
        <w:rPr>
          <w:sz w:val="20"/>
          <w:szCs w:val="20"/>
          <w:color w:val="auto"/>
        </w:rPr>
      </w:pPr>
    </w:p>
    <w:tbl>
      <w:tblPr>
        <w:tblLayout w:type="fixed"/>
        <w:tblInd w:w="27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15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Chris Golec</w:t>
            </w:r>
          </w:p>
        </w:tc>
      </w:tr>
      <w:tr>
        <w:trPr>
          <w:trHeight w:val="233"/>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1580" w:type="dxa"/>
            <w:vAlign w:val="bottom"/>
          </w:tcPr>
          <w:p>
            <w:pPr>
              <w:spacing w:after="0"/>
              <w:rPr>
                <w:sz w:val="20"/>
                <w:szCs w:val="20"/>
                <w:color w:val="auto"/>
              </w:rPr>
            </w:pPr>
            <w:r>
              <w:rPr>
                <w:rFonts w:ascii="Arial" w:cs="Arial" w:eastAsia="Arial" w:hAnsi="Arial"/>
                <w:sz w:val="20"/>
                <w:szCs w:val="20"/>
                <w:color w:val="auto"/>
              </w:rPr>
              <w:t>Chris Golec</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1580" w:type="dxa"/>
            <w:vAlign w:val="bottom"/>
          </w:tcPr>
          <w:p>
            <w:pPr>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Fourth Amendment 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Seventh Amended and Restated Credit Agreement</w:t>
      </w:r>
    </w:p>
    <w:p>
      <w:pPr>
        <w:sectPr>
          <w:pgSz w:w="11900" w:h="16838" w:orient="portrait"/>
          <w:cols w:equalWidth="0" w:num="1">
            <w:col w:w="9019"/>
          </w:cols>
          <w:pgMar w:left="1440" w:top="589" w:right="1440" w:bottom="1440" w:gutter="0" w:footer="0" w:header="0"/>
        </w:sectPr>
      </w:pPr>
    </w:p>
    <w:bookmarkStart w:id="58" w:name="page59"/>
    <w:bookmarkEnd w:id="58"/>
    <w:p>
      <w:pPr>
        <w:ind w:left="2700"/>
        <w:spacing w:after="0"/>
        <w:rPr>
          <w:sz w:val="20"/>
          <w:szCs w:val="20"/>
          <w:color w:val="auto"/>
        </w:rPr>
      </w:pPr>
      <w:r>
        <w:rPr>
          <w:rFonts w:ascii="Arial" w:cs="Arial" w:eastAsia="Arial" w:hAnsi="Arial"/>
          <w:sz w:val="20"/>
          <w:szCs w:val="20"/>
          <w:u w:val="single" w:color="auto"/>
          <w:color w:val="auto"/>
        </w:rPr>
        <w:t>GUARANTORS</w:t>
      </w:r>
      <w:r>
        <w:rPr>
          <w:rFonts w:ascii="Arial" w:cs="Arial" w:eastAsia="Arial" w:hAnsi="Arial"/>
          <w:sz w:val="20"/>
          <w:szCs w:val="20"/>
          <w:color w:val="auto"/>
        </w:rPr>
        <w:t>:</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Vail Resorts, Inc.</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All Media Associates, Inc.</w:t>
      </w:r>
    </w:p>
    <w:p>
      <w:pPr>
        <w:ind w:left="2700"/>
        <w:spacing w:after="0"/>
        <w:rPr>
          <w:sz w:val="20"/>
          <w:szCs w:val="20"/>
          <w:color w:val="auto"/>
        </w:rPr>
      </w:pPr>
      <w:r>
        <w:rPr>
          <w:rFonts w:ascii="Arial" w:cs="Arial" w:eastAsia="Arial" w:hAnsi="Arial"/>
          <w:sz w:val="20"/>
          <w:szCs w:val="20"/>
          <w:color w:val="auto"/>
        </w:rPr>
        <w:t>All Media Holdings, Inc.</w:t>
      </w:r>
    </w:p>
    <w:p>
      <w:pPr>
        <w:ind w:left="2700"/>
        <w:spacing w:after="0"/>
        <w:rPr>
          <w:sz w:val="20"/>
          <w:szCs w:val="20"/>
          <w:color w:val="auto"/>
        </w:rPr>
      </w:pPr>
      <w:r>
        <w:rPr>
          <w:rFonts w:ascii="Arial" w:cs="Arial" w:eastAsia="Arial" w:hAnsi="Arial"/>
          <w:sz w:val="20"/>
          <w:szCs w:val="20"/>
          <w:color w:val="auto"/>
        </w:rPr>
        <w:t>Arrabelle at Vail Square, LLC</w:t>
      </w:r>
    </w:p>
    <w:p>
      <w:pPr>
        <w:ind w:left="3340"/>
        <w:spacing w:after="0"/>
        <w:rPr>
          <w:sz w:val="20"/>
          <w:szCs w:val="20"/>
          <w:color w:val="auto"/>
        </w:rPr>
      </w:pPr>
      <w:r>
        <w:rPr>
          <w:rFonts w:ascii="Arial" w:cs="Arial" w:eastAsia="Arial" w:hAnsi="Arial"/>
          <w:sz w:val="20"/>
          <w:szCs w:val="20"/>
          <w:color w:val="auto"/>
        </w:rPr>
        <w:t>By: Vail Resorts Development Company</w:t>
      </w:r>
    </w:p>
    <w:p>
      <w:pPr>
        <w:ind w:left="2700"/>
        <w:spacing w:after="0"/>
        <w:rPr>
          <w:sz w:val="20"/>
          <w:szCs w:val="20"/>
          <w:color w:val="auto"/>
        </w:rPr>
      </w:pPr>
      <w:r>
        <w:rPr>
          <w:rFonts w:ascii="Arial" w:cs="Arial" w:eastAsia="Arial" w:hAnsi="Arial"/>
          <w:sz w:val="20"/>
          <w:szCs w:val="20"/>
          <w:color w:val="auto"/>
        </w:rPr>
        <w:t>Beaver Creek Associates, Inc.</w:t>
      </w:r>
    </w:p>
    <w:p>
      <w:pPr>
        <w:ind w:left="2700"/>
        <w:spacing w:after="0"/>
        <w:rPr>
          <w:sz w:val="20"/>
          <w:szCs w:val="20"/>
          <w:color w:val="auto"/>
        </w:rPr>
      </w:pPr>
      <w:r>
        <w:rPr>
          <w:rFonts w:ascii="Arial" w:cs="Arial" w:eastAsia="Arial" w:hAnsi="Arial"/>
          <w:sz w:val="20"/>
          <w:szCs w:val="20"/>
          <w:color w:val="auto"/>
        </w:rPr>
        <w:t>Beaver Creek Consultants, Inc.</w:t>
      </w:r>
    </w:p>
    <w:p>
      <w:pPr>
        <w:ind w:left="2700"/>
        <w:spacing w:after="0"/>
        <w:rPr>
          <w:sz w:val="20"/>
          <w:szCs w:val="20"/>
          <w:color w:val="auto"/>
        </w:rPr>
      </w:pPr>
      <w:r>
        <w:rPr>
          <w:rFonts w:ascii="Arial" w:cs="Arial" w:eastAsia="Arial" w:hAnsi="Arial"/>
          <w:sz w:val="20"/>
          <w:szCs w:val="20"/>
          <w:color w:val="auto"/>
        </w:rPr>
        <w:t>Beaver Creek Food Services, Inc.</w:t>
      </w:r>
    </w:p>
    <w:p>
      <w:pPr>
        <w:ind w:left="2700"/>
        <w:spacing w:after="0"/>
        <w:rPr>
          <w:sz w:val="20"/>
          <w:szCs w:val="20"/>
          <w:color w:val="auto"/>
        </w:rPr>
      </w:pPr>
      <w:r>
        <w:rPr>
          <w:rFonts w:ascii="Arial" w:cs="Arial" w:eastAsia="Arial" w:hAnsi="Arial"/>
          <w:sz w:val="20"/>
          <w:szCs w:val="20"/>
          <w:color w:val="auto"/>
        </w:rPr>
        <w:t>Booth Creek Ski Holdings, Inc.</w:t>
      </w:r>
    </w:p>
    <w:p>
      <w:pPr>
        <w:ind w:left="2700"/>
        <w:spacing w:after="0"/>
        <w:rPr>
          <w:sz w:val="20"/>
          <w:szCs w:val="20"/>
          <w:color w:val="auto"/>
        </w:rPr>
      </w:pPr>
      <w:r>
        <w:rPr>
          <w:rFonts w:ascii="Arial" w:cs="Arial" w:eastAsia="Arial" w:hAnsi="Arial"/>
          <w:sz w:val="20"/>
          <w:szCs w:val="20"/>
          <w:color w:val="auto"/>
        </w:rPr>
        <w:t>BCRP Inc.</w:t>
      </w:r>
    </w:p>
    <w:p>
      <w:pPr>
        <w:ind w:left="2700"/>
        <w:spacing w:after="0"/>
        <w:rPr>
          <w:sz w:val="20"/>
          <w:szCs w:val="20"/>
          <w:color w:val="auto"/>
        </w:rPr>
      </w:pPr>
      <w:r>
        <w:rPr>
          <w:rFonts w:ascii="Arial" w:cs="Arial" w:eastAsia="Arial" w:hAnsi="Arial"/>
          <w:sz w:val="20"/>
          <w:szCs w:val="20"/>
          <w:color w:val="auto"/>
        </w:rPr>
        <w:t>Breckenridge Resort Properties, Inc.</w:t>
      </w:r>
    </w:p>
    <w:p>
      <w:pPr>
        <w:ind w:left="2700"/>
        <w:spacing w:after="0"/>
        <w:rPr>
          <w:sz w:val="20"/>
          <w:szCs w:val="20"/>
          <w:color w:val="auto"/>
        </w:rPr>
      </w:pPr>
      <w:r>
        <w:rPr>
          <w:rFonts w:ascii="Arial" w:cs="Arial" w:eastAsia="Arial" w:hAnsi="Arial"/>
          <w:sz w:val="20"/>
          <w:szCs w:val="20"/>
          <w:color w:val="auto"/>
        </w:rPr>
        <w:t>Colorado Mountain Express, Inc.</w:t>
      </w:r>
    </w:p>
    <w:p>
      <w:pPr>
        <w:ind w:left="2700"/>
        <w:spacing w:after="0"/>
        <w:rPr>
          <w:sz w:val="20"/>
          <w:szCs w:val="20"/>
          <w:color w:val="auto"/>
        </w:rPr>
      </w:pPr>
      <w:r>
        <w:rPr>
          <w:rFonts w:ascii="Arial" w:cs="Arial" w:eastAsia="Arial" w:hAnsi="Arial"/>
          <w:sz w:val="20"/>
          <w:szCs w:val="20"/>
          <w:color w:val="auto"/>
        </w:rPr>
        <w:t>Colter Bay Café Court, LLC</w:t>
      </w:r>
    </w:p>
    <w:p>
      <w:pPr>
        <w:ind w:left="3340"/>
        <w:spacing w:after="0"/>
        <w:rPr>
          <w:sz w:val="20"/>
          <w:szCs w:val="20"/>
          <w:color w:val="auto"/>
        </w:rPr>
      </w:pPr>
      <w:r>
        <w:rPr>
          <w:rFonts w:ascii="Arial" w:cs="Arial" w:eastAsia="Arial" w:hAnsi="Arial"/>
          <w:sz w:val="20"/>
          <w:szCs w:val="20"/>
          <w:color w:val="auto"/>
        </w:rPr>
        <w:t>By: Grand Teton Lodge Company</w:t>
      </w:r>
    </w:p>
    <w:p>
      <w:pPr>
        <w:ind w:left="2700"/>
        <w:spacing w:after="0"/>
        <w:rPr>
          <w:sz w:val="20"/>
          <w:szCs w:val="20"/>
          <w:color w:val="auto"/>
        </w:rPr>
      </w:pPr>
      <w:r>
        <w:rPr>
          <w:rFonts w:ascii="Arial" w:cs="Arial" w:eastAsia="Arial" w:hAnsi="Arial"/>
          <w:sz w:val="20"/>
          <w:szCs w:val="20"/>
          <w:color w:val="auto"/>
        </w:rPr>
        <w:t>Colter Bay Convenience Store, LLC</w:t>
      </w:r>
    </w:p>
    <w:p>
      <w:pPr>
        <w:ind w:left="3340"/>
        <w:spacing w:after="0"/>
        <w:rPr>
          <w:sz w:val="20"/>
          <w:szCs w:val="20"/>
          <w:color w:val="auto"/>
        </w:rPr>
      </w:pPr>
      <w:r>
        <w:rPr>
          <w:rFonts w:ascii="Arial" w:cs="Arial" w:eastAsia="Arial" w:hAnsi="Arial"/>
          <w:sz w:val="20"/>
          <w:szCs w:val="20"/>
          <w:color w:val="auto"/>
        </w:rPr>
        <w:t>By: Grand Teton Lodge Company</w:t>
      </w:r>
    </w:p>
    <w:p>
      <w:pPr>
        <w:ind w:left="2700"/>
        <w:spacing w:after="0"/>
        <w:rPr>
          <w:sz w:val="20"/>
          <w:szCs w:val="20"/>
          <w:color w:val="auto"/>
        </w:rPr>
      </w:pPr>
      <w:r>
        <w:rPr>
          <w:rFonts w:ascii="Arial" w:cs="Arial" w:eastAsia="Arial" w:hAnsi="Arial"/>
          <w:sz w:val="20"/>
          <w:szCs w:val="20"/>
          <w:color w:val="auto"/>
        </w:rPr>
        <w:t>Colter Bay Corporation</w:t>
      </w:r>
    </w:p>
    <w:p>
      <w:pPr>
        <w:ind w:left="2700"/>
        <w:spacing w:after="0"/>
        <w:rPr>
          <w:sz w:val="20"/>
          <w:szCs w:val="20"/>
          <w:color w:val="auto"/>
        </w:rPr>
      </w:pPr>
      <w:r>
        <w:rPr>
          <w:rFonts w:ascii="Arial" w:cs="Arial" w:eastAsia="Arial" w:hAnsi="Arial"/>
          <w:sz w:val="20"/>
          <w:szCs w:val="20"/>
          <w:color w:val="auto"/>
        </w:rPr>
        <w:t>Colter Bay General Store, LLC</w:t>
      </w:r>
    </w:p>
    <w:p>
      <w:pPr>
        <w:ind w:left="3340"/>
        <w:spacing w:after="0"/>
        <w:rPr>
          <w:sz w:val="20"/>
          <w:szCs w:val="20"/>
          <w:color w:val="auto"/>
        </w:rPr>
      </w:pPr>
      <w:r>
        <w:rPr>
          <w:rFonts w:ascii="Arial" w:cs="Arial" w:eastAsia="Arial" w:hAnsi="Arial"/>
          <w:sz w:val="20"/>
          <w:szCs w:val="20"/>
          <w:color w:val="auto"/>
        </w:rPr>
        <w:t>By: Grand Teton Lodge Company</w:t>
      </w:r>
    </w:p>
    <w:p>
      <w:pPr>
        <w:ind w:left="2700"/>
        <w:spacing w:after="0"/>
        <w:rPr>
          <w:sz w:val="20"/>
          <w:szCs w:val="20"/>
          <w:color w:val="auto"/>
        </w:rPr>
      </w:pPr>
      <w:r>
        <w:rPr>
          <w:rFonts w:ascii="Arial" w:cs="Arial" w:eastAsia="Arial" w:hAnsi="Arial"/>
          <w:sz w:val="20"/>
          <w:szCs w:val="20"/>
          <w:color w:val="auto"/>
        </w:rPr>
        <w:t>Colter Bay Marina, LLC</w:t>
      </w:r>
    </w:p>
    <w:p>
      <w:pPr>
        <w:ind w:left="3340"/>
        <w:spacing w:after="0"/>
        <w:rPr>
          <w:sz w:val="20"/>
          <w:szCs w:val="20"/>
          <w:color w:val="auto"/>
        </w:rPr>
      </w:pPr>
      <w:r>
        <w:rPr>
          <w:rFonts w:ascii="Arial" w:cs="Arial" w:eastAsia="Arial" w:hAnsi="Arial"/>
          <w:sz w:val="20"/>
          <w:szCs w:val="20"/>
          <w:color w:val="auto"/>
        </w:rPr>
        <w:t>By: Grand Teton Lodge Company</w:t>
      </w:r>
    </w:p>
    <w:p>
      <w:pPr>
        <w:ind w:left="2700"/>
        <w:spacing w:after="0"/>
        <w:rPr>
          <w:sz w:val="20"/>
          <w:szCs w:val="20"/>
          <w:color w:val="auto"/>
        </w:rPr>
      </w:pPr>
      <w:r>
        <w:rPr>
          <w:rFonts w:ascii="Arial" w:cs="Arial" w:eastAsia="Arial" w:hAnsi="Arial"/>
          <w:sz w:val="20"/>
          <w:szCs w:val="20"/>
          <w:color w:val="auto"/>
        </w:rPr>
        <w:t>Crystal Peak Lodge of Breckenridge, Inc.</w:t>
      </w:r>
    </w:p>
    <w:p>
      <w:pPr>
        <w:ind w:left="2700"/>
        <w:spacing w:after="0"/>
        <w:rPr>
          <w:sz w:val="20"/>
          <w:szCs w:val="20"/>
          <w:color w:val="auto"/>
        </w:rPr>
      </w:pPr>
      <w:r>
        <w:rPr>
          <w:rFonts w:ascii="Arial" w:cs="Arial" w:eastAsia="Arial" w:hAnsi="Arial"/>
          <w:sz w:val="20"/>
          <w:szCs w:val="20"/>
          <w:color w:val="auto"/>
        </w:rPr>
        <w:t>DTPC, LLC</w:t>
      </w:r>
    </w:p>
    <w:p>
      <w:pPr>
        <w:ind w:left="3340"/>
        <w:spacing w:after="0"/>
        <w:rPr>
          <w:sz w:val="20"/>
          <w:szCs w:val="20"/>
          <w:color w:val="auto"/>
        </w:rPr>
      </w:pPr>
      <w:r>
        <w:rPr>
          <w:rFonts w:ascii="Arial" w:cs="Arial" w:eastAsia="Arial" w:hAnsi="Arial"/>
          <w:sz w:val="20"/>
          <w:szCs w:val="20"/>
          <w:color w:val="auto"/>
        </w:rPr>
        <w:t>By: Rockresorts International, LLC</w:t>
      </w:r>
    </w:p>
    <w:p>
      <w:pPr>
        <w:ind w:left="368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EpicSki, Inc.</w:t>
      </w:r>
    </w:p>
    <w:p>
      <w:pPr>
        <w:ind w:left="2700"/>
        <w:spacing w:after="0"/>
        <w:rPr>
          <w:sz w:val="20"/>
          <w:szCs w:val="20"/>
          <w:color w:val="auto"/>
        </w:rPr>
      </w:pPr>
      <w:r>
        <w:rPr>
          <w:rFonts w:ascii="Arial" w:cs="Arial" w:eastAsia="Arial" w:hAnsi="Arial"/>
          <w:sz w:val="20"/>
          <w:szCs w:val="20"/>
          <w:color w:val="auto"/>
        </w:rPr>
        <w:t>Flagg Ranch Company</w:t>
      </w:r>
    </w:p>
    <w:p>
      <w:pPr>
        <w:ind w:left="2700"/>
        <w:spacing w:after="0"/>
        <w:rPr>
          <w:sz w:val="20"/>
          <w:szCs w:val="20"/>
          <w:color w:val="auto"/>
        </w:rPr>
      </w:pPr>
      <w:r>
        <w:rPr>
          <w:rFonts w:ascii="Arial" w:cs="Arial" w:eastAsia="Arial" w:hAnsi="Arial"/>
          <w:sz w:val="20"/>
          <w:szCs w:val="20"/>
          <w:color w:val="auto"/>
        </w:rPr>
        <w:t>Gillett Broadcasting, Inc.</w:t>
      </w:r>
    </w:p>
    <w:p>
      <w:pPr>
        <w:ind w:left="2700"/>
        <w:spacing w:after="0"/>
        <w:rPr>
          <w:sz w:val="20"/>
          <w:szCs w:val="20"/>
          <w:color w:val="auto"/>
        </w:rPr>
      </w:pPr>
      <w:r>
        <w:rPr>
          <w:rFonts w:ascii="Arial" w:cs="Arial" w:eastAsia="Arial" w:hAnsi="Arial"/>
          <w:sz w:val="20"/>
          <w:szCs w:val="20"/>
          <w:color w:val="auto"/>
        </w:rPr>
        <w:t>Grand Teton Lodge Company</w:t>
      </w:r>
    </w:p>
    <w:p>
      <w:pPr>
        <w:ind w:left="2700"/>
        <w:spacing w:after="0"/>
        <w:rPr>
          <w:sz w:val="20"/>
          <w:szCs w:val="20"/>
          <w:color w:val="auto"/>
        </w:rPr>
      </w:pPr>
      <w:r>
        <w:rPr>
          <w:rFonts w:ascii="Arial" w:cs="Arial" w:eastAsia="Arial" w:hAnsi="Arial"/>
          <w:sz w:val="20"/>
          <w:szCs w:val="20"/>
          <w:color w:val="auto"/>
        </w:rPr>
        <w:t>Heavenly Valley, Limited Partnership</w:t>
      </w:r>
    </w:p>
    <w:p>
      <w:pPr>
        <w:ind w:left="3340"/>
        <w:spacing w:after="0"/>
        <w:rPr>
          <w:sz w:val="20"/>
          <w:szCs w:val="20"/>
          <w:color w:val="auto"/>
        </w:rPr>
      </w:pPr>
      <w:r>
        <w:rPr>
          <w:rFonts w:ascii="Arial" w:cs="Arial" w:eastAsia="Arial" w:hAnsi="Arial"/>
          <w:sz w:val="20"/>
          <w:szCs w:val="20"/>
          <w:color w:val="auto"/>
        </w:rPr>
        <w:t>By: VR Heavenly I, Inc.</w:t>
      </w:r>
    </w:p>
    <w:p>
      <w:pPr>
        <w:ind w:left="2700"/>
        <w:spacing w:after="0"/>
        <w:rPr>
          <w:sz w:val="20"/>
          <w:szCs w:val="20"/>
          <w:color w:val="auto"/>
        </w:rPr>
      </w:pPr>
      <w:r>
        <w:rPr>
          <w:rFonts w:ascii="Arial" w:cs="Arial" w:eastAsia="Arial" w:hAnsi="Arial"/>
          <w:sz w:val="20"/>
          <w:szCs w:val="20"/>
          <w:color w:val="auto"/>
        </w:rPr>
        <w:t>HPK, LLC</w:t>
      </w:r>
    </w:p>
    <w:p>
      <w:pPr>
        <w:ind w:left="3340"/>
        <w:spacing w:after="0"/>
        <w:rPr>
          <w:sz w:val="20"/>
          <w:szCs w:val="20"/>
          <w:color w:val="auto"/>
        </w:rPr>
      </w:pPr>
      <w:r>
        <w:rPr>
          <w:rFonts w:ascii="Arial" w:cs="Arial" w:eastAsia="Arial" w:hAnsi="Arial"/>
          <w:sz w:val="20"/>
          <w:szCs w:val="20"/>
          <w:color w:val="auto"/>
        </w:rPr>
        <w:t>By: Rockresorts International, LLC</w:t>
      </w:r>
    </w:p>
    <w:p>
      <w:pPr>
        <w:ind w:left="368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HVLP Kirkwood Services, LLC</w:t>
      </w:r>
    </w:p>
    <w:p>
      <w:pPr>
        <w:ind w:left="3340"/>
        <w:spacing w:after="0"/>
        <w:rPr>
          <w:sz w:val="20"/>
          <w:szCs w:val="20"/>
          <w:color w:val="auto"/>
        </w:rPr>
      </w:pPr>
      <w:r>
        <w:rPr>
          <w:rFonts w:ascii="Arial" w:cs="Arial" w:eastAsia="Arial" w:hAnsi="Arial"/>
          <w:sz w:val="19"/>
          <w:szCs w:val="19"/>
          <w:color w:val="auto"/>
        </w:rPr>
        <w:t>By: Heavenly Valley, Limited Partnership</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VR Heavenly I, Inc.</w:t>
      </w:r>
    </w:p>
    <w:p>
      <w:pPr>
        <w:ind w:left="2700"/>
        <w:spacing w:after="0"/>
        <w:rPr>
          <w:sz w:val="20"/>
          <w:szCs w:val="20"/>
          <w:color w:val="auto"/>
        </w:rPr>
      </w:pPr>
      <w:r>
        <w:rPr>
          <w:rFonts w:ascii="Arial" w:cs="Arial" w:eastAsia="Arial" w:hAnsi="Arial"/>
          <w:sz w:val="20"/>
          <w:szCs w:val="20"/>
          <w:color w:val="auto"/>
        </w:rPr>
        <w:t>Jackson Hole Golf and Tennis Club, Inc.</w:t>
      </w:r>
    </w:p>
    <w:p>
      <w:pPr>
        <w:ind w:left="2700"/>
        <w:spacing w:after="0"/>
        <w:rPr>
          <w:sz w:val="20"/>
          <w:szCs w:val="20"/>
          <w:color w:val="auto"/>
        </w:rPr>
      </w:pPr>
      <w:r>
        <w:rPr>
          <w:rFonts w:ascii="Arial" w:cs="Arial" w:eastAsia="Arial" w:hAnsi="Arial"/>
          <w:sz w:val="18"/>
          <w:szCs w:val="18"/>
          <w:color w:val="auto"/>
        </w:rPr>
        <w:t>Jackson Hole Golf &amp; Tennis Club Snack Shack, LLC</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Grand Teton Lodge Company</w:t>
      </w:r>
    </w:p>
    <w:p>
      <w:pPr>
        <w:ind w:left="2700"/>
        <w:spacing w:after="0"/>
        <w:rPr>
          <w:sz w:val="20"/>
          <w:szCs w:val="20"/>
          <w:color w:val="auto"/>
        </w:rPr>
      </w:pPr>
      <w:r>
        <w:rPr>
          <w:rFonts w:ascii="Arial" w:cs="Arial" w:eastAsia="Arial" w:hAnsi="Arial"/>
          <w:sz w:val="20"/>
          <w:szCs w:val="20"/>
          <w:color w:val="auto"/>
        </w:rPr>
        <w:t>Jackson Lake Lodge Corporation</w:t>
      </w:r>
    </w:p>
    <w:p>
      <w:pPr>
        <w:ind w:left="2700"/>
        <w:spacing w:after="0"/>
        <w:rPr>
          <w:sz w:val="20"/>
          <w:szCs w:val="20"/>
          <w:color w:val="auto"/>
        </w:rPr>
      </w:pPr>
      <w:r>
        <w:rPr>
          <w:rFonts w:ascii="Arial" w:cs="Arial" w:eastAsia="Arial" w:hAnsi="Arial"/>
          <w:sz w:val="20"/>
          <w:szCs w:val="20"/>
          <w:color w:val="auto"/>
        </w:rPr>
        <w:t>Jenny Lake Lodge, Inc.</w:t>
      </w:r>
    </w:p>
    <w:p>
      <w:pPr>
        <w:ind w:left="2700"/>
        <w:spacing w:after="0"/>
        <w:rPr>
          <w:sz w:val="20"/>
          <w:szCs w:val="20"/>
          <w:color w:val="auto"/>
        </w:rPr>
      </w:pPr>
      <w:r>
        <w:rPr>
          <w:rFonts w:ascii="Arial" w:cs="Arial" w:eastAsia="Arial" w:hAnsi="Arial"/>
          <w:sz w:val="20"/>
          <w:szCs w:val="20"/>
          <w:color w:val="auto"/>
        </w:rPr>
        <w:t>Jenny Lake Store, LLC</w:t>
      </w:r>
    </w:p>
    <w:p>
      <w:pPr>
        <w:ind w:left="3340"/>
        <w:spacing w:after="0"/>
        <w:rPr>
          <w:sz w:val="20"/>
          <w:szCs w:val="20"/>
          <w:color w:val="auto"/>
        </w:rPr>
      </w:pPr>
      <w:r>
        <w:rPr>
          <w:rFonts w:ascii="Arial" w:cs="Arial" w:eastAsia="Arial" w:hAnsi="Arial"/>
          <w:sz w:val="20"/>
          <w:szCs w:val="20"/>
          <w:color w:val="auto"/>
        </w:rPr>
        <w:t>By: Grand Teton Lodge Company</w:t>
      </w:r>
    </w:p>
    <w:p>
      <w:pPr>
        <w:ind w:left="2700"/>
        <w:spacing w:after="0"/>
        <w:rPr>
          <w:sz w:val="20"/>
          <w:szCs w:val="20"/>
          <w:color w:val="auto"/>
        </w:rPr>
      </w:pPr>
      <w:r>
        <w:rPr>
          <w:rFonts w:ascii="Arial" w:cs="Arial" w:eastAsia="Arial" w:hAnsi="Arial"/>
          <w:sz w:val="20"/>
          <w:szCs w:val="20"/>
          <w:color w:val="auto"/>
        </w:rPr>
        <w:t>JHL&amp;S LLC</w:t>
      </w:r>
    </w:p>
    <w:p>
      <w:pPr>
        <w:ind w:left="3340"/>
        <w:spacing w:after="0"/>
        <w:rPr>
          <w:sz w:val="20"/>
          <w:szCs w:val="20"/>
          <w:color w:val="auto"/>
        </w:rPr>
      </w:pPr>
      <w:r>
        <w:rPr>
          <w:rFonts w:ascii="Arial" w:cs="Arial" w:eastAsia="Arial" w:hAnsi="Arial"/>
          <w:sz w:val="20"/>
          <w:szCs w:val="20"/>
          <w:color w:val="auto"/>
        </w:rPr>
        <w:t>By: Teton Hospitality Services, Inc.</w:t>
      </w:r>
    </w:p>
    <w:p>
      <w:pPr>
        <w:ind w:left="2700"/>
        <w:spacing w:after="0"/>
        <w:rPr>
          <w:sz w:val="20"/>
          <w:szCs w:val="20"/>
          <w:color w:val="auto"/>
        </w:rPr>
      </w:pPr>
      <w:r>
        <w:rPr>
          <w:rFonts w:ascii="Arial" w:cs="Arial" w:eastAsia="Arial" w:hAnsi="Arial"/>
          <w:sz w:val="20"/>
          <w:szCs w:val="20"/>
          <w:color w:val="auto"/>
        </w:rPr>
        <w:t>Keystone Conference Services, Inc.</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Fourth Amendment 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Seventh Amended and Restated Credit Agreement</w:t>
      </w:r>
    </w:p>
    <w:p>
      <w:pPr>
        <w:sectPr>
          <w:pgSz w:w="11900" w:h="16838" w:orient="portrait"/>
          <w:cols w:equalWidth="0" w:num="1">
            <w:col w:w="9019"/>
          </w:cols>
          <w:pgMar w:left="1440" w:top="595" w:right="1440" w:bottom="1440" w:gutter="0" w:footer="0" w:header="0"/>
        </w:sectPr>
      </w:pPr>
    </w:p>
    <w:bookmarkStart w:id="59" w:name="page60"/>
    <w:bookmarkEnd w:id="59"/>
    <w:p>
      <w:pPr>
        <w:ind w:left="2700"/>
        <w:spacing w:after="0"/>
        <w:rPr>
          <w:sz w:val="20"/>
          <w:szCs w:val="20"/>
          <w:color w:val="auto"/>
        </w:rPr>
      </w:pPr>
      <w:r>
        <w:rPr>
          <w:rFonts w:ascii="Arial" w:cs="Arial" w:eastAsia="Arial" w:hAnsi="Arial"/>
          <w:sz w:val="20"/>
          <w:szCs w:val="20"/>
          <w:color w:val="auto"/>
        </w:rPr>
        <w:t>Keystone Development Sales, Inc.</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Keystone Food &amp; Beverage Company</w:t>
      </w:r>
    </w:p>
    <w:p>
      <w:pPr>
        <w:ind w:left="2700"/>
        <w:spacing w:after="0"/>
        <w:rPr>
          <w:sz w:val="20"/>
          <w:szCs w:val="20"/>
          <w:color w:val="auto"/>
        </w:rPr>
      </w:pPr>
      <w:r>
        <w:rPr>
          <w:rFonts w:ascii="Arial" w:cs="Arial" w:eastAsia="Arial" w:hAnsi="Arial"/>
          <w:sz w:val="16"/>
          <w:szCs w:val="16"/>
          <w:color w:val="auto"/>
        </w:rPr>
        <w:t>Keystone Resort Property Management Company</w:t>
      </w:r>
    </w:p>
    <w:p>
      <w:pPr>
        <w:spacing w:after="0" w:line="4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Keystone Ranch Water Company</w:t>
      </w:r>
    </w:p>
    <w:p>
      <w:pPr>
        <w:ind w:left="2700"/>
        <w:spacing w:after="0"/>
        <w:rPr>
          <w:sz w:val="20"/>
          <w:szCs w:val="20"/>
          <w:color w:val="auto"/>
        </w:rPr>
      </w:pPr>
      <w:r>
        <w:rPr>
          <w:rFonts w:ascii="Arial" w:cs="Arial" w:eastAsia="Arial" w:hAnsi="Arial"/>
          <w:sz w:val="20"/>
          <w:szCs w:val="20"/>
          <w:color w:val="auto"/>
        </w:rPr>
        <w:t>Lake Tahoe Lodging Company</w:t>
      </w:r>
    </w:p>
    <w:p>
      <w:pPr>
        <w:ind w:left="2700"/>
        <w:spacing w:after="0"/>
        <w:rPr>
          <w:sz w:val="20"/>
          <w:szCs w:val="20"/>
          <w:color w:val="auto"/>
        </w:rPr>
      </w:pPr>
      <w:r>
        <w:rPr>
          <w:rFonts w:ascii="Arial" w:cs="Arial" w:eastAsia="Arial" w:hAnsi="Arial"/>
          <w:sz w:val="20"/>
          <w:szCs w:val="20"/>
          <w:color w:val="auto"/>
        </w:rPr>
        <w:t>Lodge Properties Inc.</w:t>
      </w:r>
    </w:p>
    <w:p>
      <w:pPr>
        <w:ind w:left="2700"/>
        <w:spacing w:after="0"/>
        <w:rPr>
          <w:sz w:val="20"/>
          <w:szCs w:val="20"/>
          <w:color w:val="auto"/>
        </w:rPr>
      </w:pPr>
      <w:r>
        <w:rPr>
          <w:rFonts w:ascii="Arial" w:cs="Arial" w:eastAsia="Arial" w:hAnsi="Arial"/>
          <w:sz w:val="20"/>
          <w:szCs w:val="20"/>
          <w:color w:val="auto"/>
        </w:rPr>
        <w:t>Lodge Realty, Inc.</w:t>
      </w:r>
    </w:p>
    <w:p>
      <w:pPr>
        <w:ind w:left="2700"/>
        <w:spacing w:after="0"/>
        <w:rPr>
          <w:sz w:val="20"/>
          <w:szCs w:val="20"/>
          <w:color w:val="auto"/>
        </w:rPr>
      </w:pPr>
      <w:r>
        <w:rPr>
          <w:rFonts w:ascii="Arial" w:cs="Arial" w:eastAsia="Arial" w:hAnsi="Arial"/>
          <w:sz w:val="20"/>
          <w:szCs w:val="20"/>
          <w:color w:val="auto"/>
        </w:rPr>
        <w:t>La Posada Beverage Service, LLC</w:t>
      </w:r>
    </w:p>
    <w:p>
      <w:pPr>
        <w:ind w:left="3340"/>
        <w:spacing w:after="0"/>
        <w:rPr>
          <w:sz w:val="20"/>
          <w:szCs w:val="20"/>
          <w:color w:val="auto"/>
        </w:rPr>
      </w:pPr>
      <w:r>
        <w:rPr>
          <w:rFonts w:ascii="Arial" w:cs="Arial" w:eastAsia="Arial" w:hAnsi="Arial"/>
          <w:sz w:val="20"/>
          <w:szCs w:val="20"/>
          <w:color w:val="auto"/>
        </w:rPr>
        <w:t>By: Rockresorts International, LLC</w:t>
      </w:r>
    </w:p>
    <w:p>
      <w:pPr>
        <w:ind w:left="376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National Park Hospitality Company</w:t>
      </w:r>
    </w:p>
    <w:p>
      <w:pPr>
        <w:ind w:left="2700"/>
        <w:spacing w:after="0"/>
        <w:rPr>
          <w:sz w:val="20"/>
          <w:szCs w:val="20"/>
          <w:color w:val="auto"/>
        </w:rPr>
      </w:pPr>
      <w:r>
        <w:rPr>
          <w:rFonts w:ascii="Arial" w:cs="Arial" w:eastAsia="Arial" w:hAnsi="Arial"/>
          <w:sz w:val="19"/>
          <w:szCs w:val="19"/>
          <w:color w:val="auto"/>
        </w:rPr>
        <w:t>Northstar Group Commercial Properties LLC</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VR Acquisition, Inc.</w:t>
      </w:r>
    </w:p>
    <w:p>
      <w:pPr>
        <w:ind w:left="2700"/>
        <w:spacing w:after="0"/>
        <w:rPr>
          <w:sz w:val="20"/>
          <w:szCs w:val="20"/>
          <w:color w:val="auto"/>
        </w:rPr>
      </w:pPr>
      <w:r>
        <w:rPr>
          <w:rFonts w:ascii="Arial" w:cs="Arial" w:eastAsia="Arial" w:hAnsi="Arial"/>
          <w:sz w:val="20"/>
          <w:szCs w:val="20"/>
          <w:color w:val="auto"/>
        </w:rPr>
        <w:t>Northstar Group Restaurant Properties, LLC</w:t>
      </w:r>
    </w:p>
    <w:p>
      <w:pPr>
        <w:ind w:left="3340"/>
        <w:spacing w:after="0"/>
        <w:rPr>
          <w:sz w:val="20"/>
          <w:szCs w:val="20"/>
          <w:color w:val="auto"/>
        </w:rPr>
      </w:pPr>
      <w:r>
        <w:rPr>
          <w:rFonts w:ascii="Arial" w:cs="Arial" w:eastAsia="Arial" w:hAnsi="Arial"/>
          <w:sz w:val="20"/>
          <w:szCs w:val="20"/>
          <w:color w:val="auto"/>
        </w:rPr>
        <w:t>By: VR Acquisition, Inc.</w:t>
      </w:r>
    </w:p>
    <w:p>
      <w:pPr>
        <w:ind w:left="2700"/>
        <w:spacing w:after="0"/>
        <w:rPr>
          <w:sz w:val="20"/>
          <w:szCs w:val="20"/>
          <w:color w:val="auto"/>
        </w:rPr>
      </w:pPr>
      <w:r>
        <w:rPr>
          <w:rFonts w:ascii="Arial" w:cs="Arial" w:eastAsia="Arial" w:hAnsi="Arial"/>
          <w:sz w:val="20"/>
          <w:szCs w:val="20"/>
          <w:color w:val="auto"/>
        </w:rPr>
        <w:t>One Ski Hill Place, LLC</w:t>
      </w:r>
    </w:p>
    <w:p>
      <w:pPr>
        <w:ind w:left="3340"/>
        <w:spacing w:after="0"/>
        <w:rPr>
          <w:sz w:val="20"/>
          <w:szCs w:val="20"/>
          <w:color w:val="auto"/>
        </w:rPr>
      </w:pPr>
      <w:r>
        <w:rPr>
          <w:rFonts w:ascii="Arial" w:cs="Arial" w:eastAsia="Arial" w:hAnsi="Arial"/>
          <w:sz w:val="18"/>
          <w:szCs w:val="18"/>
          <w:color w:val="auto"/>
        </w:rPr>
        <w:t>By: Vail Resorts Development Company</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Property Management Acquisition Corp., Inc.</w:t>
      </w:r>
    </w:p>
    <w:p>
      <w:pPr>
        <w:spacing w:after="0" w:line="11"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RCR Vail, LLC</w:t>
      </w:r>
    </w:p>
    <w:p>
      <w:pPr>
        <w:ind w:left="3340"/>
        <w:spacing w:after="0"/>
        <w:rPr>
          <w:sz w:val="20"/>
          <w:szCs w:val="20"/>
          <w:color w:val="auto"/>
        </w:rPr>
      </w:pPr>
      <w:r>
        <w:rPr>
          <w:rFonts w:ascii="Arial" w:cs="Arial" w:eastAsia="Arial" w:hAnsi="Arial"/>
          <w:sz w:val="18"/>
          <w:szCs w:val="18"/>
          <w:color w:val="auto"/>
        </w:rPr>
        <w:t>By: Vail Resorts Development Company</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Rockresorts Arrabelle, LLC</w:t>
      </w:r>
    </w:p>
    <w:p>
      <w:pPr>
        <w:ind w:left="3340"/>
        <w:spacing w:after="0"/>
        <w:rPr>
          <w:sz w:val="20"/>
          <w:szCs w:val="20"/>
          <w:color w:val="auto"/>
        </w:rPr>
      </w:pPr>
      <w:r>
        <w:rPr>
          <w:rFonts w:ascii="Arial" w:cs="Arial" w:eastAsia="Arial" w:hAnsi="Arial"/>
          <w:sz w:val="20"/>
          <w:szCs w:val="20"/>
          <w:color w:val="auto"/>
        </w:rPr>
        <w:t>By: Rockresorts International, LLC</w:t>
      </w:r>
    </w:p>
    <w:p>
      <w:pPr>
        <w:ind w:left="376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19"/>
          <w:szCs w:val="19"/>
          <w:color w:val="auto"/>
        </w:rPr>
        <w:t>Rockresorts Cordillera Lodge Company, LLC</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Rockresorts International, LLC</w:t>
      </w:r>
    </w:p>
    <w:p>
      <w:pPr>
        <w:ind w:left="376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Rockresorts DR, LLC</w:t>
      </w:r>
    </w:p>
    <w:p>
      <w:pPr>
        <w:ind w:left="3340"/>
        <w:spacing w:after="0"/>
        <w:rPr>
          <w:sz w:val="20"/>
          <w:szCs w:val="20"/>
          <w:color w:val="auto"/>
        </w:rPr>
      </w:pPr>
      <w:r>
        <w:rPr>
          <w:rFonts w:ascii="Arial" w:cs="Arial" w:eastAsia="Arial" w:hAnsi="Arial"/>
          <w:sz w:val="20"/>
          <w:szCs w:val="20"/>
          <w:color w:val="auto"/>
        </w:rPr>
        <w:t>By: Rockresorts International, LLC</w:t>
      </w:r>
    </w:p>
    <w:p>
      <w:pPr>
        <w:ind w:left="376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Rockresorts Equinox, Inc.</w:t>
      </w:r>
    </w:p>
    <w:p>
      <w:pPr>
        <w:ind w:left="2700"/>
        <w:spacing w:after="0"/>
        <w:rPr>
          <w:sz w:val="20"/>
          <w:szCs w:val="20"/>
          <w:color w:val="auto"/>
        </w:rPr>
      </w:pPr>
      <w:r>
        <w:rPr>
          <w:rFonts w:ascii="Arial" w:cs="Arial" w:eastAsia="Arial" w:hAnsi="Arial"/>
          <w:sz w:val="20"/>
          <w:szCs w:val="20"/>
          <w:color w:val="auto"/>
        </w:rPr>
        <w:t>Rockresorts Hotel Jerome, LLC</w:t>
      </w:r>
    </w:p>
    <w:p>
      <w:pPr>
        <w:ind w:left="3340"/>
        <w:spacing w:after="0"/>
        <w:rPr>
          <w:sz w:val="20"/>
          <w:szCs w:val="20"/>
          <w:color w:val="auto"/>
        </w:rPr>
      </w:pPr>
      <w:r>
        <w:rPr>
          <w:rFonts w:ascii="Arial" w:cs="Arial" w:eastAsia="Arial" w:hAnsi="Arial"/>
          <w:sz w:val="20"/>
          <w:szCs w:val="20"/>
          <w:color w:val="auto"/>
        </w:rPr>
        <w:t>By: Rockresorts International, LLC</w:t>
      </w:r>
    </w:p>
    <w:p>
      <w:pPr>
        <w:ind w:left="376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Rockresorts International, LLC</w:t>
      </w:r>
    </w:p>
    <w:p>
      <w:pPr>
        <w:ind w:left="334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Rockresorts LLC</w:t>
      </w:r>
    </w:p>
    <w:p>
      <w:pPr>
        <w:ind w:left="3340"/>
        <w:spacing w:after="0"/>
        <w:rPr>
          <w:sz w:val="20"/>
          <w:szCs w:val="20"/>
          <w:color w:val="auto"/>
        </w:rPr>
      </w:pPr>
      <w:r>
        <w:rPr>
          <w:rFonts w:ascii="Arial" w:cs="Arial" w:eastAsia="Arial" w:hAnsi="Arial"/>
          <w:sz w:val="20"/>
          <w:szCs w:val="20"/>
          <w:color w:val="auto"/>
        </w:rPr>
        <w:t>By: Rockresorts International, LLC</w:t>
      </w:r>
    </w:p>
    <w:p>
      <w:pPr>
        <w:ind w:left="334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18"/>
          <w:szCs w:val="18"/>
          <w:color w:val="auto"/>
        </w:rPr>
        <w:t>Rockresorts International Management Company</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Rockresorts International, LLC</w:t>
      </w:r>
    </w:p>
    <w:p>
      <w:pPr>
        <w:ind w:left="376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Rockresorts Ski Tip, LLC</w:t>
      </w:r>
    </w:p>
    <w:p>
      <w:pPr>
        <w:ind w:left="3340"/>
        <w:spacing w:after="0"/>
        <w:rPr>
          <w:sz w:val="20"/>
          <w:szCs w:val="20"/>
          <w:color w:val="auto"/>
        </w:rPr>
      </w:pPr>
      <w:r>
        <w:rPr>
          <w:rFonts w:ascii="Arial" w:cs="Arial" w:eastAsia="Arial" w:hAnsi="Arial"/>
          <w:sz w:val="20"/>
          <w:szCs w:val="20"/>
          <w:color w:val="auto"/>
        </w:rPr>
        <w:t>By: Rockresorts International, LLC</w:t>
      </w:r>
    </w:p>
    <w:p>
      <w:pPr>
        <w:ind w:left="376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Rockresorts Wyoming, LLC</w:t>
      </w:r>
    </w:p>
    <w:p>
      <w:pPr>
        <w:ind w:left="3340"/>
        <w:spacing w:after="0"/>
        <w:rPr>
          <w:sz w:val="20"/>
          <w:szCs w:val="20"/>
          <w:color w:val="auto"/>
        </w:rPr>
      </w:pPr>
      <w:r>
        <w:rPr>
          <w:rFonts w:ascii="Arial" w:cs="Arial" w:eastAsia="Arial" w:hAnsi="Arial"/>
          <w:sz w:val="20"/>
          <w:szCs w:val="20"/>
          <w:color w:val="auto"/>
        </w:rPr>
        <w:t>By: Rockresorts International, LLC</w:t>
      </w:r>
    </w:p>
    <w:p>
      <w:pPr>
        <w:ind w:left="376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Soho Development, LLC</w:t>
      </w:r>
    </w:p>
    <w:p>
      <w:pPr>
        <w:ind w:left="3340"/>
        <w:spacing w:after="0"/>
        <w:rPr>
          <w:sz w:val="20"/>
          <w:szCs w:val="20"/>
          <w:color w:val="auto"/>
        </w:rPr>
      </w:pPr>
      <w:r>
        <w:rPr>
          <w:rFonts w:ascii="Arial" w:cs="Arial" w:eastAsia="Arial" w:hAnsi="Arial"/>
          <w:sz w:val="20"/>
          <w:szCs w:val="20"/>
          <w:color w:val="auto"/>
        </w:rPr>
        <w:t>By: Vail Associates Holdings, Ltd.</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Fourth Amendment 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Seventh Amended and Restated Credit Agreement</w:t>
      </w:r>
    </w:p>
    <w:p>
      <w:pPr>
        <w:sectPr>
          <w:pgSz w:w="11900" w:h="16838" w:orient="portrait"/>
          <w:cols w:equalWidth="0" w:num="1">
            <w:col w:w="9019"/>
          </w:cols>
          <w:pgMar w:left="1440" w:top="595" w:right="1440" w:bottom="1440" w:gutter="0" w:footer="0" w:header="0"/>
        </w:sectPr>
      </w:pPr>
    </w:p>
    <w:bookmarkStart w:id="60" w:name="page61"/>
    <w:bookmarkEnd w:id="60"/>
    <w:p>
      <w:pPr>
        <w:ind w:left="2700"/>
        <w:spacing w:after="0"/>
        <w:rPr>
          <w:sz w:val="20"/>
          <w:szCs w:val="20"/>
          <w:color w:val="auto"/>
        </w:rPr>
      </w:pPr>
      <w:r>
        <w:rPr>
          <w:rFonts w:ascii="Arial" w:cs="Arial" w:eastAsia="Arial" w:hAnsi="Arial"/>
          <w:sz w:val="20"/>
          <w:szCs w:val="20"/>
          <w:color w:val="auto"/>
        </w:rPr>
        <w:t>SSI Venture LLC</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SSV Holdings, Inc.</w:t>
      </w:r>
    </w:p>
    <w:p>
      <w:pPr>
        <w:ind w:left="2700"/>
        <w:spacing w:after="0"/>
        <w:rPr>
          <w:sz w:val="20"/>
          <w:szCs w:val="20"/>
          <w:color w:val="auto"/>
        </w:rPr>
      </w:pPr>
      <w:r>
        <w:rPr>
          <w:rFonts w:ascii="Arial" w:cs="Arial" w:eastAsia="Arial" w:hAnsi="Arial"/>
          <w:sz w:val="20"/>
          <w:szCs w:val="20"/>
          <w:color w:val="auto"/>
        </w:rPr>
        <w:t>SSV Online Holdings, Inc.</w:t>
      </w:r>
    </w:p>
    <w:p>
      <w:pPr>
        <w:ind w:left="2700"/>
        <w:spacing w:after="0"/>
        <w:rPr>
          <w:sz w:val="20"/>
          <w:szCs w:val="20"/>
          <w:color w:val="auto"/>
        </w:rPr>
      </w:pPr>
      <w:r>
        <w:rPr>
          <w:rFonts w:ascii="Arial" w:cs="Arial" w:eastAsia="Arial" w:hAnsi="Arial"/>
          <w:sz w:val="20"/>
          <w:szCs w:val="20"/>
          <w:color w:val="auto"/>
        </w:rPr>
        <w:t>SSV Online LLC</w:t>
      </w:r>
    </w:p>
    <w:p>
      <w:pPr>
        <w:ind w:left="3340"/>
        <w:spacing w:after="0"/>
        <w:rPr>
          <w:sz w:val="20"/>
          <w:szCs w:val="20"/>
          <w:color w:val="auto"/>
        </w:rPr>
      </w:pPr>
      <w:r>
        <w:rPr>
          <w:rFonts w:ascii="Arial" w:cs="Arial" w:eastAsia="Arial" w:hAnsi="Arial"/>
          <w:sz w:val="20"/>
          <w:szCs w:val="20"/>
          <w:color w:val="auto"/>
        </w:rPr>
        <w:t>By: SSV Holdings, Inc.</w:t>
      </w:r>
    </w:p>
    <w:p>
      <w:pPr>
        <w:ind w:left="2700"/>
        <w:spacing w:after="0"/>
        <w:rPr>
          <w:sz w:val="20"/>
          <w:szCs w:val="20"/>
          <w:color w:val="auto"/>
        </w:rPr>
      </w:pPr>
      <w:r>
        <w:rPr>
          <w:rFonts w:ascii="Arial" w:cs="Arial" w:eastAsia="Arial" w:hAnsi="Arial"/>
          <w:sz w:val="20"/>
          <w:szCs w:val="20"/>
          <w:color w:val="auto"/>
        </w:rPr>
        <w:t>SSV Holdings, Inc.</w:t>
      </w:r>
    </w:p>
    <w:p>
      <w:pPr>
        <w:ind w:left="2700"/>
        <w:spacing w:after="0"/>
        <w:rPr>
          <w:sz w:val="20"/>
          <w:szCs w:val="20"/>
          <w:color w:val="auto"/>
        </w:rPr>
      </w:pPr>
      <w:r>
        <w:rPr>
          <w:rFonts w:ascii="Arial" w:cs="Arial" w:eastAsia="Arial" w:hAnsi="Arial"/>
          <w:sz w:val="20"/>
          <w:szCs w:val="20"/>
          <w:color w:val="auto"/>
        </w:rPr>
        <w:t>Stampede Canteen, LLC</w:t>
      </w:r>
    </w:p>
    <w:p>
      <w:pPr>
        <w:ind w:left="3340"/>
        <w:spacing w:after="0"/>
        <w:rPr>
          <w:sz w:val="20"/>
          <w:szCs w:val="20"/>
          <w:color w:val="auto"/>
        </w:rPr>
      </w:pPr>
      <w:r>
        <w:rPr>
          <w:rFonts w:ascii="Arial" w:cs="Arial" w:eastAsia="Arial" w:hAnsi="Arial"/>
          <w:sz w:val="20"/>
          <w:szCs w:val="20"/>
          <w:color w:val="auto"/>
        </w:rPr>
        <w:t>By: Grand Teton Lodge Company</w:t>
      </w:r>
    </w:p>
    <w:p>
      <w:pPr>
        <w:ind w:left="2700"/>
        <w:spacing w:after="0"/>
        <w:rPr>
          <w:sz w:val="20"/>
          <w:szCs w:val="20"/>
          <w:color w:val="auto"/>
        </w:rPr>
      </w:pPr>
      <w:r>
        <w:rPr>
          <w:rFonts w:ascii="Arial" w:cs="Arial" w:eastAsia="Arial" w:hAnsi="Arial"/>
          <w:sz w:val="20"/>
          <w:szCs w:val="20"/>
          <w:color w:val="auto"/>
        </w:rPr>
        <w:t>Teton Hospitality Services, Inc.</w:t>
      </w:r>
    </w:p>
    <w:p>
      <w:pPr>
        <w:ind w:left="2700"/>
        <w:spacing w:after="0"/>
        <w:rPr>
          <w:sz w:val="20"/>
          <w:szCs w:val="20"/>
          <w:color w:val="auto"/>
        </w:rPr>
      </w:pPr>
      <w:r>
        <w:rPr>
          <w:rFonts w:ascii="Arial" w:cs="Arial" w:eastAsia="Arial" w:hAnsi="Arial"/>
          <w:sz w:val="20"/>
          <w:szCs w:val="20"/>
          <w:color w:val="auto"/>
        </w:rPr>
        <w:t>The Chalets at the Lodge at Vail, LLC</w:t>
      </w:r>
    </w:p>
    <w:p>
      <w:pPr>
        <w:ind w:left="3340"/>
        <w:spacing w:after="0"/>
        <w:rPr>
          <w:sz w:val="20"/>
          <w:szCs w:val="20"/>
          <w:color w:val="auto"/>
        </w:rPr>
      </w:pPr>
      <w:r>
        <w:rPr>
          <w:rFonts w:ascii="Arial" w:cs="Arial" w:eastAsia="Arial" w:hAnsi="Arial"/>
          <w:sz w:val="20"/>
          <w:szCs w:val="20"/>
          <w:color w:val="auto"/>
        </w:rPr>
        <w:t>By: Vail Resorts Development Company</w:t>
      </w:r>
    </w:p>
    <w:p>
      <w:pPr>
        <w:ind w:left="2700"/>
        <w:spacing w:after="0"/>
        <w:rPr>
          <w:sz w:val="20"/>
          <w:szCs w:val="20"/>
          <w:color w:val="auto"/>
        </w:rPr>
      </w:pPr>
      <w:r>
        <w:rPr>
          <w:rFonts w:ascii="Arial" w:cs="Arial" w:eastAsia="Arial" w:hAnsi="Arial"/>
          <w:sz w:val="20"/>
          <w:szCs w:val="20"/>
          <w:color w:val="auto"/>
        </w:rPr>
        <w:t>The Vail Corporation (D/B/A “Vail Associates, Inc.”)</w:t>
      </w:r>
    </w:p>
    <w:p>
      <w:pPr>
        <w:ind w:left="2700"/>
        <w:spacing w:after="0"/>
        <w:rPr>
          <w:sz w:val="20"/>
          <w:szCs w:val="20"/>
          <w:color w:val="auto"/>
        </w:rPr>
      </w:pPr>
      <w:r>
        <w:rPr>
          <w:rFonts w:ascii="Arial" w:cs="Arial" w:eastAsia="Arial" w:hAnsi="Arial"/>
          <w:sz w:val="20"/>
          <w:szCs w:val="20"/>
          <w:color w:val="auto"/>
        </w:rPr>
        <w:t>The Village at Breckenridge Acquisition Corp., Inc.</w:t>
      </w:r>
    </w:p>
    <w:p>
      <w:pPr>
        <w:ind w:left="2700"/>
        <w:spacing w:after="0"/>
        <w:rPr>
          <w:sz w:val="20"/>
          <w:szCs w:val="20"/>
          <w:color w:val="auto"/>
        </w:rPr>
      </w:pPr>
      <w:r>
        <w:rPr>
          <w:rFonts w:ascii="Arial" w:cs="Arial" w:eastAsia="Arial" w:hAnsi="Arial"/>
          <w:sz w:val="20"/>
          <w:szCs w:val="20"/>
          <w:color w:val="auto"/>
        </w:rPr>
        <w:t>Trimont Land Company</w:t>
      </w:r>
    </w:p>
    <w:p>
      <w:pPr>
        <w:ind w:left="2700"/>
        <w:spacing w:after="0"/>
        <w:rPr>
          <w:sz w:val="20"/>
          <w:szCs w:val="20"/>
          <w:color w:val="auto"/>
        </w:rPr>
      </w:pPr>
      <w:r>
        <w:rPr>
          <w:rFonts w:ascii="Arial" w:cs="Arial" w:eastAsia="Arial" w:hAnsi="Arial"/>
          <w:sz w:val="20"/>
          <w:szCs w:val="20"/>
          <w:color w:val="auto"/>
        </w:rPr>
        <w:t>VA Rancho Mirage I, Inc.</w:t>
      </w:r>
    </w:p>
    <w:p>
      <w:pPr>
        <w:ind w:left="2700"/>
        <w:spacing w:after="0"/>
        <w:rPr>
          <w:sz w:val="20"/>
          <w:szCs w:val="20"/>
          <w:color w:val="auto"/>
        </w:rPr>
      </w:pPr>
      <w:r>
        <w:rPr>
          <w:rFonts w:ascii="Arial" w:cs="Arial" w:eastAsia="Arial" w:hAnsi="Arial"/>
          <w:sz w:val="20"/>
          <w:szCs w:val="20"/>
          <w:color w:val="auto"/>
        </w:rPr>
        <w:t>VA Rancho Mirage II, Inc.</w:t>
      </w:r>
    </w:p>
    <w:p>
      <w:pPr>
        <w:ind w:left="2700"/>
        <w:spacing w:after="0"/>
        <w:rPr>
          <w:sz w:val="20"/>
          <w:szCs w:val="20"/>
          <w:color w:val="auto"/>
        </w:rPr>
      </w:pPr>
      <w:r>
        <w:rPr>
          <w:rFonts w:ascii="Arial" w:cs="Arial" w:eastAsia="Arial" w:hAnsi="Arial"/>
          <w:sz w:val="20"/>
          <w:szCs w:val="20"/>
          <w:color w:val="auto"/>
        </w:rPr>
        <w:t>VA Rancho Mirage Resort, L.P.</w:t>
      </w:r>
    </w:p>
    <w:p>
      <w:pPr>
        <w:ind w:left="3340"/>
        <w:spacing w:after="0"/>
        <w:rPr>
          <w:sz w:val="20"/>
          <w:szCs w:val="20"/>
          <w:color w:val="auto"/>
        </w:rPr>
      </w:pPr>
      <w:r>
        <w:rPr>
          <w:rFonts w:ascii="Arial" w:cs="Arial" w:eastAsia="Arial" w:hAnsi="Arial"/>
          <w:sz w:val="20"/>
          <w:szCs w:val="20"/>
          <w:color w:val="auto"/>
        </w:rPr>
        <w:t>By: VA Rancho Mirage I, Inc.</w:t>
      </w:r>
    </w:p>
    <w:p>
      <w:pPr>
        <w:ind w:left="2700"/>
        <w:spacing w:after="0"/>
        <w:rPr>
          <w:sz w:val="20"/>
          <w:szCs w:val="20"/>
          <w:color w:val="auto"/>
        </w:rPr>
      </w:pPr>
      <w:r>
        <w:rPr>
          <w:rFonts w:ascii="Arial" w:cs="Arial" w:eastAsia="Arial" w:hAnsi="Arial"/>
          <w:sz w:val="20"/>
          <w:szCs w:val="20"/>
          <w:color w:val="auto"/>
        </w:rPr>
        <w:t>Vail/Arrowhead, Inc.</w:t>
      </w:r>
    </w:p>
    <w:p>
      <w:pPr>
        <w:ind w:left="2700"/>
        <w:spacing w:after="0"/>
        <w:rPr>
          <w:sz w:val="20"/>
          <w:szCs w:val="20"/>
          <w:color w:val="auto"/>
        </w:rPr>
      </w:pPr>
      <w:r>
        <w:rPr>
          <w:rFonts w:ascii="Arial" w:cs="Arial" w:eastAsia="Arial" w:hAnsi="Arial"/>
          <w:sz w:val="20"/>
          <w:szCs w:val="20"/>
          <w:color w:val="auto"/>
        </w:rPr>
        <w:t>Vail Associates Holdings, Ltd.</w:t>
      </w:r>
    </w:p>
    <w:p>
      <w:pPr>
        <w:ind w:left="2700"/>
        <w:spacing w:after="0"/>
        <w:rPr>
          <w:sz w:val="20"/>
          <w:szCs w:val="20"/>
          <w:color w:val="auto"/>
        </w:rPr>
      </w:pPr>
      <w:r>
        <w:rPr>
          <w:rFonts w:ascii="Arial" w:cs="Arial" w:eastAsia="Arial" w:hAnsi="Arial"/>
          <w:sz w:val="20"/>
          <w:szCs w:val="20"/>
          <w:color w:val="auto"/>
        </w:rPr>
        <w:t>Vail Associates Investments, Inc.</w:t>
      </w:r>
    </w:p>
    <w:p>
      <w:pPr>
        <w:ind w:left="2700"/>
        <w:spacing w:after="0"/>
        <w:rPr>
          <w:sz w:val="20"/>
          <w:szCs w:val="20"/>
          <w:color w:val="auto"/>
        </w:rPr>
      </w:pPr>
      <w:r>
        <w:rPr>
          <w:rFonts w:ascii="Arial" w:cs="Arial" w:eastAsia="Arial" w:hAnsi="Arial"/>
          <w:sz w:val="20"/>
          <w:szCs w:val="20"/>
          <w:color w:val="auto"/>
        </w:rPr>
        <w:t>Vail Associates Real Estate, Inc.</w:t>
      </w:r>
    </w:p>
    <w:p>
      <w:pPr>
        <w:ind w:left="2700"/>
        <w:spacing w:after="0"/>
        <w:rPr>
          <w:sz w:val="20"/>
          <w:szCs w:val="20"/>
          <w:color w:val="auto"/>
        </w:rPr>
      </w:pPr>
      <w:r>
        <w:rPr>
          <w:rFonts w:ascii="Arial" w:cs="Arial" w:eastAsia="Arial" w:hAnsi="Arial"/>
          <w:sz w:val="20"/>
          <w:szCs w:val="20"/>
          <w:color w:val="auto"/>
        </w:rPr>
        <w:t>Vail/Beaver Creek Resort Properties, Inc.</w:t>
      </w:r>
    </w:p>
    <w:p>
      <w:pPr>
        <w:ind w:left="2700"/>
        <w:spacing w:after="0"/>
        <w:rPr>
          <w:sz w:val="20"/>
          <w:szCs w:val="20"/>
          <w:color w:val="auto"/>
        </w:rPr>
      </w:pPr>
      <w:r>
        <w:rPr>
          <w:rFonts w:ascii="Arial" w:cs="Arial" w:eastAsia="Arial" w:hAnsi="Arial"/>
          <w:sz w:val="20"/>
          <w:szCs w:val="20"/>
          <w:color w:val="auto"/>
        </w:rPr>
        <w:t>Vail Food Services, Inc.</w:t>
      </w:r>
    </w:p>
    <w:p>
      <w:pPr>
        <w:ind w:left="2700"/>
        <w:spacing w:after="0"/>
        <w:rPr>
          <w:sz w:val="20"/>
          <w:szCs w:val="20"/>
          <w:color w:val="auto"/>
        </w:rPr>
      </w:pPr>
      <w:r>
        <w:rPr>
          <w:rFonts w:ascii="Arial" w:cs="Arial" w:eastAsia="Arial" w:hAnsi="Arial"/>
          <w:sz w:val="20"/>
          <w:szCs w:val="20"/>
          <w:color w:val="auto"/>
        </w:rPr>
        <w:t>Vail Hotel Management Company, LLC</w:t>
      </w:r>
    </w:p>
    <w:p>
      <w:pPr>
        <w:ind w:left="3340"/>
        <w:spacing w:after="0"/>
        <w:rPr>
          <w:sz w:val="20"/>
          <w:szCs w:val="20"/>
          <w:color w:val="auto"/>
        </w:rPr>
      </w:pPr>
      <w:r>
        <w:rPr>
          <w:rFonts w:ascii="Arial" w:cs="Arial" w:eastAsia="Arial" w:hAnsi="Arial"/>
          <w:sz w:val="20"/>
          <w:szCs w:val="20"/>
          <w:color w:val="auto"/>
        </w:rPr>
        <w:t>By: Rockresorts International, LLC</w:t>
      </w:r>
    </w:p>
    <w:p>
      <w:pPr>
        <w:ind w:left="376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Vail Resorts Development Company</w:t>
      </w:r>
    </w:p>
    <w:p>
      <w:pPr>
        <w:ind w:left="2700"/>
        <w:spacing w:after="0"/>
        <w:rPr>
          <w:sz w:val="20"/>
          <w:szCs w:val="20"/>
          <w:color w:val="auto"/>
        </w:rPr>
      </w:pPr>
      <w:r>
        <w:rPr>
          <w:rFonts w:ascii="Arial" w:cs="Arial" w:eastAsia="Arial" w:hAnsi="Arial"/>
          <w:sz w:val="20"/>
          <w:szCs w:val="20"/>
          <w:color w:val="auto"/>
        </w:rPr>
        <w:t>Vail Resorts Lodging Company</w:t>
      </w:r>
    </w:p>
    <w:p>
      <w:pPr>
        <w:ind w:left="2700"/>
        <w:spacing w:after="0"/>
        <w:rPr>
          <w:sz w:val="20"/>
          <w:szCs w:val="20"/>
          <w:color w:val="auto"/>
        </w:rPr>
      </w:pPr>
      <w:r>
        <w:rPr>
          <w:rFonts w:ascii="Arial" w:cs="Arial" w:eastAsia="Arial" w:hAnsi="Arial"/>
          <w:sz w:val="20"/>
          <w:szCs w:val="20"/>
          <w:color w:val="auto"/>
        </w:rPr>
        <w:t>Vail RR, Inc.</w:t>
      </w:r>
    </w:p>
    <w:p>
      <w:pPr>
        <w:ind w:left="2700"/>
        <w:spacing w:after="0"/>
        <w:rPr>
          <w:sz w:val="20"/>
          <w:szCs w:val="20"/>
          <w:color w:val="auto"/>
        </w:rPr>
      </w:pPr>
      <w:r>
        <w:rPr>
          <w:rFonts w:ascii="Arial" w:cs="Arial" w:eastAsia="Arial" w:hAnsi="Arial"/>
          <w:sz w:val="20"/>
          <w:szCs w:val="20"/>
          <w:color w:val="auto"/>
        </w:rPr>
        <w:t>Vail Summit Resorts, Inc.</w:t>
      </w:r>
    </w:p>
    <w:p>
      <w:pPr>
        <w:ind w:left="2700"/>
        <w:spacing w:after="0"/>
        <w:rPr>
          <w:sz w:val="20"/>
          <w:szCs w:val="20"/>
          <w:color w:val="auto"/>
        </w:rPr>
      </w:pPr>
      <w:r>
        <w:rPr>
          <w:rFonts w:ascii="Arial" w:cs="Arial" w:eastAsia="Arial" w:hAnsi="Arial"/>
          <w:sz w:val="20"/>
          <w:szCs w:val="20"/>
          <w:color w:val="auto"/>
        </w:rPr>
        <w:t>Vail Trademarks, Inc.</w:t>
      </w:r>
    </w:p>
    <w:p>
      <w:pPr>
        <w:ind w:left="2700"/>
        <w:spacing w:after="0"/>
        <w:rPr>
          <w:sz w:val="20"/>
          <w:szCs w:val="20"/>
          <w:color w:val="auto"/>
        </w:rPr>
      </w:pPr>
      <w:r>
        <w:rPr>
          <w:rFonts w:ascii="Arial" w:cs="Arial" w:eastAsia="Arial" w:hAnsi="Arial"/>
          <w:sz w:val="20"/>
          <w:szCs w:val="20"/>
          <w:color w:val="auto"/>
        </w:rPr>
        <w:t>VAMHC, Inc.</w:t>
      </w:r>
    </w:p>
    <w:p>
      <w:pPr>
        <w:ind w:left="2700"/>
        <w:spacing w:after="0"/>
        <w:rPr>
          <w:sz w:val="20"/>
          <w:szCs w:val="20"/>
          <w:color w:val="auto"/>
        </w:rPr>
      </w:pPr>
      <w:r>
        <w:rPr>
          <w:rFonts w:ascii="Arial" w:cs="Arial" w:eastAsia="Arial" w:hAnsi="Arial"/>
          <w:sz w:val="20"/>
          <w:szCs w:val="20"/>
          <w:color w:val="auto"/>
        </w:rPr>
        <w:t>VR Acquisition, Inc.</w:t>
      </w:r>
    </w:p>
    <w:p>
      <w:pPr>
        <w:ind w:left="2700"/>
        <w:spacing w:after="0"/>
        <w:rPr>
          <w:sz w:val="20"/>
          <w:szCs w:val="20"/>
          <w:color w:val="auto"/>
        </w:rPr>
      </w:pPr>
      <w:r>
        <w:rPr>
          <w:rFonts w:ascii="Arial" w:cs="Arial" w:eastAsia="Arial" w:hAnsi="Arial"/>
          <w:sz w:val="20"/>
          <w:szCs w:val="20"/>
          <w:color w:val="auto"/>
        </w:rPr>
        <w:t>VR CPC Holdings, Inc.</w:t>
      </w:r>
    </w:p>
    <w:p>
      <w:pPr>
        <w:ind w:left="2700"/>
        <w:spacing w:after="0"/>
        <w:rPr>
          <w:sz w:val="20"/>
          <w:szCs w:val="20"/>
          <w:color w:val="auto"/>
        </w:rPr>
      </w:pPr>
      <w:r>
        <w:rPr>
          <w:rFonts w:ascii="Arial" w:cs="Arial" w:eastAsia="Arial" w:hAnsi="Arial"/>
          <w:sz w:val="20"/>
          <w:szCs w:val="20"/>
          <w:color w:val="auto"/>
        </w:rPr>
        <w:t>VR CPC Services, LLC</w:t>
      </w:r>
    </w:p>
    <w:p>
      <w:pPr>
        <w:ind w:left="2700"/>
        <w:spacing w:after="0"/>
        <w:rPr>
          <w:sz w:val="20"/>
          <w:szCs w:val="20"/>
          <w:color w:val="auto"/>
        </w:rPr>
      </w:pPr>
      <w:r>
        <w:rPr>
          <w:rFonts w:ascii="Arial" w:cs="Arial" w:eastAsia="Arial" w:hAnsi="Arial"/>
          <w:sz w:val="20"/>
          <w:szCs w:val="20"/>
          <w:color w:val="auto"/>
        </w:rPr>
        <w:t>VR Heavenly Concessions, Inc.</w:t>
      </w:r>
    </w:p>
    <w:p>
      <w:pPr>
        <w:ind w:left="2700"/>
        <w:spacing w:after="0"/>
        <w:rPr>
          <w:sz w:val="20"/>
          <w:szCs w:val="20"/>
          <w:color w:val="auto"/>
        </w:rPr>
      </w:pPr>
      <w:r>
        <w:rPr>
          <w:rFonts w:ascii="Arial" w:cs="Arial" w:eastAsia="Arial" w:hAnsi="Arial"/>
          <w:sz w:val="20"/>
          <w:szCs w:val="20"/>
          <w:color w:val="auto"/>
        </w:rPr>
        <w:t>VR Heavenly I, Inc.</w:t>
      </w:r>
    </w:p>
    <w:p>
      <w:pPr>
        <w:ind w:left="2700"/>
        <w:spacing w:after="0"/>
        <w:rPr>
          <w:sz w:val="20"/>
          <w:szCs w:val="20"/>
          <w:color w:val="auto"/>
        </w:rPr>
      </w:pPr>
      <w:r>
        <w:rPr>
          <w:rFonts w:ascii="Arial" w:cs="Arial" w:eastAsia="Arial" w:hAnsi="Arial"/>
          <w:sz w:val="20"/>
          <w:szCs w:val="20"/>
          <w:color w:val="auto"/>
        </w:rPr>
        <w:t>VR Heavenly II, Inc.</w:t>
      </w:r>
    </w:p>
    <w:p>
      <w:pPr>
        <w:ind w:left="2700"/>
        <w:spacing w:after="0"/>
        <w:rPr>
          <w:sz w:val="20"/>
          <w:szCs w:val="20"/>
          <w:color w:val="auto"/>
        </w:rPr>
      </w:pPr>
      <w:r>
        <w:rPr>
          <w:rFonts w:ascii="Arial" w:cs="Arial" w:eastAsia="Arial" w:hAnsi="Arial"/>
          <w:sz w:val="20"/>
          <w:szCs w:val="20"/>
          <w:color w:val="auto"/>
        </w:rPr>
        <w:t>VR Holdings, Inc.</w:t>
      </w:r>
    </w:p>
    <w:p>
      <w:pPr>
        <w:ind w:left="2700"/>
        <w:spacing w:after="0"/>
        <w:rPr>
          <w:sz w:val="20"/>
          <w:szCs w:val="20"/>
          <w:color w:val="auto"/>
        </w:rPr>
      </w:pPr>
      <w:r>
        <w:rPr>
          <w:rFonts w:ascii="Arial" w:cs="Arial" w:eastAsia="Arial" w:hAnsi="Arial"/>
          <w:sz w:val="20"/>
          <w:szCs w:val="20"/>
          <w:color w:val="auto"/>
        </w:rPr>
        <w:t>VR US Holdings, Inc.</w:t>
      </w:r>
    </w:p>
    <w:p>
      <w:pPr>
        <w:ind w:left="2700"/>
        <w:spacing w:after="0"/>
        <w:rPr>
          <w:sz w:val="20"/>
          <w:szCs w:val="20"/>
          <w:color w:val="auto"/>
        </w:rPr>
      </w:pPr>
      <w:r>
        <w:rPr>
          <w:rFonts w:ascii="Arial" w:cs="Arial" w:eastAsia="Arial" w:hAnsi="Arial"/>
          <w:sz w:val="20"/>
          <w:szCs w:val="20"/>
          <w:color w:val="auto"/>
        </w:rPr>
        <w:t>VR WM Holdings, LLC</w:t>
      </w:r>
    </w:p>
    <w:p>
      <w:pPr>
        <w:ind w:left="3340"/>
        <w:spacing w:after="0"/>
        <w:rPr>
          <w:sz w:val="20"/>
          <w:szCs w:val="20"/>
          <w:color w:val="auto"/>
        </w:rPr>
      </w:pPr>
      <w:r>
        <w:rPr>
          <w:rFonts w:ascii="Arial" w:cs="Arial" w:eastAsia="Arial" w:hAnsi="Arial"/>
          <w:sz w:val="20"/>
          <w:szCs w:val="20"/>
          <w:color w:val="auto"/>
        </w:rPr>
        <w:t>By: VR US Holdings, INC.</w:t>
      </w:r>
    </w:p>
    <w:p>
      <w:pPr>
        <w:spacing w:after="0" w:line="200" w:lineRule="exact"/>
        <w:rPr>
          <w:sz w:val="20"/>
          <w:szCs w:val="20"/>
          <w:color w:val="auto"/>
        </w:rPr>
      </w:pPr>
    </w:p>
    <w:p>
      <w:pPr>
        <w:spacing w:after="0" w:line="219" w:lineRule="exact"/>
        <w:rPr>
          <w:sz w:val="20"/>
          <w:szCs w:val="20"/>
          <w:color w:val="auto"/>
        </w:rPr>
      </w:pPr>
    </w:p>
    <w:tbl>
      <w:tblPr>
        <w:tblLayout w:type="fixed"/>
        <w:tblInd w:w="27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1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Ryan H. Siurek</w:t>
            </w:r>
          </w:p>
        </w:tc>
        <w:tc>
          <w:tcPr>
            <w:tcW w:w="3380" w:type="dxa"/>
            <w:vAlign w:val="bottom"/>
          </w:tcPr>
          <w:p>
            <w:pPr>
              <w:spacing w:after="0"/>
              <w:rPr>
                <w:sz w:val="19"/>
                <w:szCs w:val="19"/>
                <w:color w:val="auto"/>
              </w:rPr>
            </w:pPr>
          </w:p>
        </w:tc>
      </w:tr>
      <w:tr>
        <w:trPr>
          <w:trHeight w:val="233"/>
        </w:trPr>
        <w:tc>
          <w:tcPr>
            <w:tcW w:w="64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Arial" w:cs="Arial" w:eastAsia="Arial" w:hAnsi="Arial"/>
                <w:sz w:val="20"/>
                <w:szCs w:val="20"/>
                <w:color w:val="auto"/>
              </w:rPr>
              <w:t>Ryan H. Siurek</w:t>
            </w:r>
          </w:p>
        </w:tc>
      </w:tr>
      <w:tr>
        <w:trPr>
          <w:trHeight w:val="250"/>
        </w:trPr>
        <w:tc>
          <w:tcPr>
            <w:tcW w:w="6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Arial" w:cs="Arial" w:eastAsia="Arial" w:hAnsi="Arial"/>
                <w:sz w:val="20"/>
                <w:szCs w:val="20"/>
                <w:color w:val="auto"/>
                <w:w w:val="91"/>
              </w:rPr>
              <w:t>Senior Vice President, Controller and Chief Accounting Officer</w:t>
            </w:r>
          </w:p>
        </w:tc>
      </w:tr>
    </w:tbl>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Fourth Amendment 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Seventh Amended and Restated Credit Agreement</w:t>
      </w:r>
    </w:p>
    <w:p>
      <w:pPr>
        <w:sectPr>
          <w:pgSz w:w="11900" w:h="16838" w:orient="portrait"/>
          <w:cols w:equalWidth="0" w:num="1">
            <w:col w:w="9019"/>
          </w:cols>
          <w:pgMar w:left="1440" w:top="595"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Katz, certify that:</w:t>
      </w:r>
    </w:p>
    <w:p>
      <w:pPr>
        <w:spacing w:after="0" w:line="387" w:lineRule="exact"/>
        <w:rPr>
          <w:sz w:val="20"/>
          <w:szCs w:val="20"/>
          <w:color w:val="auto"/>
        </w:rPr>
      </w:pPr>
    </w:p>
    <w:p>
      <w:pPr>
        <w:ind w:left="500" w:hanging="195"/>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0" w:hanging="195"/>
        <w:spacing w:after="0" w:line="264"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20" w:hanging="195"/>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auto"/>
        </w:rPr>
      </w:pPr>
    </w:p>
    <w:p>
      <w:pPr>
        <w:jc w:val="both"/>
        <w:ind w:left="500" w:right="20" w:hanging="195"/>
        <w:spacing w:after="0" w:line="264"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jc w:val="both"/>
        <w:ind w:left="1180" w:right="40" w:hanging="686"/>
        <w:spacing w:after="0" w:line="264" w:lineRule="auto"/>
        <w:tabs>
          <w:tab w:leader="none" w:pos="11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1180" w:right="20" w:hanging="686"/>
        <w:spacing w:after="0" w:line="264" w:lineRule="auto"/>
        <w:tabs>
          <w:tab w:leader="none" w:pos="11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1180" w:right="40" w:hanging="686"/>
        <w:spacing w:after="0" w:line="317" w:lineRule="auto"/>
        <w:tabs>
          <w:tab w:leader="none" w:pos="11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80" w:right="40" w:hanging="686"/>
        <w:spacing w:after="0" w:line="264" w:lineRule="auto"/>
        <w:tabs>
          <w:tab w:leader="none" w:pos="11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40" w:hanging="686"/>
        <w:spacing w:after="0" w:line="298" w:lineRule="auto"/>
        <w:tabs>
          <w:tab w:leader="none" w:pos="11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0" w:hanging="686"/>
        <w:spacing w:after="0" w:line="277" w:lineRule="auto"/>
        <w:tabs>
          <w:tab w:leader="none" w:pos="11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7, 2018</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Z. Barkin, certify that:</w:t>
      </w:r>
    </w:p>
    <w:p>
      <w:pPr>
        <w:spacing w:after="0" w:line="387" w:lineRule="exact"/>
        <w:rPr>
          <w:sz w:val="20"/>
          <w:szCs w:val="20"/>
          <w:color w:val="auto"/>
        </w:rPr>
      </w:pPr>
    </w:p>
    <w:p>
      <w:pPr>
        <w:ind w:left="500" w:hanging="195"/>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0" w:hanging="195"/>
        <w:spacing w:after="0" w:line="264"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20" w:hanging="195"/>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auto"/>
        </w:rPr>
      </w:pPr>
    </w:p>
    <w:p>
      <w:pPr>
        <w:jc w:val="both"/>
        <w:ind w:left="500" w:right="20" w:hanging="195"/>
        <w:spacing w:after="0" w:line="264"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jc w:val="both"/>
        <w:ind w:left="1180" w:right="40" w:hanging="686"/>
        <w:spacing w:after="0" w:line="264" w:lineRule="auto"/>
        <w:tabs>
          <w:tab w:leader="none" w:pos="11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1180" w:right="20" w:hanging="686"/>
        <w:spacing w:after="0" w:line="264" w:lineRule="auto"/>
        <w:tabs>
          <w:tab w:leader="none" w:pos="11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1180" w:right="40" w:hanging="686"/>
        <w:spacing w:after="0" w:line="317" w:lineRule="auto"/>
        <w:tabs>
          <w:tab w:leader="none" w:pos="11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80" w:right="40" w:hanging="686"/>
        <w:spacing w:after="0" w:line="264" w:lineRule="auto"/>
        <w:tabs>
          <w:tab w:leader="none" w:pos="11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40" w:hanging="686"/>
        <w:spacing w:after="0" w:line="298" w:lineRule="auto"/>
        <w:tabs>
          <w:tab w:leader="none" w:pos="11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0" w:hanging="686"/>
        <w:spacing w:after="0" w:line="277" w:lineRule="auto"/>
        <w:tabs>
          <w:tab w:leader="none" w:pos="11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7, 2018</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864"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his capacity as an officer of Vail Resorts, Inc. (the “Company”) that the Company's Quarterly Report on Form 10-Q for the quarter ended April 30, 2018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7, 2018</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7, 2018</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3"/>
    </w:lvl>
  </w:abstractNum>
  <w:abstractNum w:abstractNumId="6">
    <w:nsid w:val="436C6125"/>
    <w:multiLevelType w:val="hybridMultilevel"/>
    <w:lvl w:ilvl="0">
      <w:lvlJc w:val="left"/>
      <w:lvlText w:val="%1."/>
      <w:numFmt w:val="decimal"/>
      <w:start w:val="4"/>
    </w:lvl>
  </w:abstractNum>
  <w:abstractNum w:abstractNumId="7">
    <w:nsid w:val="628C895D"/>
    <w:multiLevelType w:val="hybridMultilevel"/>
    <w:lvl w:ilvl="0">
      <w:lvlJc w:val="left"/>
      <w:lvlText w:val="(%1)"/>
      <w:numFmt w:val="lowerLetter"/>
      <w:start w:val="1"/>
    </w:lvl>
    <w:lvl w:ilvl="1">
      <w:lvlJc w:val="left"/>
      <w:lvlText w:val="(%2)"/>
      <w:numFmt w:val="lowerLetter"/>
      <w:start w:val="1"/>
    </w:lvl>
  </w:abstractNum>
  <w:abstractNum w:abstractNumId="8">
    <w:nsid w:val="333AB105"/>
    <w:multiLevelType w:val="hybridMultilevel"/>
    <w:lvl w:ilvl="0">
      <w:lvlJc w:val="left"/>
      <w:lvlText w:val="%1."/>
      <w:numFmt w:val="decimal"/>
      <w:start w:val="5"/>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0"/>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32"/>
    </w:lvl>
  </w:abstractNum>
  <w:abstractNum w:abstractNumId="16">
    <w:nsid w:val="4353D0CD"/>
    <w:multiLevelType w:val="hybridMultilevel"/>
    <w:lvl w:ilvl="0">
      <w:lvlJc w:val="left"/>
      <w:lvlText w:val="%1"/>
      <w:numFmt w:val="decimal"/>
      <w:start w:val="101"/>
    </w:lvl>
  </w:abstractNum>
  <w:abstractNum w:abstractNumId="17">
    <w:nsid w:val="B03E0C6"/>
    <w:multiLevelType w:val="hybridMultilevel"/>
    <w:lvl w:ilvl="0">
      <w:lvlJc w:val="left"/>
      <w:lvlText w:val="%1."/>
      <w:numFmt w:val="upperLetter"/>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lowerLetter"/>
      <w:start w:val="2"/>
    </w:lvl>
  </w:abstractNum>
  <w:abstractNum w:abstractNumId="20">
    <w:nsid w:val="71F32454"/>
    <w:multiLevelType w:val="hybridMultilevel"/>
    <w:lvl w:ilvl="0">
      <w:lvlJc w:val="left"/>
      <w:lvlText w:val="(%1)"/>
      <w:numFmt w:val="lowerLetter"/>
      <w:start w:val="3"/>
    </w:lvl>
  </w:abstractNum>
  <w:abstractNum w:abstractNumId="21">
    <w:nsid w:val="2CA88611"/>
    <w:multiLevelType w:val="hybridMultilevel"/>
    <w:lvl w:ilvl="0">
      <w:lvlJc w:val="left"/>
      <w:lvlText w:val="(%1)"/>
      <w:numFmt w:val="lowerLetter"/>
      <w:start w:val="16"/>
    </w:lvl>
  </w:abstractNum>
  <w:abstractNum w:abstractNumId="22">
    <w:nsid w:val="836C40E"/>
    <w:multiLevelType w:val="hybridMultilevel"/>
    <w:lvl w:ilvl="0">
      <w:lvlJc w:val="left"/>
      <w:lvlText w:val="(%1)"/>
      <w:numFmt w:val="lowerLetter"/>
      <w:start w:val="17"/>
    </w:lvl>
  </w:abstractNum>
  <w:abstractNum w:abstractNumId="23">
    <w:nsid w:val="2901D82"/>
    <w:multiLevelType w:val="hybridMultilevel"/>
    <w:lvl w:ilvl="0">
      <w:lvlJc w:val="left"/>
      <w:lvlText w:val="(%1)"/>
      <w:numFmt w:val="lowerRoman"/>
      <w:start w:val="3"/>
    </w:lvl>
  </w:abstractNum>
  <w:abstractNum w:abstractNumId="24">
    <w:nsid w:val="3A95F874"/>
    <w:multiLevelType w:val="hybridMultilevel"/>
    <w:lvl w:ilvl="0">
      <w:lvlJc w:val="left"/>
      <w:lvlText w:val="(%1)"/>
      <w:numFmt w:val="lowerRoman"/>
      <w:start w:val="15"/>
    </w:lvl>
  </w:abstractNum>
  <w:abstractNum w:abstractNumId="25">
    <w:nsid w:val="8138641"/>
    <w:multiLevelType w:val="hybridMultilevel"/>
    <w:lvl w:ilvl="0">
      <w:lvlJc w:val="left"/>
      <w:lvlText w:val="(%1)"/>
      <w:numFmt w:val="lowerRoman"/>
      <w:start w:val="20"/>
    </w:lvl>
  </w:abstractNum>
  <w:abstractNum w:abstractNumId="26">
    <w:nsid w:val="1E7FF521"/>
    <w:multiLevelType w:val="hybridMultilevel"/>
    <w:lvl w:ilvl="0">
      <w:lvlJc w:val="left"/>
      <w:lvlText w:val="(%1)"/>
      <w:numFmt w:val="lowerRoman"/>
      <w:start w:val="21"/>
    </w:lvl>
  </w:abstractNum>
  <w:abstractNum w:abstractNumId="27">
    <w:nsid w:val="7C3DBD3D"/>
    <w:multiLevelType w:val="hybridMultilevel"/>
    <w:lvl w:ilvl="0">
      <w:lvlJc w:val="left"/>
      <w:lvlText w:val="%1."/>
      <w:numFmt w:val="decimal"/>
      <w:start w:val="3"/>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decimal"/>
      <w:start w:val="5"/>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decimal"/>
      <w:start w:val="6"/>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2019-12-28T21:33:36Z</dcterms:created>
  <dcterms:modified xsi:type="dcterms:W3CDTF">2019-12-28T21:33:36Z</dcterms:modified>
</cp:coreProperties>
</file>