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April 30, 2026</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8"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36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4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3" w:lineRule="exact"/>
        <w:rPr>
          <w:sz w:val="24"/>
          <w:szCs w:val="24"/>
          <w:color w:val="auto"/>
        </w:rPr>
      </w:pPr>
    </w:p>
    <w:p>
      <w:pPr>
        <w:ind w:right="168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June 3, 2026, 35,633,526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70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60" w:type="dxa"/>
            <w:vAlign w:val="bottom"/>
          </w:tcPr>
          <w:p>
            <w:pPr>
              <w:spacing w:after="0"/>
              <w:rPr>
                <w:sz w:val="16"/>
                <w:szCs w:val="16"/>
                <w:color w:val="auto"/>
              </w:rPr>
            </w:pP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April 30, 2026, July 31, 2025 and April 30, 2025</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and Nine Months Ended April 30, 2026 and 2025</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for the Three and Nine Months Ended April 30, 2026 and 2025</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and Nine Months Ended April 30, 2026 and 2025</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89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Nine Months Ended April 30, 2026 and 2025</w:t>
            </w:r>
          </w:p>
        </w:tc>
        <w:tc>
          <w:tcPr>
            <w:tcW w:w="760" w:type="dxa"/>
            <w:vAlign w:val="bottom"/>
            <w:gridSpan w:val="2"/>
          </w:tcPr>
          <w:p>
            <w:pPr>
              <w:spacing w:after="0"/>
              <w:rPr>
                <w:sz w:val="16"/>
                <w:szCs w:val="16"/>
                <w:color w:val="auto"/>
              </w:rPr>
            </w:pP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740" w:type="dxa"/>
            <w:vAlign w:val="bottom"/>
            <w:gridSpan w:val="9"/>
            <w:shd w:val="clear" w:color="auto" w:fill="CCEEFF"/>
          </w:tcPr>
          <w:p>
            <w:pPr>
              <w:spacing w:after="0"/>
              <w:rPr>
                <w:sz w:val="16"/>
                <w:szCs w:val="16"/>
                <w:color w:val="auto"/>
              </w:rPr>
            </w:pP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80" w:type="dxa"/>
            <w:vAlign w:val="bottom"/>
            <w:tcBorders>
              <w:bottom w:val="single" w:sz="8" w:color="CCEEFF"/>
            </w:tcBorders>
            <w:gridSpan w:val="7"/>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shd w:val="clear" w:color="auto" w:fill="CCEEFF"/>
          </w:tcPr>
          <w:p>
            <w:pPr>
              <w:spacing w:after="0"/>
              <w:rPr>
                <w:sz w:val="16"/>
                <w:szCs w:val="16"/>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shd w:val="clear" w:color="auto" w:fill="CCEEFF"/>
          </w:tcPr>
          <w:p>
            <w:pPr>
              <w:spacing w:after="0"/>
              <w:rPr>
                <w:sz w:val="18"/>
                <w:szCs w:val="18"/>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420" w:type="dxa"/>
            <w:vAlign w:val="bottom"/>
            <w:tcBorders>
              <w:top w:val="single" w:sz="8" w:color="CCEEFF"/>
            </w:tcBorders>
            <w:gridSpan w:val="10"/>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Borders>
              <w:top w:val="single" w:sz="8" w:color="CCEEFF"/>
            </w:tcBorders>
          </w:tcPr>
          <w:p>
            <w:pPr>
              <w:spacing w:after="0"/>
              <w:rPr>
                <w:sz w:val="16"/>
                <w:szCs w:val="16"/>
                <w:color w:val="auto"/>
              </w:rPr>
            </w:pPr>
          </w:p>
        </w:tc>
      </w:tr>
      <w:tr>
        <w:trPr>
          <w:trHeight w:val="21"/>
        </w:trPr>
        <w:tc>
          <w:tcPr>
            <w:tcW w:w="9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420" w:type="dxa"/>
            <w:vAlign w:val="bottom"/>
            <w:tcBorders>
              <w:bottom w:val="single" w:sz="8" w:color="CCEEFF"/>
            </w:tcBorders>
            <w:gridSpan w:val="13"/>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140" w:type="dxa"/>
            <w:vAlign w:val="bottom"/>
            <w:gridSpan w:val="15"/>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00" w:type="dxa"/>
            <w:vAlign w:val="bottom"/>
          </w:tcPr>
          <w:p>
            <w:pPr>
              <w:spacing w:after="0"/>
              <w:rPr>
                <w:sz w:val="16"/>
                <w:szCs w:val="16"/>
                <w:color w:val="auto"/>
              </w:rPr>
            </w:pPr>
          </w:p>
        </w:tc>
        <w:tc>
          <w:tcPr>
            <w:tcW w:w="14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6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371,374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440,290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467,034</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15,946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 (Note 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356,917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382,370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335,900</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129,069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117,178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114,573</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78,916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93,823</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68,129</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952,222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1,049,790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999,414</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2,371,161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2,374,654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2,382,700</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76,439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87,853</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87,895</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1,703,085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1,675,215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1,678,918</w:t>
            </w: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299,505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298,497</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300,034</w:t>
            </w: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231,501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242,485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249,196</w:t>
            </w:r>
          </w:p>
        </w:tc>
      </w:tr>
      <w:tr>
        <w:trPr>
          <w:trHeight w:val="229"/>
        </w:trPr>
        <w:tc>
          <w:tcPr>
            <w:tcW w:w="6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52,037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49,391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51,788</w:t>
            </w:r>
          </w:p>
        </w:tc>
      </w:tr>
      <w:tr>
        <w:trPr>
          <w:trHeight w:val="248"/>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5,685,950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5,749,945</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894,951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1,056,665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940,874</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76,241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11,452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95,919</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73,512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591,474</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1,044,704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1,667,626</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1,628,267</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2,949,629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2,118,911</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198,406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215,085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220,302</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312,469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294,464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288,506</w:t>
            </w:r>
          </w:p>
        </w:tc>
      </w:tr>
      <w:tr>
        <w:trPr>
          <w:trHeight w:val="230"/>
        </w:trPr>
        <w:tc>
          <w:tcPr>
            <w:tcW w:w="60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264,648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252,041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276,232</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4,769,856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5,023,981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4,532,218</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5"/>
        </w:trPr>
        <w:tc>
          <w:tcPr>
            <w:tcW w:w="6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47,016, 46,945</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46,925 shares issued, respectively</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1,188,112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1,171,536</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1,160,833</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(57,074)</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818,331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718,662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979,232</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11,383, 11,060 and 9,774 shares, respectively (Note 10)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(1,453,869)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(1,408,279)</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(1,206,293)</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551,727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424,499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877,167</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364,367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329,405</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340,560</w:t>
            </w:r>
          </w:p>
        </w:tc>
      </w:tr>
      <w:tr>
        <w:trPr>
          <w:trHeight w:val="223"/>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916,094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753,904</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1,217,727</w:t>
            </w:r>
          </w:p>
        </w:tc>
      </w:tr>
      <w:tr>
        <w:trPr>
          <w:trHeight w:val="223"/>
        </w:trPr>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5,685,950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5,749,945</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24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1,043,884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2,160,491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2,259,172</w:t>
            </w:r>
          </w:p>
        </w:tc>
      </w:tr>
      <w:tr>
        <w:trPr>
          <w:trHeight w:val="229"/>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161,209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399,441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433,537</w:t>
            </w:r>
          </w:p>
        </w:tc>
      </w:tr>
      <w:tr>
        <w:trPr>
          <w:trHeight w:val="223"/>
        </w:trPr>
        <w:tc>
          <w:tcPr>
            <w:tcW w:w="5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1,205,093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2,559,932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2,692,709</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5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1,205,175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2,560,136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2,693,058</w:t>
            </w: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459,875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1,214,221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1,245,010</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56,701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143,471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156,164</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102,559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334,601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327,408</w:t>
            </w:r>
          </w:p>
        </w:tc>
      </w:tr>
      <w:tr>
        <w:trPr>
          <w:trHeight w:val="223"/>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619,135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1,692,293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1,728,582</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4,768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23"/>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620,610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1,697,061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1,733,493</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(221,963)</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494,128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629,355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759,014</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9,168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(127,372)</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445,854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486,915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643,925</w:t>
            </w:r>
          </w:p>
        </w:tc>
      </w:tr>
      <w:tr>
        <w:trPr>
          <w:trHeight w:val="229"/>
        </w:trPr>
        <w:tc>
          <w:tcPr>
            <w:tcW w:w="5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340,223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369,612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486,280</w:t>
            </w:r>
          </w:p>
        </w:tc>
      </w:tr>
      <w:tr>
        <w:trPr>
          <w:trHeight w:val="229"/>
        </w:trPr>
        <w:tc>
          <w:tcPr>
            <w:tcW w:w="5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r>
      <w:tr>
        <w:trPr>
          <w:trHeight w:val="22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314,435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389,740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337,690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4"/>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bl>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340,223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369,612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6,967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71,547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22,905</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347,190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441,159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507,430</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321,575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467,365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394,262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471,075</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515,507</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800,866</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389,740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389,740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411,316</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77,625</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77,625</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114,723</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467,365</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58,674</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526,039</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(82,481)</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1,160,833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979,232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877,167</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1,217,727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(1,453,869)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301,816</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644,786</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314,435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314,435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340,223</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321,575</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347,190</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30,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1,188,112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(1,453,869)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551,727</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916,094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709,932</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1,024,878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460,861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460,861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486,280</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22,905</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471,075</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507,430</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979,232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877,167</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340,560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1,217,727</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1,171,536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424,499</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753,904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337,690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337,690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369,612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56,572</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14,975</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71,547</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394,262</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46,897</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441,159</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(238,021)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(238,021)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(11,935)</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1,188,112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818,331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(1,453,869)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551,727</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916,094</w:t>
            </w: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7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8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369,612</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486,280</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224,686</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221,963</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20,645</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21,184</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117,303</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157,645</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14,439</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income,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(35,278)</w:t>
            </w:r>
          </w:p>
        </w:tc>
      </w:tr>
      <w:tr>
        <w:trPr>
          <w:trHeight w:val="21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receivables, net</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30,228</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39,733</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14,780</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54,627</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(142,350)</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(106,953)</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(44,453)</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(110,904)</w:t>
            </w:r>
          </w:p>
        </w:tc>
      </w:tr>
      <w:tr>
        <w:trPr>
          <w:trHeight w:val="216"/>
        </w:trPr>
        <w:tc>
          <w:tcPr>
            <w:tcW w:w="7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r>
      <w:tr>
        <w:trPr>
          <w:trHeight w:val="210"/>
        </w:trPr>
        <w:tc>
          <w:tcPr>
            <w:tcW w:w="73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582,666</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724,598</w:t>
            </w:r>
          </w:p>
        </w:tc>
      </w:tr>
      <w:tr>
        <w:trPr>
          <w:trHeight w:val="21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(181,640)</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(179,250)</w:t>
            </w:r>
          </w:p>
        </w:tc>
      </w:tr>
      <w:tr>
        <w:trPr>
          <w:trHeight w:val="216"/>
        </w:trPr>
        <w:tc>
          <w:tcPr>
            <w:tcW w:w="7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2,699</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23,768</w:t>
            </w:r>
          </w:p>
        </w:tc>
      </w:tr>
      <w:tr>
        <w:trPr>
          <w:trHeight w:val="210"/>
        </w:trPr>
        <w:tc>
          <w:tcPr>
            <w:tcW w:w="7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(178,941)</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(155,482)</w:t>
            </w:r>
          </w:p>
        </w:tc>
      </w:tr>
      <w:tr>
        <w:trPr>
          <w:trHeight w:val="21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under Vail Holdings Credit Agreement</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389,063</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 of 0.0% Convertible Notes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(525,000)</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(40,547)</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(36,914)</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(238,021)</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(248,455)</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r>
      <w:tr>
        <w:trPr>
          <w:trHeight w:val="213"/>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(23,679)</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(26,386)</w:t>
            </w:r>
          </w:p>
        </w:tc>
      </w:tr>
      <w:tr>
        <w:trPr>
          <w:trHeight w:val="210"/>
        </w:trPr>
        <w:tc>
          <w:tcPr>
            <w:tcW w:w="73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(487,252)</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(435,716)</w:t>
            </w:r>
          </w:p>
        </w:tc>
      </w:tr>
      <w:tr>
        <w:trPr>
          <w:trHeight w:val="209"/>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14,428</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w:t>
            </w:r>
          </w:p>
        </w:tc>
      </w:tr>
      <w:tr>
        <w:trPr>
          <w:trHeight w:val="219"/>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(69,099)</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143,749</w:t>
            </w: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456,419</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337,063</w:t>
            </w:r>
          </w:p>
        </w:tc>
      </w:tr>
      <w:tr>
        <w:trPr>
          <w:trHeight w:val="209"/>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387,320</w:t>
            </w:r>
          </w:p>
        </w:tc>
        <w:tc>
          <w:tcPr>
            <w:tcW w:w="104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480,812</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8"/>
        </w:trPr>
        <w:tc>
          <w:tcPr>
            <w:tcW w:w="7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12,479</w:t>
            </w:r>
          </w:p>
        </w:tc>
        <w:tc>
          <w:tcPr>
            <w:tcW w:w="104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19,727</w:t>
            </w:r>
          </w:p>
        </w:tc>
      </w:tr>
    </w:tbl>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887"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proximate to the Company’s mountain resorts are seasonal in nature and typically experience their peak operating seasons from mid-December through mid-April in North America and Europe. The peak operating season at the Company’s Australian resorts, NPS concessioner properties and golf courses generally occurs from June to early October.</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of the Company’s operating cycle. The accompanying Consolidated Condensed Financial Statements should be read in conjunction with the audited Consolidated Financial Statements included in the Company’s Annual Report on Form 10-K for the fiscal year ended July 31, 2025.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2025,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The Company tests Goodwill annually as of May 1, or more often, if necessary. During the three months ended April 30, 2026, due to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evolution in the operations of the Mountain segment focused on a more streamlined guest experience, the Company assessed the impact of these changes to the existing reporting units. Based on an evaluation of quantitative and qualitative factors, management determined that components of its Mountain segment are economically similar and thus should be aggregated into a single reporting unit. Factors considered include financial results, the shared customer base, common assets and resources, and operational and economic interdependence of the segment’s components. Prior to the aggregation of the reporting units, the Company tested each reporting unit for impairment and concluded there was no impairment of goodwill.</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5.625% Notes (both described in Note 5, Long-Term Debt)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quoted market prices (a Level 2 input). The fair value of the NRP Loan (as defined in Note 5, Long-Term Debt) has been estimated using current borrowing rates for comparable debt instruments with similar maturity dates (a Level 2 input). The fair value of the EPR Secured Notes (as defined in Note 5, Long-Term Debt) has been estimated using current borrowing rates for comparable debt instruments with similar maturity dates (a Level 2 input) and future revenue projections (a Level 3 input). The carrying values, including any unamortized premium or discount, and estimated fair values of the 6.50% Notes, 5.625% Notes, EPR Secured Notes and NRP Loan as of April 30, 2026 are presented below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12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1"/>
                <w:szCs w:val="11"/>
                <w:color w:val="auto"/>
              </w:rPr>
            </w:pPr>
          </w:p>
        </w:tc>
        <w:tc>
          <w:tcPr>
            <w:tcW w:w="1120" w:type="dxa"/>
            <w:vAlign w:val="bottom"/>
          </w:tcPr>
          <w:p>
            <w:pPr>
              <w:jc w:val="right"/>
              <w:ind w:right="6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7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163,674</w:t>
            </w:r>
          </w:p>
        </w:tc>
      </w:tr>
      <w:tr>
        <w:trPr>
          <w:trHeight w:val="229"/>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35,181</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28,204</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Consolidated Financial Statements — </w:t>
      </w:r>
      <w:r>
        <w:rPr>
          <w:rFonts w:ascii="Times New Roman" w:cs="Times New Roman" w:eastAsia="Times New Roman" w:hAnsi="Times New Roman"/>
          <w:sz w:val="18"/>
          <w:szCs w:val="18"/>
          <w:color w:val="auto"/>
        </w:rPr>
        <w:t>During the fourth quarter of fiscal 2025, the Company identified an immaterial error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accounting for the EPR Secured Notes, which resulted in an understatement of non-cash interest expense, long-term debt due within one year and long-term debt, net as of and for the years ended July 31, 2024 and July 31, 2023. The Company also identified an immaterial error in its accounting for certain completed capital projects, which resulted in an understatement of depreciation expense and overstatement of property, plant and equipment, net as of and for the years ended July 31, 2024 and July 31, 2023. The Company evaluated the errors and concluded that they were not material, individually or in the aggregate, to its previously issued Consolidated Financial Statements.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correct the immaterial errors, the Company elected to revise its previously issued Consolidated Financial Statements as of and for the years ended July 31, 2024 and July 31, 2023 and its unaudited Consolidated Condensed Financial Statements as of and for the three and nine months ended April 30, 2025. The revision also includes the correction of other previously identified immaterial errors in its Consolidated Financial Statements as of and for the years ended July 31, 2024 and July 31, 2023 and its unaudited Consolidated Condensed Financial Statements as of and for the three and nine months ended April 30, 2025, which the Company had evaluated or recorded as out of period adjustments in prior periods. The Company had previously determined that these errors did not, individually or in the aggregate, result in a material error of its previously issued Consolidated Financial Statements as of and for the years ended July 31, 2024 and July 31, 2023 and its unaudited Consolidated Condensed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as of and for the three and nine months ended April 30, 2025. Further information regarding the errors and related revisions is included in Note 11, Revision of Previously Issued Consolidated Condensed Financial Statements.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presented the revision of its previously issued Consolidated Financial Statements as of and for the years ended July 31, 2024 and July 31, 2023 in connection with the filing of its 2025 Annual Report on Form 10-K. The Company is presenting the revision of its previously issued unaudited Consolidated Condensed Financial Statements as of and for the three and nine months ended April 30, 2025 in the accompanying unaudited Consolidated Condensed Financial Statements and related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The Company will adopt the standard during the fourth quarter of its fiscal year ending July 31, 2026. The adoption will not materially affect the Company’s financial position or results of operations but will result in additional disclosures.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financial statements, including determining the timing of adoption.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The amendments in this update remove all references to prescriptive and sequential software development stages (referred to as “project stages”) throughout Subtopic 350-40. Therefore, an entity will start capitalizing software costs when management has authorized and committed to funding the software project and it is probable that the project will be completed and that the software will be used to perform the function intended. This ASU allows for prospective, modified or retrospective transition. The ASU is effective for fiscal years beginning after December 15, 2027 (the Company’s fiscal year ending July 31, 2029) and interim reporting periods within those annual periods, with early adoption permitted. The Company is in the process of evaluating the effect that the adoption of this standard will have on its financial statements, including determining the timing and method of adoption.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amendments in this update establish authoritative guidance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The ASU is effective for fiscal years beginning after December 15, 2028 (the Company’s fiscal year ending July 31, 2030) and interim reporting periods within those annual periods, with early adoption permitted. The Company is in the process of evaluating the effect that the adoption of this standard will have on its financial statements, including determining the timing of adoption.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and nine months ended April 30, 2026 and 2025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00" w:type="dxa"/>
            <w:vAlign w:val="bottom"/>
          </w:tcPr>
          <w:p>
            <w:pPr>
              <w:spacing w:after="0"/>
              <w:rPr>
                <w:sz w:val="16"/>
                <w:szCs w:val="16"/>
                <w:color w:val="auto"/>
              </w:rPr>
            </w:pPr>
          </w:p>
        </w:tc>
        <w:tc>
          <w:tcPr>
            <w:tcW w:w="256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729,378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770,259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1,404,948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1,455,600</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141,758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270,269</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300,091</w:t>
            </w:r>
          </w:p>
        </w:tc>
      </w:tr>
      <w:tr>
        <w:trPr>
          <w:trHeight w:val="22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99,142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222,507</w:t>
            </w:r>
          </w:p>
        </w:tc>
      </w:tr>
      <w:tr>
        <w:trPr>
          <w:trHeight w:val="23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104,211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261,014</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278,363</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55,289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192,378</w:t>
            </w:r>
          </w:p>
        </w:tc>
      </w:tr>
      <w:tr>
        <w:trPr>
          <w:trHeight w:val="223"/>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1,129,778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2,327,321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2,448,939</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12,861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56,618</w:t>
            </w:r>
          </w:p>
        </w:tc>
      </w:tr>
      <w:tr>
        <w:trPr>
          <w:trHeight w:val="22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28,345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71,413</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13,816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r>
      <w:tr>
        <w:trPr>
          <w:trHeight w:val="23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9,981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34,109</w:t>
            </w:r>
          </w:p>
        </w:tc>
      </w:tr>
      <w:tr>
        <w:trPr>
          <w:trHeight w:val="223"/>
        </w:trPr>
        <w:tc>
          <w:tcPr>
            <w:tcW w:w="5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70,203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232,631</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5,112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r>
      <w:tr>
        <w:trPr>
          <w:trHeight w:val="223"/>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75,315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243,770</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1,205,093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1,295,443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2,559,932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2,692,709</w:t>
            </w: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1,205,175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1,295,558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2,560,136</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2,693,058</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$467.0 million, $602.1 million and $468.6 million as of April 30, 2026, July 31, 2025 and April 30, 2025 respectively. For the three and nine months ended April 30, 2026, the Company recognized approximately $260.7 million and $569.5 million, respectively, of revenue that was included in the deferred revenue balance as of July 31, 2025. Deferred revenue balances of a long-term nature, comprised primarily of long-term private club initiation fee revenue, were $95.1 million, $99.4 million and $101.2 million as of April 30, 2026, July 31, 2025 and April 30, 2025, respectively. As of April 30, 2026, the weighted average remaining period over which revenue for unsatisfied performance obligations on long-term private club contracts will be recognized was approximately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$3.0 million, $6.6 million and $4.0 million as of April 30, 2026, July 31, 2025 and April 30, 2025, respectively. The amounts capitalized are subject to amortization commensurate with the recognition of revenue for related pass products. The Company recorded amortization of $15.4 million and $31.0 million, respectively, for these costs during the three and nine months ended April 30, 2026, which was recorded within Mountain and Lodging operating expense on the Company’s Consolidated Condensed Statements of Operations. The Company recorded amortization of $13.4 million and $28.3 million, respectively, for these costs during the three and nine months ended April 30, 2025.</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could occur if securities or other contracts to issue common stock were exercised, resulting in the issuance of shares of common stock that would then share in the earnings of Vail Resorts.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April 30, 2026 and 2025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314,435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314,435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389,740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389,740</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35,633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35,633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37,241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35,633</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35,686</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37,241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8.82</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8.81</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10,000 and 2,000 for the three months ended April 30,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nine months ended April 30, 2026 and 2025 (in thousands, except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4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337,690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337,690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460,861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460,861</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35,765</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35,765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35,765</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35,811</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9.44</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9.43</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12.33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issuable upon the exercise of share-based awards excluded from the calculation of diluted EPS because the effect of their inclusion would have been anti-dilutive totaled approximately 10,000 and 21,000 for the nine months ended April 30, 2026 and 2025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The Company was required to settle the principal amount of the 0.0% Convertible Notes in cash and had the option to settle the conversion spread in cash or shares. The Company used the if-converted method to calculate the impact of convertible instruments on diluted EPS when the instruments could be settled in cash or shares. If the conversion value of the 0.0% Convertible Notes exceeded their conversion price, then the Company would calculate its diluted EPS as if all the notes were converted into common stock at the beginning of the period. However, if reflecting the 0.0% Convertible Notes in diluted EPS in this manner was anti-dilutive, or if the conversion value of the notes did not exceed their conversion price for a reporting period, then the shares underlying the notes would not be reflected in the Company’s calculation of diluted EPS. On January 2, 2026, the maturity date of the 0.0% Convertible Notes, the Company settled the remaining principal amount in cash. For the three and nine months ended April 30, 2026 and 2025, the price of Vail Resorts, Inc. common stock (“Vail Shares”) did not exceed the conversion price and therefore there was no impact to diluted EPS during those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April 30, 2026, the Company paid cash dividends of $2.22 and $6.66 per share, respectively ($79.1 million and $238.0 million, respectively). During the three and nine months ended April 30, 2025, the Company paid cash dividends of $2.22 and $6.66 per share, respectively ($82.5 million and $248.5 million, respectively). 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June 4, 2026, the Company’s Board of Directors approved a cash dividend of $2.22 per share payable on July 9, 2026 to stockholders of record as of June 25, 2026.</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April 30, 2026, July 31, 2025 and April 30, 2025 is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8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60" w:type="dxa"/>
            <w:vAlign w:val="bottom"/>
          </w:tcPr>
          <w:p>
            <w:pPr>
              <w:spacing w:after="0"/>
              <w:rPr>
                <w:sz w:val="16"/>
                <w:szCs w:val="16"/>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4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1,259,063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910,547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922,852</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2034-2036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2036</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35,181</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37,109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36,525</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2027-2039</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379,116</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374,864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373,433</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Canyons Parking Garage </w:t>
            </w:r>
            <w:r>
              <w:rPr>
                <w:rFonts w:ascii="Times New Roman" w:cs="Times New Roman" w:eastAsia="Times New Roman" w:hAnsi="Times New Roman"/>
                <w:sz w:val="23"/>
                <w:szCs w:val="23"/>
                <w:color w:val="auto"/>
                <w:vertAlign w:val="superscript"/>
              </w:rPr>
              <w:t>(e)</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22,282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2042</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27,620</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27,416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2026-2037</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32,353</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52,332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3,022,352</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3,194,005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2,705,043</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30"/>
        </w:trPr>
        <w:tc>
          <w:tcPr>
            <w:tcW w:w="51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(f)</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73,512</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591,474</w:t>
            </w:r>
          </w:p>
        </w:tc>
      </w:tr>
      <w:tr>
        <w:trPr>
          <w:trHeight w:val="248"/>
        </w:trPr>
        <w:tc>
          <w:tcPr>
            <w:tcW w:w="5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2,949,629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2,118,911</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580" w:hanging="329"/>
        <w:spacing w:after="0" w:line="254"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(“VHI”), which is a wholly-owned subsidiary of the Company, along with other certain subsidiaries of VHI, and the Company, as guarantors, Bank of America, N.A., as administrative agent, and certain Lenders are party to the Ninth Amended and Restated Credit Agreement (as subsequently amended, the “Vail Holdings Credit Agreement”). The Vail Holdings Credit Agreement provides a revolver credit facility, which was undrawn as of April 30, 2026, and the term loan facility, which had an outstanding balance of $1.3 billion as of April 30, 2026. The term loan is subject to quarterly amortization of principal, in equal installments, for a total of 5% of principal payable in each year and the final payment of all amounts outstanding, plus accrued and unpaid interest is due upon maturity. The proceeds of the loans made under the Vail Holdings Credit Agreement may be used to fund the Company’s working capital needs, capital expenditures, acquisitions, investments and other general corporate purposes, including the issuance of letters of credit.</w:t>
      </w:r>
    </w:p>
    <w:p>
      <w:pPr>
        <w:spacing w:after="0" w:line="191" w:lineRule="exact"/>
        <w:rPr>
          <w:rFonts w:ascii="Times New Roman" w:cs="Times New Roman" w:eastAsia="Times New Roman" w:hAnsi="Times New Roman"/>
          <w:sz w:val="18"/>
          <w:szCs w:val="18"/>
          <w:color w:val="auto"/>
        </w:rPr>
      </w:pPr>
    </w:p>
    <w:p>
      <w:pPr>
        <w:jc w:val="both"/>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VHI entered into the First Amendment to the Vail Holdings Credit Agreement (the “First Amendment”) to the Ninth Amended and Restated Credit Agreement. The First Amendment, among other things, increased the revolving credit facility by $100.0 million to an aggregate principal amount of $600.0 million and provided for an incremental term loan facility in aggregate principal amount of $450.0 million in the form of delayed draw term loans, which would become subject to the same interest and principal payment terms and same maturity date as the term loan facility once drawn. On July 2, 2025, the Company reduced the delayed draw term loan commitment by $175.0 million pursuant to the Ninth Amended and Restated Credit Agreement. No other material terms of the Vail Holdings Credit Agreement were amended. On December 26, 2025, the Company drew down the remaining $275.0 million outstanding balance of the delayed draw term loan increasing the total outstanding term loan facility. The incremental term loan borrowings were used to fund the repayment of the 0.0% Convertible Notes.</w:t>
      </w:r>
    </w:p>
    <w:p>
      <w:pPr>
        <w:spacing w:after="0" w:line="191" w:lineRule="exact"/>
        <w:rPr>
          <w:rFonts w:ascii="Times New Roman" w:cs="Times New Roman" w:eastAsia="Times New Roman" w:hAnsi="Times New Roman"/>
          <w:sz w:val="18"/>
          <w:szCs w:val="18"/>
          <w:color w:val="auto"/>
        </w:rPr>
      </w:pPr>
    </w:p>
    <w:p>
      <w:pPr>
        <w:jc w:val="both"/>
        <w:ind w:left="5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VHI entered into an amendment and restatement of the Ninth Amended and Restated Credit Agreement, dated as of April 24, 2024 (as amended the “Tenth A&amp;R Credit Agreement”). The Tenth A&amp;R Credit Agreement, among other things, (i) replaced the existing term loan facility with a new $1,275.0 million senior term loan facility; (ii) extended the maturity date of the revolver and term loan facilities to the earlier of</w:t>
      </w:r>
    </w:p>
    <w:p>
      <w:pPr>
        <w:spacing w:after="0" w:line="1" w:lineRule="exact"/>
        <w:rPr>
          <w:rFonts w:ascii="Times New Roman" w:cs="Times New Roman" w:eastAsia="Times New Roman" w:hAnsi="Times New Roman"/>
          <w:sz w:val="18"/>
          <w:szCs w:val="18"/>
          <w:color w:val="auto"/>
        </w:rPr>
      </w:pPr>
    </w:p>
    <w:p>
      <w:pPr>
        <w:jc w:val="both"/>
        <w:ind w:left="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five years from the closing date and (y) the date that is ninety days prior to the maturity of the Company’s 5.625% senior notes due July 2030, so long as such notes remain outstanding; and (iii) reduced the interest rate applicable to borrowings under the Tenth A&amp;R Credit Agreement. Under the Tenth A&amp;R Credit Agreement, borrowings under the Vail Holdings Credit Agreement, including the term loan, bear interest annually at the Secured Overnight Financing Rate (“SOFR”) plus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left="329" w:right="20"/>
        <w:spacing w:after="0" w:line="282" w:lineRule="auto"/>
        <w:rPr>
          <w:sz w:val="20"/>
          <w:szCs w:val="20"/>
          <w:color w:val="auto"/>
        </w:rPr>
      </w:pPr>
      <w:r>
        <w:rPr>
          <w:rFonts w:ascii="Times New Roman" w:cs="Times New Roman" w:eastAsia="Times New Roman" w:hAnsi="Times New Roman"/>
          <w:sz w:val="18"/>
          <w:szCs w:val="18"/>
          <w:color w:val="auto"/>
        </w:rPr>
        <w:t>spread of 1.50% as of April 30, 2026 (5.16% as of April 30, 2026). Interest rate margins may fluctuate based upon the ratio of the Company’s Net Funded Debt to Adjusted EBITDA (as defined in the Vail Holdings Credit Agreement) on a trailing four-quarter basis.</w:t>
      </w:r>
    </w:p>
    <w:p>
      <w:pPr>
        <w:spacing w:after="0" w:line="162" w:lineRule="exact"/>
        <w:rPr>
          <w:sz w:val="20"/>
          <w:szCs w:val="20"/>
          <w:color w:val="auto"/>
        </w:rPr>
      </w:pPr>
    </w:p>
    <w:p>
      <w:pPr>
        <w:jc w:val="both"/>
        <w:ind w:left="329"/>
        <w:spacing w:after="0" w:line="261" w:lineRule="auto"/>
        <w:rPr>
          <w:sz w:val="20"/>
          <w:szCs w:val="20"/>
          <w:color w:val="auto"/>
        </w:rPr>
      </w:pPr>
      <w:r>
        <w:rPr>
          <w:rFonts w:ascii="Times New Roman" w:cs="Times New Roman" w:eastAsia="Times New Roman" w:hAnsi="Times New Roman"/>
          <w:sz w:val="18"/>
          <w:szCs w:val="18"/>
          <w:color w:val="auto"/>
        </w:rPr>
        <w:t>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April 30, 2026).</w:t>
      </w:r>
    </w:p>
    <w:p>
      <w:pPr>
        <w:spacing w:after="0" w:line="180" w:lineRule="exact"/>
        <w:rPr>
          <w:sz w:val="20"/>
          <w:szCs w:val="20"/>
          <w:color w:val="auto"/>
        </w:rPr>
      </w:pPr>
    </w:p>
    <w:p>
      <w:pPr>
        <w:ind w:left="329" w:right="20" w:hanging="329"/>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2026, the maturity date of the 0.0% Convertible Notes, the Company repaid the remaining $525.0 million aggregate principal amount. The repayment was funded with the net proceeds from the Company’s delayed draw term loan, in addition to cash on hand.</w:t>
      </w:r>
    </w:p>
    <w:p>
      <w:pPr>
        <w:spacing w:after="0" w:line="188" w:lineRule="exact"/>
        <w:rPr>
          <w:rFonts w:ascii="Times New Roman" w:cs="Times New Roman" w:eastAsia="Times New Roman" w:hAnsi="Times New Roman"/>
          <w:sz w:val="18"/>
          <w:szCs w:val="18"/>
          <w:color w:val="auto"/>
        </w:rPr>
      </w:pPr>
    </w:p>
    <w:p>
      <w:pPr>
        <w:jc w:val="both"/>
        <w:ind w:left="329" w:hanging="329"/>
        <w:spacing w:after="0" w:line="254"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credit facility by and among Whistler LP, Blackcomb LP, certain subsidiaries of Whistler LP and Blackcomb LP and their general partner party thereto as guarantors, the financial institutions party thereto as lenders and The Toronto-Dominion Bank, as administrative agent. On September 24, 2025, we amended the Whistler Credit Agreement primarily to extend the maturity date to September 24, 2030, and to reduce the total size of the credit facility from C$300.0 million to C$250.0 million. The Whistler Credit Agreement uses rates based on SOFR with regard to borrowings under the facility made in U.S. dollars. As of April 30, 2026, there were no borrowings under the Whistler Credit Agreement. The Whistler Credit Agreement also includes a quarterly unused commitment fee based on the Consolidated Total Leverage Ratio, which as of April 30, 2026 is equal to 0.39% per annum.</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969" w:hanging="41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2026, interest on this note accrued at a rate of 12.26%.</w:t>
      </w:r>
    </w:p>
    <w:p>
      <w:pPr>
        <w:spacing w:after="0" w:line="50" w:lineRule="exact"/>
        <w:rPr>
          <w:rFonts w:ascii="Times New Roman" w:cs="Times New Roman" w:eastAsia="Times New Roman" w:hAnsi="Times New Roman"/>
          <w:sz w:val="18"/>
          <w:szCs w:val="18"/>
          <w:color w:val="auto"/>
        </w:rPr>
      </w:pPr>
    </w:p>
    <w:p>
      <w:pPr>
        <w:ind w:left="969" w:hanging="46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April 30, 2026,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right="20" w:hanging="515"/>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April 30, 2026,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hanging="50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2026, interest on this note accrued at a rate of 12.88%.</w:t>
      </w:r>
    </w:p>
    <w:p>
      <w:pPr>
        <w:spacing w:after="0" w:line="50" w:lineRule="exact"/>
        <w:rPr>
          <w:rFonts w:ascii="Times New Roman" w:cs="Times New Roman" w:eastAsia="Times New Roman" w:hAnsi="Times New Roman"/>
          <w:sz w:val="18"/>
          <w:szCs w:val="18"/>
          <w:color w:val="auto"/>
        </w:rPr>
      </w:pPr>
    </w:p>
    <w:p>
      <w:pPr>
        <w:ind w:left="969" w:hanging="45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April 30, 2026, interest on this note accrued at a rate of 9.52%.</w:t>
      </w:r>
    </w:p>
    <w:p>
      <w:pPr>
        <w:spacing w:after="0" w:line="52" w:lineRule="exact"/>
        <w:rPr>
          <w:rFonts w:ascii="Times New Roman" w:cs="Times New Roman" w:eastAsia="Times New Roman" w:hAnsi="Times New Roman"/>
          <w:sz w:val="18"/>
          <w:szCs w:val="18"/>
          <w:color w:val="auto"/>
        </w:rPr>
      </w:pPr>
    </w:p>
    <w:p>
      <w:pPr>
        <w:jc w:val="both"/>
        <w:ind w:left="329" w:hanging="329"/>
        <w:spacing w:after="0" w:line="256"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April 30, 2026, the Company recognized a new finance lease agreement for the Canyons Parking Garage at Park City, resulting in an incremental finance lease liability on the commencement date of $22.2 million, which represents the minimum lease payments of $80.4 million, net of $58.2 million of amounts representing interest, for the initial 38 year term of the lease discounted at the estimated incremental borrowing rate. The Company recorded a $22.8 million finance lease right-of-use asset in connection with the lease, which has a net value of $22.5 million as of April 30, 2026, net of $0.3 million accumulated amortization, and is included within property, plant and equipment, net in the Company’s Consolidated Condensed Balance Sheet.</w:t>
      </w:r>
    </w:p>
    <w:p>
      <w:pPr>
        <w:spacing w:after="0" w:line="214"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Aggregate maturities of debt outstanding as of April 30, 2026 reflected by fiscal year (August 1 through July 31) are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0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(May 2026 through July 2026)</w:t>
            </w:r>
          </w:p>
        </w:tc>
        <w:tc>
          <w:tcPr>
            <w:tcW w:w="3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82,408</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71,787</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71,588</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1,559,388</w:t>
            </w:r>
          </w:p>
        </w:tc>
      </w:tr>
      <w:tr>
        <w:trPr>
          <w:trHeight w:val="229"/>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1,220,184</w:t>
            </w:r>
          </w:p>
        </w:tc>
      </w:tr>
      <w:tr>
        <w:trPr>
          <w:trHeight w:val="248"/>
        </w:trPr>
        <w:tc>
          <w:tcPr>
            <w:tcW w:w="60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8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3,022,352</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$51.3 million and $41.9 million of interest expense, net for the three months ended April 30, 2026 and 2025, respectively, of which $0.9 million and $1.9 million, respectively, was amortization of deferred financing costs. The Company recorded $152.1 million and $127.4 million of interest expense, net for the nine months ended April 30, 2026 and 2025, respectively, of which $4.4 million and $4.2 million respectively, was amortization of deferred financing costs. The Company was in compliance with all of its financial and operating covenants required to be maintained under its debt instruments for all periods presented.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accounts receivables, net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00" w:type="dxa"/>
            <w:vAlign w:val="bottom"/>
          </w:tcPr>
          <w:p>
            <w:pPr>
              <w:spacing w:after="0"/>
              <w:rPr>
                <w:sz w:val="16"/>
                <w:szCs w:val="16"/>
                <w:color w:val="auto"/>
              </w:rPr>
            </w:pPr>
          </w:p>
        </w:tc>
        <w:tc>
          <w:tcPr>
            <w:tcW w:w="14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5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363,361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381,187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333,872</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7,690</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accounts receivables</w:t>
            </w:r>
          </w:p>
        </w:tc>
        <w:tc>
          <w:tcPr>
            <w:tcW w:w="9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366,890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388,877</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342,888</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356,917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382,370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335,900</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7"/>
        </w:trPr>
        <w:tc>
          <w:tcPr>
            <w:tcW w:w="5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2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00" w:type="dxa"/>
            <w:vAlign w:val="bottom"/>
          </w:tcPr>
          <w:p>
            <w:pPr>
              <w:spacing w:after="0"/>
              <w:rPr>
                <w:sz w:val="24"/>
                <w:szCs w:val="24"/>
                <w:color w:val="auto"/>
              </w:rPr>
            </w:pPr>
          </w:p>
        </w:tc>
        <w:tc>
          <w:tcPr>
            <w:tcW w:w="14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5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36,763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58,089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38,849</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42,153</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35,734</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78,916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93,823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68,129</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0"/>
        </w:trPr>
        <w:tc>
          <w:tcPr>
            <w:tcW w:w="5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2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00" w:type="dxa"/>
            <w:vAlign w:val="bottom"/>
          </w:tcPr>
          <w:p>
            <w:pPr>
              <w:spacing w:after="0"/>
              <w:rPr>
                <w:sz w:val="24"/>
                <w:szCs w:val="24"/>
                <w:color w:val="auto"/>
              </w:rPr>
            </w:pPr>
          </w:p>
        </w:tc>
        <w:tc>
          <w:tcPr>
            <w:tcW w:w="14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5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809,548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804,667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802,652</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9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1,776,639</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1,712,138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1,709,201</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2,262,701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2,117,865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2,108,353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371,911</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349,921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348,399</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9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220,444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189,982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189,120</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9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101,199</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96,504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96,580</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61,929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114,357</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82,984</w:t>
            </w: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9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5,604,371</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5,385,434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5,337,289</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(3,233,210)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(3,010,780)</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(2,954,589)</w:t>
            </w:r>
          </w:p>
        </w:tc>
      </w:tr>
      <w:tr>
        <w:trPr>
          <w:trHeight w:val="223"/>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2,371,161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2,374,654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2,382,700</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44"/>
        </w:trPr>
        <w:tc>
          <w:tcPr>
            <w:tcW w:w="5420" w:type="dxa"/>
            <w:vAlign w:val="bottom"/>
          </w:tcPr>
          <w:p>
            <w:pPr>
              <w:spacing w:after="0"/>
              <w:rPr>
                <w:sz w:val="24"/>
                <w:szCs w:val="24"/>
                <w:color w:val="auto"/>
              </w:rPr>
            </w:pP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4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32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4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105,165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128,613</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467,041</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602,117</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468,606</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44,650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59,779</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67,875</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72,909</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64,869</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68,560</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46,758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42,284</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35,942</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34,883</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and assessments</w:t>
            </w:r>
          </w:p>
        </w:tc>
        <w:tc>
          <w:tcPr>
            <w:tcW w:w="1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56,609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40,842</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55,972</w:t>
            </w:r>
          </w:p>
        </w:tc>
      </w:tr>
      <w:tr>
        <w:trPr>
          <w:trHeight w:val="22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65,877</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71,915</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72,080</w:t>
            </w:r>
          </w:p>
        </w:tc>
      </w:tr>
      <w:tr>
        <w:trPr>
          <w:trHeight w:val="248"/>
        </w:trPr>
        <w:tc>
          <w:tcPr>
            <w:tcW w:w="4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894,951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1,056,665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940,874</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by segment for the nine months ended April 30, 2026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2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2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5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2025</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1,630,209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1,675,215</w:t>
            </w:r>
          </w:p>
        </w:tc>
      </w:tr>
      <w:tr>
        <w:trPr>
          <w:trHeight w:val="23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27,870</w:t>
            </w:r>
          </w:p>
        </w:tc>
      </w:tr>
      <w:tr>
        <w:trPr>
          <w:trHeight w:val="248"/>
        </w:trPr>
        <w:tc>
          <w:tcPr>
            <w:tcW w:w="5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April 30, 2026</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1,658,079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1,703,085</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which maximize the use of observable inputs and minimize the use of unobservable inputs when determining fair value. The three levels of the hierarchy are as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2026</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43,742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43,742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93,000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375"/>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gridSpan w:val="6"/>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80,576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80,576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65,962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65,962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93,300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0" w:type="dxa"/>
            <w:vAlign w:val="bottom"/>
          </w:tcPr>
          <w:p>
            <w:pPr>
              <w:spacing w:after="0"/>
              <w:rPr>
                <w:sz w:val="1"/>
                <w:szCs w:val="1"/>
                <w:color w:val="auto"/>
              </w:rPr>
            </w:pPr>
          </w:p>
        </w:tc>
      </w:tr>
      <w:tr>
        <w:trPr>
          <w:trHeight w:val="375"/>
        </w:trPr>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52,213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52,213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87,505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87,505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88,000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cash equivalents, restricted cash equivalents and other current assets are measured utilizing quoted market prices or pricing models whereby all significant inputs are either observable or corroborated by observable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nine months ended April 30, 2026 and 2025 were as follows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 and 2024, respectively</w:t>
            </w:r>
          </w:p>
        </w:tc>
        <w:tc>
          <w:tcPr>
            <w:tcW w:w="25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93,300</w:t>
            </w:r>
          </w:p>
        </w:tc>
        <w:tc>
          <w:tcPr>
            <w:tcW w:w="6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r>
      <w:tr>
        <w:trPr>
          <w:trHeight w:val="229"/>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580" w:type="dxa"/>
            <w:vAlign w:val="bottom"/>
          </w:tcPr>
          <w:p>
            <w:pPr>
              <w:spacing w:after="0"/>
              <w:rPr>
                <w:sz w:val="19"/>
                <w:szCs w:val="19"/>
                <w:color w:val="auto"/>
              </w:rPr>
            </w:pPr>
          </w:p>
        </w:tc>
        <w:tc>
          <w:tcPr>
            <w:tcW w:w="11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(14,739)</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r>
      <w:tr>
        <w:trPr>
          <w:trHeight w:val="230"/>
        </w:trPr>
        <w:tc>
          <w:tcPr>
            <w:tcW w:w="5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14,439</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3"/>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April 30, 2026 and 2025, respectively</w:t>
            </w:r>
          </w:p>
        </w:tc>
        <w:tc>
          <w:tcPr>
            <w:tcW w:w="2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93,000</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88,000</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an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liability using an option pricing valuation model. The estimated fair value of the Contingent Consideration is determined on the basis of estimated future year performance of Park City, on which participating contingent payments are made, which is increased by an assumed annual growth factor and discounted to present value. Other significant assumptions included a discount rate of 10.5% and volatility of 15.0%, which together with future period Park City EBITDA, are all unobservable inputs. The Company prepared a sensitivity analysis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evaluate the effect that changes on certain key assumptions would have on the fair value of the Contingent Consideration. A change in the discount rate of 100 basis points, a change in volatility of 100 basis points, or a 5% change in estimated subsequent year performance of the resort would result in a change in the fair value within the range of approximately $5.3 million to $24.3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April 30, 2026, the Company made a payment to the landlord for Contingent Consideration of approximately $14.7 million and recorded an increase in the liability of approximately $14.4 million, which was primarily driven by updates to key market inputs, including a lower discount rate and increased volatility assumptions, partially offset by the impact of updated company performance for fiscal 2026, which lowered EBITDA for the current fiscal year and resulted in the expectation that no payment will be made to the landlord in the next period. These changes resulted in an estimated fair value of the Contingent Consideration of approximately $93.0 million, which is included in other long-term liabilities in the Company’s Consolidated Condensed Balance Sheet as of April 30, 2026.</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the Company had various letters of credit outstanding totaling $86.0 million, consisting of $53.4 million to support the Employee Housing Bonds; $6.4 million to support bonds issued by Holland Creek Metropolitan District; and $26.2 million of other standby letters of credit primarily related to insurance-related deductibles, a wind energy purchase agreement, and workers’ compensation. The Company also had surety bonds of $11.3 million as of April 30, 2026,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estimated the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is party to strategic long-term season pass alliance agreements with third-party mountain resorts in which the Company has committed to pay minimum revenue guarantees over the remaining terms of these agreements. The Company records payments under these pass alliance agreements as operating expense which are typically recognized over the course of the North American and European ski season.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April 30, 2026, July 31, 2025 and April 30, 2025, the accruals for the above loss contingencies were not material individually or in the aggregate.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(the “CODM”), who monitors Reported EBITDA compared to budget and prior comparable periods at the segment level to assess segment performance and make decisions regarding the investment of capital allocation of resources. The Company’s CODM is the Chief Executive Officer. We believe Reported EBITDA serves as a measure that assists our CODM and our investors in comparing our segments' performance on a consistent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key financial information by reportable segment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1,129,778</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1,212,549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2,327,321</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2,448,939</w:t>
            </w:r>
          </w:p>
        </w:tc>
      </w:tr>
      <w:tr>
        <w:trPr>
          <w:trHeight w:val="216"/>
        </w:trPr>
        <w:tc>
          <w:tcPr>
            <w:tcW w:w="5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75,315</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82,894</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232,611</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243,770</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Resort net revenue</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1,205,093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1,295,443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2,559,932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2,692,709</w:t>
            </w:r>
          </w:p>
        </w:tc>
      </w:tr>
      <w:tr>
        <w:trPr>
          <w:trHeight w:val="216"/>
        </w:trPr>
        <w:tc>
          <w:tcPr>
            <w:tcW w:w="5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1,205,175</w:t>
            </w:r>
          </w:p>
        </w:tc>
        <w:tc>
          <w:tcPr>
            <w:tcW w:w="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1,295,558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2,560,136</w:t>
            </w:r>
          </w:p>
        </w:tc>
        <w:tc>
          <w:tcPr>
            <w:tcW w:w="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2,693,058</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238,346</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614,110</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639,363</w:t>
            </w:r>
          </w:p>
        </w:tc>
      </w:tr>
      <w:tr>
        <w:trPr>
          <w:trHeight w:val="21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Retail cost of sales</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29,744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78,851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86,121</w:t>
            </w:r>
          </w:p>
        </w:tc>
      </w:tr>
      <w:tr>
        <w:trPr>
          <w:trHeight w:val="21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Resort related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55,604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106,785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107,330</w:t>
            </w:r>
          </w:p>
        </w:tc>
      </w:tr>
      <w:tr>
        <w:trPr>
          <w:trHeight w:val="21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89,335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292,278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281,588</w:t>
            </w:r>
          </w:p>
        </w:tc>
      </w:tr>
      <w:tr>
        <w:trPr>
          <w:trHeight w:val="219"/>
        </w:trPr>
        <w:tc>
          <w:tcPr>
            <w:tcW w:w="532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137,596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376,492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389,108</w:t>
            </w:r>
          </w:p>
        </w:tc>
      </w:tr>
      <w:tr>
        <w:trPr>
          <w:trHeight w:val="207"/>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Mountain operating expense</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550,625</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1,468,516</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1,503,510</w:t>
            </w:r>
          </w:p>
        </w:tc>
      </w:tr>
      <w:tr>
        <w:trPr>
          <w:trHeight w:val="21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29,257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96,987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100,845</w:t>
            </w:r>
          </w:p>
        </w:tc>
      </w:tr>
      <w:tr>
        <w:trPr>
          <w:trHeight w:val="21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42,323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45,820</w:t>
            </w:r>
          </w:p>
        </w:tc>
      </w:tr>
      <w:tr>
        <w:trPr>
          <w:trHeight w:val="21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Reimbursed payroll costs</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13,319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11,139</w:t>
            </w:r>
          </w:p>
        </w:tc>
      </w:tr>
      <w:tr>
        <w:trPr>
          <w:trHeight w:val="219"/>
        </w:trPr>
        <w:tc>
          <w:tcPr>
            <w:tcW w:w="532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20,917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71,148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67,268</w:t>
            </w:r>
          </w:p>
        </w:tc>
      </w:tr>
      <w:tr>
        <w:trPr>
          <w:trHeight w:val="207"/>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Lodging operating expense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68,510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223,777</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225,072</w:t>
            </w:r>
          </w:p>
        </w:tc>
      </w:tr>
      <w:tr>
        <w:trPr>
          <w:trHeight w:val="21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Resort operating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619,135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1,692,293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1,728,582</w:t>
            </w: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2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w:t>
            </w:r>
          </w:p>
        </w:tc>
      </w:tr>
      <w:tr>
        <w:trPr>
          <w:trHeight w:val="207"/>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Real Estate operating expense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1,475</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4,768</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w:t>
            </w:r>
          </w:p>
        </w:tc>
      </w:tr>
      <w:tr>
        <w:trPr>
          <w:trHeight w:val="23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620,610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650,040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1,697,061</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1,733,493</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real property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11,458</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equity investment income,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579,611</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859,194</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948,991</w:t>
            </w:r>
          </w:p>
        </w:tc>
      </w:tr>
      <w:tr>
        <w:trPr>
          <w:trHeight w:val="213"/>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6,805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8,834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18,698</w:t>
            </w: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Resort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586,416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868,028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967,689</w:t>
            </w:r>
          </w:p>
        </w:tc>
      </w:tr>
      <w:tr>
        <w:trPr>
          <w:trHeight w:val="213"/>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6,894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19,842</w:t>
            </w:r>
          </w:p>
        </w:tc>
      </w:tr>
      <w:tr>
        <w:trPr>
          <w:trHeight w:val="23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Reported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585,423</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654,082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874,922</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987,531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held for sale or investment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76,439</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87,895</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76,439</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87,895</w:t>
            </w:r>
          </w:p>
        </w:tc>
      </w:tr>
      <w:tr>
        <w:trPr>
          <w:trHeight w:val="165"/>
        </w:trPr>
        <w:tc>
          <w:tcPr>
            <w:tcW w:w="5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Reconciliation from net income attributable to Vail Resorts, Inc. to Total</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314,435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389,740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337,690</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460,861</w:t>
            </w:r>
          </w:p>
        </w:tc>
      </w:tr>
      <w:tr>
        <w:trPr>
          <w:trHeight w:val="216"/>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25,788</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21,576</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31,922</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25,419</w:t>
            </w: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340,223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369,612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486,280</w:t>
            </w:r>
          </w:p>
        </w:tc>
      </w:tr>
      <w:tr>
        <w:trPr>
          <w:trHeight w:val="216"/>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105,631</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130,073</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117,303</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157,645</w:t>
            </w: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445,854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486,915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643,925</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77,219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224,686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221,963</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14,439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disposal of fixed assets and other,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 on intercompany loans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51,318</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152,081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127,372</w:t>
            </w:r>
          </w:p>
        </w:tc>
      </w:tr>
      <w:tr>
        <w:trPr>
          <w:trHeight w:val="235"/>
        </w:trPr>
        <w:tc>
          <w:tcPr>
            <w:tcW w:w="5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Reported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585,423</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654,082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874,922</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987,531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340" w:hanging="8"/>
        <w:spacing w:after="0" w:line="235" w:lineRule="auto"/>
        <w:tabs>
          <w:tab w:leader="none" w:pos="51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operating expense primarily includes cost of sales, fuel, supplies, repairs and maintenance, professional services, rent, utilities and property taxes. The CODM uses consolidated expense information to manage operations and is not regularly provided disaggregated other segment items.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1" w:name="page22"/>
    <w:bookmarkEnd w:id="21"/>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The Company did not repurchase any Vail Shares during the three months ended April 30, 2026. The Company repurchased 186,815 Vail Shares during the three months ended April 30, 2025 (at a total cost of $30.0 million, excluding accrued excise tax). During the nine months ended April 30, 2026 and 2025, the Company repurchased 322,709 and 403,883 Vail Shares, respectively (at a total cost of $45.0 million and $70.0 million, respectively, excluding accrued excise tax). Since inception of this stock repurchase program through April 30, 2026, the Company has repurchased 11,382,892 Vail Shares at a cost of approximately $1,444.4 million. As of April 30, 2026, 1,217,108 Vail Shares remained available to repurchase under the existing share repurchase program. Vail Shares purchased pursuant to the repurchase program will be held as treasury shares and may be used for the issuance under the Company’s employee share award plan.</w:t>
      </w:r>
    </w:p>
    <w:p>
      <w:pPr>
        <w:spacing w:after="0" w:line="190"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Previously Issued Consolidated Condensed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Note 2, Summary of Significant Accounting Policies, during the fourth quarter of the fiscal year ended July 31, 2025, the Company identified errors to the Consolidated Financial Statements as of and for the years ended July 31, 2024 and July 31, 2023, as well as its unaudited Consolidated Condensed Financial Statements as of and for the three and nine months ended April 30, 2025 relating to the misapplication of the interest method in the accounting for the EPR Secured Notes and its accounting for certain completed capital projects. Although the Company concluded that these errors were not material, either individually or in the aggregate, to its current or previously issued Consolidated Financial Statements as of and for the years ended July 31, 2025, July 31, 2024 and July 31, 2023 and its unaudited Consolidated Condensed Financial Statements as of and for the three and nine months ended April 30, 2025, the Company elected to revise its previously issued Consolidated Financial Statements and its unaudited Consolidated Condensed Financial Statements to correct the errors. In connection with the revision, the Company is also correcting for other previously identified immaterial errors that were originally corrected as out of period adjustments in the period of identification.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certain errors originating prior to the year ended July 31, 2023, the opening retained earnings balance as of August 1, 2022 was understated by $12.0 million, primarily due to the impact of $6.9 million of non-cash interest expense that should have been recorded in prior periods.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revisions include corrections of previously identified errors to the Consolidated Condensed Balance Sheets for operating lease liabilities and right of use assets and adjustments to the income tax payable and income tax receivable for items identified during its reconciliation of completed income tax returns to its income tax provision that impacted jurisdictional netting. The accompanying Consolidated Condensed Statements of Cash Flows have been revised to correct a misclassification between operating and financing activities related to interest on finance lease obligations, and to reflect changes related to the items discussed above.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 were no other changes to the Consolidated Condensed Statements of Stockholders’ Equity that have not otherwise been reflected in the Consolidated Condensed Balance Sheets, Consolidated Condensed Statements of Operations and Consolidated Condensed Statements of Comprehensive Income (Loss) described above. The following tables present the revisions to the Consolidated Condensed Balance Sheet as of April 30, 2025, the Consolidated Condensed Statement of Operations and Consolidated Condensed Statement of Comprehensive Income (Loss) for the three and nine months ended April 30, 2025 and the Consolidated Condensed Statement of Cash Flows for the nine months ended April 30, 2025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Balance Sheet</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72,579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1,003,864</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999,414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2,391,354</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2,382,700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5,763,049</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5,749,945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101,379</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95,919</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590,382</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591,474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1,632,635</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1,628,267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(Note 5)</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2,106,413</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12,498</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2,118,911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279,258</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276,232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4,527,114</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4,532,218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997,440</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979,232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895,375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877,167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1,235,935</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1,217,727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5,763,049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5,749,945</w:t>
            </w:r>
          </w:p>
        </w:tc>
        <w:tc>
          <w:tcPr>
            <w:tcW w:w="0" w:type="dxa"/>
            <w:vAlign w:val="bottom"/>
          </w:tcPr>
          <w:p>
            <w:pPr>
              <w:spacing w:after="0"/>
              <w:rPr>
                <w:sz w:val="1"/>
                <w:szCs w:val="1"/>
                <w:color w:val="auto"/>
              </w:rPr>
            </w:pPr>
          </w:p>
        </w:tc>
      </w:tr>
      <w:tr>
        <w:trPr>
          <w:trHeight w:val="402"/>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4"/>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Operations</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4,267</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581,165</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577,772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(41,317)</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545,370</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541,389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(131,042)</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969</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414,328</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392,752</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389,740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10.54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389"/>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April 30, 2025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Operations</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 and other, net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763,563</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(125,839)</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650,007</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(159,124)</w:t>
            </w:r>
          </w:p>
        </w:tc>
        <w:tc>
          <w:tcPr>
            <w:tcW w:w="3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1,479</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490,883</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465,464</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460,861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402"/>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4"/>
          </w:tcPr>
          <w:p>
            <w:pPr>
              <w:jc w:val="center"/>
              <w:ind w:left="953"/>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Comprehensive Income</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414,328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529,051</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526,039</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470,377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467,365</w:t>
            </w:r>
          </w:p>
        </w:tc>
        <w:tc>
          <w:tcPr>
            <w:tcW w:w="0" w:type="dxa"/>
            <w:vAlign w:val="bottom"/>
          </w:tcPr>
          <w:p>
            <w:pPr>
              <w:spacing w:after="0"/>
              <w:rPr>
                <w:sz w:val="1"/>
                <w:szCs w:val="1"/>
                <w:color w:val="auto"/>
              </w:rPr>
            </w:pPr>
          </w:p>
        </w:tc>
      </w:tr>
      <w:tr>
        <w:trPr>
          <w:trHeight w:val="858"/>
        </w:trPr>
        <w:tc>
          <w:tcPr>
            <w:tcW w:w="498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April 30,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Comprehensive Income</w:t>
            </w:r>
          </w:p>
        </w:tc>
        <w:tc>
          <w:tcPr>
            <w:tcW w:w="13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490,883</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(4,603)</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512,033</w:t>
            </w:r>
          </w:p>
        </w:tc>
        <w:tc>
          <w:tcPr>
            <w:tcW w:w="340" w:type="dxa"/>
            <w:vAlign w:val="bottom"/>
          </w:tcPr>
          <w:p>
            <w:pPr>
              <w:spacing w:after="0"/>
              <w:rPr>
                <w:sz w:val="19"/>
                <w:szCs w:val="19"/>
                <w:color w:val="auto"/>
              </w:rPr>
            </w:pPr>
          </w:p>
        </w:tc>
        <w:tc>
          <w:tcPr>
            <w:tcW w:w="142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8"/>
              </w:rPr>
              <w:t>(4,603)</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507,430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475,678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(4,603)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471,075</w:t>
            </w:r>
          </w:p>
        </w:tc>
        <w:tc>
          <w:tcPr>
            <w:tcW w:w="0" w:type="dxa"/>
            <w:vAlign w:val="bottom"/>
          </w:tcPr>
          <w:p>
            <w:pPr>
              <w:spacing w:after="0"/>
              <w:rPr>
                <w:sz w:val="1"/>
                <w:szCs w:val="1"/>
                <w:color w:val="auto"/>
              </w:rPr>
            </w:pPr>
          </w:p>
        </w:tc>
      </w:tr>
      <w:tr>
        <w:trPr>
          <w:trHeight w:val="402"/>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Nine months ended April 30, 2025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Cash Flows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490,883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(4,603)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219,358</w:t>
            </w:r>
          </w:p>
        </w:tc>
        <w:tc>
          <w:tcPr>
            <w:tcW w:w="340" w:type="dxa"/>
            <w:vAlign w:val="bottom"/>
          </w:tcPr>
          <w:p>
            <w:pPr>
              <w:spacing w:after="0"/>
              <w:rPr>
                <w:sz w:val="19"/>
                <w:szCs w:val="19"/>
                <w:color w:val="auto"/>
              </w:rPr>
            </w:pPr>
          </w:p>
        </w:tc>
        <w:tc>
          <w:tcPr>
            <w:tcW w:w="14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2,605</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159,124</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(1,479)</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157,645</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income,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340" w:type="dxa"/>
            <w:vAlign w:val="bottom"/>
          </w:tcPr>
          <w:p>
            <w:pPr>
              <w:spacing w:after="0"/>
              <w:rPr>
                <w:sz w:val="19"/>
                <w:szCs w:val="19"/>
                <w:color w:val="auto"/>
              </w:rPr>
            </w:pPr>
          </w:p>
        </w:tc>
        <w:tc>
          <w:tcPr>
            <w:tcW w:w="14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1,645</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726,430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(1,832)</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724,598</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340" w:type="dxa"/>
            <w:vAlign w:val="bottom"/>
          </w:tcPr>
          <w:p>
            <w:pPr>
              <w:spacing w:after="0"/>
              <w:rPr>
                <w:sz w:val="19"/>
                <w:szCs w:val="19"/>
                <w:color w:val="auto"/>
              </w:rPr>
            </w:pPr>
          </w:p>
        </w:tc>
        <w:tc>
          <w:tcPr>
            <w:tcW w:w="14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1,832</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rPr>
              <w:t>1,832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(435,716)</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April 30, 2026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2025 (“Form 10-K”) and the Consolidated Condensed Financial Statements as of April 30, 2026 and 2025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29, 2025.</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segment profit or loss required to be disclosed in accordance with GAAP, may not be comparable to other similarly titled measures of other companies.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has been adjusted to reflect our revision of previously issued Consolidated Condensed Financial Statements to correct for prior period misstatements, which we concluded did not, either individually or in the aggregate, result in a material misstatement of our previously issued Consolidated Condensed Financial Statements. Further information regarding the revision is included in Note 2, Summary of Significant Accounting Policies and Note 11, Revision of Previously Issued Consolidated Condensed Financial Statements of the Notes to the Consolidated Condensed Financial Statements contained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and pass products, which represented approximately 65% and 64% of Mountain segment revenue for the three months ended April 30, 2026 and 2025, respectively, and approximately 60% and 59% of Mountain segment revenue for the nine months ended April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2025/2026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56% and 44%, respectively, for the 2024/2025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proximate to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2025/2026 ski season, our pass alliances include Telluride Ski Resort in Colorado, Hakuba Valley and Rusutsu Resort in Japan, Resorts of the Canadian Rockies in Canada, Les 3 Vallées in France, Disentis Ski Area and Verbier 4 Vallées in Switzerland, Skirama Dolomiti in Italy and Ski Arlberg, Sölden, Saalbach and Zell am See-Kaprun, Mayrhofen and Hintertux and Silvretta Montafon in Austria. Our pass program drives strong customer loyalty; mitigates exposure to more weather sensitive guests; generates additional ancillary spending; and provides cash flow in advance of winter season operations. In addition, our pass program attracts new guests to our Resorts.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For the nine months ended April 30, 2026 and 2025, approximately 70% and 66%, respectively, of our total lift revenue recognized was derived from pass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95% and 96% of Lodging segment net revenue (excluding Lodging segment revenue associated with the reimbursement of payroll costs) for the three months ended April 30, 2026 and 2025, respectively, and 75% and 77% of our Lodging segment revenue (excluding Lodging segment revenue associated with reimbursement of payroll costs) for the nine months ended April 30, 2026 and 2025,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remained extremely unfavorable in the third quarter, adding to what had already been one of the most challenging winters in history across the western U.S., driving continued pressure on visitation and revenue in the quarter, particularly at our destination resorts in the Rockies. While these dynamics negatively impacted results, our advance commitment model provided considerable stability and strong cost discipline kept us on track to exceed our resource efficiency transformation plan savings for the year. At the same time, our continued investments in talent, technology and resort operations drove record guest satisfaction scores and strong employee engagement. Despite the weather challenges of the past year, our strategic focus remains unchanged, and we are pleased with the progress we made this year. The new lift ticket products and strategic shifts in our marketing approach, showed early positive results this past season, with our lift ticket visitation meaningfully outperforming the industry, including in the Rockies, and we continued to make significant strides in enhancing the guest experience.</w:t>
      </w:r>
    </w:p>
    <w:p>
      <w:pPr>
        <w:spacing w:after="0" w:line="21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2026, we began our season pass sales program for the 2026/2027 North American ski season. Pass product unit sales through May 26, 2026 for the upcoming 2026/2027 North American ski season decreased approximately 10%, days sold decreased approximately 8% and sales dollars decreased approximately 5%, including sales and admissions taxes, as compared to the prior year period through May 27, 2025. Pass product sales are adjusted to eliminate the impact of foreign currency by applying an exchange rate of $0.72 between the Canadian dollar and the U.S. dollar in both periods for Whistler Blackcomb pass sales. We cannot predict if these trends will continue through the 2026 North American pass sales campaign or the overall impact that pass sales will have on lift revenue for the 2026/2027 North American ski season.</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tariffs and trade policies, prolonged elevated interest rates, geopolitical conflicts, political uncertainty, immigration policies,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we had $371.4 million of cash and cash equivalents, as well as $517.8 million available under the revolver component of the</w:t>
      </w:r>
    </w:p>
    <w:p>
      <w:pPr>
        <w:spacing w:after="0" w:line="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Vail Holdings Credit Agreement, which represents the total commitment of $600.0 million less certain letters of credit outstanding of $82.2 million. On December 26, 2025, the Company drew the remaining $275.0 million outstanding balance of the delayed draw term loan of the Vail Holdings Credit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Agreement to fund the repayment of our 0.0% Convertible Notes. On February 9, 2026, Vail Holdings, Inc. (“VHI”) entered into an amendment and restatement of the Ninth Amended and Restated Credit Agreement, dated as of April 24, 2024 (as amended the “Tenth A&amp;R Credit Agreement”). The Tenth A&amp;R Credit Agreement, among other things, replaced the existing term loan facility and the existing $275.0 million delayed draw term loan facility with a new $1,275.0 million senior term loan facility. As of April 30, 2026, the term loan facility had an outstanding balance of $1,259.1 million. Additionally, we have a credit facility which supports the liquidity needs of Whistler Blackcomb (the “Whistler Credit Agreement”). As of April 30, 2026, we had C$246.6 million ($181.6 million) available under the revolver component of the Whistler Credit Agreement, which represents the total commitment of C$250.0 million ($184.1 million) less letters of credit outstanding of C$3.4 million ($2.5 million).</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the three and nine months ended April 30, 2026, compared to the three and nine months ended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ectPr>
          <w:pgSz w:w="11900" w:h="16838" w:orient="portrait"/>
          <w:cols w:equalWidth="0" w:num="1">
            <w:col w:w="11240"/>
          </w:cols>
          <w:pgMar w:left="320" w:top="891" w:right="339" w:bottom="1440" w:gutter="0" w:footer="0" w:header="0"/>
        </w:sectPr>
      </w:pPr>
    </w:p>
    <w:p>
      <w:pPr>
        <w:spacing w:after="0" w:line="13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33655</wp:posOffset>
            </wp:positionV>
            <wp:extent cx="1834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 w:lineRule="exact"/>
        <w:rPr>
          <w:sz w:val="20"/>
          <w:szCs w:val="20"/>
          <w:color w:val="auto"/>
        </w:rPr>
      </w:pPr>
    </w:p>
    <w:p>
      <w:pPr>
        <w:ind w:left="5880"/>
        <w:spacing w:after="0"/>
        <w:tabs>
          <w:tab w:leader="none" w:pos="7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33655</wp:posOffset>
            </wp:positionV>
            <wp:extent cx="18516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33" w:lineRule="exact"/>
        <w:rPr>
          <w:sz w:val="20"/>
          <w:szCs w:val="20"/>
          <w:color w:val="auto"/>
        </w:rPr>
      </w:pPr>
    </w:p>
    <w:p>
      <w:pPr>
        <w:sectPr>
          <w:pgSz w:w="11900" w:h="16838" w:orient="portrait"/>
          <w:cols w:equalWidth="0" w:num="2">
            <w:col w:w="8160" w:space="720"/>
            <w:col w:w="23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4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314,435</w:t>
            </w:r>
          </w:p>
        </w:tc>
        <w:tc>
          <w:tcPr>
            <w:tcW w:w="4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337,690</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460,861</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445,854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541,389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486,915</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643,925</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579,611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859,194</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948,991</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8,834</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23"/>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586,416</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868,028</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967,689</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6,894</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48"/>
        </w:trPr>
        <w:tc>
          <w:tcPr>
            <w:tcW w:w="4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Reported EBITDA</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585,423</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654,082</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874,922</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987,531</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2026 compared to the three months ended April 30,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April 30, 2026 and 2025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729,378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770,259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141,758</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55,289</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1,129,778</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238,346</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550,625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579,611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$6.5 million and $6.1 million of stock-based compensation expense for the three months ended April 30, 2026 and 2025,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decreased $55.8 million, or 8.8%, primarily due to a decrease in both Destination and Local skier visitation as a result of record low snowfall and historically warm temperatures across the western U.S., which led to earlier resort closures and particularly impacted our resorts in the Rockies and Tahoe regions. The decreased skier visitation resulted in decreased non-pass lift revenue and other ancillary revenues. These decreases were partially offset by (i) an increase in North American pass product revenue ($25.1 million), driven by an increase in pass product sales for the 2025/2026 North American ski season compared to the prior year, as well as the timing of revenue recognition due to delayed openings and early closures in the current year ($11.2 million, which largely offsets against the decrease recognized in the three months ended January 31, 2026); (ii) decreased labor and labor-related benefits from the impact of earlier resort closures and lower than expected variable compensation accruals; and (iii) decreased variable costs associated with the decreased revenue. Mountain Reported EBITDA also includes one-time operating expenses attributable to our resource efficiency transformation plan of $2.9 million and $3.9 million for the three months ended April 30, 2026 and 2025, respectively.</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Lift revenue decreased $40.9 million, or 5.3%, primarily due to a decrease in non-pass revenue of 22.0%, driven by a decrease in both Destination and Local skier visitation, which was impacted by record low snowfall and historically warm temperatures across the western U.S., which led to earlier resort closures. Additionally, non-pass ETP decreased 10.9%, compared to the prior year, driven by an overall shift in the mix of visitation to lower-ETP regions, including the impact of stronger visitation across our eastern U.S. resorts, as compared to our Destination resorts in the western U.S. and an overall shift in the mix of lift tickets sold, including a shift to benefit tickets with the new Epic Friends discount and introduction of super advance lift ticket discount for purchasing approximately one month in advance. These decreases were partially offset by a $25.1 million increase in pass product revenue from an increase in season pass sales for the 2025/2026 North American ski season, as well as an increase from the timing of revenue recognition from delayed openings and early closures in the current year ($11.2 million, which largely offsets against the decrease recognized in the three months ended January 31, 2026).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decreased $18.5 million, or 11.5%, dining revenue decreased $11.8 million, or 10.7%, and retail/rental revenue decreased $9.5 million, or 8.3%, each primarily driven by decreased visitation at our North American resorts, including the impact of earlier resort closures, which negatively impacted demand for ancillary products.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decreased $2.1 million, or 3.7%, primarily driven by decreased skier visitation which drove decreased demand for ancillary services, primarily parking revenue.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decreased $27.2 million, or 4.7%, which was primarily attributable to (i) cost savings attributable to the Company’s resource efficiency transformation initiatives; (ii) reduced labor hours at our North American Resorts driven by decreased visitation compared to the prior year as a result of challenging weather conditions from record low snowfall and historically warm temperatures across the western U.S.; and (iii) lower variable expenses associated with decreased revenue. Operating expense also includes one-time expenses attributable to our resource efficiency transformation plan of $2.9 million and $3.9 million for the three months ended April 30, 2026 and 2025, respectively.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Labor and labor-related benefits decreased $18.0 million, or 7.0%, primarily due to a decrease in labor expense to support North American operations due to challenging weather conditions, cost savings attributable to the Company’s resource efficiency transformation initiatives and lower than expected variable compensation accruals ($5.2 million) compared to the prior year. General and administrative expense decreased $1.3 million, or 1.5%, driven by cost savings attributable to the Company’s resource efficiency transformation initiatives, partially offset by an increase in marketing expenses. Other expense decreased $6.8 million, or 4.7%, primarily driven by decreased variable costs associated with the decreased revenue, primarily supplies ($1.5 million), dining cost of sales ($1.4 million), variable rent ($0.7 million) and professional services ($0.6 million). Additionally, one-time expenses attributable to our resource efficiency plan decreased $1.0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2026 compared to the nine months ended April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the nine months ended April 30, 2026 and 2025 are presented by category as follows (in thousands, except ETP):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4"/>
                <w:szCs w:val="4"/>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1,404,948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1,455,600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270,269</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203,554</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187,536</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2,327,321</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2,448,939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614,110</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639,363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78,851</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376,492</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1,468,516</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1,503,510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859,194</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948,991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$18.0 million and $18.4 million of stock-based compensation expense for the nine months ended April 30, 2026 and 2025,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decreased $89.8 million, or 9.5%, due to a decrease in both Destination and Local skier visitation as a result of record low snowfall and historically warm temperatures across the western U.S., which led to earlier resort closures and particularly impacted our resorts in the Rockies and Tahoe regions. The decreased skier visitation resulted in decreased non-pass revenue and other ancillary revenues. These decreases were partially offset by (i) an increase in pass product revenue ($34.0 million) from an increase in pass product sales; (ii) decreased labor and labor-related benefits, including lower than expected variable compensation accruals; (iii) decreased variable costs associated with decreased revenue; and (iv) an increase from our Australian operations compared to the prior year ($2.8 million), which experienced improved visitation, driven by improved weather conditions. Mountain segment results also include the impact of one-time operating expenses attributable to our resource efficiency transformation plan of $7.6 million and $8.6 million for the nine months ended April 30, 2026 and 2025, respectively, as well as acquisition and integration related expenses of $0.1 million and $1.1 million for the nine months ended April 30, 2026 and 2025, respectively.</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decreased $50.7 million, or 3.5%, primarily due to a decrease in non-pass revenue of 16.9%, driven by a decrease in both Destination and Local skier visitation, which was impacted by record low snowfall and historically warm temperatures across the western U.S., which drove lower demand and negatively impacted spending throughout the season. Additionally, non-pass ETP decreased 9.2%, compared to the prior year, driven by an overall shift in the mix of visitation to lower-ETP regions, including the impact of stronger visitation across our eastern U.S. resorts, as compared to our Destination resorts in the western U.S. and an overall shift in the mix of lift tickets sold, including a shift to benefit tickets with the new Epic Friends discount and introduction of super advance lift ticket discount for purchasing approximately one month in advance. These decreases were partially offset by (i) a $29.5 million increase in pass product revenue from an increase in sales for the 2025/2026 North American ski season; and (ii) an increase in pass product revenue from our Australian operations compared to prior year ($4.5 million), driven by growth in Australian pass product sales, as well as improved visitation, which was supported by improved weather conditions.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decreased $29.8 million, or 9.9%, dining revenue decreased $19.0 million, or 8.5%, and retail/rental revenue decreased $17.3 million, or 6.2%, each primarily driven by decreased visitation at our North American resorts as a result of record low snowfall and historically warm temperatures across the western U.S., which negatively impacted demand for ancillary products.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revenues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decreased $4.8 million, or 2.5%, primarily driven by decreased skier visitation at our North American resorts, which resulted in decreased demand for ancillary services, partially offset by a $1.9 million increase in other on-mountain summer activities and sightseeing revenue from the impact of increased pricing at our North American resorts.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decreased $35.0 million, or 2.3%, which was primarily attributable to (i) cost savings attributable to the Company’s resource efficiency transformation initiatives; (ii) reduced labor hours at our North American resorts driven by decreased visitation compared to the prior year as a result of challenging weather conditions from record low snowfall and historically warm temperatures across the western U.S.; and (iii) lower variable expenses associated with decreased revenue. Operating expense also includes one-time expenses attributable to our resource efficiency transformation plan of $7.6 million and $8.6 million for the nine months ended April 30, 2026 and 2025, respectively, as well as acquisition and integration related expenses of $0.1 million and $1.1 million for the nine months ended April 30, 2026 and 2025, respectively.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decreased $25.3 million, or 3.9%, primarily due to reduced labor hours at our North American resorts as a result of challenging weather conditions which limited our ability to open terrain and negatively impacted visitation throughout the season, as well as lower than expected variable compensation accruals ($7.0 million) compared to the prior year, partially offset by an increase in labor expense to support increased Australian winter operations as a result of improved weather conditions compared to the prior year ($3.4 million). Retail cost of sales decreased $7.3 million, or 8.4%, compared to a decrease in retail sales of 9.3%. General and administrative expenses increased $10.7 million, or 3.8%, primarily due to an increase in corporate overhead costs, driven by an increase in marketing and sales expenses from investments in media spending to drive incremental pass product sales and visitation. Other expenses decreased $12.6 million, or 3.2%, primarily due to decreased variable expenses associated with decreased revenues, including dining cost of sales ($4.3 million), supplies ($2.9 million), repairs and maintenance ($1.5 million) and fuel ($1.4 million), as well as a decrease in pass partnership expense ($3.4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2026 compared to the three months ended April 30,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April 30, 2026 and 2025 are presented by category as follows (in thousands, except average daily rates (“ADR”) and revenue per available room (“RevPAR”)):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12,861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28,345</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13,816</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9,981</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70,203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5,112</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75,315</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29,257</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13,224</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20,917</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63,398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5,112</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68,510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6,805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312.54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137.95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502.67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174.87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449.66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166.25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$0.9 million and $0.8 million of stock-based compensation expense for the three months ended April 30, 2026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decreased $5.5 million, or 44.6%, primarily due to decreased demand, including the impact of decreased skier visitation driven by challenging weather conditions and earlier resort closures, which drove a decrease in ADR and negatively impacted ancillary revenues.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owned hotel rooms decreased $2.2 million, or 14.9%, revenue from managed condominium rooms decreased $4.3 million, or 13.1%, dining revenue decreased $1.1 million, or 7.1%, and transportation revenue decreased $1.5 million, or 22.9%, each primarily due to decreased demand from the impact of decreased skier visitation driven by challenging weather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labor related benefits decreased $1.9 million, or 6.1%, primarily due to a decrease in labor hours associated with decreased visitation, earlier resort closures and a reduction in accrued variable compensation plan expense. General and administrative expenses decreased $2.1 million, or 13.8%, primarily due to a decrease in overhead costs from cost savings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attributable to the Company’s resource efficiency transformation initiatives. Other expenses increased $1.0 million, or 5.2%, primarily due to an increase in online travel agent commissions.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2026 compared to the nine months ended April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the nine months ended April 30, 2026 and 2025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54,049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64,124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46,577</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11,413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8,468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34,661</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219,292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13,319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232,611</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96,987</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42,323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71,148</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210,458</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13,319</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223,777</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8,834</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315.90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154.49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428.06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386.08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132.66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$2.4 million and $2.6 million of stock-based compensation expense for the nine months ended April 30, 2026 and 2025,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Lodging Reported EBITDA decreased $9.9 million, or 52.8%, primarily due to decreased demand, including the impact of decreased skier visitation driven by challenging weather conditions and delayed openings, which drove a decrease in revenue from both our managed condominium and owned hotel rooms, as well as a decrease in dining and transportation revenue, partially offset by increased demand for lodging and park visitation at GTLC ($2.1 million) driven by favorable weather conditions.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owned hotel rooms decreased $2.6 million, or 4.5%, due to decreased demand driven by decreased skier visitation from challenging weather conditions across the western U.S., which drove a decrease in ADR, as well as a decrease in demand for summer group lodging, partially offset by increased demand for lodging and park visitation at GTLC driven by favorable weather conditions ($2.1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managed condominium rooms decreased $7.3 million, or 10.2%, due to decreased demand driven by decreased skier visitation from challenging weather conditions across the western U.S., which drove a decrease in ADR, as well as a decrease in demand for summer group lodging. Additionally, revenue from managed condominiums decreased from a net reduction in our inventory of available managed condominium room nights compared to the prior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Dining revenue decreased $2.0 million, or 4.1%, due to decreased demand at our lodging properties proximate to our North American mountain resorts, including the impact of decreased demand for summer lodging. Transportation revenue decreased $2.4 million, or 17.2%, due to decreased demand driven by decreased skier visitation from challenging weather conditions across the western U.S. which drove a decrease in demand for ancillary services.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Labor and labor related benefits decreased $3.9 million, or 3.8%, primarily due to a decrease in labor hours associated with decreased visitation from delayed openings and earlier resort closures and a reduction in accrued variable compensation plan expense ($1.3 million). General and administrative expense decreased $3.5 million, or 7.6%, primarily due to a decrease in overhead costs from cost savings attributable to the Company’s resource efficiency transformation initiatives. Other expense increased $3.9 million, or 5.8%, primarily due to a reduction in property tax refunds received during the nine months ended April 30, 2026 ($1.0 million), as well as increases in professional services ($0.6 million), commissions ($0.6 million) and credit card fees ($0.4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2026 compared to the three months ended April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April 30, 2026 and 2025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Pr>
          <w:p>
            <w:pPr>
              <w:spacing w:after="0"/>
              <w:rPr>
                <w:sz w:val="13"/>
                <w:szCs w:val="13"/>
                <w:color w:val="auto"/>
              </w:rPr>
            </w:pPr>
          </w:p>
        </w:tc>
        <w:tc>
          <w:tcPr>
            <w:tcW w:w="190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900" w:type="dxa"/>
            <w:vAlign w:val="bottom"/>
            <w:vMerge w:val="restart"/>
          </w:tcPr>
          <w:p>
            <w:pPr>
              <w:jc w:val="center"/>
              <w:ind w:left="37"/>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4"/>
                <w:szCs w:val="4"/>
                <w:color w:val="auto"/>
              </w:rPr>
            </w:pP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1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30, 2026, we did not close on any significant real estate transactions. During the three months ended April 30, 2025, we recorded a gain on sale of real property for $8.5 million related to the sale of three real estate parcels in Breckenridge, Colorado for total consideration of $11.9 million, including $1.0 million net cash proceeds received at closing.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three months ended April 30, 2025.</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three months ended April 30, 2026 and 2025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2026 compared to the nine months ended April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nine months ended April 30, 2026 and 2025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00" w:type="dxa"/>
            <w:vAlign w:val="bottom"/>
          </w:tcPr>
          <w:p>
            <w:pPr>
              <w:spacing w:after="0"/>
              <w:rPr>
                <w:sz w:val="13"/>
                <w:szCs w:val="13"/>
                <w:color w:val="auto"/>
              </w:rPr>
            </w:pPr>
          </w:p>
        </w:tc>
        <w:tc>
          <w:tcPr>
            <w:tcW w:w="190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900" w:type="dxa"/>
            <w:vAlign w:val="bottom"/>
            <w:vMerge w:val="restart"/>
          </w:tcPr>
          <w:p>
            <w:pPr>
              <w:jc w:val="center"/>
              <w:ind w:left="37"/>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1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11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April 30, 2026, we recorded a gain on sale of real property for $13.0 million related to the sale of a real estate parcel in Breckenridge, Colorado for proceeds of $15.4 million. The proceeds were received in prior periods, but the terms of the agreement prevented transfer of control to the buyer at the time of sale; therefore, recognition of the gain was deferred until control was transferred during the nine months ended April 30, 2026. We also recorded a loss on the sale of real property of $1.8 million related to the transfer of a land parcel in Keystone, Colorado. The proceeds were received in prior periods, but the terms of the agreement prevented transfer of control to the buyer at the time of sale; therefore, recognition of the loss was deferred for recognition until control was transferred, which occurred during the nine months ended April 30, 2026.</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April 30, 2025, we recorded a gain on sale of real property for $16.5 million related to the resolution of the October 2023 Eagle County District Court final ruling and valuation regarding the Town of Vail’s condemnation of our East Vail property, for which we received proceeds of $17.6 million. We also recorded a gain on sale of real property for $8.5 million related to the sale of three real estate parcels in Breckenridge, Colorado for total consideration of $11.9 million, including $1.0 million net cash proceeds received at closing, for which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nine months ended April 30,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nine months ended April 30, 2026 and 2025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fluctuations in the following items contributed to our overall financial results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and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3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6"/>
                <w:szCs w:val="16"/>
                <w:color w:val="auto"/>
              </w:rPr>
            </w:pPr>
          </w:p>
        </w:tc>
        <w:tc>
          <w:tcPr>
            <w:tcW w:w="25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2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Change in estimated fair value of</w:t>
            </w:r>
          </w:p>
        </w:tc>
        <w:tc>
          <w:tcPr>
            <w:tcW w:w="28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line="182" w:lineRule="exact"/>
              <w:rPr>
                <w:sz w:val="20"/>
                <w:szCs w:val="20"/>
                <w:color w:val="auto"/>
              </w:rPr>
            </w:pPr>
            <w:r>
              <w:rPr>
                <w:rFonts w:ascii="Times New Roman" w:cs="Times New Roman" w:eastAsia="Times New Roman" w:hAnsi="Times New Roman"/>
                <w:sz w:val="18"/>
                <w:szCs w:val="18"/>
                <w:color w:val="auto"/>
              </w:rPr>
              <w:t>(13,500)</w:t>
            </w:r>
          </w:p>
        </w:tc>
        <w:tc>
          <w:tcPr>
            <w:tcW w:w="34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line="182" w:lineRule="exact"/>
              <w:rPr>
                <w:sz w:val="20"/>
                <w:szCs w:val="20"/>
                <w:color w:val="auto"/>
              </w:rPr>
            </w:pPr>
            <w:r>
              <w:rPr>
                <w:rFonts w:ascii="Times New Roman" w:cs="Times New Roman" w:eastAsia="Times New Roman" w:hAnsi="Times New Roman"/>
                <w:sz w:val="18"/>
                <w:szCs w:val="18"/>
                <w:color w:val="auto"/>
              </w:rPr>
              <w:t>(1,900)</w:t>
            </w:r>
          </w:p>
        </w:tc>
        <w:tc>
          <w:tcPr>
            <w:tcW w:w="1340" w:type="dxa"/>
            <w:vAlign w:val="bottom"/>
            <w:shd w:val="clear" w:color="auto" w:fill="CCEEFF"/>
          </w:tcPr>
          <w:p>
            <w:pPr>
              <w:jc w:val="right"/>
              <w:ind w:right="15"/>
              <w:spacing w:after="0" w:line="182" w:lineRule="exact"/>
              <w:rPr>
                <w:sz w:val="20"/>
                <w:szCs w:val="20"/>
                <w:color w:val="auto"/>
              </w:rPr>
            </w:pPr>
            <w:r>
              <w:rPr>
                <w:rFonts w:ascii="Times New Roman" w:cs="Times New Roman" w:eastAsia="Times New Roman" w:hAnsi="Times New Roman"/>
                <w:sz w:val="18"/>
                <w:szCs w:val="18"/>
                <w:color w:val="auto"/>
              </w:rPr>
              <w:t>610.5 %</w:t>
            </w:r>
          </w:p>
        </w:tc>
        <w:tc>
          <w:tcPr>
            <w:tcW w:w="3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line="182" w:lineRule="exact"/>
              <w:rPr>
                <w:sz w:val="20"/>
                <w:szCs w:val="20"/>
                <w:color w:val="auto"/>
              </w:rPr>
            </w:pPr>
            <w:r>
              <w:rPr>
                <w:rFonts w:ascii="Times New Roman" w:cs="Times New Roman" w:eastAsia="Times New Roman" w:hAnsi="Times New Roman"/>
                <w:sz w:val="18"/>
                <w:szCs w:val="18"/>
                <w:color w:val="auto"/>
              </w:rPr>
              <w:t>(14,439)</w:t>
            </w:r>
          </w:p>
        </w:tc>
        <w:tc>
          <w:tcPr>
            <w:tcW w:w="34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3"/>
              <w:spacing w:after="0" w:line="182" w:lineRule="exact"/>
              <w:rPr>
                <w:sz w:val="20"/>
                <w:szCs w:val="20"/>
                <w:color w:val="auto"/>
              </w:rPr>
            </w:pPr>
            <w:r>
              <w:rPr>
                <w:rFonts w:ascii="Times New Roman" w:cs="Times New Roman" w:eastAsia="Times New Roman" w:hAnsi="Times New Roman"/>
                <w:sz w:val="18"/>
                <w:szCs w:val="18"/>
                <w:color w:val="auto"/>
              </w:rPr>
              <w:t>(4,079)</w:t>
            </w:r>
          </w:p>
        </w:tc>
        <w:tc>
          <w:tcPr>
            <w:tcW w:w="12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254.0 %</w:t>
            </w: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(Loss) gain on disposal of fixed assets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2,323</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(6,053)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(51,318)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(41,905)</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22.5 %</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(152,081)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(127,372)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(105,631)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(130,073)</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(117,303)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(157,645)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(0.3)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pts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estimated fair value of contingent consideration. </w:t>
      </w:r>
      <w:r>
        <w:rPr>
          <w:rFonts w:ascii="Times New Roman" w:cs="Times New Roman" w:eastAsia="Times New Roman" w:hAnsi="Times New Roman"/>
          <w:sz w:val="18"/>
          <w:szCs w:val="18"/>
          <w:color w:val="auto"/>
        </w:rPr>
        <w:t>Change in estimated fair value of contingent consideration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increased $11.6 million and $10.4 million, respectively, primarily driven by updates to key market inputs, including a lower discount rate and increased volatility assumptions.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gain on disposal of fixed assets and other, net. </w:t>
      </w:r>
      <w:r>
        <w:rPr>
          <w:rFonts w:ascii="Times New Roman" w:cs="Times New Roman" w:eastAsia="Times New Roman" w:hAnsi="Times New Roman"/>
          <w:sz w:val="18"/>
          <w:szCs w:val="18"/>
          <w:color w:val="auto"/>
        </w:rPr>
        <w:t>(Loss) gain on disposal of fixed assets and other, net for the nine months ended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included $2.8 million loss related to lift replacements and upgrades and $2.4 million of construction in progress write offs related to legacy planning projects the Company does not currently intend to pursue, partially offset by a $2.1 million gain on sale of trademarks. For the nine months ended April 30, 2025, a gain was recognized for $3.5 million related to the Hotham Airport sale.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the three and nine months ended April 30, 2026 increased $9.4 million and $24.7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the prior year, primarily due to the offering of $500.0 million aggregate principal amount of 5.625% senior notes due 2030, issued under an indenture dated July 2, 2025.</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for the three and nine months ended April 30, 2026 was 23.7% and 24.1%,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24.0% and 24.5% for the three and nine months ended April 30, 2025, respectively.</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effective tax rate. </w:t>
      </w:r>
      <w:r>
        <w:rPr>
          <w:rFonts w:ascii="Times New Roman" w:cs="Times New Roman" w:eastAsia="Times New Roman" w:hAnsi="Times New Roman"/>
          <w:sz w:val="18"/>
          <w:szCs w:val="18"/>
          <w:color w:val="auto"/>
        </w:rPr>
        <w:t>For both the three and nine months ended April 30, 2026, the lower effective tax rates were primarily due to a lower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compared to prior year driven by (i) higher relative forecast in Canada resulting in a larger benefit from noncontrolling interests; and (ii) reduced state income taxes from a decrease in projected U.S. income, compared to the prior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the three and nine months ended April 30, 2026 and 2025 (in thousands):</w:t>
      </w: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6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4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314,435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337,690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460,861</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25,788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31,922</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40" w:type="dxa"/>
            <w:vAlign w:val="bottom"/>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340,223</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369,612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105,631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130,073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117,303</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157,645</w:t>
            </w:r>
          </w:p>
        </w:tc>
        <w:tc>
          <w:tcPr>
            <w:tcW w:w="40" w:type="dxa"/>
            <w:vAlign w:val="bottom"/>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445,854</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486,915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643,925</w:t>
            </w: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77,219</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224,686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4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(2,323)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6,053</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13,500</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14,439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(3,154)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(9,168)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19"/>
                <w:szCs w:val="19"/>
                <w:color w:val="auto"/>
              </w:rPr>
            </w:pPr>
          </w:p>
        </w:tc>
        <w:tc>
          <w:tcPr>
            <w:tcW w:w="106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color w:val="auto"/>
                <w:w w:val="98"/>
              </w:rPr>
              <w:t>(1,702)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51,318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41,905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152,081</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127,372</w:t>
            </w:r>
          </w:p>
        </w:tc>
        <w:tc>
          <w:tcPr>
            <w:tcW w:w="40" w:type="dxa"/>
            <w:vAlign w:val="bottom"/>
          </w:tcPr>
          <w:p>
            <w:pPr>
              <w:spacing w:after="0"/>
              <w:rPr>
                <w:sz w:val="19"/>
                <w:szCs w:val="19"/>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585,423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654,082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874,922</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987,531</w:t>
            </w:r>
          </w:p>
        </w:tc>
        <w:tc>
          <w:tcPr>
            <w:tcW w:w="40" w:type="dxa"/>
            <w:vAlign w:val="bottom"/>
          </w:tcPr>
          <w:p>
            <w:pPr>
              <w:spacing w:after="0"/>
              <w:rPr>
                <w:sz w:val="19"/>
                <w:szCs w:val="19"/>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579,611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635,437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859,194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948,991</w:t>
            </w:r>
          </w:p>
        </w:tc>
        <w:tc>
          <w:tcPr>
            <w:tcW w:w="40" w:type="dxa"/>
            <w:vAlign w:val="bottom"/>
          </w:tcPr>
          <w:p>
            <w:pPr>
              <w:spacing w:after="0"/>
              <w:rPr>
                <w:sz w:val="19"/>
                <w:szCs w:val="19"/>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6,805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8,834</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40" w:type="dxa"/>
            <w:vAlign w:val="bottom"/>
          </w:tcPr>
          <w:p>
            <w:pPr>
              <w:spacing w:after="0"/>
              <w:rPr>
                <w:sz w:val="19"/>
                <w:szCs w:val="19"/>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586,416</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868,028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967,689</w:t>
            </w:r>
          </w:p>
        </w:tc>
        <w:tc>
          <w:tcPr>
            <w:tcW w:w="40" w:type="dxa"/>
            <w:vAlign w:val="bottom"/>
          </w:tcPr>
          <w:p>
            <w:pPr>
              <w:spacing w:after="0"/>
              <w:rPr>
                <w:sz w:val="19"/>
                <w:szCs w:val="19"/>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6,894</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40" w:type="dxa"/>
            <w:vAlign w:val="bottom"/>
          </w:tcPr>
          <w:p>
            <w:pPr>
              <w:spacing w:after="0"/>
              <w:rPr>
                <w:sz w:val="19"/>
                <w:szCs w:val="19"/>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585,423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654,082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874,922</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987,531</w:t>
            </w:r>
          </w:p>
        </w:tc>
        <w:tc>
          <w:tcPr>
            <w:tcW w:w="40" w:type="dxa"/>
            <w:vAlign w:val="bottom"/>
          </w:tcPr>
          <w:p>
            <w:pPr>
              <w:spacing w:after="0"/>
              <w:rPr>
                <w:sz w:val="19"/>
                <w:szCs w:val="19"/>
                <w:color w:val="auto"/>
              </w:rPr>
            </w:pPr>
          </w:p>
        </w:tc>
      </w:tr>
      <w:tr>
        <w:trPr>
          <w:trHeight w:val="20"/>
        </w:trPr>
        <w:tc>
          <w:tcPr>
            <w:tcW w:w="57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5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
        </w:trPr>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2,949,629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2,118,911</w:t>
            </w:r>
          </w:p>
        </w:tc>
        <w:tc>
          <w:tcPr>
            <w:tcW w:w="40" w:type="dxa"/>
            <w:vAlign w:val="bottom"/>
            <w:shd w:val="clear" w:color="auto" w:fill="CCEEFF"/>
          </w:tcPr>
          <w:p>
            <w:pPr>
              <w:spacing w:after="0"/>
              <w:rPr>
                <w:sz w:val="19"/>
                <w:szCs w:val="19"/>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73,512</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591,474</w:t>
            </w:r>
          </w:p>
        </w:tc>
        <w:tc>
          <w:tcPr>
            <w:tcW w:w="4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3,023,141</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2,710,385</w:t>
            </w:r>
          </w:p>
        </w:tc>
        <w:tc>
          <w:tcPr>
            <w:tcW w:w="40" w:type="dxa"/>
            <w:vAlign w:val="bottom"/>
            <w:shd w:val="clear" w:color="auto" w:fill="CCEEFF"/>
          </w:tcPr>
          <w:p>
            <w:pPr>
              <w:spacing w:after="0"/>
              <w:rPr>
                <w:sz w:val="19"/>
                <w:szCs w:val="19"/>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371,374</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467,034</w:t>
            </w:r>
          </w:p>
        </w:tc>
        <w:tc>
          <w:tcPr>
            <w:tcW w:w="40" w:type="dxa"/>
            <w:vAlign w:val="bottom"/>
            <w:tcBorders>
              <w:bottom w:val="single" w:sz="8" w:color="auto"/>
            </w:tcBorders>
          </w:tcPr>
          <w:p>
            <w:pPr>
              <w:spacing w:after="0"/>
              <w:rPr>
                <w:sz w:val="19"/>
                <w:szCs w:val="19"/>
                <w:color w:val="auto"/>
              </w:rPr>
            </w:pP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2,651,767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2,243,351</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nine months ended April 30, 2026 and 2025 are presented by category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582,666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724,598</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(178,941)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(155,482)</w:t>
            </w:r>
          </w:p>
        </w:tc>
      </w:tr>
      <w:tr>
        <w:trPr>
          <w:trHeight w:val="230"/>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(487,252)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(435,716)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2026 compared to the nine months ended April 30, 2025</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generated $582.7 million of net cash from operating activities during the nine months ended April 30, 2026, a decrease of $141.9 million compared to $724.6 million generated during the nine months ended April 30, 2025. The decrease in net operating cash flows was primarily a result of decreased Mountain and Lodging segment operating results for the nine months ended April 30, 2026, primarily driven by decreased Local and Destination skier visitation as a result of record low snowfall and historically warm temperatures negatively impacting visitation and spending throughout the season. These decreases were partially offset by a decrease in income tax payments of approximately $66.8 million for the nine months ended April 30, 2026 as compared to the prior year, primarily due to a difference in the timing of our estimated tax payments, which now will generally occur in higher proportions during the second half of our fiscal year as a result of a recent change in tax year-end, as well as lower taxable income.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cash used in investing activities for the nine months ended April 30, 2026 of $23.5 million was primarily due to (i) a one-time settlement of $17.6 million of cash received during the nine months ended April 30, 2025 related to the resolution of the October 2023 Eagle County District Court final ruling and valuation regarding the Town of Vail’s condemnation of our East Vail property; and (ii) $4.2 million of cash received during the nine months ended April 30, 2025 related to the Hotham Airport sale.</w:t>
      </w:r>
    </w:p>
    <w:p>
      <w:pPr>
        <w:spacing w:after="0" w:line="19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increased by $51.5 million during the nine months ended April 30, 2026 compared to the nine months ended April 30, 2025, primarily driven by the repayment upon maturity of the remaining $525.0 million aggregate principal amount of the 0.0% Convertible Notes, partially offset by the proceeds received from borrowings under the Vail Holdings Credit Agreement of $389.1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$371.4 million of cash and cash equivalents as of April 30, 2026, compared to $467.0 million as of April 30, 2025. The decrease was primarily attributable to (i) $245.0 million of share repurchases completed during the last twelve months; and (ii) a decrease in operating cash flows from a decrease in Mountain and Lodging segment operating results from the impact of decreased skier visitation, partially offset by proceeds received from net borrowings. We currently anticipate that our Mountain and Lodging segment operating results will continue to provide a significant source of future operating cash flows for at least the next 12 months and thereafter for the foreseeable future.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$371.4 million of cash and cash equivalents at April 30, 2026, we had $517.8 million available under the revolver component of our Vail Holdings Credit Agreement as of April 30, 2026 (which represents the total commitment of $600.0 million less outstanding letters of credit of $82.2 million). On December 26, 2025, the Company drew the remaining $275.0 million outstanding balance of the delayed draw term loan. The incremental term loan borrowings were used to fund the repayment upon maturity of the 0.0% Convertible Notes. On February 9, 2026, VHI entered into the Tenth A&amp;R Credit Agreement. The Tenth A&amp;R Credit Agreement, among other things, (i) replaced the existing term loan facility with a new $1,275.0 million senior term loan facility; (ii) extended the maturity date of the revolver and term loan facilities to the earlier of (x) five years from the closing date and (y) the date that is ninety days prior to the maturity of the Company’s 5.625% senior notes due July 2030, so long as such notes remain outstanding; and (iii) reduced the interest rate applicable to borrowings under the Tenth A&amp;R Credit Agreement. As of April 30, 2026, the term loan facility had an outstanding balance of $1.3 billion. Additionally, we had C$246.6 million ($181.6 million) available under the revolver component of our Whistler Credit Agreement (which represents the total commitment of C$250.0 million ($184.1 million) less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The Tenth A&amp;R Credit Agreement and the Whistler Credit Agreement provide adequate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flexibility and are priced favorably with any new borrowings currently priced at the Secured Overnight Financing Rate plus 1.50% and Canadian Overnight Repo Rate Average plus 1.75%,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plan for calendar year 2026 will be approximately $215.0 million to $220.0 million, excluding $12.0 million of growth capital investments at our European resorts, $5.0 million of Resource Efficiency Transformation projects and $2.0 million in real estate planning capital. Including these investments, our total capital plan for calendar year 2026 is expected to be approximately $234.0 million to $239.0 million. Our 2026 capital plan is focused on resort-specific investments across our destination and regional resorts, technology investments and investments that enhance sustainability, efficiency and the overall guest experience. Key resort investments include lift replacements and capacity enhancements at Park City Mountain, Whistler Blackcomb and Seven Springs, significant guest experience upgrades including dining and lodging renovations across multiple resorts, and continued planning investments to support the development of the West Lionshead area into a fourth base village at Vail Mountain. Technology investments are focused on expanding digital capabilities through the My Epic app, modernizing e-commerce and marketing platforms, and enhancing Ski &amp; Ride School and rental operations to improve guest engagement and operational efficiency. Efficiency and sustainability investments include expanded implementation of remote avalanche control systems and targeted snowmaking and system upgrades to support the Company’s Resource Efficiency Transformation Plan and Commitment to Zero goals. We currently plan to utilize cash on hand, borrowings available under our credit agreements and/or cash flow generated from future operations to provide the cash necessary to complete our capital plans.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principal payments on the majority of our long-term debt ($2.8 billion of the total $3.0 billion debt outstanding as of April 30, 2026) are not due until fiscal year 2030 and beyond. As of April 30, 2026 and 2025, total long-term debt, net (including long-term debt due within one year) was $3.0 billion and $2.7 billion, respectively. Net Debt (defined as long-term debt, net plus long-term debt due within one year less cash and cash equivalents) increased from $2.2 billion as of April 30, 2025 to $2.7 billion as of April 30, 2026.</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26, 2025, the Company drew the remaining $275.0 million outstanding balance of the delayed term loan. The incremental term loan borrowings and cash on hand were used to fund the repayment of the remaining $525.0 million aggregate principal amount of the 0.0% Convertible Notes as the notes were not in the money on the maturity date and had to be settled in cash. On February 9, 2026, VHI entered into the Tenth A&amp;R Credit Agreement. The Tenth A&amp;R Credit Agreement, among other things, (i) replaced the existing term loan facility with a new $1,275.0 million senior term loan facility; (ii) extended the maturity date of the revolver and term loan facilities to the earlier of (x) five years from the closing date and (y) the date that is ninety days prior to the maturity of the Company’s 5.625% senior notes due July 2030, so long as such notes remain outstanding; and (iii) reduced the interest rate applicable to borrowings under the Tenth A&amp;R Credit Agreement. As of April 30, 2026, the term loan facility had an outstanding balance of $1.3 billion. On September 24, 2025, we amended the Whistler Credit Agreement primarily to extend the maturity date to September 24, 2030, and to reduce the total size of the credit facility from C$300.0 million to C$250.0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$1.3 billion of variable-rate debt outstanding as of April 30, 2026. A 100-basis point change in our borrowing rates would cause our annual interest payments to change by approximately $13.1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long-term liquidity needs depend upon operating results that impact the borrowing capacity under our credit agreements. We can respond to liquidity impacts of changes in the business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economic environment by managing our capital expenditures, variable operating expenses, the timing of new real estate development activity and the payment of cash dividends on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4, 2026, the Company’s Board of Directors approved a cash dividend of $2.22 per share payable on July 9, 2026 to stockholders of record as of June 25, 2026. During the nine months ended April 30, 2026 and April 30, 2025, we paid cash dividends of $6.66 per share, which amounted to $238.0 million and $248.5 million, respectively.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During the nine months ended April 30, 2026 and 2025, the Company repurchased 322,709 and 403,883 Vail Shares, respectively (at a total cost of $45.0 million and $70.0 million, respectively, excluding accrued excise tax). We funded the share repurchases with available cash on hand. Since inception of this stock repurchase program through April 30, 2026, we have repurchased 11,382,892 Vail Shares at a cost of approximately $1,444.4 million. As of April 30, 2026, 1,217,108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April 30, 2026.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the Company’s financial statements in accordance with GAAP requires management to make estimates and assumptions that affect reported amounts and related disclosures. The Company disclosed those policies and estimates that are critical and require the use of complex judgment in their application in our Annual Report filed on Form 10-K for the fiscal year ended July 31, 2025. There have been no significant changes to those policies or the methods, assumptions and estimates during the interim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ind w:left="820" w:hanging="650"/>
        <w:spacing w:after="0" w:line="262"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 including a result of changes in trade and tariff policy;</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climate change, natural disasters or other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geopolitical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line="250" w:lineRule="auto"/>
        <w:tabs>
          <w:tab w:leader="none" w:pos="81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sustainability practices and reporting;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ind w:left="820" w:hanging="650"/>
        <w:spacing w:after="0" w:line="262" w:lineRule="auto"/>
        <w:tabs>
          <w:tab w:leader="none" w:pos="8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for the fiscal year ended July 31, 2025.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April 30, 2026, we had approximately $1.3 billion of variable rate indebtedness, representing approximately 43.4% of our total debt outstanding, at an average interest rate during the nine months ended April 30, 2026 of approximately 5.8%. Based on variable-rate borrowings outstanding as of April 30, 2026, a 100-basis point (or 1.0%) change in our borrowing rates would result in our annual interest payments changing by approximately $13.1 million. Our market risk exposure fluctuates based on changes in underlying interest rates.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1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gains, and foreign currency gain on intercompany loans recognized in comprehensive income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71,547</w:t>
            </w:r>
          </w:p>
        </w:tc>
        <w:tc>
          <w:tcPr>
            <w:tcW w:w="11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such term is defined in Rule 13a-15(e) and 15d-15(e) under the Securities Exchange Act of 1934, as amended (the “Act”), as of the end of the period covered by this Quarterly Report on Form 10-Q.</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April 30, 2026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29, 2025 as of and for the fiscal year ended July 31, 2025.</w:t>
      </w:r>
    </w:p>
    <w:p>
      <w:pPr>
        <w:spacing w:after="0" w:line="158" w:lineRule="exact"/>
        <w:rPr>
          <w:sz w:val="20"/>
          <w:szCs w:val="20"/>
          <w:color w:val="auto"/>
        </w:rPr>
      </w:pPr>
    </w:p>
    <w:p>
      <w:pPr>
        <w:ind w:right="4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April 30, 2026,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80" w:type="dxa"/>
            <w:vAlign w:val="bottom"/>
          </w:tcPr>
          <w:p>
            <w:pPr>
              <w:spacing w:after="0"/>
              <w:rPr>
                <w:sz w:val="17"/>
                <w:szCs w:val="17"/>
                <w:color w:val="auto"/>
              </w:rPr>
            </w:pPr>
          </w:p>
        </w:tc>
        <w:tc>
          <w:tcPr>
            <w:tcW w:w="8340" w:type="dxa"/>
            <w:vAlign w:val="bottom"/>
            <w:gridSpan w:val="5"/>
            <w:vMerge w:val="restart"/>
          </w:tcPr>
          <w:p>
            <w:pPr>
              <w:ind w:left="2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80" w:type="dxa"/>
            <w:vAlign w:val="bottom"/>
          </w:tcPr>
          <w:p>
            <w:pPr>
              <w:spacing w:after="0"/>
              <w:rPr>
                <w:sz w:val="21"/>
                <w:szCs w:val="21"/>
                <w:color w:val="auto"/>
              </w:rPr>
            </w:pPr>
          </w:p>
        </w:tc>
        <w:tc>
          <w:tcPr>
            <w:tcW w:w="834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6"/>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Tenth Amended and Restated Credit Agreement, dated February 9, 2026 among Vail Holdings, Inc., as borrower, Bank of America, N.A.</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as administrative agent, U.S. Bank National Association and Wells Fargo, National Association as co-syndication Agents, and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Lenders party thereto.</w:t>
              </w:r>
            </w:hyperlink>
          </w:p>
        </w:tc>
        <w:tc>
          <w:tcPr>
            <w:tcW w:w="83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hanging="1314"/>
        <w:spacing w:after="0" w:line="237"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hanging="1314"/>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29"/>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1300"/>
              <w:spacing w:after="0" w:line="181" w:lineRule="exact"/>
              <w:rPr>
                <w:sz w:val="20"/>
                <w:szCs w:val="20"/>
                <w:color w:val="auto"/>
              </w:rPr>
            </w:pPr>
            <w:r>
              <w:rPr>
                <w:rFonts w:ascii="Times New Roman" w:cs="Times New Roman" w:eastAsia="Times New Roman" w:hAnsi="Times New Roman"/>
                <w:sz w:val="18"/>
                <w:szCs w:val="18"/>
                <w:color w:val="auto"/>
              </w:rPr>
              <w:t>Vice President, Controller and</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00"/>
          </w:cols>
          <w:pgMar w:left="320" w:top="117" w:right="3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April 30, 2026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32"/>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8" Type="http://schemas.openxmlformats.org/officeDocument/2006/relationships/hyperlink" Target="https://www.sec.gov/Archives/edgar/data/812011/000081201126000010/tentharcreditagreement-ex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2026-06-08T15:22:01Z</dcterms:created>
  <dcterms:modified xsi:type="dcterms:W3CDTF">2026-06-08T15:22:01Z</dcterms:modified>
</cp:coreProperties>
</file>