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April 30, 2017</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40" w:type="dxa"/>
            <w:vAlign w:val="bottom"/>
            <w:vMerge w:val="restart"/>
          </w:tcPr>
          <w:p>
            <w:pPr>
              <w:ind w:left="9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June 5, 2017, 40,007,604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April 30, 2017, July 31, 2016 and April 30,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and Nine Months Ended April 30, 2017 and 2016</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Comprehensive Income for the Three and Nine Months Ended April 30, 2017 and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Stockholders’ Equity for the Nine Months Ended April 30, 2017 and 2016</w:t>
              </w:r>
            </w:hyperlink>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Nine Months Ended April 30, 2017 and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April 30, 2017</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2016</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April 30, 2016</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195,818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67,897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68,565</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8,648</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6,046</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5,934</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174,433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147,113</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145,483</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77,332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74,589</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68,882</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42,488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27,220</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57,455</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498,719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322,865</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346,319</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1,647,004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1,363,814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1,370,374</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108,217</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111,088</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116,874</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6)</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1,430,008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509,037</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509,083</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280,516</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140,007</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141,222</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44,403</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35,207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35,303</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4,008,867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2,482,018</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2,519,175</w:t>
            </w:r>
          </w:p>
        </w:tc>
      </w:tr>
      <w:tr>
        <w:trPr>
          <w:trHeight w:val="67"/>
        </w:trPr>
        <w:tc>
          <w:tcPr>
            <w:tcW w:w="6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403,285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397,488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338,089</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48,702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95,639</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20,059</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38,386</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13,354</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13,349</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490,373</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506,481</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371,497</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1,168,210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686,909</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613,704</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280,203</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270,168</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249,298</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281,813</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129,994</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305,134</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2,220,599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1,593,552</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1,539,633</w:t>
            </w:r>
          </w:p>
        </w:tc>
      </w:tr>
      <w:tr>
        <w:trPr>
          <w:trHeight w:val="27"/>
        </w:trPr>
        <w:tc>
          <w:tcPr>
            <w:tcW w:w="6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25,000,000 shares authorized, no shares issued</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45,443,310,</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41,614,432 and 41,595,420 shares issued, respectively</w:t>
            </w:r>
          </w:p>
        </w:tc>
        <w:tc>
          <w:tcPr>
            <w:tcW w:w="340" w:type="dxa"/>
            <w:vAlign w:val="bottom"/>
          </w:tcPr>
          <w:p>
            <w:pPr>
              <w:spacing w:after="0"/>
              <w:rPr>
                <w:sz w:val="20"/>
                <w:szCs w:val="20"/>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Exchangeable shares, $0.01 par value, 70,149, zero and zero shares issued and</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respectively (Note 5)</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1,217,820</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635,986</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632,148</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(44,677)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650,331</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486,667</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581,245</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5,436,294, 5,434,977, and 5,434,977 shares, respectively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2"/>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10)</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(247,189)</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(246,979)</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(246,979)</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1,576,740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874,540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965,663</w:t>
            </w: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211,528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13,926</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13,879</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1,788,268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888,466</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979,542</w:t>
            </w:r>
          </w:p>
        </w:tc>
      </w:tr>
      <w:tr>
        <w:trPr>
          <w:trHeight w:val="27"/>
        </w:trPr>
        <w:tc>
          <w:tcPr>
            <w:tcW w:w="6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4,008,867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2,482,018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2,519,175</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8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Mountain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721,160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572,805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1,486,026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1,206,610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68,601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201,887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200,026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4,870</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10,181</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794,631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1,698,094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1,421,402</w:t>
            </w:r>
          </w:p>
        </w:tc>
        <w:tc>
          <w:tcPr>
            <w:tcW w:w="0" w:type="dxa"/>
            <w:vAlign w:val="bottom"/>
          </w:tcPr>
          <w:p>
            <w:pPr>
              <w:spacing w:after="0"/>
              <w:rPr>
                <w:sz w:val="1"/>
                <w:szCs w:val="1"/>
                <w:color w:val="auto"/>
              </w:rPr>
            </w:pPr>
          </w:p>
        </w:tc>
      </w:tr>
      <w:tr>
        <w:trPr>
          <w:trHeight w:val="229"/>
        </w:trPr>
        <w:tc>
          <w:tcPr>
            <w:tcW w:w="5240" w:type="dxa"/>
            <w:vAlign w:val="bottom"/>
          </w:tcPr>
          <w:p>
            <w:pPr>
              <w:ind w:left="40"/>
              <w:spacing w:after="0"/>
              <w:rPr>
                <w:sz w:val="20"/>
                <w:szCs w:val="20"/>
                <w:color w:val="auto"/>
              </w:rPr>
            </w:pPr>
            <w:r>
              <w:rPr>
                <w:rFonts w:ascii="Arial" w:cs="Arial" w:eastAsia="Arial" w:hAnsi="Arial"/>
                <w:sz w:val="18"/>
                <w:szCs w:val="18"/>
                <w:color w:val="auto"/>
                <w:w w:val="90"/>
              </w:rPr>
              <w:t>Segment operating expense (exclusive of depreciation and amortization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0"/>
              <w:spacing w:after="0"/>
              <w:rPr>
                <w:sz w:val="20"/>
                <w:szCs w:val="20"/>
                <w:color w:val="auto"/>
              </w:rPr>
            </w:pPr>
            <w:r>
              <w:rPr>
                <w:rFonts w:ascii="Arial" w:cs="Arial" w:eastAsia="Arial" w:hAnsi="Arial"/>
                <w:sz w:val="18"/>
                <w:szCs w:val="18"/>
                <w:color w:val="auto"/>
              </w:rPr>
              <w:t>shown separately below):</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340,390</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863,882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729,382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Lodging</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57,897</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181,660</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176,170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9,818</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17,144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segment operating expense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408,105</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342,475</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1,062,686</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922,595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(50,029)</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(140,236)</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(120,713)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6,466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29"/>
        </w:trPr>
        <w:tc>
          <w:tcPr>
            <w:tcW w:w="5240" w:type="dxa"/>
            <w:vAlign w:val="bottom"/>
          </w:tcPr>
          <w:p>
            <w:pPr>
              <w:ind w:left="380"/>
              <w:spacing w:after="0"/>
              <w:rPr>
                <w:sz w:val="20"/>
                <w:szCs w:val="20"/>
                <w:color w:val="auto"/>
              </w:rPr>
            </w:pPr>
            <w:r>
              <w:rPr>
                <w:rFonts w:ascii="Arial" w:cs="Arial" w:eastAsia="Arial" w:hAnsi="Arial"/>
                <w:sz w:val="18"/>
                <w:szCs w:val="18"/>
                <w:color w:val="auto"/>
                <w:w w:val="94"/>
              </w:rPr>
              <w:t>Change in estimated fair value of contingent consideration (Note</w:t>
            </w:r>
          </w:p>
        </w:tc>
        <w:tc>
          <w:tcPr>
            <w:tcW w:w="3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(14,500)</w:t>
            </w:r>
          </w:p>
        </w:tc>
        <w:tc>
          <w:tcPr>
            <w:tcW w:w="400" w:type="dxa"/>
            <w:vAlign w:val="bottom"/>
          </w:tcPr>
          <w:p>
            <w:pPr>
              <w:spacing w:after="0"/>
              <w:rPr>
                <w:sz w:val="19"/>
                <w:szCs w:val="19"/>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(15,100)</w:t>
            </w:r>
          </w:p>
        </w:tc>
        <w:tc>
          <w:tcPr>
            <w:tcW w:w="440" w:type="dxa"/>
            <w:vAlign w:val="bottom"/>
          </w:tcPr>
          <w:p>
            <w:pPr>
              <w:spacing w:after="0"/>
              <w:rPr>
                <w:sz w:val="19"/>
                <w:szCs w:val="19"/>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240" w:type="dxa"/>
            <w:vAlign w:val="bottom"/>
            <w:vMerge w:val="restart"/>
          </w:tcPr>
          <w:p>
            <w:pPr>
              <w:ind w:left="3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fixed assets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320,073</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263,380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481,833</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376,755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 equity investment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5,881</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(44,325)</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(31,905)</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297,491</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253,341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444,899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346,351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(100,635)</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(151,933)</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(131,613)</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196,856</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157,537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292,966</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214,738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181,107</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157,632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267,699</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215,027</w:t>
            </w:r>
          </w:p>
        </w:tc>
        <w:tc>
          <w:tcPr>
            <w:tcW w:w="0" w:type="dxa"/>
            <w:vAlign w:val="bottom"/>
          </w:tcPr>
          <w:p>
            <w:pPr>
              <w:spacing w:after="0"/>
              <w:rPr>
                <w:sz w:val="1"/>
                <w:szCs w:val="1"/>
                <w:color w:val="auto"/>
              </w:rPr>
            </w:pPr>
          </w:p>
        </w:tc>
      </w:tr>
      <w:tr>
        <w:trPr>
          <w:trHeight w:val="67"/>
        </w:trPr>
        <w:tc>
          <w:tcPr>
            <w:tcW w:w="5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Basic net income per share attributable to Vail Resorts,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6.87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Diluted net income per share attributable to Vail Resorts,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200" w:type="dxa"/>
            <w:vAlign w:val="bottom"/>
          </w:tcPr>
          <w:p>
            <w:pPr>
              <w:spacing w:after="0"/>
              <w:rPr>
                <w:sz w:val="16"/>
                <w:szCs w:val="16"/>
                <w:color w:val="auto"/>
              </w:rPr>
            </w:pPr>
          </w:p>
        </w:tc>
        <w:tc>
          <w:tcPr>
            <w:tcW w:w="21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Nine Months Ended April 30,</w:t>
            </w:r>
          </w:p>
        </w:tc>
      </w:tr>
      <w:tr>
        <w:trPr>
          <w:trHeight w:val="80"/>
        </w:trPr>
        <w:tc>
          <w:tcPr>
            <w:tcW w:w="65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58"/>
        </w:trPr>
        <w:tc>
          <w:tcPr>
            <w:tcW w:w="6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196,856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292,966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214,738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(48,690)</w:t>
            </w:r>
          </w:p>
        </w:tc>
        <w:tc>
          <w:tcPr>
            <w:tcW w:w="3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(47,452)</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6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148,166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245,514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218,484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(10,822)</w:t>
            </w:r>
          </w:p>
        </w:tc>
        <w:tc>
          <w:tcPr>
            <w:tcW w:w="3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(20,942)</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289</w:t>
            </w:r>
          </w:p>
        </w:tc>
      </w:tr>
      <w:tr>
        <w:trPr>
          <w:trHeight w:val="27"/>
        </w:trPr>
        <w:tc>
          <w:tcPr>
            <w:tcW w:w="6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137,344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224,572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218,773</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1"/>
              <w:spacing w:after="0"/>
              <w:rPr>
                <w:sz w:val="20"/>
                <w:szCs w:val="20"/>
                <w:color w:val="auto"/>
              </w:rPr>
            </w:pPr>
            <w:r>
              <w:rPr>
                <w:rFonts w:ascii="Arial" w:cs="Arial" w:eastAsia="Arial" w:hAnsi="Arial"/>
                <w:sz w:val="13"/>
                <w:szCs w:val="13"/>
                <w:b w:val="1"/>
                <w:bCs w:val="1"/>
                <w:color w:val="auto"/>
                <w:w w:val="85"/>
              </w:rPr>
              <w:t>Accumulated</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1"/>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
              <w:spacing w:after="0" w:line="135" w:lineRule="exact"/>
              <w:rPr>
                <w:sz w:val="20"/>
                <w:szCs w:val="20"/>
                <w:color w:val="auto"/>
              </w:rPr>
            </w:pPr>
            <w:r>
              <w:rPr>
                <w:rFonts w:ascii="Arial" w:cs="Arial" w:eastAsia="Arial" w:hAnsi="Arial"/>
                <w:sz w:val="13"/>
                <w:szCs w:val="13"/>
                <w:b w:val="1"/>
                <w:bCs w:val="1"/>
                <w:color w:val="auto"/>
                <w:w w:val="92"/>
              </w:rPr>
              <w:t>Other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9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0" w:type="dxa"/>
            <w:vAlign w:val="bottom"/>
          </w:tcPr>
          <w:p>
            <w:pPr>
              <w:jc w:val="right"/>
              <w:ind w:right="60"/>
              <w:spacing w:after="0" w:line="135" w:lineRule="exact"/>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9"/>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5"/>
              </w:rPr>
              <w:t>Loss</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7"/>
              </w:rPr>
              <w:t>Treasury Stock</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3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2"/>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415</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623,510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$ 440,748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(193,192)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866,568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880,586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215,027</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215,027</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214,738</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w w:val="95"/>
              </w:rPr>
              <w:t>Foreign currency translation adjustments, net of tax</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3,746</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3,746</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3,746</w:t>
            </w: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218,773</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218,484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12,665</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12,665</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12,665</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shares under share award plans, net of</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taxes</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(8,520)</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(8,520)</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4,494</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4,494</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4,494</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(53,787)</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(53,787)</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(74,530)</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(74,530)</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(74,530)</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 net</w:t>
            </w: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r>
      <w:tr>
        <w:trPr>
          <w:trHeight w:val="21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632,148</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5"/>
              </w:rPr>
              <w:t>$ 581,245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(246,979)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965,663</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13,879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979,542</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635,986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$ 486,667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874,540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888,466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267,699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267,699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25,267</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292,966</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w w:val="95"/>
              </w:rPr>
              <w:t>Foreign currency translation adjustments, net of tax</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(43,127)</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(43,127)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(4,325)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(47,452)</w:t>
            </w: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224,572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245,514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13,588</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13,588</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13,588</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for acquisition (Note 5)</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574,608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574,645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574,645</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Exchangeable share transfers</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Issuance of shares under share award plans, net of</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taxes</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(15,884)</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(15,884)</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9,524</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9,524</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9,524</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(104,035)</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(104,035)</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(104,035)</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(Note 5)</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26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(5,919)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(5,919)</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1,217,820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$ 650,331</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1,576,740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211,528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1,788,268</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292,966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214,738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140,236</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120,713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8,017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13,588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12,665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151,933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131,741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15,100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non-cash income,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(3,741)</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3,557</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7,078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13,648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4,857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(56,128)</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(19,083)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7,671</w:t>
            </w:r>
          </w:p>
        </w:tc>
      </w:tr>
      <w:tr>
        <w:trPr>
          <w:trHeight w:val="237"/>
        </w:trPr>
        <w:tc>
          <w:tcPr>
            <w:tcW w:w="77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478,313</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455,427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(111,836)</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(88,307)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(512,348)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Cash received from the sale of real property</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7,692</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3,722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6,543</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37"/>
        </w:trPr>
        <w:tc>
          <w:tcPr>
            <w:tcW w:w="77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(609,949)</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(107,672)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 under Vail Holdings Credit Agreement term loan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509,375</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Vail Holdings Credit Agreement revolver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 under Whistler Credit Agreement revolver</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2,229</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 under Vail Holdings Credit Agreement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Repayments of borrowings under Vail Holdings Credit Agreement revolver</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(185,000)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(320,000)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 under Whistler Credit Agreement revolver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(53,889)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(104,035)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(74,530)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(53,787)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917</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4,499</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260,637</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(315,068)</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127,921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67,897</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35,459</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195,818</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68,565</w:t>
            </w:r>
          </w:p>
        </w:tc>
      </w:tr>
      <w:tr>
        <w:trPr>
          <w:trHeight w:val="67"/>
        </w:trPr>
        <w:tc>
          <w:tcPr>
            <w:tcW w:w="7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170"/>
        </w:trPr>
        <w:tc>
          <w:tcPr>
            <w:tcW w:w="7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780" w:right="100" w:hanging="1383"/>
        <w:spacing w:after="0" w:line="309" w:lineRule="auto"/>
        <w:rPr>
          <w:sz w:val="20"/>
          <w:szCs w:val="20"/>
          <w:color w:val="auto"/>
        </w:rPr>
      </w:pPr>
      <w:r>
        <w:rPr>
          <w:rFonts w:ascii="Arial" w:cs="Arial" w:eastAsia="Arial" w:hAnsi="Arial"/>
          <w:sz w:val="18"/>
          <w:szCs w:val="18"/>
          <w:color w:val="auto"/>
        </w:rPr>
        <w:t>Accrued capital expenditures</w:t>
      </w:r>
      <w:r>
        <w:rPr>
          <w:sz w:val="20"/>
          <w:szCs w:val="20"/>
          <w:color w:val="auto"/>
        </w:rPr>
        <w:t xml:space="preserve"> </w:t>
      </w:r>
      <w:r>
        <w:rPr>
          <w:rFonts w:ascii="Arial" w:cs="Arial" w:eastAsia="Arial" w:hAnsi="Arial"/>
          <w:sz w:val="18"/>
          <w:szCs w:val="18"/>
          <w:color w:val="auto"/>
        </w:rPr>
        <w:t>$ 9,127 $ 5,801 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ten world-class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Mountain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0"/>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the Company operates ancillary services, primarily including ski school, dining and retail/rental operations, and for Perisher including lodging and transportation operations. The resorts located in the United States (“U.S.”), except for Northstar, Park City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of the Company, conducts the operations of the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occurs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2016.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2016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associated with the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the Financial Accounting Standards Board (“FASB”) issued Accounting Standards Update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standard was effective for the first interim period within fiscal years beginning after December 15, 2015 (the Company’s first quarter of fiscal 2017). The Company adopted this new accounting standard as of July 31, 2016, which amended presentation and disclosure requirements concerning debt issuance costs but did not affect the Company’s overall financial position or results of operations and cash flows. As a result, approximately $2.1 million of debt issuance costs have been reclassified to Long-term debt as of April 30, 2016.</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standard eliminates the current requirement for companies to present deferred tax liabilities and assets as current and noncurrent in a classified balance sheet. Instead, companies will be required to classify all deferred tax assets and liabilities as noncurrent on a jurisdiction by jurisdiction basis. The standard is effective for financial statements issued for annual periods beginning after December 15, 2016 (the Company’s first quarter of fiscal 2018), with early adoption permitted, and may be applied prospectively or retrospectively. The Company adopted this new accounting standard as of July 31, 2016, which amended presentation requirements, but did not affect the Company’s overall financial position or results of operations and cash flows. The Company adopted this standard on a prospective basis, which reclassified the current deferred income tax asset to the noncurrent deferred income tax liability. Accordingly, the Consolidated Condensed Balance Sheet as of April 30, 2016 has not been retrospectively adjusted.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302" w:lineRule="auto"/>
        <w:rPr>
          <w:sz w:val="20"/>
          <w:szCs w:val="20"/>
          <w:color w:val="auto"/>
        </w:rPr>
      </w:pPr>
      <w:r>
        <w:rPr>
          <w:rFonts w:ascii="Arial" w:cs="Arial" w:eastAsia="Arial" w:hAnsi="Arial"/>
          <w:sz w:val="16"/>
          <w:szCs w:val="16"/>
          <w:color w:val="auto"/>
        </w:rPr>
        <w:t>significant judgments and changes in judgments and assets recognized from costs incurred to obtain or fulfill a contract.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The guidance also requires companies to present excess tax benefits as an operating activity and cash paid to a taxing authority to satisfy statutory withholding as a financing activity on the statement of cash flows. Additionally, the guidance allows companies to make a policy election to account for forfeitures either upon occurrence or by estimating forfeitures. The standard is effective for financial statements issued for fiscal years beginning after December 15, 2016 (the Company’s first quarter of fiscal 2018), with early adoption permitted. The Company is currently evaluating the impacts the adoption of this accounting standard will have on the Company’s financial position or results of operations and cash flows.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is currently evaluating the impacts the adoption of this accounting standard will have on the Company’s cash flows.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The standard simplifies interim and annual goodwill impairment testing by eliminating step two, a hypothetical purchase price allocation, from the goodwill impairment test and leaving step one unchanged. Under the new guidance, companies will continue to complete step one by comparing the estimated fair value of their reporting units with their respective carrying amounts, and will recognize an impairment charge, if any, for the amount by which the carrying amount exceeds the reporting unit’s estimated fair value. The standard is effective for financial statements issued for fiscal years beginning after December 15, 2019 (the Company’s first quarter of fiscal 2021), with early adoption permitted. The Company is currently analyzing provisions of the standard to determine if early adoption is warranted for purposes of simplification.</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Vail Resorts stockholders by the total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calculation of weighted-average shares outstanding includes the Exchangeco Shares. The Company computes the effect of dilutive securities using the treasury stock method and average market prices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April 30, 2017 and 2016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2016</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181,107</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181,107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157,632</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157,632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Vail Resorts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39,996</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39,996</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40,068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1,113</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1,051</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41,181</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37,268</w:t>
            </w:r>
          </w:p>
        </w:tc>
      </w:tr>
      <w:tr>
        <w:trPr>
          <w:trHeight w:val="237"/>
        </w:trPr>
        <w:tc>
          <w:tcPr>
            <w:tcW w:w="5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4.40</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issuable upon the exercise of share based awards excluded from the calculation of diluted EPS because the effect of their inclusion would have been anti-dilutive totaled 12,000 and 24,000 for the three months ended April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nine months ended April 30, 2017 and 2016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Nine Months Ended April 30,</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2016</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267,699</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267,699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215,027</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215,027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Vail Resorts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38,871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38,972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1,097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1,016</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40,069</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37,328</w:t>
            </w:r>
          </w:p>
        </w:tc>
      </w:tr>
      <w:tr>
        <w:trPr>
          <w:trHeight w:val="237"/>
        </w:trPr>
        <w:tc>
          <w:tcPr>
            <w:tcW w:w="5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6.68</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issuable upon the exercise of share based awards excluded from the calculation of diluted EPS because the effect of their inclusion would have been anti-dilutive totaled 4,000 and 13,000 for the nine months ended April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and nine months ended April 30, 2017, the Company paid cash dividends of $1.053 and $2.673 per share ($42.3 million and $104.0 million, respectively, in the aggregate). During the three and nine months ended April 30, 2016, the Company paid cash dividends of $0.81 and $2.055 per share ($29.3 million and $74.5 million, respectively, in the aggregate). On June 7, 2017, the Company’s Board of Directors declared a quarterly cash dividend of $1.053 per share, for Vail Shares, payable on July 13, 2017 to stockholders of record as of June 28, 2017. Additionally, a Canadian dollar equivalent dividend on the Exchangeco Shares will be payable on July 13, 2017 to the shareholders of record on June 28,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April 30, 2017, July 31, 2016 and April 30, 2016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April 30, 2017</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2016</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731,250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243,750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2021</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89,379</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327,364</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323,099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321,688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2017-2028</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10,316</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11,021</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11,165</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1,210,884</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702,320</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629,178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 (c)</w:t>
            </w:r>
          </w:p>
        </w:tc>
        <w:tc>
          <w:tcPr>
            <w:tcW w:w="2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4,288</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2,057</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2,125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(d)</w:t>
            </w:r>
          </w:p>
        </w:tc>
        <w:tc>
          <w:tcPr>
            <w:tcW w:w="2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38,386</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13,354</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13,349</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w:t>
            </w:r>
          </w:p>
        </w:tc>
        <w:tc>
          <w:tcPr>
            <w:tcW w:w="2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1,168,210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686,909</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613,704</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87"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14, 2016, in order to finance the cash portion of the consideration and payment of associated fees and expenses of the Whistler Blackcomb acquisition (see Note 5, Acquisitions), the Company’s wholly owned subsidiary, Vail Holdings, Inc., entered into the Second Amendment to the Seventh Amended and Restated Credit Agreement,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 Holdings Credit Agreement, including those disclosed in the Company’s Annual Report on Form 10-K filed on September 26, 2016, were not altered by the Amendment. Borrowings under the Vail Holdings Credit Agreement, including the term loan facility, bear interest at approximately 2.2%, as of April 30, 2017, and interest payments are due monthly. Additionally, the term loan facility is subject to quarterly principal payments of approximately $9.4 million, which began on January 31, 2017. Final payment of the remaining principle outstanding plus accrued and unpaid interest is due upon maturity in October 2021.</w:t>
      </w:r>
    </w:p>
    <w:p>
      <w:pPr>
        <w:spacing w:after="0" w:line="10" w:lineRule="exact"/>
        <w:rPr>
          <w:rFonts w:ascii="Arial" w:cs="Arial" w:eastAsia="Arial" w:hAnsi="Arial"/>
          <w:sz w:val="16"/>
          <w:szCs w:val="16"/>
          <w:color w:val="auto"/>
        </w:rPr>
      </w:pPr>
    </w:p>
    <w:p>
      <w:pPr>
        <w:jc w:val="both"/>
        <w:ind w:left="540" w:hanging="316"/>
        <w:spacing w:after="0" w:line="267"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which matures on November 12, 2021.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April 30, 2017,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April 30, 2017 all borrowings under the Whistler Credit Agreement were made in Canadian dollars and by way of the issuance of bankers’ acceptances plus 1.75% (approximately 2.67%). The Whistler Credit Agreement also includes a quarterly unused commitment fee based on the Consolidated Total Leverage Ratio, which as of April 30, 2017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 In connection with the Whistler Blackcomb transaction, the WB Partnerships obtained an amendment to the Whistler Credit Agreement to waive the change of control provision that otherwise would have required repayment in full of the facility as a result of the closing of the Whistler Blackcomb acquisition and to extend the maturity to November 12, 2021.</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ind w:left="540" w:right="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adopted ASU 2015-03 and ASU 2015-15 as of July 31, 2016 which alters the presentation of debt issuance costs. As a result, approximately $2.1 million of debt issuance costs have been reclassified to Long-term debt as of April 30, 2016.</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2017 reflected by fiscal year (August through July) are as follows (in thousands):</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0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(May 2017 through July 2017)</w:t>
            </w:r>
          </w:p>
        </w:tc>
        <w:tc>
          <w:tcPr>
            <w:tcW w:w="2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2018</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38,397</w:t>
            </w:r>
          </w:p>
        </w:tc>
      </w:tr>
      <w:tr>
        <w:trPr>
          <w:trHeight w:val="27"/>
        </w:trPr>
        <w:tc>
          <w:tcPr>
            <w:tcW w:w="50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2020</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38,516</w:t>
            </w:r>
          </w:p>
        </w:tc>
      </w:tr>
      <w:tr>
        <w:trPr>
          <w:trHeight w:val="27"/>
        </w:trPr>
        <w:tc>
          <w:tcPr>
            <w:tcW w:w="50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1,047,411</w:t>
            </w:r>
          </w:p>
        </w:tc>
      </w:tr>
      <w:tr>
        <w:trPr>
          <w:trHeight w:val="27"/>
        </w:trPr>
        <w:tc>
          <w:tcPr>
            <w:tcW w:w="50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1,210,884</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gross interest expense of $14.2 million and $10.4 million for the three months ended April 30, 2017 and 2016, respectively, of which $0.3 million and $0.2 million, respectively, were amortization of deferred financing costs. The Company incurred gross interest expense of $40.4 million and $31.9 million for the nine months ended April 30, 2017 and 2016, respectively, of which $0.8 million and $0.7 million, respectively, were amortization of deferred financing costs.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acquisition of Whistler Blackcomb, Vail Holdings, Inc. funded a portion of the purchase price through an intercompany loan to Whistler Blackcomb of $210.0 million requiring foreign currency remeasurement to Canadian dollars, the functional currency for Whistler Blackcomb. As a result, foreign currency fluctuations associated with the loan are recorded within the Company’s results of operations. The Company recognized approximately $9.1 million and $3.9 million, respectively, in foreign currency losses on the intercompany loan to Whistler Blackcomb for the three months and nine months ended April 30, 2017 within interest expense and other, net on the Company’s Consolidated Condensed Statements of Operations.</w:t>
      </w:r>
    </w:p>
    <w:p>
      <w:pPr>
        <w:spacing w:after="0" w:line="15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5, 2016, the Company entered into an Arrangement Agreement (the “Arrangement Agreement”) to acquire 100% of the outstanding common shares of Whistler Blackcomb (the “Arrangement”). On October 17, 2016, the Company, through Exchangeco, acquired all of the outstanding common shares of Whistler Blackcomb, for aggregate purchase consideration paid to Whistler Blackcomb shareholders of $1.09 billion. The consideration paid consisted of</w:t>
      </w:r>
    </w:p>
    <w:p>
      <w:pPr>
        <w:jc w:val="both"/>
        <w:ind w:firstLine="8"/>
        <w:spacing w:after="0" w:line="270"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Arrangement.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Condensed Statements of Operations.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summarizes the purchase consideration and the preliminary estimated fair values of the identifiable assets acquired and liabilities assumed at the date the transaction was effective (in thousands, except exchange ratio and share price):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Resorts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Resorts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182,579</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1,274,090</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37,567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956,876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152,035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57"/>
        </w:trPr>
        <w:tc>
          <w:tcPr>
            <w:tcW w:w="9600" w:type="dxa"/>
            <w:vAlign w:val="bottom"/>
            <w:gridSpan w:val="2"/>
          </w:tcPr>
          <w:p>
            <w:pPr>
              <w:ind w:left="12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1,274,090</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April 30, 2017, the Company recorded adjustments in the measurement period to its purchase price allocation of $7.7 million, net, which primarily increased the deferred income taxes, net asset with a corresponding decrease to goodwill.</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estimated fair values of assets acquired and liabilities assumed in the acquisition of Whistler Blackcomb are preliminary and are based on the information that was available as of the acquisition date. The Company believes that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7,950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152,035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$229.7 million of net revenue for the nine months ended April 30, 2017, prospectively from the acquisition date of October 17, 2016. The Company recognized $0.2 million and $3.2 million of Whistler Blackcomb transaction related expenses in Mountain operating expense in the Consolidated Condensed Statements of Operations for the three and nine months ended April 30, 2017, respectively.</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4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7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752,462</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184,064</w:t>
            </w:r>
          </w:p>
        </w:tc>
      </w:tr>
      <w:tr>
        <w:trPr>
          <w:trHeight w:val="27"/>
        </w:trPr>
        <w:tc>
          <w:tcPr>
            <w:tcW w:w="7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2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7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 April 30,</w:t>
            </w:r>
          </w:p>
        </w:tc>
      </w:tr>
      <w:tr>
        <w:trPr>
          <w:trHeight w:val="27"/>
        </w:trPr>
        <w:tc>
          <w:tcPr>
            <w:tcW w:w="5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2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1,720,758</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1,631,813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2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270,418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248,187</w:t>
            </w:r>
          </w:p>
        </w:tc>
      </w:tr>
      <w:tr>
        <w:trPr>
          <w:trHeight w:val="27"/>
        </w:trPr>
        <w:tc>
          <w:tcPr>
            <w:tcW w:w="5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Pro forma basic net income per share attributable to Vail Resorts, Inc.</w:t>
            </w:r>
          </w:p>
        </w:tc>
        <w:tc>
          <w:tcPr>
            <w:tcW w:w="2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w w:val="94"/>
              </w:rPr>
              <w:t>Pro forma diluted net income per share attributable to Vail Resorts, Inc.</w:t>
            </w:r>
          </w:p>
        </w:tc>
        <w:tc>
          <w:tcPr>
            <w:tcW w:w="2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5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69"/>
        </w:trPr>
        <w:tc>
          <w:tcPr>
            <w:tcW w:w="5400" w:type="dxa"/>
            <w:vAlign w:val="bottom"/>
          </w:tcPr>
          <w:p>
            <w:pPr>
              <w:spacing w:after="0"/>
              <w:rPr>
                <w:sz w:val="24"/>
                <w:szCs w:val="24"/>
                <w:color w:val="auto"/>
              </w:rPr>
            </w:pPr>
          </w:p>
        </w:tc>
        <w:tc>
          <w:tcPr>
            <w:tcW w:w="2260" w:type="dxa"/>
            <w:vAlign w:val="bottom"/>
          </w:tcPr>
          <w:p>
            <w:pPr>
              <w:jc w:val="right"/>
              <w:ind w:right="177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7"/>
          <w:szCs w:val="17"/>
          <w:color w:val="auto"/>
        </w:rPr>
        <w:t>On February 23, 2017, Whistler LP, by its general partner Whistler Blackcomb Holdings Inc. (“WBHI”), a wholly-owned subsidiary of the Company, entered into a master development agreement (the “Whistler MDA”) with Her Majesty, the Queen in Right of British Columbia (the “Province”) with respect to the operation and development of Whistler Mountain. Additionally, on February 23, 2017, Blackcomb LP, by its general partner WBHI, entered into a master development agreement (the “Blackcomb MDA” and together with the Whistler MDA, the “MDAs”) with the Province with respect to the operation and development of Blackcomb Mountain. Each of Whistler LP and Blackcomb LP were operating under existing master development agreements that terminated upon execution of the new MDAs. The MDAs grant a general license to the WB Partnerships to use the Whistler Mountain lands and the Blackcomb Mountain lands for the operation and development of the Whistler Blackcomb Resort. Each WB Partnership is permitted to develop new improvements to Whistler Mountain or Blackcomb Mountain, as the case may be, within standard municipal type development control conditions. The MDAs each have a term of 60 years and are replaceable for an additional 60 years by option exercisable by the WB Partnerships after the first 30 years of the initial term. In accordance with the MDAs, each WB Partnership is obligated to pay annual fees to the Province at a rate of 2% of certain gross revenues related to the Whistler Blackcomb Resort.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purchase price allocation and has recorded $12.5 million in property, plant and equipment, $0.2 million in other assets, $0.4 million in other intangible assets (with a weighted-average amortization period of 10 years) and $0.3 million of assumed liabilities on the date of acquisition. The excess of the purchase price over the aggregate estimated fair values of assets acquired and liabilities assumed was $7.4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18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2017</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2016</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2016</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531,058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440,300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439,815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9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1,170,700</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1,025,515</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1,028,408</w:t>
            </w:r>
          </w:p>
        </w:tc>
      </w:tr>
      <w:tr>
        <w:trPr>
          <w:trHeight w:val="27"/>
        </w:trPr>
        <w:tc>
          <w:tcPr>
            <w:tcW w:w="4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967,157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866,008</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878,730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9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275,235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284,959</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305,159</w:t>
            </w:r>
          </w:p>
        </w:tc>
      </w:tr>
      <w:tr>
        <w:trPr>
          <w:trHeight w:val="27"/>
        </w:trPr>
        <w:tc>
          <w:tcPr>
            <w:tcW w:w="4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105,352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103,754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112,551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Vehicles</w:t>
            </w:r>
          </w:p>
        </w:tc>
        <w:tc>
          <w:tcPr>
            <w:tcW w:w="19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61,415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58,159</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62,166</w:t>
            </w:r>
          </w:p>
        </w:tc>
      </w:tr>
      <w:tr>
        <w:trPr>
          <w:trHeight w:val="27"/>
        </w:trPr>
        <w:tc>
          <w:tcPr>
            <w:tcW w:w="4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9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34,029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39,396</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28,019</w:t>
            </w:r>
          </w:p>
        </w:tc>
      </w:tr>
      <w:tr>
        <w:trPr>
          <w:trHeight w:val="237"/>
        </w:trPr>
        <w:tc>
          <w:tcPr>
            <w:tcW w:w="4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Gross property, plant and equipment</w:t>
            </w:r>
          </w:p>
        </w:tc>
        <w:tc>
          <w:tcPr>
            <w:tcW w:w="19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3,144,946</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2,818,091</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2,854,848</w:t>
            </w:r>
          </w:p>
        </w:tc>
      </w:tr>
      <w:tr>
        <w:trPr>
          <w:trHeight w:val="27"/>
        </w:trPr>
        <w:tc>
          <w:tcPr>
            <w:tcW w:w="4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9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(1,497,942)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(1,454,277)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(1,484,474)</w:t>
            </w:r>
          </w:p>
        </w:tc>
      </w:tr>
      <w:tr>
        <w:trPr>
          <w:trHeight w:val="237"/>
        </w:trPr>
        <w:tc>
          <w:tcPr>
            <w:tcW w:w="4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1,647,004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1,363,814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1,370,374</w:t>
            </w:r>
          </w:p>
        </w:tc>
      </w:tr>
      <w:tr>
        <w:trPr>
          <w:trHeight w:val="27"/>
        </w:trPr>
        <w:tc>
          <w:tcPr>
            <w:tcW w:w="4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30,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2016</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51,305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72,658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206,534</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182,506</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164,927</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36,162</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43,086</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36,401</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29,175</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29,625</w:t>
            </w:r>
          </w:p>
        </w:tc>
      </w:tr>
      <w:tr>
        <w:trPr>
          <w:trHeight w:val="27"/>
        </w:trPr>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22,117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23,307</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50,766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46,756</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40,349</w:t>
            </w:r>
          </w:p>
        </w:tc>
      </w:tr>
      <w:tr>
        <w:trPr>
          <w:trHeight w:val="27"/>
        </w:trPr>
        <w:tc>
          <w:tcPr>
            <w:tcW w:w="47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accrued liabilities</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403,285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397,488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338,089</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960" w:type="dxa"/>
            <w:vAlign w:val="bottom"/>
          </w:tcPr>
          <w:p>
            <w:pPr>
              <w:jc w:val="right"/>
              <w:ind w:right="770"/>
              <w:spacing w:after="0"/>
              <w:rPr>
                <w:sz w:val="20"/>
                <w:szCs w:val="20"/>
                <w:color w:val="auto"/>
              </w:rPr>
            </w:pPr>
            <w:r>
              <w:rPr>
                <w:rFonts w:ascii="Arial" w:cs="Arial" w:eastAsia="Arial" w:hAnsi="Arial"/>
                <w:sz w:val="18"/>
                <w:szCs w:val="18"/>
                <w:color w:val="auto"/>
              </w:rPr>
              <w:t>15</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April 30,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2016</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April 30, 2016</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120,260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121,750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123,341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8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25,254</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27,322</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28,005</w:t>
            </w:r>
          </w:p>
        </w:tc>
      </w:tr>
      <w:tr>
        <w:trPr>
          <w:trHeight w:val="27"/>
        </w:trPr>
        <w:tc>
          <w:tcPr>
            <w:tcW w:w="4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134,689</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121,096</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97,952</w:t>
            </w:r>
          </w:p>
        </w:tc>
      </w:tr>
      <w:tr>
        <w:trPr>
          <w:trHeight w:val="237"/>
        </w:trPr>
        <w:tc>
          <w:tcPr>
            <w:tcW w:w="4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other long-term liabilities</w:t>
            </w: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280,203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270,168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249,298</w:t>
            </w:r>
          </w:p>
        </w:tc>
      </w:tr>
      <w:tr>
        <w:trPr>
          <w:trHeight w:val="27"/>
        </w:trPr>
        <w:tc>
          <w:tcPr>
            <w:tcW w:w="4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nine months ended April 30, 2017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Mountain</w:t>
            </w:r>
          </w:p>
        </w:tc>
        <w:tc>
          <w:tcPr>
            <w:tcW w:w="36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Lodging</w:t>
            </w:r>
          </w:p>
        </w:tc>
        <w:tc>
          <w:tcPr>
            <w:tcW w:w="2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Goodwill, net</w:t>
            </w:r>
          </w:p>
        </w:tc>
      </w:tr>
      <w:tr>
        <w:trPr>
          <w:trHeight w:val="27"/>
        </w:trPr>
        <w:tc>
          <w:tcPr>
            <w:tcW w:w="5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2016</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441,138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67,899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Whistler Blackcomb acquisition</w:t>
            </w:r>
          </w:p>
        </w:tc>
        <w:tc>
          <w:tcPr>
            <w:tcW w:w="15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956,876</w:t>
            </w:r>
          </w:p>
        </w:tc>
        <w:tc>
          <w:tcPr>
            <w:tcW w:w="3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956,876</w:t>
            </w:r>
          </w:p>
        </w:tc>
      </w:tr>
      <w:tr>
        <w:trPr>
          <w:trHeight w:val="27"/>
        </w:trPr>
        <w:tc>
          <w:tcPr>
            <w:tcW w:w="5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(35,905)</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(35,905)</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April 30, 2017</w:t>
            </w: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1,362,109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67,899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1,430,008</w:t>
            </w:r>
          </w:p>
        </w:tc>
      </w:tr>
      <w:tr>
        <w:trPr>
          <w:trHeight w:val="27"/>
        </w:trPr>
        <w:tc>
          <w:tcPr>
            <w:tcW w:w="5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and Interest Rate Swap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4"/>
              </w:rPr>
              <w:t>Estimated Fair Value Measurement as of April 30, 2017</w:t>
            </w: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1,181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1,181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Estimated Fair Value Measurement as of July 31, 2016</w:t>
            </w:r>
          </w:p>
        </w:tc>
        <w:tc>
          <w:tcPr>
            <w:tcW w:w="10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11,100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4"/>
              </w:rPr>
              <w:t>Estimated Fair Value Measurement as of April 30, 2016</w:t>
            </w:r>
          </w:p>
        </w:tc>
        <w:tc>
          <w:tcPr>
            <w:tcW w:w="10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is an instrument assumed in the Whistler Blackcomb acquisition that expires in September 2020, and is a C$125.0 million ($91.6 million) as of April 30, 2017) fixed swap on the floating interest rate on the assumed Whistler Credit Agreement. Interest Rate Swap settlements and changes in estimated fair value are recognized in interest expense and other, net on the Consolidated Condensed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2017 and 2016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2016 and 2015, respectively</w:t>
            </w:r>
          </w:p>
        </w:tc>
        <w:tc>
          <w:tcPr>
            <w:tcW w:w="26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11,100</w:t>
            </w:r>
          </w:p>
        </w:tc>
        <w:tc>
          <w:tcPr>
            <w:tcW w:w="8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Change in estimated fair value</w:t>
            </w:r>
          </w:p>
        </w:tc>
        <w:tc>
          <w:tcPr>
            <w:tcW w:w="26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15,100</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30, 2017 and 2016, respectively</w:t>
            </w:r>
          </w:p>
        </w:tc>
        <w:tc>
          <w:tcPr>
            <w:tcW w:w="26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26,200</w:t>
            </w:r>
          </w:p>
        </w:tc>
        <w:tc>
          <w:tcPr>
            <w:tcW w:w="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lease for Park City provides for participating contingent payments (the “Contingent Consideration”) to the landlord of 42% of the amount by which EBITDA for the Park City resort operations, as calculated under the lease, exceed approximately $35 million, as established at the transaction date, with such threshold amount subsequently increased annually by an inflation linked index and a 10% adjustment for any capital improvements or investments made under the lease by the Company. The fair value of Contingent Consideration includes the estimated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10.2%, volatility of 16.0%, and future period Park City EBITDA and capital expenditures, which are unobservable inputs and thus are considered Level 3 inputs. The Company</w:t>
      </w:r>
    </w:p>
    <w:p>
      <w:pPr>
        <w:sectPr>
          <w:pgSz w:w="11900" w:h="16838" w:orient="portrait"/>
          <w:cols w:equalWidth="0" w:num="1">
            <w:col w:w="11420"/>
          </w:cols>
          <w:pgMar w:left="240" w:top="584"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4" w:right="239" w:bottom="1440" w:gutter="0" w:footer="0" w:header="0"/>
          <w:type w:val="continuous"/>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$2.0 million to $5.5 million.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Contingent Consideration is classified as a liability, the liability is remeasured to fair value at each reporting date until the contingency is resolved. During the three and nine months ended April 30, 2017, the Company increased the estimated fair value of the participating contingent payments by approximately $15.1 million, resulting in an estimated fair value of the Contingent Consideration of $26.2 million reflected in accounts payable and accrued liabilities and other long-term liabilities in the Consolidated Condensed Balance Sheets. The increase in the estimated fair value of participating contingent payments is primarily attributable to a change in assumptions for future period EBITDA of Park City.</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$2.0 million and $1.8 million primarily within “other long-term liabilities” in the accompanying Consolidated Condensed Balance Sheets, as of April 30, 2017, July 31, 2016 and April 30, 2016, respectively, with respect to the estimated present value of future RSRMD capital improvement fees. The Company estimates it will make capital improvement fee payments under this arrangement through the fiscal year ending July 31, 2031.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April 30, 2017, the Company had various other letters of credit totaling $67.4 million, consisting of $53.4 million to support the Employee Housing Bonds and $14.0 million for workers’ compensation, general liability construction related deductibles and other activities. The Company also had surety bonds of $9.3 million as of April 30, 2017, primarily to provide collateral for its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April 30, 2017, July 31, 2016 and April 30, 2016, the accruals for the above loss contingencies were not material individually and in the aggregate.</w:t>
      </w:r>
    </w:p>
    <w:p>
      <w:pPr>
        <w:spacing w:after="0" w:line="3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Mountain, Lodging and Real Estate.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reportable segments, although integral to the success of the others, offer distinctly different products and services and require different types of management focus. As such, these segments are managed separately. 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2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46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Lift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419,647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334,789</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799,324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642,627</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173,674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139,703</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Dining</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51,000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133,352</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108,093</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261,816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214,748</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33,353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117,860</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101,439</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572,805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1,486,026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1,206,610</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72,933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201,887</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200,026</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645,738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1,687,913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1,406,636</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10,181</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14,766</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794,631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647,472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1,698,094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1,421,402</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281,968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863,882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729,382</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57,897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57,422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181,660</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176,170</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339,390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1,045,542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905,552</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17,144</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17,043</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408,105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342,475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1,062,686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922,595</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6,466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1,510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992</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Mountain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381,291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291,048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623,654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478,220</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20,227</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23,856</w:t>
            </w: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Resort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391,995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306,559</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643,881</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502,076</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387,047</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305,227</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643,384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501,609</w:t>
            </w:r>
          </w:p>
        </w:tc>
      </w:tr>
      <w:tr>
        <w:trPr>
          <w:trHeight w:val="67"/>
        </w:trPr>
        <w:tc>
          <w:tcPr>
            <w:tcW w:w="5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5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108,217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116,874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108,217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116,874</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Reconciliation to net income attributable to Vail Resorts, Inc.:</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643,384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501,609</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(41,472)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(140,236)</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(120,713)</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(3,149)</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5,881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 and 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(31,905)</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253,341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444,899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346,351</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(151,933)</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(131,613)</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292,966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214,738</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(25,267)</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289</w:t>
            </w: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157,632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267,699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215,027</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6" w:right="239" w:bottom="1440" w:gutter="0" w:footer="0" w:header="0"/>
          <w:type w:val="continuous"/>
        </w:sectPr>
      </w:pPr>
    </w:p>
    <w:bookmarkStart w:id="21" w:name="page22"/>
    <w:bookmarkEnd w:id="21"/>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total shares. The Company repurchased zero Vail Shares and 1,317 Vail Shares (at a total cost of $0.2 million), respectively, during the three and nine months ended April 30, 2017. The Company repurchased 108,036 Vail Shares (at a total cost of $13.8 million) and 485,866 Vail Shares (at a total cost of $53.8 million), respectively, during the three and nine months ended April 30, 2016. Since inception of its share repurchase program through April 30, 2017, the Company has repurchased 5,436,294 Vail Shares for $247.2 million. As of April 30, 2017, 2,063,706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78"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Mountain Resort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7, 2017, the Company, through a wholly-owned subsidiary, acquired Stowe Mountain Resort (“Stowe”) in Stowe, Vermont, from Mt. Mansfield Company, Inc., a wholly-owned subsidiary of American International Group, Inc., for a cash purchase price of approximately $41.0 million, subject to certain adjustments as provided in the purchase agreement. The Company acquired all of the assets related to the mountain operations of the resort, including base area skier services (food and beverage, retail and rental, lift ticket offices and ski and snowboard school facilities).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periods ended April 30, 2017 (“Form 10-Q”) as “we,” “us,” “our” or the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2016 (“Form 10-K”) and the Consolidated Condensed Financial Statements as of April 30, 2017 and 2016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 which was filed on September 26, 2016 and the Form 10-Q for the quarter ended October 31, 2016, which was filed on December 9, 2016.</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Total Reported EBITDA and Net Debt are not measures of financial performance or liquidity under generally accepted accounting principles (“GAAP”). We utilize segment Reported EBITDA in evaluating our performance and in allocating resources to our segments. Refer to the end of the Results of Operations section for a reconciliation of segment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Reported EBITDA and Net Debt, as presented herein, may not be comparable to other similarly titled measures of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ten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Mountain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0"/>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the Company operates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Our largest source of Mountain segment revenue is the sale of lift access (including season passes), which represented approximately 58% of Mountain net revenue for both the three months ended April 30, 2017 and 2016, and approximately 54% and 53% of Mountain net revenue for the nine months ended April 30, 2017 and 2016, respectively.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that visit our U.S. mountain resorts is divided into two primary categories: (i) out-of-state and international (“Destination”) guests and (ii) in-state and local (“Local”) guests. For the 2016/2017 U.S. ski season, Destination guests comprised approximately 61% of our mountain resort skier visits, while Local guests comprised approximately 39% of our mountain resort skier visits, which compares to 58% and 42%, respectively, for the 2015/2016 U.S. ski season.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 We offer a variety of season pass products for all of our mountain resorts and Urban ski areas (collectively, “Resorts”), marketed towards both Destination and Local guests. Our season pass product offerings range from providing access to one or a combination of our Resorts to our Epic Season Pass, which allows pass holders unlimited and unrestricted access to all of Resorts (Epic Season Pass access at Whistler Blackcomb for the 2016/2017 ski season is limited; however, beginning with the 2017/2018 ski season access will be unlimited and unrestricted).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and generates additional ancillary spending.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Condensed Statement of Operations throughout the ski season generally based on historical visitation.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acquisition of Whistler Blackcomb, lift revenue includes certain products that were not available for sale in the prior comparative periods, primarily Whistler Blackcomb season passes and EDGE Cards. EDGE Cards are products, exclusively available to Canadian, Washington State and Oregon residents that allow these guests to purchase lift access in advance of visitation,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usually at a discounted price, and are available for sale throughout the ski season unlike Vail’s pass program, which generally requires a commitment in advance of the ski season. Accordingly, lift revenue consists of season pass and certain EDGE Card revenue (“pass revenue”) lift revenue and non-season pass lift revenue (“non-pass revenue”). For the 2016/2017 and 2015/2016 North American ski seasons, respectively, approximately 44% and 41% of total lift revenue was comprised of pass revenue.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performance of lodging properties (including managed condominium rooms) proximate to our mountain resorts as well as CME is closely aligned with the performance of the Mountain segment and generally experiences similar seasonal trends, particularly with respect to visitation by Destination guests, and represented approximately 92% and 90% of Lodging segment revenue (excluding Lodging segment revenue associated with reimbursement of payroll costs) for the three months ended April 30, 2017 and 2016, respectively, and 77% of Lodging segment revenue (excluding Lodging segment revenue associated with reimbursement of payroll costs) for both the nine months ended April 30, 2017 and 2016. Management primarily focuses on Lodging net revenue excluding payroll cost reimbursement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activities of our Real Estate segment include the sale of land parcels to third-party developers; planning for future real estate development projects, including zoning and acquisition of applicable permits; and the occasional purchase of selected strategic land parcels for future development.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Together with those risk factors we have identified in our Form 10-K and our Form 10-Q for the three months ended October 31, 2016, we have identified the following important factors (as well as risks and uncertainties associated with such factors) that could impact our future financial performance or condition:</w:t>
      </w:r>
    </w:p>
    <w:p>
      <w:pPr>
        <w:spacing w:after="0" w:line="124" w:lineRule="exact"/>
        <w:rPr>
          <w:sz w:val="20"/>
          <w:szCs w:val="20"/>
          <w:color w:val="auto"/>
        </w:rPr>
      </w:pPr>
    </w:p>
    <w:p>
      <w:pPr>
        <w:jc w:val="both"/>
        <w:ind w:left="640" w:hanging="321"/>
        <w:spacing w:after="0" w:line="25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creates a guest commitment predominately prior to the start of the ski season. In March 2017, we began our early season pass sales program for the 2017/2018 North American ski season. Through May 30, 2017, our early North American pass sales for the upcoming 2017/2018 North American ski season increased approximately 10% in units and increased approximately 16% in sales dollars, compared to the prior year period ended May 31, 2016, including Whistler Blackcomb pass sales at comparable exchange rates in both periods. However, we cannot predict if this favorable trend will continue through the Fall 2017 North American pass sales campaign or the overall impact that pass sales will have on lift revenue for the 2017/2018 North American ski season.</w:t>
      </w:r>
    </w:p>
    <w:p>
      <w:pPr>
        <w:spacing w:after="0" w:line="197"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 October 17, 2016, the Company, through its wholly-owned Canadian subsidiary (“Exchangeco”), acquired all of the outstanding common shares of Whistler Blackcomb, for an aggregate purchase consideration paid to Whistler Blackcomb shareholders of approximately $1.09 billion, consisting of (i) approximately C$673.8 million in cash (or C$17.50 per Whistler Blackcomb share), (ii) 3,327,719 shares of our common stock, and</w:t>
      </w:r>
    </w:p>
    <w:p>
      <w:pPr>
        <w:jc w:val="both"/>
        <w:ind w:left="660" w:hanging="4"/>
        <w:spacing w:after="0" w:line="251" w:lineRule="auto"/>
        <w:tabs>
          <w:tab w:leader="none" w:pos="996" w:val="left"/>
        </w:tabs>
        <w:numPr>
          <w:ilvl w:val="2"/>
          <w:numId w:val="15"/>
        </w:numPr>
        <w:rPr>
          <w:rFonts w:ascii="Arial" w:cs="Arial" w:eastAsia="Arial" w:hAnsi="Arial"/>
          <w:sz w:val="18"/>
          <w:szCs w:val="18"/>
          <w:color w:val="auto"/>
        </w:rPr>
      </w:pPr>
      <w:r>
        <w:rPr>
          <w:rFonts w:ascii="Arial" w:cs="Arial" w:eastAsia="Arial" w:hAnsi="Arial"/>
          <w:sz w:val="18"/>
          <w:szCs w:val="18"/>
          <w:color w:val="auto"/>
        </w:rPr>
        <w:t>418,095 shares of Exchangeco (the “Exchangeco Shares”). The cash purchase consideration portion was funded through borrowing from an incremental term loan under our Seventh Amended and Restated Credit Agreement (the “Vail Holdings Credit Agreement”). Whistler Blackcomb, through a 75% ownership interest in Whistler Mountain Resort Limited Partnership and a 75% ownership interest in Blackcomb Skiing Enterprises Limited Partnership, collectively (the “WB Partnerships”), operates a four season mountain resort that features two adjacent and integrated mountains, Whistler Mountain and Blackcomb Mountain. The remaining 25% ownership interest in each of the WB Partnerships is held by Nippon Cable, an unrelated party to Vail Resorts. We expect that Whistler Blackcomb will significantly contribute to our results of operations; however, we cannot predict whether we will realize all of the expected synergies from the combination of the operations of Whistler Blackcomb nor can we predict all the resources required to integrate Whistler Blackcomb operations and the ultimate impact Whistler Blackcomb will have on our future results of operations.</w:t>
      </w:r>
    </w:p>
    <w:p>
      <w:pPr>
        <w:spacing w:after="0" w:line="19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Whistler Blackcomb acquisition are preliminary and are based on the information that was available as of the acquisition date. We believe that information provides a reasonable basis for estimating the fair values of assets acquired and liabilities assumed; however, we are obtaining additional information necessary to finalize those estimated fair values. Therefore, the preliminary measurements of estimated fair value reflected within the Consolidated Condensed Balance Sheets as of April 30, 2017 and their associated impact to our Consolidated Condensed Statements of Operations are subject to change.</w:t>
      </w:r>
    </w:p>
    <w:p>
      <w:pPr>
        <w:spacing w:after="0" w:line="173" w:lineRule="exact"/>
        <w:rPr>
          <w:sz w:val="20"/>
          <w:szCs w:val="20"/>
          <w:color w:val="auto"/>
        </w:rPr>
      </w:pPr>
    </w:p>
    <w:p>
      <w:pPr>
        <w:jc w:val="both"/>
        <w:ind w:left="64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Key U.S. economic indicators have remained steady in 2017,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upcoming 2017/2018 North American ski season.</w:t>
      </w:r>
    </w:p>
    <w:p>
      <w:pPr>
        <w:spacing w:after="0" w:line="188"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7, 2017, we acquired Stowe Mountain Resort (“Stowe”) in Stowe, Vermont, from Mt. Mansfield Company, Inc., a wholly-owned subsidiary of American International Group, Inc., for a cash purchase price of approximately $41.0 million, subject to certain adjustments as provided in the purchase agreement. We acquired all of the assets related to the mountain operations of the resort, including base area skier services (food and beverage, retail and rental, lift ticket offices and ski and snowboard school facilities). We expect that Stowe will positively contribute to our results of operations; however, we cannot predict whether we will realize all of the synergies expected from the operations of Stowe and the ultimate impact Stowe will have on our future results of operations.</w:t>
      </w:r>
    </w:p>
    <w:p>
      <w:pPr>
        <w:spacing w:after="0" w:line="193" w:lineRule="exact"/>
        <w:rPr>
          <w:rFonts w:ascii="Arial" w:cs="Arial" w:eastAsia="Arial" w:hAnsi="Arial"/>
          <w:sz w:val="18"/>
          <w:szCs w:val="18"/>
          <w:color w:val="auto"/>
        </w:rPr>
      </w:pPr>
    </w:p>
    <w:p>
      <w:pPr>
        <w:jc w:val="both"/>
        <w:ind w:left="64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April 30, 2017, we had $327.0 million available under the revolver component of our Vail Holdings Credit Agreement (which represents the total commitment of $400.0 million less certain letters of credit outstanding of $73.0 million). Additionally, in October 2016 we amended our Vail Holdings Credit Agreement to provide for an incremental term loan of $509.4 million, for a total term loan amount outstanding of $750.0 million, to fund the cash portion of the Whistler Blackcomb acquisition. Also, we assumed in the Whistler Blackcomb acquisition a credit facility which supports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jc w:val="both"/>
        <w:ind w:left="640"/>
        <w:spacing w:after="0" w:line="336" w:lineRule="auto"/>
        <w:rPr>
          <w:sz w:val="20"/>
          <w:szCs w:val="20"/>
          <w:color w:val="auto"/>
        </w:rPr>
      </w:pPr>
      <w:r>
        <w:rPr>
          <w:rFonts w:ascii="Arial" w:cs="Arial" w:eastAsia="Arial" w:hAnsi="Arial"/>
          <w:sz w:val="17"/>
          <w:szCs w:val="17"/>
          <w:color w:val="auto"/>
        </w:rPr>
        <w:t>liquidity needs of Whistler Blackcomb (the “Whistler Credit Agreement”). As of April 30, 2017, we had C$177.0 million ($129.7 million) available under the revolver component of the Whistler Credit Agreement (which represents the total commitment of C$300.0 million ($219.8 million) less outstanding borrowings of C$122.0 million ($89.4 million) and a letter of credit outstanding of C$1.0 million ($0.7 million)).</w:t>
      </w:r>
    </w:p>
    <w:p>
      <w:pPr>
        <w:spacing w:after="0" w:line="138"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sz w:val="20"/>
          <w:szCs w:val="20"/>
          <w:color w:val="auto"/>
        </w:rPr>
      </w:pPr>
    </w:p>
    <w:p>
      <w:pPr>
        <w:jc w:val="both"/>
        <w:ind w:left="64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 Estate Reported EBITDA is highly dependent on, among other things, the timing of closings on condominium units available for sale and the sale of land parcels to third-party developers, which determines when revenue and associated cost of sales and gain (loss) on the sale of real property are recognized. As of April 30, 2017, we had one remaining unit available at The Ritz-Carlton Residences, Vail which was sold in May 2017 and, as a result, we no longer have condominium units available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2017, compared to the three and nine months ended April 30, 2016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2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6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381,291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623,654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0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10,704</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20,227</w:t>
            </w:r>
          </w:p>
        </w:tc>
        <w:tc>
          <w:tcPr>
            <w:tcW w:w="3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23,856</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391,995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306,559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643,881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502,076</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Reported EBITDA</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297,491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444,899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346,351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181,107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157,632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267,699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215,027</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2017 compared to the three months ended April 30, 2016</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2017 and 2016 are presented by category as follows (in thousands, except effective ticket price (“ETP”)):</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April 30,</w:t>
            </w:r>
          </w:p>
        </w:tc>
        <w:tc>
          <w:tcPr>
            <w:tcW w:w="700" w:type="dxa"/>
            <w:vAlign w:val="bottom"/>
          </w:tcPr>
          <w:p>
            <w:pPr>
              <w:spacing w:after="0"/>
              <w:rPr>
                <w:sz w:val="14"/>
                <w:szCs w:val="14"/>
                <w:color w:val="auto"/>
              </w:rPr>
            </w:pPr>
          </w:p>
        </w:tc>
        <w:tc>
          <w:tcPr>
            <w:tcW w:w="194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Lift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419,647</w:t>
            </w:r>
          </w:p>
        </w:tc>
        <w:tc>
          <w:tcPr>
            <w:tcW w:w="110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334,789</w:t>
            </w:r>
          </w:p>
        </w:tc>
        <w:tc>
          <w:tcPr>
            <w:tcW w:w="194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91,704</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74,279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Dining</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65,618</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51,000</w:t>
            </w:r>
          </w:p>
        </w:tc>
        <w:tc>
          <w:tcPr>
            <w:tcW w:w="194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102,104</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79,384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42,087</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33,353</w:t>
            </w:r>
          </w:p>
        </w:tc>
        <w:tc>
          <w:tcPr>
            <w:tcW w:w="1940" w:type="dxa"/>
            <w:vAlign w:val="bottom"/>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721,160</w:t>
            </w:r>
          </w:p>
        </w:tc>
        <w:tc>
          <w:tcPr>
            <w:tcW w:w="11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572,805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139,811</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115,932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34,875</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26,123</w:t>
            </w:r>
          </w:p>
        </w:tc>
        <w:tc>
          <w:tcPr>
            <w:tcW w:w="1940" w:type="dxa"/>
            <w:vAlign w:val="bottom"/>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41,910</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53,988</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47,416</w:t>
            </w:r>
          </w:p>
        </w:tc>
        <w:tc>
          <w:tcPr>
            <w:tcW w:w="194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69,806</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56,368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340,390</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281,968</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381,291</w:t>
            </w:r>
          </w:p>
        </w:tc>
        <w:tc>
          <w:tcPr>
            <w:tcW w:w="11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291,048</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5,907</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4,689</w:t>
            </w:r>
          </w:p>
        </w:tc>
        <w:tc>
          <w:tcPr>
            <w:tcW w:w="1940" w:type="dxa"/>
            <w:vAlign w:val="bottom"/>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71.04</w:t>
            </w:r>
          </w:p>
        </w:tc>
        <w:tc>
          <w:tcPr>
            <w:tcW w:w="11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Mountain segment operating expenses presented above for the three months ended April 30, 2016 have been reclassified to conform to the presentation for the three months ended April 30,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$3.6 million and $3.3 million of stock-based compensation expense for the three months ended April 30, 2017 and 2016,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Mountain Reported EBITDA for the three months ended April 30, 2017 increased $90.2 million, or 31.0%, compared to the three months ended April 30, 2016, which was primarily attributable to the operations of Whistler Blackcomb, which was acquired in October 2016, partially offset by transaction, transition and integration costs of $2.3 million associated with the Whistler Blackcomb and Stowe acquisitions. Excluding transaction, transition and integration costs and Whistler Blackcomb operations, Mountain Reported EBITDA increased 7.9%. Our results for the three months ended April 30, 2017, compared to the same period in the prior year, also reflect strong U.S. season pass sales growth for the 2016/2017 ski season.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Lift revenue increased $84.9 million, or 25.3%, for the three months ended April 30, 2017 compared to the same period in the prior year, primarily due to incremental lift revenue from Whistler Blackcomb for the three months ended April 30, 2017. Excluding Whistler Blackcomb, total lift revenue increased 5.6%, in which pass revenue increased 15.1% and non-pass revenue increased 0.2%. The increase in pass revenue, excluding Whistler Blackcomb, was driven by a combination of both an increase in pricing and units sold, and was favorably impacted by increased pass sales to Destination guests. Non-pass revenue, excluding Whistler Blackcomb, was impacted by a decrease in non-pass skier visitation to our U.S. resorts primarily due to a continued shifting of Destination guests to season passes, offset by an increase in ETP excluding season pass holders of 7.1%. Total ETP, excluding Whistler Blackcomb, increased $5.37, or 7.5%, due to price increases in both our lift ticket and season pass products and lower average visitation by season pass holders during the three months ended April 30, 2017 compared to the same period in the prior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Ski school revenue increased $17.4 million, or 23.5%, for the three months ended April 30, 2017, compared to the same period in the prior year, primarily as a result of incremental Whistler Blackcomb revenue. Excluding Whistler Blackcomb, ski school revenue increased 2.9%.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Dining revenue increased $14.6 million, or 28.7%, for the three months ended April 30, 2017, compared to the three months ended April 30, 2016, due to incremental revenue from Whistler Blackcomb. Excluding Whistler Blackcomb, dining revenue increased 0.6%.</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Retail/rental revenue increased $22.7 million, or 28.6%, for the three months ended April 30, 2017 compared to the same period in the prior year, due primarily to incremental retail/rental revenue from Whistler Blackcomb. Excluding Whistler Blackcomb, retail/rental revenue increased 3.4%. The increase in both retail revenue and rental revenue was primarily attributable to higher sales volumes at stores proximate to our Tahoe and Park City resorts.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mainly consists of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For the three months ended April 30, 2017, other revenue increased $8.7 million, or 26.2%, compared to the same period in the prior year, primarily attributable to incremental revenue from Whistler Blackcomb.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$58.4 million, or 20.7%, for the three months ended April 30, 2017 compared to the three months ended April 30, 2016, which was primarily attributable to incremental operating expenses from Whistler Blackcomb, as well as $2.3 million of transaction, transition and integration costs associated with the Whistler Blackcomb and Stowe acquisitions. Excluding transaction, transition and integration costs and Whistler Blackcomb incremental operating expenses, operating expense increased 0.9%.</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provides information about the changes in operating expenses for the three months ended April 30, 2017, as compared to the prior year comparative period, excluding the impact of transaction, transition and integration costs and Whistler Blackcomb operations. Labor and labor-related benefits increased 1.5% primarily due to normal wage adjustments. Retail cost of sales increased 6.9%, compared to an increase in retail sales of 5.4% primarily due to the acceleration in end of season discount sales. Resort related fees increased 1.8% due to overall increases in revenue upon which those fees are based. General and administrative expense decreased 4.3% primarily due to a decrease in allocated corporate costs. Other expense increased 0.7% primarily due to higher fuel expense, rent expense, and utilities expense, partially offset by lower professional services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Nine months ended April 30, 2017 compared to the nine months ended April 30, 2016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2017 and 2016 are presented by category as follows (in thousands, except ETP):</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3"/>
          </w:tcPr>
          <w:p>
            <w:pPr>
              <w:jc w:val="right"/>
              <w:ind w:right="751"/>
              <w:spacing w:after="0"/>
              <w:rPr>
                <w:sz w:val="20"/>
                <w:szCs w:val="20"/>
                <w:color w:val="auto"/>
              </w:rPr>
            </w:pPr>
            <w:r>
              <w:rPr>
                <w:rFonts w:ascii="Arial" w:cs="Arial" w:eastAsia="Arial" w:hAnsi="Arial"/>
                <w:sz w:val="14"/>
                <w:szCs w:val="14"/>
                <w:b w:val="1"/>
                <w:bCs w:val="1"/>
                <w:color w:val="auto"/>
              </w:rPr>
              <w:t>Nine Months Ended April 30,</w:t>
            </w:r>
          </w:p>
        </w:tc>
        <w:tc>
          <w:tcPr>
            <w:tcW w:w="1880" w:type="dxa"/>
            <w:vAlign w:val="bottom"/>
          </w:tcPr>
          <w:p>
            <w:pPr>
              <w:jc w:val="center"/>
              <w:ind w:left="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5"/>
                <w:szCs w:val="5"/>
                <w:color w:val="auto"/>
              </w:rPr>
            </w:pPr>
          </w:p>
        </w:tc>
        <w:tc>
          <w:tcPr>
            <w:tcW w:w="130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Mountain revenue: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Lift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799,324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642,627</w:t>
            </w:r>
          </w:p>
        </w:tc>
        <w:tc>
          <w:tcPr>
            <w:tcW w:w="1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173,674</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139,703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Dining</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133,352</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108,093</w:t>
            </w:r>
          </w:p>
        </w:tc>
        <w:tc>
          <w:tcPr>
            <w:tcW w:w="18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261,816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214,748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117,860</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101,439</w:t>
            </w:r>
          </w:p>
        </w:tc>
        <w:tc>
          <w:tcPr>
            <w:tcW w:w="1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1,486,026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1,206,610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Mountain operating expense: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334,024</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283,353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98,263</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80,864</w:t>
            </w:r>
          </w:p>
        </w:tc>
        <w:tc>
          <w:tcPr>
            <w:tcW w:w="18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78,976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66,473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156,442</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135,216</w:t>
            </w:r>
          </w:p>
        </w:tc>
        <w:tc>
          <w:tcPr>
            <w:tcW w:w="18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196,177</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163,476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Mountain operating expense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863,882</w:t>
            </w: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729,382</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w:t>
            </w:r>
          </w:p>
        </w:tc>
        <w:tc>
          <w:tcPr>
            <w:tcW w:w="5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623,654</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478,220</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11,635</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9,705</w:t>
            </w:r>
          </w:p>
        </w:tc>
        <w:tc>
          <w:tcPr>
            <w:tcW w:w="18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68.70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66.22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Mountain segment operating expenses presented above for the nine months ended April 30, 2016 have been reclassified to conform to the presentation for the nine months ended April 30,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$11.1 million and $10.0 million of stock-based compensation expense for the nine months ended April 30, 2017 and 2016, respectively.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Mountain Reported EBITDA for the nine months ended April 30, 2017 increased $145.4 million, or 30.4%, compared to the nine months ended April 30, 2016, which was primarily attributable to the operations of Whistler Blackcomb, which is included in our consolidated results prospectively from the acquisition date (acquired in October 2016), partially offset by transaction, transition and integration costs of $8.0 million associated with the Whistler Blackcomb and Stowe acquisitions. Excluding transaction, transition and integration costs and Whistler Blackcomb operations, Mountain Reported EBITDA increased 7.9%. Our results for the nine months ended April 30, 2017 compared to the same period in the prior year also reflect strong U.S. season pass sales growth for the 2016/2017 ski season. However, our results for the nine months ended April 30, 2017, were tempered by poor early ski season conditions prior to the holiday period at our U.S. resorts which drove lower skier visitation during the early ski season compared to the same period in the prior year.</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Lift revenue increased $156.7 million, or 24.4%, for the nine months ended April 30, 2017, compared to the same period in the prior year, primarily due to incremental lift revenue from Whistler Blackcomb for the nine months ended April 30, 2017. Excluding Whistler Blackcomb, total lift revenue increased 6.4% of which non-pass revenue decreased 1.6% and pass revenue increased 18.3%. The increase in pass revenue, excluding Whistler Blackcomb, was due to a combination of both an increase in pricing and units sold and was favorably impacted by increased pass sales to Destination guests. The decrease in non-pass revenue, excluding Whistler Blackcomb, was primarily the result of a decrease in non-pass skier visitation to our U.S. resorts primarily due to poor early season conditions and a continued shifting of Destination guests to season passes, partially offset by an increase in ETP excluding season pass holders of 6.6%. Total ETP, excluding Whistler Blackcomb, increased $7.79, or 11.8%, due primarily to price increases in both our lift ticket products at our U.S. mountain resorts and season pass products and lower average visitation by U.S. season pass holders during the nine months ended April 30, 2017 compared to the same period in the prior year.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Ski school revenue increased $34.0 million, or 24.3%, for the nine months ended April 30, 2017, compared to the same period in the prior year, primarily due to incremental ski school revenue from Whistler Blackcomb. Excluding Whistler Blackcomb, ski school revenue increased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Dining revenue increased $25.3 million, or 23.4%, for the nine months ended April 30, 2017, compared to the nine months ended April 30, 2016, due to incremental revenue from Whistler Blackcomb. Excluding Whistler Blackcomb, dining revenue increased 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Retail/rental revenue increased $47.1 million, or 21.9%, for the nine months ended April 30, 2017, compared to the same period in the prior year, primarily due to incremental retail/rental revenue from Whistler Blackcomb. Excluding Whistler Blackcomb, retail/rental revenue increased 2.1% compared to the same period in the prior year. The increase in retail revenue was primarily attributable to strong sales at pre-ski season sales events at our stores in Colorado and higher sales volumes at stores proximate to our Tahoe and Park City resorts.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nine months ended April 30, 2017, other revenue increased $16.4 million, or 16.2%, compared to the same period in the prior year, primarily attributable to incremental revenue from Whistler Blackcomb. Excluding Whistler Blackcomb, other revenue increased 2.9% primarily due to an increase in summer activities revenue from improved summer visitation at our U.S. mountain resorts, including the expansion of our on-mountain Epic Discovery summer activities offerings.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$134.5 million, or 18.4%, for the nine months ended April 30, 2017 compared to the nine months ended April 30, 2016, which was primarily attributable to incremental operating expenses from Whistler Blackcomb, as well as $8.0 million of transaction, transition and integration costs associated with the Whistler Blackcomb and Stowe acquisitions. Excluding transaction, transition and integration costs and Whistler Blackcomb incremental operating expense, operating expense increased 2.0%.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provides information about the changes in operating expenses for the nine months ended April 30, 2017, compared to the same period in the prior year, excluding the impact of transaction, transition and integration costs and Whistler Blackcomb operations. Labor and labor-related benefits increased 2.3% primarily due to normal wage adjustments and increased staffing levels at Perisher and at our U.S. resorts during the three months ended October 31, 2016 to support higher visitation, partially offset by lower variable compensation. Retail cost of sales increased 2.8%, compared to an increase in retail sales of 3.1%. Resort related fees increased 3.3% due to overall increases in revenue upon which those fees are based. General and administrative expense increased 1.9% due to higher allocated corporate costs. Other expense was flat compared to the same period in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2017 compared to the three months ended April 30,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April 30, 2017 and 2016 are presented by category as follows (in thousands, except average daily rates (“ADR”) and revenue per available room (“RevPAR”)):</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Three Months Ended April 30,</w:t>
            </w:r>
          </w:p>
        </w:tc>
        <w:tc>
          <w:tcPr>
            <w:tcW w:w="194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12,494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13,813</w:t>
            </w:r>
          </w:p>
        </w:tc>
        <w:tc>
          <w:tcPr>
            <w:tcW w:w="19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23,907</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23,110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9,324</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10,167</w:t>
            </w: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10,820</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13,634</w:t>
            </w:r>
          </w:p>
        </w:tc>
        <w:tc>
          <w:tcPr>
            <w:tcW w:w="19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65,156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69,551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Payroll cost reimbursements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3,445</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3,382</w:t>
            </w:r>
          </w:p>
        </w:tc>
        <w:tc>
          <w:tcPr>
            <w:tcW w:w="19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68,601</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72,933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27,204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9,848</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9,657</w:t>
            </w:r>
          </w:p>
        </w:tc>
        <w:tc>
          <w:tcPr>
            <w:tcW w:w="19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17,400</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17,575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54,452</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54,040</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3,445</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57,897</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57,422</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294.75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263.40</w:t>
            </w:r>
          </w:p>
        </w:tc>
        <w:tc>
          <w:tcPr>
            <w:tcW w:w="194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200.94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428.83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407.96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183.08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185.19</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389.94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359.55</w:t>
            </w:r>
          </w:p>
        </w:tc>
        <w:tc>
          <w:tcPr>
            <w:tcW w:w="19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186.72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186.10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$0.8 million of stock-based compensation expense for both the three months ended April 30, 2017 and 2016.</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Lodging net revenue (excluding payroll cost reimbursements) for the three months ended April 30, 2017 decreased $4.4 million, or 6.3%, as compared to the three months ended April 30, 2016, primarily attributable to the recognition of a $3.5 million termination fee (included in other revenue) associated with the termination of the management agreement at Half Moon in Montego Bay, Jamaica (“Half Moon Termination Fee”) during the three months ended April 30, 2016 and a reduction in revenue associated with the sale of a hotel property in Keystone in November 2016, which we continue to manage under a property management agreement. These decreases were partially offset by revenue from Whistler Blackcomb during the three months ended April 30, 2017. Excluding the Half Moon Termination Fee and revenue from the hotel property in Keystone from the three month period ended April 30, 2016 and Whistler Blackcomb operations from the three month period ended April 30, 2017, total lodging net revenue (excluding payroll cost reimbursements) decreased 1.5%. This decrease was primarily attributable to lower occupancy at our Colorado lodging properties.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owned hotel rooms decreased $1.3 million, or 9.5%, for the three months ended April 30, 2017, compared to the same period in the prior year, primarily attributable to a reduction in revenue associated with the sale of a hotel property in Keystone</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as discussed above. Revenue from managed condominium rooms increased $0.8 million, or 3.4%, for the three months ended April 30, 2017 compared to the three months ended April 30, 2016, which was attributable to revenue from Whistler Blackcomb, partially offset by a decrease in occupancy at our Colorado managed condominium rooms.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Dining revenue for the three months ended April 30, 2017 decreased $0.8 million, or 8.3%, as compared to the three months ended April 30, 2016, primarily due to a decrease in dining revenue at our Colorado lodging properties. Excluding the Half Moon Termination Fee from the three months ended April 30, 2016, other revenue increased 6.6%, for the three months ended April 30, 2017, primarily due to an increase in revenue from our central reservations booking services.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(excluding reimbursed payroll costs) increased $0.4 million, or 0.8%, for the three months ended April 30, 2017 compared to the three months ended April 30, 2016. Labor and labor-related benefits increased 1.5% primarily due to Whistler Blackcomb labor expense. General and administrative expense increased 2.0% due to higher allocated corporate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Nine months ended April 30, 2017 compared to the nine months ended April 30, 2016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2017 and 2016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gridSpan w:val="3"/>
          </w:tcPr>
          <w:p>
            <w:pPr>
              <w:jc w:val="right"/>
              <w:ind w:right="751"/>
              <w:spacing w:after="0"/>
              <w:rPr>
                <w:sz w:val="20"/>
                <w:szCs w:val="20"/>
                <w:color w:val="auto"/>
              </w:rPr>
            </w:pPr>
            <w:r>
              <w:rPr>
                <w:rFonts w:ascii="Arial" w:cs="Arial" w:eastAsia="Arial" w:hAnsi="Arial"/>
                <w:sz w:val="14"/>
                <w:szCs w:val="14"/>
                <w:b w:val="1"/>
                <w:bCs w:val="1"/>
                <w:color w:val="auto"/>
              </w:rPr>
              <w:t>Nine Months Ended April 30,</w:t>
            </w:r>
          </w:p>
        </w:tc>
        <w:tc>
          <w:tcPr>
            <w:tcW w:w="194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9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5"/>
                <w:szCs w:val="5"/>
                <w:color w:val="auto"/>
              </w:rPr>
            </w:pPr>
          </w:p>
        </w:tc>
        <w:tc>
          <w:tcPr>
            <w:tcW w:w="12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42,559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43,164</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55,417</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52,420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Dining</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33,384</w:t>
            </w:r>
          </w:p>
        </w:tc>
        <w:tc>
          <w:tcPr>
            <w:tcW w:w="5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34,049</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19,428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Golf</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8,921</w:t>
            </w:r>
          </w:p>
        </w:tc>
        <w:tc>
          <w:tcPr>
            <w:tcW w:w="5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8,722</w:t>
            </w:r>
          </w:p>
        </w:tc>
        <w:tc>
          <w:tcPr>
            <w:tcW w:w="19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31,806</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191,515</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190,804</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10,372</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201,887</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200,026</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84,515</w:t>
            </w:r>
          </w:p>
        </w:tc>
        <w:tc>
          <w:tcPr>
            <w:tcW w:w="5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82,529</w:t>
            </w:r>
          </w:p>
        </w:tc>
        <w:tc>
          <w:tcPr>
            <w:tcW w:w="19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29,360</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57,413</w:t>
            </w:r>
          </w:p>
        </w:tc>
        <w:tc>
          <w:tcPr>
            <w:tcW w:w="5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57,383</w:t>
            </w:r>
          </w:p>
        </w:tc>
        <w:tc>
          <w:tcPr>
            <w:tcW w:w="19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171,288</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166,948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10,372</w:t>
            </w:r>
          </w:p>
        </w:tc>
        <w:tc>
          <w:tcPr>
            <w:tcW w:w="5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9,222</w:t>
            </w:r>
          </w:p>
        </w:tc>
        <w:tc>
          <w:tcPr>
            <w:tcW w:w="194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181,660</w:t>
            </w: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176,170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20,227</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23,856</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67"/>
        </w:trPr>
        <w:tc>
          <w:tcPr>
            <w:tcW w:w="5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Owned hotel statistics: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254.29</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232.50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RevPAR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168.45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156.09</w:t>
            </w:r>
          </w:p>
        </w:tc>
        <w:tc>
          <w:tcPr>
            <w:tcW w:w="194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Managed condominium statistics: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ADR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382.35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353.54</w:t>
            </w:r>
          </w:p>
        </w:tc>
        <w:tc>
          <w:tcPr>
            <w:tcW w:w="194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134.38</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Owned hotel and managed condominium statistics (combined):</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332.33</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RevPAR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143.03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136.37</w:t>
            </w:r>
          </w:p>
        </w:tc>
        <w:tc>
          <w:tcPr>
            <w:tcW w:w="194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$2.4 million and $2.3 million of stock-based compensation expense for the nine months ended April 30, 2017 and 2016, respectively.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Lodging net revenue (excluding payroll cost reimbursements) for the nine months ended April 30, 2017 increased $0.7 million, or 0.4%, as compared to the nine months ended April 30, 2016. Included in net revenue for the nine months ended April 30, 2016 was the recognition of the Half Moon Termination Fee. Revenue for the nine months ended April 30, 2017 includes the operations of Whistler Blackcomb since the date of acquisition and was impacted by a reduction in revenue associated with the sale of a hotel property in Keystone in November 2016. Excluding the Half Moon Termination Fee, revenue from the hotel property in Keystone and Whistler Blackcomb operations, total lodging net revenue (excluding payroll cost reimbursements) increased 2.2%, which was primarily attributable to increased revenue at GTLC and increased ADR at our Colorado managed condominium rooms.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owned hotel rooms decreased $0.6 million, or 1.4%, for the nine months ended April 30, 2017, as compared to the same period in the prior year, which is primarily attributable to a decrease in revenue associated with the sale of a hotel property in Keystone as discussed above, as well as lower revenue due to the early closure of Flagg Ranch as a result of a forest fire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6"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Grand Teton National Park. These decreases were partially offset by an increase in revenue at GTLC and at our owned Colorado lodging properties during the nine months ended April 30, 2017 compared to the prior year. Revenue from managed condominium rooms increased $3.0 million, or 5.7%, for the nine months ended April 30, 2017 compared to the same period in the prior year, primarily due to revenue from Whistler Blackcomb and increased ADR at our Colorado managed properties.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Dining revenue for the nine months ended April 30, 2017 decreased $0.7 million, or 2.0%, as compared to the nine months ended April 30, 2016, primarily due to the temporary closure of a lodging property at Park City for renovations. Excluding the Half Moon Termination Fee from the nine months ended April 30, 2016, other revenue increased $2.3 million, or 7.7%, for the nine months ended April 30, 2017, primarily due to business interruption insurance recovery related to the early closure of Flagg Ranch in September 2016 as discussed above, as well as an increase in revenue from our central reservations booking services.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(excluding reimbursed payroll costs) increased 2.6% for the nine months ended April 30, 2017, compared to the nine months ended April 30, 2016. Labor and labor-related benefits increased 2.4% primarily resulting from Whistler Blackcomb labor expense and normal wage increases. General and administrative expense increased 8.6% due to higher allocated corporate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2017 compared to the three months ended April 30, 2016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2017 and 2016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4"/>
                <w:szCs w:val="14"/>
                <w:color w:val="auto"/>
              </w:rPr>
            </w:pPr>
          </w:p>
        </w:tc>
        <w:tc>
          <w:tcPr>
            <w:tcW w:w="194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7"/>
              </w:rPr>
              <w:t>April 30,</w:t>
            </w:r>
          </w:p>
        </w:tc>
        <w:tc>
          <w:tcPr>
            <w:tcW w:w="10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4,870</w:t>
            </w:r>
          </w:p>
        </w:tc>
        <w:tc>
          <w:tcPr>
            <w:tcW w:w="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4,281</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268.7 %</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5,537</w:t>
            </w:r>
          </w:p>
        </w:tc>
        <w:tc>
          <w:tcPr>
            <w:tcW w:w="7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1,924</w:t>
            </w:r>
          </w:p>
        </w:tc>
        <w:tc>
          <w:tcPr>
            <w:tcW w:w="1940" w:type="dxa"/>
            <w:vAlign w:val="bottom"/>
          </w:tcPr>
          <w:p>
            <w:pPr>
              <w:jc w:val="right"/>
              <w:spacing w:after="0"/>
              <w:rPr>
                <w:sz w:val="20"/>
                <w:szCs w:val="20"/>
                <w:color w:val="auto"/>
              </w:rPr>
            </w:pPr>
            <w:r>
              <w:rPr>
                <w:rFonts w:ascii="Arial" w:cs="Arial" w:eastAsia="Arial" w:hAnsi="Arial"/>
                <w:sz w:val="18"/>
                <w:szCs w:val="18"/>
                <w:color w:val="auto"/>
              </w:rPr>
              <w:t>187.8 %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9,818</w:t>
            </w: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2017</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Estate segment net revenue for the three months ended April 30, 2017 was primarily driven by the closing of two condominium units at The Ritz-Carlton Residences, Vail ($4.7 million of revenue with an average selling price of $2.4 million and an average price per square foot of $1,268). The average price per square foot of this project is driven by its premier location and the comprehensive and exclusive amenities related to this project.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 for the three months ended April 30, 2017 included cost of sales of $4.0 million resulting from the closing of two condominium units at The Ritz-Carlton Residences, Vail (average cost per square foot of $1,060). The cost per square foot for this project reflects the high-end features and amenities and high construction costs associated with mountain resort development. Additionally, sales commissions of approximately $0.3 million were incurred commensurate with revenue recognized. Other operating expense of $5.5 million for the three months ended April 30, 2017 was primarily comprised of general and administrative costs, carrying costs for units available for sale and overhead costs, such as labor and labor-related benefits and allocated corporate costs. In addition, included in other segment operating expense is a $4.3 million one-time charge related to the resolution of a financial contingency to the Town of Vail for incremental parking capacity.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Three months ended April 30,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segment net revenue for the three months ended April 30, 2016 included the closing of two condominium units at Crystal Peak Lodge in Breckenridge ($1.5 million of revenue with an average selling price of $0.8 million and an average price per square foot of $725).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for the three months ended April 30, 2016 included cost of sales of $1.1 million resulting from the closing of two condominium units at Crystal Peak Lodge (average cost per square foot of $508). Additionally, sales commissions of approximately $0.1 million were incurred commensurate with revenue recognized. Other operating expense of $1.9 million was primarily comprised of general and administrative costs, which includes marketing expense for real estate available for sale (including those units that have not yet closed), carrying costs for units available for sale and overhead costs, such as labor and labor-related benefits and allocated corporate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2017 compared to the nine months ended April 30,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segment operating results for the nine months ended April 30, 2017 and 2016 are presented by category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tcPr>
          <w:p>
            <w:pPr>
              <w:spacing w:after="0"/>
              <w:rPr>
                <w:sz w:val="14"/>
                <w:szCs w:val="14"/>
                <w:color w:val="auto"/>
              </w:rPr>
            </w:pPr>
          </w:p>
        </w:tc>
        <w:tc>
          <w:tcPr>
            <w:tcW w:w="194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7"/>
              </w:rPr>
              <w:t>April 30,</w:t>
            </w:r>
          </w:p>
        </w:tc>
        <w:tc>
          <w:tcPr>
            <w:tcW w:w="10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10,181</w:t>
            </w: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14,766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8,877</w:t>
            </w: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11,712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8,267</w:t>
            </w:r>
          </w:p>
        </w:tc>
        <w:tc>
          <w:tcPr>
            <w:tcW w:w="7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5,331</w:t>
            </w:r>
          </w:p>
        </w:tc>
        <w:tc>
          <w:tcPr>
            <w:tcW w:w="1940" w:type="dxa"/>
            <w:vAlign w:val="bottom"/>
          </w:tcPr>
          <w:p>
            <w:pPr>
              <w:jc w:val="right"/>
              <w:spacing w:after="0"/>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17,144</w:t>
            </w:r>
          </w:p>
        </w:tc>
        <w:tc>
          <w:tcPr>
            <w:tcW w:w="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Gain on sale of real property</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6,466</w:t>
            </w: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1,810</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segment net revenue for the nine months ended April 30, 2017 was primarily driven by the closing of three condominium units at The Ritz-Carlton Residences, Vail ($7.5 million of revenue with an average selling price of $2.5 million and an average price per square foot of $1,366) and two condominium units at One Ski Hill Place in Breckenridge ($2.3 million of revenue with an average sales price of $1.1 million and an average price per square foot of $983). The average price per square foot of both of these projects is driven by their premier locations and the comprehensive and exclusive amenities related to these projects. Additionally, we recorded a gain on sale of real property of $6.5 million for a land parcel in Breckenridge which sold for cash proceeds of $9.3 million during the three months ended October 31, 2016.</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 for the nine months ended April 30, 2017 included cost of sales of $8.2 million resulting from the closing of three condominium units at The Ritz-Carlton Residences, Vail (average cost per square foot of $1,143) and two condominium units at One Ski Hill Place (average cost per square foot of $838). Additionally, sales commissions of approximately $0.6 million were incurred commensurate with revenue recognized. Other operating expense of $8.3 million for the nine months ended April 30, 2017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 In addition, included in other segment operating expense is a $4.3 million one-time charge related to the resolution of a financial contingency to the Town of Vail for incremental parking capacity.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2016</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Real Estate segment net revenue for the nine months ended April 30, 2016 included the closing of three condominium units at The Ritz-Carlton Residences, Vail ($9.3 million of revenue with an average selling price of $3.1 million and an average price per square foot of $1,586); two condominium units at One Ski Hill Place ($2.5 million of revenue with an average selling price of $1.2 million and an average price per square foot of $1,129); and two condominium units at Crystal Peak Lodge in Breckenridge ($1.5 million of revenue with an average selling price of $0.8 million and an average price per square foot of $725). Additionally, we recorded a gain on sale of real property of $1.8 million for land parcels which sold for cash proceeds of $3.7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Operating expense for the nine months ended April 30, 2016 included cost of sales of $10.1 million resulting from the closing of three condominium units at The Ritz-Carlton Residences, Vail (average cost per square foot of $1,198), two condominium units at One Ski Hill Place (average cost per square foot of $931) and two condominium units at Crystal Peak Lodge (average cost per square foot of $508). Additionally, sales commissions of approximately $0.9 million were incurred commensurate with revenue recognized. Other operating expense of $5.3 million was primarily comprised of general and administrative costs, which includes marketing expense for real estate available for sale (including those units that have not yet closed), carrying costs for units available for sale and overhead costs, such as labor and labor-related benefits and allocated corporate costs.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results of operations and financial position for the three and nine months ended April 30, 2017.</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for the three and nine months ended April 30, 2017 increased $8.6 million and $19.5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compared to the same period in the prior year, primarily due to assets acquired in the Whistler Blackcomb acquisition.</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Change in fair value of contingent consideration. </w:t>
      </w:r>
      <w:r>
        <w:rPr>
          <w:rFonts w:ascii="Arial" w:cs="Arial" w:eastAsia="Arial" w:hAnsi="Arial"/>
          <w:sz w:val="16"/>
          <w:szCs w:val="16"/>
          <w:color w:val="auto"/>
        </w:rPr>
        <w:t>A loss of $14.5 million and $15.1 million was recorded for the three and nine months ended April 30,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related to an increase in the estimated fair value of the participating contingent payments under the lease for Park City. The fair value of contingent consideration is based on assumptions for EBITDA of Park City in future periods, as calculated under the lease on which participating contingent payments are determined. The increase in the estimated fair value is primarily attributable to a change in assumptions for EBITDA of Park City in future periods. The estimated fair value of the contingent consideration was $26.2 million and $6.9 million as of April 30, 2017 and 2016, respectively.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Investment income and other, net. </w:t>
      </w:r>
      <w:r>
        <w:rPr>
          <w:rFonts w:ascii="Arial" w:cs="Arial" w:eastAsia="Arial" w:hAnsi="Arial"/>
          <w:sz w:val="17"/>
          <w:szCs w:val="17"/>
          <w:color w:val="auto"/>
        </w:rPr>
        <w:t>Investment income and other, net for the nine months ended April 30, 2017 increased $5.4 million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prior year primarily due to a $3.4 million gain recognized on short-term foreign currency forward contracts that were entered into in conjunction with funding the cash consideration required for the Whistler Blackcomb acquisition, a $0.9 million gain recorded for the sale of a lodging property and a $0.8 million non-cash gain recognized on an investment in Whistler Blackcomb shares that we held prior to the acquisition.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Interest expense and other, net</w:t>
      </w:r>
      <w:r>
        <w:rPr>
          <w:rFonts w:ascii="Arial" w:cs="Arial" w:eastAsia="Arial" w:hAnsi="Arial"/>
          <w:sz w:val="16"/>
          <w:szCs w:val="16"/>
          <w:color w:val="auto"/>
        </w:rPr>
        <w:t>. Interest expense and other, net for the three and nine months ended April 30, 2017 increased $12.9 million and $12.4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 in the prior year, primarily due to a foreign currency loss of $9.1 million and $3.9 million, respectively, on intercompany loans with Whistler Blackcomb, interest expense associated with incremental term loan borrowings under our amended senior credit facility of $509.4 million which was used to fund the cash consideration portion of the Whistler Blackcomb acquisition, and the Whistler Blackcomb credit facility which was assumed as part of the Whistler Blackcomb acquisition, and had $122.0 million (C$89.4 million) outstanding as of April 30, 2017. The foreign currency losses for the three and nine months ended April 30, 2017 of $9.1 million and $3.9 million, respectively, are associated with an intercompany loan from Vail Holdings, Inc. to Whistler Blackcomb in the amount of $210.0 million that was funded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 and included in interest expense and other, net.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provision for the three and nine months ended April 30, 2017 was 33.8% and 34.1%, respectively, compared to 37.8%</w:t>
      </w:r>
      <w:r>
        <w:rPr>
          <w:rFonts w:ascii="Arial" w:cs="Arial" w:eastAsia="Arial" w:hAnsi="Arial"/>
          <w:sz w:val="18"/>
          <w:szCs w:val="18"/>
          <w:i w:val="1"/>
          <w:iCs w:val="1"/>
          <w:color w:val="auto"/>
        </w:rPr>
        <w:t xml:space="preserve"> </w:t>
      </w:r>
      <w:r>
        <w:rPr>
          <w:rFonts w:ascii="Arial" w:cs="Arial" w:eastAsia="Arial" w:hAnsi="Arial"/>
          <w:sz w:val="18"/>
          <w:szCs w:val="18"/>
          <w:color w:val="auto"/>
        </w:rPr>
        <w:t>and 38.0%, respectively, for the three and nine months ended April 30, 2016. The interim period effective tax rate is primarily driven by anticipated pre-tax book income for the full fiscal year adjusted for items that are deductible/non-deductible for tax purposes only (i.e., permanent items), taxable income generated by state and foreign jurisdictions that varies from anticipated consolidated pre-tax book income and the amount of net income attributable to noncontrolling interest. The decrease in the estimated effective tax rate during the three and nine months ended April 30, 2017 compared to the three and nine months ended April 30, 2016 is primarily associated with the Whistler Blackcomb acquisition, where the Canadian statutory tax rate is lower than the U.S. statutory tax rate.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Reconciliation of Segment Performance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 April 30,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381,291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291,048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623,654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478,220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10,704</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20,227</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23,856</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391,995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306,559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643,881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502,076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(4,948)</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387,047</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305,227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643,384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501,609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(50,029)</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(41,472)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(140,236)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(120,713)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(4,705)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(15,100)</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5,881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and other, net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(23,313)</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(44,325)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(31,905)</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297,491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253,341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444,899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346,351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(100,635)</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(95,804)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(151,933)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(131,613)</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196,856</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157,537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292,966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(15,749)</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(25,267)</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181,107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157,632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267,699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215,027</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5620" w:type="dxa"/>
            <w:vAlign w:val="bottom"/>
          </w:tcPr>
          <w:p>
            <w:pPr>
              <w:spacing w:after="0"/>
              <w:rPr>
                <w:sz w:val="20"/>
                <w:szCs w:val="20"/>
                <w:color w:val="auto"/>
              </w:rPr>
            </w:pPr>
            <w:r>
              <w:rPr>
                <w:rFonts w:ascii="Arial" w:cs="Arial" w:eastAsia="Arial" w:hAnsi="Arial"/>
                <w:sz w:val="18"/>
                <w:szCs w:val="18"/>
                <w:color w:val="auto"/>
                <w:w w:val="97"/>
              </w:rPr>
              <w:t>The following table reconciles Net Debt to long-term debt (in thousands):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15"/>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April 30,</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2017</w:t>
            </w:r>
          </w:p>
        </w:tc>
        <w:tc>
          <w:tcPr>
            <w:tcW w:w="6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1,168,210</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613,704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38,386</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13,349</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1,206,596</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195,818</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68,565</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1,010,778</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558,488</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$195.8 million of cash and cash equivalents as of April 30, 2017, compared to $68.6 million as of April 30, 2016.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April 30, 2017, we had $327.0 million available under the revolver component of our Vail Holdings Credit Agreement (which represents the total commitment of $400.0 million less certain letters of credit outstanding of $73.0 million). Also, to further support the liquidity needs of Whistler Blackcomb, we had C$177.0 million ($129.7 million) available under the revolver component of our Whistler Credit Agreement (which represents the total commitment of C$300.0 million ($219.8 million) less outstanding borrowings of C$122.0 million ($89.4 million) and a letter of credit outstanding of C$1.0 million ($0.7 million)). We expect that our liquidity needs in the near term will be met by continued use of operating cash flows and borrowings under both the Vail</w:t>
      </w:r>
    </w:p>
    <w:p>
      <w:pPr>
        <w:sectPr>
          <w:pgSz w:w="11900" w:h="16838" w:orient="portrait"/>
          <w:cols w:equalWidth="0" w:num="1">
            <w:col w:w="11420"/>
          </w:cols>
          <w:pgMar w:left="240" w:top="584"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4" w:right="239" w:bottom="1440" w:gutter="0" w:footer="0" w:header="0"/>
          <w:type w:val="continuous"/>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Holdings Credit Agreement and Whistler Credit Agreement, if needed. We believe the Vail Holdings Credit Agreement, which matures in October 2021, provides adequate flexibility and is priced favorably with any new borrowings currently priced at LIBOR plus 1.25%.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2017 compared to the nine months ended April 30, 2016</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generated $478.3 million of cash from operating activities during the nine months ended April 30, 2017, an increase of $22.9 million compared to $455.4 million of cash generated during the nine months ended April 30, 2016. The increase in operating cash flows was primarily a result of improved Mountain segment operating results for the nine months ended April 30, 2017 (including Whistler Blackcomb operations, partially offset by transaction, transition and integration costs) compared to the nine months ended April 30, 2016. These increases were partially offset by an increase in estimated domestic and foreign income tax payments of $31.9 million made during the nine months ended April 30, 2017 compared to the nine months ended April 30, 2016, a decrease in accounts payable, an increase in cash interest payments due to incremental term loan borrowings under our Vail Holdings Credit Agreement and assumed borrowings under the Whistler Credit Agreement during the nine months ended April 30, 2017 and receipt of a $4.5 million key money deposit related to the termination of the Half Moon management agreement in April 2016. Additionally, we generated $8.9 million of proceeds from real estate development project closings during the nine months ended April 30, 2017 compared to $13.6 million in proceeds (net of sales commissions and deposits previously received) from real estate development project closings that occurred in the nine months ended April 30, 2016.</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nine months ended April 30, 2017 increased by $502.3 million, primarily due to cash payments related to the acquisition of Whistler Blackcomb of $512.3 million, net of cash acquired, and an increase in capital expenditures of $23.5 million during the nine months ended April 30, 2017 compared to the nine months ended April 30, 2016. These increases were partially offset by the acquisition of Wilmot for $20.2 million during the nine months ended April 30, 2016.</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financing activities increased $575.7 million during the nine months ended April 30, 2017, compared to the nine months ended April 30, 2016, primarily due to incremental term loan borrowings under our Vail Holdings Credit Agreement of $509.4 million used to fund a portion of the cash consideration for the Whistler Blackcomb acquisition, partially offset by an increase of $12.5 million in term loan payments during the nine months ended April 30, 2017, and a decrease in net payments under the revolver portion of our Vail Holdings Credit Agreement of $110.0 million during the nine months ended April 30, 2017. Additionally, we realized a $53.6 million reduction of cash outflows compared to the prior year related to repurchases of common stock during the nine months ended April 30, 2016. These net increases in cash inflows from financing activities were partially offset by an increase in net payments under the revolver portion of the Whistler Credit Agreement of $51.7 million and an increase in dividends paid of $29.5 million during the nine months ended April 30, 2017 compared to the same period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throughout our owned hotels. We evaluate additional discretionary capital improvements based on an expected level of return on investment. We currently anticipate we will spend approximately $103 million on resort capital expenditures for calendar year 2017, excluding anticipated investments at Whistler Blackcomb, capital expenditures for U.S. summer related activities and one-time integration capital expenditures at Whistler Blackcomb. This estimated spending includes normal inflation on our capital investments at our resorts. Included in these estimated capital expenditures is approximately $65 million of maintenance capital expenditures (excluding maintenance capital expenditures for Whistler Blackcomb), which are necessary to maintain appearance and level of service appropriate to our resort operations. Discretionary expenditures for calendar year 2017 include, among other projects, upgrading various chairlifts at the Company’s resorts, including the Northwoods lift at Vail Mountain (#11), the Peak 10 Falcon Chair at Breckenridge, Drink of Water chair (#5) at Beaver Creek, the Montezuma lift at Keystone and the renovation and expansion of Labonte’s restaurant at Keystone. Our capital plan also includes the second phase of a two-year process to revamp our primary websites to a single ‘responsive’ desktop/mobile platform which will be integrated with our data-based and personalized marketing technology and the first phase of a three year plan to completely revamp and modernize the primary software platform for all of our resort operations. We also plan to invest approximately $6 million in calendar year 2017 for Epic Discovery summer activities, primarily at Breckenridge. At Whistler Blackcomb, we plan to invest approximately $17 million in calendar year 2017 for maintenance and discretionary projects. Additionally, we plan to invest approximately $17 million in capital during calendar year 2017 for the Whistler Blackcomb integration.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Approximately $18 million has been spent for capital expenditures in calendar year 2017 as of April 30, 2017, leaving approximately $125 million to spend in the remainder of calendar year 2017, including anticipated investments at Whistler Blackcomb, capital expenditures for U.S. summer related activities and one-time integration capital expenditures at Whistler Blackcomb.</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plan to utilize cash on hand, borrowings available under our credit agreements and/or cash flow generated from future operations to provide the cash necessary to complete our capital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Whistler Blackcomb Acquisition</w:t>
      </w:r>
    </w:p>
    <w:p>
      <w:pPr>
        <w:spacing w:after="0" w:line="17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On October 14, 2016, in order to finance the cash portion of the consideration and payment of associated fees and expenses of the Whistler Blackcomb acquisition, the Company entered into an amendment to its Vail Holdings Credit Agreement through which the Company increased its term loan borrowings by $509.4 million and extended the maturity date for the outstanding term loans and revolver facility under the Vail Holdings Credit Agreement to October 14, 2021. Borrowings under the Vail Holdings Credit Agreement, including the term loan facility, bear interest at approximately 2.2% as of April 30,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assumed, through its acquisition of a 75% interest in the WB Partnerships, the Whistler Credit Agreement which consists of a C$300.0 million ($219.8 million) revolving credit facility that matures on November 12, 2021. As of April 30, 2017, C$122.0 million ($89.4 million) was outstanding under this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Stowe Mountain Resort Acquisition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7, 2017, we acquired Stowe in Stowe, Vermont, from Mt. Mansfield Company, Inc., a wholly-owned subsidiary of American International Group, Inc., for a cash purchase price of approximately $41.0 million, subject to certain adjustments as provided in the purchase agreement. The Company funded the cash purchase price through cash on-hand.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Principal payments on the majority of our long-term debt ($1,086.0 million of the total $1,210.9 million debt outstanding as of April 30, 2017) are not due until fiscal 2021 and beyond. As of April 30, 2017 and 2016, total long-term debt (including long-term debt due within one year) was $1,206.6 million and $627.1 million, respectively. Net Debt (defined as long-term debt plus long-term debt due within one year less cash and cash equivalents) increased from $558.5 million as of April 30, 2016 to $1,010.8 million as of April 30, 2017, primarily due to debt incurred and assumed relating to the acquisition of Whistler Blackcomb, as discussed above.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$873.2 million of variable-rate debt outstanding as of April 30, 2017. A 100-basis point change in our borrowing rates would cause our annual interest payments to change by approximately $7.8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and the timing of new real estate development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2017, our Board of Directors approved a 30% increase to our quarterly cash dividend to $1.053 per share (or approximately $42.2 million per quarter based upon shares outstanding as of April 30, 2017). For the nine months ended April 30, 2017, we paid cash dividends of $2.673 per share ($104.0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Our Board of Directors initially authorized the repurchase of up to 3,000,000 shares of our common stock (March 9, 2006) and later authorized additional repurchases of up to 3,000,000 additional shares (July 16, 2008) and 1,500,000 shares (December 4, 2015), for a total authorization to repurchase up to 7,500,000 total shares. During the nine months ended April 30, 2017, we repurchased 1,317 shares at a cost of $0.2 million. During the nine months ended April 30, 2016, we repurchased 485,866 shares at a cost of $53.8 million. Since inception of this stock repurchase program through April 30, 2017, we have repurchased 5,436,294 shares at a cost of approximately $247.2 million. As of April 30, 2017, 2,063,706 shares remained available to repurchase under 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shares of our common stock and the number of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April 30, 2017. We expect that we will meet all applicable financial maintenance covenants in our credit agreements throughout the fiscal year ending July 31, 2017.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Stowe or future acquisitions;</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particularly the Canadian dollar and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our Form 10-Q for the three months ended October 31, 2016 and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had $873.2 million of variable rate indebtedness, representing approximately 72.1% of our total debt outstanding, at an average interest rate during the three and nine months ended April 30, 2017 of 2.1% and 1.9%, respectively. Based on variable-rate borrowings outstanding as of April 30, 2017, a 100-basis point (or 1.0%) change in our borrowing rates would result in our annual interest payments changing by approximately $7.8 million. Our market risk exposure fluctuates based on changes in underlying interest rates.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interest rate swap agreements to fix the interest rate on a portion of our Canadian-denominated senior credit facility, which has the effect of fixing the underlying floating interest rate on a portion of the principal amount outstanding.</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or gains, recognized in comprehensive income (in thousands).</w:t>
      </w:r>
    </w:p>
    <w:p>
      <w:pPr>
        <w:spacing w:after="0" w:line="275"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7680" w:val="left"/>
          <w:tab w:leader="none" w:pos="8800" w:val="left"/>
          <w:tab w:leader="none" w:pos="9600" w:val="left"/>
          <w:tab w:leader="none" w:pos="10880" w:val="left"/>
        </w:tabs>
        <w:rPr>
          <w:sz w:val="20"/>
          <w:szCs w:val="20"/>
          <w:color w:val="auto"/>
        </w:rPr>
      </w:pPr>
      <w:r>
        <w:rPr>
          <w:rFonts w:ascii="Arial" w:cs="Arial" w:eastAsia="Arial" w:hAnsi="Arial"/>
          <w:sz w:val="18"/>
          <w:szCs w:val="18"/>
          <w:color w:val="auto"/>
        </w:rPr>
        <w:t>Foreign currency translation adjustments,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(47,452)</w:t>
        <w:tab/>
        <w:t>$</w:t>
      </w:r>
      <w:r>
        <w:rPr>
          <w:sz w:val="20"/>
          <w:szCs w:val="20"/>
          <w:color w:val="auto"/>
        </w:rPr>
        <w:tab/>
      </w:r>
      <w:r>
        <w:rPr>
          <w:rFonts w:ascii="Arial" w:cs="Arial" w:eastAsia="Arial" w:hAnsi="Arial"/>
          <w:sz w:val="16"/>
          <w:szCs w:val="16"/>
          <w:color w:val="auto"/>
        </w:rPr>
        <w:t>3,746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acquisition of Whistler Blackcomb in October 2016, management is in the process of analyzing, evaluating and, where necessary, implementing changes in internal control over financial reporting. The operations of Whistler Blackcomb will be excluded from management’s assessment of internal control over financial reporting as of July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regarding the disposition of asphalt grindings used in parking lot surfacing in and around Kirkwood Creek. We are in the information gathering stage and are continuing to cooperate with the Central Valley board staff and the California Department of Fish and Wildlife to satisfactorily resolve the matters identified in the NOV. This process will continue throughout calendar year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calendar year 2014, we received a Compliance Advisory from the Colorado Department of Public Health &amp; Environment (“CDPHE”), advising of potential violations of the Colorado Air Pollution Prevention and Control Act at Breckenridge. We subsequently conducted voluntary self-audits at each of our four resorts in Colorado and continue to cooperate with CDPHE after receipt of additional Compliance Advisories for each of the four resorts. In May 2017, we reached a settlement agreement with CDPHE, which includes administrative penalties of $40,060 and a total of $160,240 to be fulfilled by supplemental environmental projects, which projects will be undertaken in connection with the settlement of the enforcement action taken by the CDPHE, Air Pollution Control Division, for violations of air quality laws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items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to have a material, individually and in the aggregate,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26, 2016, as of and for the year ended July 31, 2016, and in our Quarterly Report on Form 10-Q, filed with the SEC on December 9, 2016, as of and for the quarter ended October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4" w:right="239" w:bottom="1440" w:gutter="0" w:footer="0" w:header="0"/>
        </w:sectPr>
      </w:pPr>
    </w:p>
    <w:bookmarkStart w:id="44" w:name="page45"/>
    <w:bookmarkEnd w:id="44"/>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shares of our common stock and 418,095 Exchangeco Shares. Each Exchangeco Share is exchangeable by the holder thereof for one share of our common stock (subject to customary adjustments for stock splits or other reorganizations). In addition, the Company may require all outstanding Exchangeco Shares to be exchanged into an equal number of shares of our common stock upon the occurrence of certain events and at any time following the seventh anniversary of the closing of the transaction. Exchangeco Shares, while outstanding, are substantially the economic equivalent of the corresponding shares of our common stock. As of April 30, 2017, 70,149 Exchangeco Shares had not been exchanged into shares of our common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Whistler Mountain Master Development Agreement, dated as of February 23, 2017, between Her Majesty the Queen in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Right of the Province of British Columbia and Whistler Mountain Resort Limited Partnership (Incorporated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reference to Exhibit 10.1 on Form 8-K of Vail Resorts, Inc. filed on February 27, 2017) (File No. 001-09614).</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Blackcomb Mountain Master Development Agreement, dated as of February 23, 2017, between Her Majesty the Queen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4"/>
              </w:rPr>
              <w:t>in Right of the Province of British Columbia and Blackcomb Skiing Enterprises Limited Partnership (Incorporated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reference to Exhibit 10.2 on Form 8-K of Vail Resorts, Inc. filed on February 27, 2017) (File No. 001-09614).</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9080" w:type="dxa"/>
            <w:vAlign w:val="bottom"/>
          </w:tcPr>
          <w:p>
            <w:pPr>
              <w:ind w:left="400"/>
              <w:spacing w:after="0"/>
              <w:rPr>
                <w:sz w:val="20"/>
                <w:szCs w:val="20"/>
                <w:color w:val="auto"/>
              </w:rPr>
            </w:pPr>
            <w:r>
              <w:rPr>
                <w:rFonts w:ascii="Arial" w:cs="Arial" w:eastAsia="Arial" w:hAnsi="Arial"/>
                <w:sz w:val="18"/>
                <w:szCs w:val="18"/>
                <w:color w:val="auto"/>
                <w:w w:val="92"/>
              </w:rPr>
              <w:t>Third Amendment to Seventh Amended and Restated Credit Agreement, dated as of April 7, 2017, by and among Vail</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Holdings, Inc., Bank of America, N.A., as Administrative Agent, and the Lenders named therein.</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20" w:right="700" w:hanging="1303"/>
        <w:spacing w:after="0" w:line="277" w:lineRule="auto"/>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184" w:lineRule="exact"/>
        <w:rPr>
          <w:sz w:val="20"/>
          <w:szCs w:val="20"/>
          <w:color w:val="auto"/>
        </w:rPr>
      </w:pPr>
    </w:p>
    <w:p>
      <w:pPr>
        <w:jc w:val="both"/>
        <w:ind w:left="2020" w:right="680" w:hanging="1303"/>
        <w:spacing w:after="0" w:line="271" w:lineRule="auto"/>
        <w:tabs>
          <w:tab w:leader="none" w:pos="2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nine months ended April 30, 2017 formatted in eXtensible Business Reporting Language: (i) Unaudited Consolidated Condensed Balance Sheets as of April 30, 2017, July 31, 2016, and April 30, 2016; (ii) Unaudited Consolidated Condensed Statements of Operations for the three and nine months ended April 30, 2017 and 2016; (iii) Unaudited Consolidated Condensed Statements of Comprehensive Income for the three and nine months ended April 30, 2017 and 2016; (iv) Unaudited Consolidated Condensed Statements of Stockholders’ Equity for the nine months ended April 30, 2017 and 2016; (v) Unaudited Consolidated Condensed Statements of Cash Flows for the nine months ended April 30, 2017 and 2016; and (vi) Notes to the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77" w:right="259" w:bottom="1440" w:gutter="0" w:footer="0" w:header="0"/>
        </w:sectPr>
      </w:pPr>
    </w:p>
    <w:bookmarkStart w:id="46" w:name="page47"/>
    <w:bookmarkEnd w:id="4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June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June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58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Exhibit 10.3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SEVENTH AMENDED AND RESTATED CREDIT AGREEMENT</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THIS THIRD AMENDMENT TO SEVENTH AMENDED AND RESTATED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made and entered into as of April 7, 2017, by and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Bank of America, N.A., as Administrative Agent, a Swing Line Lender, a L/C Issuer and Lender (in its capacity as administrative agent,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the other Lenders, Swing Line Lenders and L/C Issuers named on the signature pages 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35" w:lineRule="exact"/>
        <w:rPr>
          <w:sz w:val="20"/>
          <w:szCs w:val="20"/>
          <w:color w:val="auto"/>
        </w:rPr>
      </w:pPr>
    </w:p>
    <w:p>
      <w:pPr>
        <w:jc w:val="both"/>
        <w:ind w:firstLine="656"/>
        <w:spacing w:after="0" w:line="244" w:lineRule="auto"/>
        <w:tabs>
          <w:tab w:leader="none" w:pos="1206" w:val="left"/>
        </w:tabs>
        <w:numPr>
          <w:ilvl w:val="0"/>
          <w:numId w:val="21"/>
        </w:numPr>
        <w:rPr>
          <w:rFonts w:ascii="Arial" w:cs="Arial" w:eastAsia="Arial" w:hAnsi="Arial"/>
          <w:sz w:val="20"/>
          <w:szCs w:val="20"/>
          <w:color w:val="auto"/>
        </w:rPr>
      </w:pPr>
      <w:r>
        <w:rPr>
          <w:rFonts w:ascii="Arial" w:cs="Arial" w:eastAsia="Arial" w:hAnsi="Arial"/>
          <w:sz w:val="20"/>
          <w:szCs w:val="20"/>
          <w:color w:val="auto"/>
        </w:rPr>
        <w:t>Borrower has entered into that certain Seventh Amended and Restated Credit Agreement dated as of May 1, 2015, with Administrative Agent and the Lenders (as amended by the First Amendment to Seventh Amended and Restated Credit Agreement dated as of December 4, 2015, as amended by the Second Amendment to Seventh Amended and Restated Credit Agreement dated as of October 14, 2016, as amended hereby, and as further amended, restated,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providing for revolving credit loans, letters of credit, and swing line loans.</w:t>
      </w:r>
    </w:p>
    <w:p>
      <w:pPr>
        <w:spacing w:after="0" w:line="208" w:lineRule="exact"/>
        <w:rPr>
          <w:rFonts w:ascii="Arial" w:cs="Arial" w:eastAsia="Arial" w:hAnsi="Arial"/>
          <w:sz w:val="20"/>
          <w:szCs w:val="20"/>
          <w:color w:val="auto"/>
        </w:rPr>
      </w:pPr>
    </w:p>
    <w:p>
      <w:pPr>
        <w:ind w:left="1040" w:hanging="384"/>
        <w:spacing w:after="0"/>
        <w:tabs>
          <w:tab w:leader="none" w:pos="10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Borrower has requested certain amendments to the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and conditions set forth herein, the Borrower, the Required Lenders party hereto, the Guarantors,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agree as follows:</w:t>
      </w:r>
    </w:p>
    <w:p>
      <w:pPr>
        <w:spacing w:after="0" w:line="221" w:lineRule="exact"/>
        <w:rPr>
          <w:sz w:val="20"/>
          <w:szCs w:val="20"/>
          <w:color w:val="auto"/>
        </w:rPr>
      </w:pPr>
    </w:p>
    <w:p>
      <w:pPr>
        <w:ind w:firstLine="656"/>
        <w:spacing w:after="0" w:line="295" w:lineRule="auto"/>
        <w:tabs>
          <w:tab w:leader="none" w:pos="1445"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Unless otherwise defined in this Amendment, each capitalized term used but not otherwise defined herein has</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given such term in the Credit Agreement.</w:t>
      </w:r>
    </w:p>
    <w:p>
      <w:pPr>
        <w:spacing w:after="0" w:line="150" w:lineRule="exact"/>
        <w:rPr>
          <w:rFonts w:ascii="Arial" w:cs="Arial" w:eastAsia="Arial" w:hAnsi="Arial"/>
          <w:sz w:val="20"/>
          <w:szCs w:val="20"/>
          <w:color w:val="auto"/>
        </w:rPr>
      </w:pPr>
    </w:p>
    <w:p>
      <w:pPr>
        <w:ind w:left="980" w:hanging="324"/>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the Credit Agreement</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i w:val="1"/>
          <w:iCs w:val="1"/>
          <w:color w:val="auto"/>
        </w:rPr>
        <w:t xml:space="preserve">Section 10.9(d)(iii) </w:t>
      </w:r>
      <w:r>
        <w:rPr>
          <w:rFonts w:ascii="Arial" w:cs="Arial" w:eastAsia="Arial" w:hAnsi="Arial"/>
          <w:sz w:val="18"/>
          <w:szCs w:val="18"/>
          <w:color w:val="auto"/>
        </w:rPr>
        <w:t>of Credit Agreement is hereby amended and restated in its entirety as follows:</w:t>
      </w:r>
    </w:p>
    <w:p>
      <w:pPr>
        <w:spacing w:after="0" w:line="216" w:lineRule="exact"/>
        <w:rPr>
          <w:sz w:val="20"/>
          <w:szCs w:val="20"/>
          <w:color w:val="auto"/>
        </w:rPr>
      </w:pPr>
    </w:p>
    <w:p>
      <w:pPr>
        <w:jc w:val="both"/>
        <w:ind w:left="660" w:hanging="4"/>
        <w:spacing w:after="0" w:line="246" w:lineRule="auto"/>
        <w:tabs>
          <w:tab w:leader="none" w:pos="1006"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if no Default or Potential Default exists or arises, then VRI may pay dividends in an amount not to exceed, for any fiscal quarter, the greater of (a) $55,000,000,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2.02. </w:t>
      </w:r>
      <w:r>
        <w:rPr>
          <w:rFonts w:ascii="Arial" w:cs="Arial" w:eastAsia="Arial" w:hAnsi="Arial"/>
          <w:sz w:val="20"/>
          <w:szCs w:val="20"/>
          <w:i w:val="1"/>
          <w:iCs w:val="1"/>
          <w:color w:val="auto"/>
        </w:rPr>
        <w:t>Clause (xiv)</w:t>
      </w:r>
      <w:r>
        <w:rPr>
          <w:rFonts w:ascii="Arial" w:cs="Arial" w:eastAsia="Arial" w:hAnsi="Arial"/>
          <w:sz w:val="20"/>
          <w:szCs w:val="20"/>
          <w:color w:val="auto"/>
        </w:rPr>
        <w:t xml:space="preserve"> of </w:t>
      </w:r>
      <w:r>
        <w:rPr>
          <w:rFonts w:ascii="Arial" w:cs="Arial" w:eastAsia="Arial" w:hAnsi="Arial"/>
          <w:sz w:val="20"/>
          <w:szCs w:val="20"/>
          <w:i w:val="1"/>
          <w:iCs w:val="1"/>
          <w:color w:val="auto"/>
        </w:rPr>
        <w:t>Section 10.9(d)</w:t>
      </w:r>
      <w:r>
        <w:rPr>
          <w:rFonts w:ascii="Arial" w:cs="Arial" w:eastAsia="Arial" w:hAnsi="Arial"/>
          <w:sz w:val="20"/>
          <w:szCs w:val="20"/>
          <w:color w:val="auto"/>
        </w:rPr>
        <w:t xml:space="preserve"> of </w:t>
      </w:r>
      <w:r>
        <w:rPr>
          <w:rFonts w:ascii="Arial" w:cs="Arial" w:eastAsia="Arial" w:hAnsi="Arial"/>
          <w:sz w:val="20"/>
          <w:szCs w:val="20"/>
          <w:i w:val="1"/>
          <w:iCs w:val="1"/>
          <w:color w:val="auto"/>
        </w:rPr>
        <w:t>Annex A</w:t>
      </w:r>
      <w:r>
        <w:rPr>
          <w:rFonts w:ascii="Arial" w:cs="Arial" w:eastAsia="Arial" w:hAnsi="Arial"/>
          <w:sz w:val="20"/>
          <w:szCs w:val="20"/>
          <w:color w:val="auto"/>
        </w:rPr>
        <w:t xml:space="preserve"> to </w:t>
      </w:r>
      <w:r>
        <w:rPr>
          <w:rFonts w:ascii="Arial" w:cs="Arial" w:eastAsia="Arial" w:hAnsi="Arial"/>
          <w:sz w:val="20"/>
          <w:szCs w:val="20"/>
          <w:i w:val="1"/>
          <w:iCs w:val="1"/>
          <w:color w:val="auto"/>
        </w:rPr>
        <w:t>Exhibit D</w:t>
      </w:r>
      <w:r>
        <w:rPr>
          <w:rFonts w:ascii="Arial" w:cs="Arial" w:eastAsia="Arial" w:hAnsi="Arial"/>
          <w:sz w:val="20"/>
          <w:szCs w:val="20"/>
          <w:color w:val="auto"/>
        </w:rPr>
        <w:t xml:space="preserve"> to the Credit Agreement is hereby amended and restated in its entirety as follows: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16211499_3</w:t>
      </w:r>
    </w:p>
    <w:p>
      <w:pPr>
        <w:sectPr>
          <w:pgSz w:w="11900" w:h="16838" w:orient="portrait"/>
          <w:cols w:equalWidth="0" w:num="1">
            <w:col w:w="11420"/>
          </w:cols>
          <w:pgMar w:left="240" w:top="122" w:right="239" w:bottom="1440" w:gutter="0" w:footer="0" w:header="0"/>
        </w:sectPr>
      </w:pPr>
    </w:p>
    <w:bookmarkStart w:id="48" w:name="page49"/>
    <w:bookmarkEnd w:id="48"/>
    <w:p>
      <w:pPr>
        <w:jc w:val="both"/>
        <w:ind w:left="1980" w:right="140" w:hanging="1199"/>
        <w:spacing w:after="0" w:line="250" w:lineRule="auto"/>
        <w:tabs>
          <w:tab w:leader="none" w:pos="1960" w:val="left"/>
        </w:tabs>
        <w:rPr>
          <w:sz w:val="20"/>
          <w:szCs w:val="20"/>
          <w:color w:val="auto"/>
        </w:rPr>
      </w:pPr>
      <w:r>
        <w:rPr>
          <w:rFonts w:ascii="Arial" w:cs="Arial" w:eastAsia="Arial" w:hAnsi="Arial"/>
          <w:sz w:val="20"/>
          <w:szCs w:val="20"/>
          <w:color w:val="auto"/>
        </w:rPr>
        <w:t>(xiv)</w:t>
      </w:r>
      <w:r>
        <w:rPr>
          <w:sz w:val="20"/>
          <w:szCs w:val="20"/>
          <w:color w:val="auto"/>
        </w:rPr>
        <w:tab/>
      </w:r>
      <w:r>
        <w:rPr>
          <w:rFonts w:ascii="Arial" w:cs="Arial" w:eastAsia="Arial" w:hAnsi="Arial"/>
          <w:sz w:val="20"/>
          <w:szCs w:val="20"/>
          <w:color w:val="auto"/>
        </w:rPr>
        <w:t>If Distribution #1 is a dividend, does any Default or Potential Default exist under the Credit Agreement or would any Default or Potential Default arise after giving effect to Distribution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Yes/No</w:t>
      </w:r>
    </w:p>
    <w:p>
      <w:pPr>
        <w:spacing w:after="0" w:line="734" w:lineRule="exact"/>
        <w:rPr>
          <w:sz w:val="20"/>
          <w:szCs w:val="20"/>
          <w:color w:val="auto"/>
        </w:rPr>
      </w:pPr>
    </w:p>
    <w:p>
      <w:pPr>
        <w:sectPr>
          <w:pgSz w:w="11900" w:h="16838" w:orient="portrait"/>
          <w:cols w:equalWidth="0" w:num="2">
            <w:col w:w="9440" w:space="720"/>
            <w:col w:w="1260"/>
          </w:cols>
          <w:pgMar w:left="240" w:top="528" w:right="239" w:bottom="1440" w:gutter="0" w:footer="0" w:header="0"/>
        </w:sectPr>
      </w:pPr>
    </w:p>
    <w:p>
      <w:pPr>
        <w:spacing w:after="0" w:line="40" w:lineRule="exact"/>
        <w:rPr>
          <w:sz w:val="20"/>
          <w:szCs w:val="20"/>
          <w:color w:val="auto"/>
        </w:rPr>
      </w:pPr>
    </w:p>
    <w:p>
      <w:pPr>
        <w:jc w:val="both"/>
        <w:ind w:left="1980" w:right="2140" w:firstLine="49"/>
        <w:spacing w:after="0" w:line="291" w:lineRule="auto"/>
        <w:rPr>
          <w:sz w:val="20"/>
          <w:szCs w:val="20"/>
          <w:color w:val="auto"/>
        </w:rPr>
      </w:pPr>
      <w:r>
        <w:rPr>
          <w:rFonts w:ascii="Arial" w:cs="Arial" w:eastAsia="Arial" w:hAnsi="Arial"/>
          <w:sz w:val="18"/>
          <w:szCs w:val="18"/>
          <w:color w:val="auto"/>
        </w:rPr>
        <w:t>(If No, then VRI may pay dividends in an amount not to exceed greater of (a) $55,000,000, or (b) an amount equal to twenty percent (20%) of Adjusted EBITDA for the trailing twelve month period ended on the last day of the most-recently ended fiscal quarter)</w:t>
      </w:r>
    </w:p>
    <w:p>
      <w:pPr>
        <w:sectPr>
          <w:pgSz w:w="11900" w:h="16838" w:orient="portrait"/>
          <w:cols w:equalWidth="0" w:num="1">
            <w:col w:w="11420"/>
          </w:cols>
          <w:pgMar w:left="240" w:top="528" w:right="239" w:bottom="1440" w:gutter="0" w:footer="0" w:header="0"/>
          <w:type w:val="continuous"/>
        </w:sectPr>
      </w:pPr>
    </w:p>
    <w:p>
      <w:pPr>
        <w:spacing w:after="0" w:line="20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(A) Are the dividends paid during the Subject Period under </w:t>
      </w:r>
      <w:r>
        <w:rPr>
          <w:rFonts w:ascii="Arial" w:cs="Arial" w:eastAsia="Arial" w:hAnsi="Arial"/>
          <w:sz w:val="18"/>
          <w:szCs w:val="18"/>
          <w:i w:val="1"/>
          <w:iCs w:val="1"/>
          <w:color w:val="auto"/>
        </w:rPr>
        <w:t>Section 10.9(d)(iii)</w:t>
      </w:r>
      <w:r>
        <w:rPr>
          <w:rFonts w:ascii="Arial" w:cs="Arial" w:eastAsia="Arial" w:hAnsi="Arial"/>
          <w:sz w:val="18"/>
          <w:szCs w:val="18"/>
          <w:color w:val="auto"/>
        </w:rPr>
        <w:t xml:space="preserve"> of the Credit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Yes/No</w:t>
      </w:r>
    </w:p>
    <w:p>
      <w:pPr>
        <w:spacing w:after="0" w:line="65" w:lineRule="exact"/>
        <w:rPr>
          <w:sz w:val="20"/>
          <w:szCs w:val="20"/>
          <w:color w:val="auto"/>
        </w:rPr>
      </w:pPr>
    </w:p>
    <w:p>
      <w:pPr>
        <w:sectPr>
          <w:pgSz w:w="11900" w:h="16838" w:orient="portrait"/>
          <w:cols w:equalWidth="0" w:num="2">
            <w:col w:w="9440" w:space="720"/>
            <w:col w:w="1260"/>
          </w:cols>
          <w:pgMar w:left="240" w:top="528" w:right="239" w:bottom="1440" w:gutter="0" w:footer="0" w:header="0"/>
          <w:type w:val="continuous"/>
        </w:sectPr>
      </w:pPr>
    </w:p>
    <w:p>
      <w:pPr>
        <w:jc w:val="both"/>
        <w:ind w:left="2620" w:right="2400"/>
        <w:spacing w:after="0" w:line="279" w:lineRule="auto"/>
        <w:rPr>
          <w:sz w:val="20"/>
          <w:szCs w:val="20"/>
          <w:color w:val="auto"/>
        </w:rPr>
      </w:pPr>
      <w:r>
        <w:rPr>
          <w:rFonts w:ascii="Arial" w:cs="Arial" w:eastAsia="Arial" w:hAnsi="Arial"/>
          <w:sz w:val="18"/>
          <w:szCs w:val="18"/>
          <w:color w:val="auto"/>
        </w:rPr>
        <w:t>Agreement greater than the greater of (a) $55,000,000, or (b) an amount equal to twenty percent (20%) of Adjusted EBITDA for the trailing twelve month period ended on the last day of the most-recently ended fiscal quarter?</w:t>
      </w:r>
    </w:p>
    <w:p>
      <w:pPr>
        <w:spacing w:after="0" w:line="197" w:lineRule="exact"/>
        <w:rPr>
          <w:sz w:val="20"/>
          <w:szCs w:val="20"/>
          <w:color w:val="auto"/>
        </w:rPr>
      </w:pPr>
    </w:p>
    <w:p>
      <w:pPr>
        <w:jc w:val="both"/>
        <w:ind w:firstLine="656"/>
        <w:spacing w:after="0" w:line="248" w:lineRule="auto"/>
        <w:tabs>
          <w:tab w:leader="none" w:pos="1004"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Guarantors’ Consent</w:t>
      </w:r>
      <w:r>
        <w:rPr>
          <w:rFonts w:ascii="Arial" w:cs="Arial" w:eastAsia="Arial" w:hAnsi="Arial"/>
          <w:sz w:val="20"/>
          <w:szCs w:val="20"/>
          <w:color w:val="auto"/>
        </w:rPr>
        <w:t>. Each of the undersigned Guarantors hereby (a) consents to this Amendment, (b) acknowledges and agrees</w:t>
      </w:r>
      <w:r>
        <w:rPr>
          <w:rFonts w:ascii="Arial" w:cs="Arial" w:eastAsia="Arial" w:hAnsi="Arial"/>
          <w:sz w:val="20"/>
          <w:szCs w:val="20"/>
          <w:b w:val="1"/>
          <w:bCs w:val="1"/>
          <w:color w:val="auto"/>
        </w:rPr>
        <w:t xml:space="preserve"> </w:t>
      </w:r>
      <w:r>
        <w:rPr>
          <w:rFonts w:ascii="Arial" w:cs="Arial" w:eastAsia="Arial" w:hAnsi="Arial"/>
          <w:sz w:val="20"/>
          <w:szCs w:val="20"/>
          <w:color w:val="auto"/>
        </w:rPr>
        <w:t>that its obligations and liabilities under and pursuant to its Guaranty are not released, diminished, impaired, or otherwise adversely affected by this Amendment, and that all such obligations and liabilities are, and shall continue to be, in full force and effect, and (c) agrees that its Guaranty is hereby ratified in all respects.</w:t>
      </w:r>
    </w:p>
    <w:p>
      <w:pPr>
        <w:spacing w:after="0" w:line="183" w:lineRule="exact"/>
        <w:rPr>
          <w:rFonts w:ascii="Arial" w:cs="Arial" w:eastAsia="Arial" w:hAnsi="Arial"/>
          <w:sz w:val="20"/>
          <w:szCs w:val="20"/>
          <w:color w:val="auto"/>
        </w:rPr>
      </w:pPr>
    </w:p>
    <w:p>
      <w:pPr>
        <w:ind w:firstLine="656"/>
        <w:spacing w:after="0" w:line="267" w:lineRule="auto"/>
        <w:tabs>
          <w:tab w:leader="none" w:pos="977"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Execution and Delivery of this Amendment</w:t>
      </w:r>
      <w:r>
        <w:rPr>
          <w:rFonts w:ascii="Arial" w:cs="Arial" w:eastAsia="Arial" w:hAnsi="Arial"/>
          <w:sz w:val="20"/>
          <w:szCs w:val="20"/>
          <w:color w:val="auto"/>
        </w:rPr>
        <w:t>. This Amendment shall be effective, and shall constitute a binding agreement among</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on the date that each of the following conditions precedent has been satisfied:</w:t>
      </w:r>
    </w:p>
    <w:p>
      <w:pPr>
        <w:spacing w:after="0" w:line="183" w:lineRule="exact"/>
        <w:rPr>
          <w:sz w:val="20"/>
          <w:szCs w:val="20"/>
          <w:color w:val="auto"/>
        </w:rPr>
      </w:pPr>
    </w:p>
    <w:p>
      <w:pPr>
        <w:ind w:firstLine="656"/>
        <w:spacing w:after="0" w:line="289" w:lineRule="auto"/>
        <w:tabs>
          <w:tab w:leader="none" w:pos="15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Receipt by Administrative Agent of counterparts of this Amendment executed by Required Lenders, Borrower, the Swing Line Lenders and L/C Issuers; and</w:t>
      </w:r>
    </w:p>
    <w:p>
      <w:pPr>
        <w:spacing w:after="0" w:line="188"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payment of all fees payable on or prior to the Execution Date to Administrative Agent, any Related Party of Administrative Agent, and any Lender as provided for in </w:t>
      </w:r>
      <w:r>
        <w:rPr>
          <w:rFonts w:ascii="Arial" w:cs="Arial" w:eastAsia="Arial" w:hAnsi="Arial"/>
          <w:sz w:val="20"/>
          <w:szCs w:val="20"/>
          <w:i w:val="1"/>
          <w:iCs w:val="1"/>
          <w:color w:val="auto"/>
        </w:rPr>
        <w:t>Section 5</w:t>
      </w:r>
      <w:r>
        <w:rPr>
          <w:rFonts w:ascii="Arial" w:cs="Arial" w:eastAsia="Arial" w:hAnsi="Arial"/>
          <w:sz w:val="20"/>
          <w:szCs w:val="20"/>
          <w:color w:val="auto"/>
        </w:rPr>
        <w:t xml:space="preserve"> of the Credit Agreement, and unless waived by Administrative Agent, payment in full of all reasonable fees, expenses, and disbursements of Haynes and Boone, LLP.</w:t>
      </w:r>
    </w:p>
    <w:p>
      <w:pPr>
        <w:spacing w:after="0" w:line="181" w:lineRule="exact"/>
        <w:rPr>
          <w:sz w:val="20"/>
          <w:szCs w:val="20"/>
          <w:color w:val="auto"/>
        </w:rPr>
      </w:pPr>
    </w:p>
    <w:p>
      <w:pPr>
        <w:jc w:val="both"/>
        <w:ind w:firstLine="656"/>
        <w:spacing w:after="0" w:line="253" w:lineRule="auto"/>
        <w:tabs>
          <w:tab w:leader="none" w:pos="1044"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In order to induce Administrative Agent, the Lenders, the Swing Line Lenders and the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Issuers to enter into this Amendment, Borrower represents and warrants to Administrative Agent, the Lenders, the Swing Line Lenders and the L/C Issuers as follows:</w:t>
      </w:r>
    </w:p>
    <w:p>
      <w:pPr>
        <w:spacing w:after="0" w:line="197" w:lineRule="exact"/>
        <w:rPr>
          <w:sz w:val="20"/>
          <w:szCs w:val="20"/>
          <w:color w:val="auto"/>
        </w:rPr>
      </w:pPr>
    </w:p>
    <w:p>
      <w:pPr>
        <w:jc w:val="both"/>
        <w:ind w:firstLine="656"/>
        <w:spacing w:after="0" w:line="322" w:lineRule="auto"/>
        <w:tabs>
          <w:tab w:leader="none" w:pos="15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Amendment and each Loan Paper has been duly authorized, executed, and delivered by Borrower and constitutes its legal, valid, and binding obligations enforceable in accordance with their respective terms (subject to applicable bankruptcy, reorganization, insolvency, moratorium, and similar laws affecting creditors’ rights generally and to general principles of equity).</w:t>
      </w:r>
    </w:p>
    <w:p>
      <w:pPr>
        <w:spacing w:after="0" w:line="166" w:lineRule="exact"/>
        <w:rPr>
          <w:rFonts w:ascii="Arial" w:cs="Arial" w:eastAsia="Arial" w:hAnsi="Arial"/>
          <w:sz w:val="18"/>
          <w:szCs w:val="18"/>
          <w:color w:val="auto"/>
        </w:rPr>
      </w:pPr>
    </w:p>
    <w:p>
      <w:pPr>
        <w:ind w:firstLine="656"/>
        <w:spacing w:after="0" w:line="289" w:lineRule="auto"/>
        <w:tabs>
          <w:tab w:leader="none" w:pos="15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representations and warranties set forth in the Loan Papers are true and correct in all material respects (except to the extent qualified by materiality, in which case they shall be true and correct).</w:t>
      </w:r>
    </w:p>
    <w:p>
      <w:pPr>
        <w:spacing w:after="0" w:line="188" w:lineRule="exact"/>
        <w:rPr>
          <w:rFonts w:ascii="Arial" w:cs="Arial" w:eastAsia="Arial" w:hAnsi="Arial"/>
          <w:sz w:val="20"/>
          <w:szCs w:val="20"/>
          <w:color w:val="auto"/>
        </w:rPr>
      </w:pPr>
    </w:p>
    <w:p>
      <w:pPr>
        <w:ind w:left="1580" w:hanging="924"/>
        <w:spacing w:after="0"/>
        <w:tabs>
          <w:tab w:leader="none" w:pos="15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Before and after giving effect to this Amendment, no Event of Default exists.</w:t>
      </w:r>
    </w:p>
    <w:p>
      <w:pPr>
        <w:spacing w:after="0" w:line="237" w:lineRule="exact"/>
        <w:rPr>
          <w:sz w:val="20"/>
          <w:szCs w:val="20"/>
          <w:color w:val="auto"/>
        </w:rPr>
      </w:pPr>
    </w:p>
    <w:p>
      <w:pPr>
        <w:jc w:val="both"/>
        <w:ind w:firstLine="656"/>
        <w:spacing w:after="0" w:line="266" w:lineRule="auto"/>
        <w:tabs>
          <w:tab w:leader="none" w:pos="977"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Except as specifically set forth herein, this Amendment shall not impair the validity or enforceability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Agreement or any other Loan Paper, or alter, modify, or in any way affect any of the terms, conditions, obligations, covenants or agreements contained in the Credit Agreement, all of which are hereby ratified and affirmed in all respects. Nothing herein shall act as a waiver of any Default or of any of Administrative Agent’s or any Lender’s rights under the Loan Papers (except as</w:t>
      </w:r>
    </w:p>
    <w:p>
      <w:pPr>
        <w:spacing w:after="0" w:line="200" w:lineRule="exact"/>
        <w:rPr>
          <w:sz w:val="20"/>
          <w:szCs w:val="20"/>
          <w:color w:val="auto"/>
        </w:rPr>
      </w:pPr>
    </w:p>
    <w:p>
      <w:pPr>
        <w:spacing w:after="0" w:line="2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16211499_3</w:t>
      </w:r>
      <w:r>
        <w:rPr>
          <w:sz w:val="20"/>
          <w:szCs w:val="20"/>
          <w:color w:val="auto"/>
        </w:rPr>
        <w:tab/>
      </w:r>
      <w:r>
        <w:rPr>
          <w:rFonts w:ascii="Arial" w:cs="Arial" w:eastAsia="Arial" w:hAnsi="Arial"/>
          <w:sz w:val="17"/>
          <w:szCs w:val="17"/>
          <w:color w:val="auto"/>
        </w:rPr>
        <w:t>2</w:t>
      </w:r>
    </w:p>
    <w:p>
      <w:pPr>
        <w:sectPr>
          <w:pgSz w:w="11900" w:h="16838" w:orient="portrait"/>
          <w:cols w:equalWidth="0" w:num="1">
            <w:col w:w="11420"/>
          </w:cols>
          <w:pgMar w:left="240" w:top="528" w:right="239" w:bottom="1440" w:gutter="0" w:footer="0" w:header="0"/>
          <w:type w:val="continuous"/>
        </w:sectPr>
      </w:pPr>
    </w:p>
    <w:bookmarkStart w:id="49" w:name="page50"/>
    <w:bookmarkEnd w:id="49"/>
    <w:p>
      <w:pPr>
        <w:spacing w:after="0" w:line="260" w:lineRule="auto"/>
        <w:rPr>
          <w:sz w:val="20"/>
          <w:szCs w:val="20"/>
          <w:color w:val="auto"/>
        </w:rPr>
      </w:pPr>
      <w:r>
        <w:rPr>
          <w:rFonts w:ascii="Arial" w:cs="Arial" w:eastAsia="Arial" w:hAnsi="Arial"/>
          <w:sz w:val="20"/>
          <w:szCs w:val="20"/>
          <w:color w:val="auto"/>
        </w:rPr>
        <w:t>specifically set forth herein), or prejudice any right which Administrative Agent or any Lender may have under or in connection with the Credit Agreement.</w:t>
      </w:r>
    </w:p>
    <w:p>
      <w:pPr>
        <w:spacing w:after="0" w:line="171" w:lineRule="exact"/>
        <w:rPr>
          <w:sz w:val="20"/>
          <w:szCs w:val="20"/>
          <w:color w:val="auto"/>
        </w:rPr>
      </w:pPr>
    </w:p>
    <w:p>
      <w:pPr>
        <w:jc w:val="both"/>
        <w:ind w:firstLine="656"/>
        <w:spacing w:after="0" w:line="277" w:lineRule="auto"/>
        <w:tabs>
          <w:tab w:leader="none" w:pos="1017"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Amendment is a “Loan Paper” as defined in the Credit Agreement. This Amendment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construed in accordance with, the laws of the State of New York. The captions in this Amendment are for convenience of reference only and shall not define or limit the provisions hereof. This Amendment may be executed in separate counterparts, each of which when so executed and delivered shall be an original, but all of which together shall constitute one instrument. In proving this Amendment, it shall not be necessary to produce or account for more than one such counterpart. Delivery of an executed counterpart of this Amendment by telecopier or other electronic means shall be effective as delivery of a manually executed counterpart of this Amendment.</w:t>
      </w:r>
    </w:p>
    <w:p>
      <w:pPr>
        <w:spacing w:after="0" w:line="160" w:lineRule="exact"/>
        <w:rPr>
          <w:rFonts w:ascii="Arial" w:cs="Arial" w:eastAsia="Arial" w:hAnsi="Arial"/>
          <w:sz w:val="18"/>
          <w:szCs w:val="18"/>
          <w:color w:val="auto"/>
        </w:rPr>
      </w:pPr>
    </w:p>
    <w:p>
      <w:pPr>
        <w:jc w:val="both"/>
        <w:ind w:firstLine="656"/>
        <w:spacing w:after="0" w:line="253" w:lineRule="auto"/>
        <w:tabs>
          <w:tab w:leader="none" w:pos="1004"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Credit Agreement, this Amendment and the other Loan Papers represent the final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and may not be contradicted by evidence of prior, contemporaneous, or subsequent oral agreements of the parties. There are no unwritten oral agreements between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5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16211499_3</w:t>
      </w:r>
      <w:r>
        <w:rPr>
          <w:sz w:val="20"/>
          <w:szCs w:val="20"/>
          <w:color w:val="auto"/>
        </w:rPr>
        <w:tab/>
      </w:r>
      <w:r>
        <w:rPr>
          <w:rFonts w:ascii="Arial" w:cs="Arial" w:eastAsia="Arial" w:hAnsi="Arial"/>
          <w:sz w:val="17"/>
          <w:szCs w:val="17"/>
          <w:color w:val="auto"/>
        </w:rPr>
        <w:t>3</w:t>
      </w:r>
    </w:p>
    <w:p>
      <w:pPr>
        <w:sectPr>
          <w:pgSz w:w="11900" w:h="16838" w:orient="portrait"/>
          <w:cols w:equalWidth="0" w:num="1">
            <w:col w:w="11420"/>
          </w:cols>
          <w:pgMar w:left="240" w:top="366" w:right="239" w:bottom="1440" w:gutter="0" w:footer="0" w:header="0"/>
        </w:sectPr>
      </w:pPr>
    </w:p>
    <w:bookmarkStart w:id="50" w:name="page51"/>
    <w:bookmarkEnd w:id="5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proper and duly authorized officers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24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Michael Z. Barkin</w:t>
            </w:r>
          </w:p>
        </w:tc>
        <w:tc>
          <w:tcPr>
            <w:tcW w:w="1740" w:type="dxa"/>
            <w:vAlign w:val="bottom"/>
          </w:tcPr>
          <w:p>
            <w:pPr>
              <w:spacing w:after="0"/>
              <w:rPr>
                <w:sz w:val="19"/>
                <w:szCs w:val="19"/>
                <w:color w:val="auto"/>
              </w:rPr>
            </w:pPr>
          </w:p>
        </w:tc>
      </w:tr>
      <w:tr>
        <w:trPr>
          <w:trHeight w:val="233"/>
        </w:trPr>
        <w:tc>
          <w:tcPr>
            <w:tcW w:w="48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rPr>
              <w:t>Michael Z. Barkin</w:t>
            </w:r>
          </w:p>
        </w:tc>
      </w:tr>
      <w:tr>
        <w:trPr>
          <w:trHeight w:val="250"/>
        </w:trPr>
        <w:tc>
          <w:tcPr>
            <w:tcW w:w="48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Seventh Amended and Restated Credit Agreement</w:t>
      </w:r>
    </w:p>
    <w:p>
      <w:pPr>
        <w:sectPr>
          <w:pgSz w:w="11900" w:h="16838" w:orient="portrait"/>
          <w:cols w:equalWidth="0" w:num="1">
            <w:col w:w="11400"/>
          </w:cols>
          <w:pgMar w:left="240" w:top="595" w:right="259" w:bottom="1440" w:gutter="0" w:footer="0" w:header="0"/>
        </w:sectPr>
      </w:pPr>
    </w:p>
    <w:bookmarkStart w:id="51" w:name="page52"/>
    <w:bookmarkEnd w:id="51"/>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Cindy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1326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2900"/>
        <w:spacing w:after="0"/>
        <w:rPr>
          <w:sz w:val="20"/>
          <w:szCs w:val="20"/>
          <w:color w:val="auto"/>
        </w:rPr>
      </w:pPr>
      <w:r>
        <w:rPr>
          <w:rFonts w:ascii="Arial" w:cs="Arial" w:eastAsia="Arial" w:hAnsi="Arial"/>
          <w:sz w:val="20"/>
          <w:szCs w:val="20"/>
          <w:color w:val="auto"/>
        </w:rPr>
        <w:t>Cindy Jordan</w:t>
      </w:r>
    </w:p>
    <w:p>
      <w:pPr>
        <w:ind w:left="2880"/>
        <w:spacing w:after="0"/>
        <w:rPr>
          <w:sz w:val="20"/>
          <w:szCs w:val="20"/>
          <w:color w:val="auto"/>
        </w:rPr>
      </w:pPr>
      <w:r>
        <w:rPr>
          <w:rFonts w:ascii="Arial" w:cs="Arial" w:eastAsia="Arial" w:hAnsi="Arial"/>
          <w:sz w:val="20"/>
          <w:szCs w:val="20"/>
          <w:color w:val="auto"/>
        </w:rPr>
        <w:t>Assistant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2" w:name="page53"/>
    <w:bookmarkEnd w:id="52"/>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an L/C Issuer, a Swing Line Lender,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126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2900"/>
        <w:spacing w:after="0"/>
        <w:rPr>
          <w:sz w:val="20"/>
          <w:szCs w:val="20"/>
          <w:color w:val="auto"/>
        </w:rPr>
      </w:pPr>
      <w:r>
        <w:rPr>
          <w:rFonts w:ascii="Arial" w:cs="Arial" w:eastAsia="Arial" w:hAnsi="Arial"/>
          <w:sz w:val="20"/>
          <w:szCs w:val="20"/>
          <w:color w:val="auto"/>
        </w:rPr>
        <w:t>David McCauley</w:t>
      </w:r>
    </w:p>
    <w:p>
      <w:pPr>
        <w:ind w:left="290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300"/>
          </w:cols>
          <w:pgMar w:left="1440" w:top="589" w:right="1159" w:bottom="1440" w:gutter="0" w:footer="0" w:header="0"/>
        </w:sectPr>
      </w:pPr>
    </w:p>
    <w:bookmarkStart w:id="53" w:name="page54"/>
    <w:bookmarkEnd w:id="53"/>
    <w:p>
      <w:pPr>
        <w:ind w:left="27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200" w:lineRule="exact"/>
        <w:rPr>
          <w:sz w:val="20"/>
          <w:szCs w:val="20"/>
          <w:color w:val="auto"/>
        </w:rPr>
      </w:pPr>
    </w:p>
    <w:p>
      <w:pPr>
        <w:spacing w:after="0" w:line="275"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Greg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-14605</wp:posOffset>
            </wp:positionV>
            <wp:extent cx="13265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ind w:left="2900"/>
        <w:spacing w:after="0"/>
        <w:rPr>
          <w:sz w:val="20"/>
          <w:szCs w:val="20"/>
          <w:color w:val="auto"/>
        </w:rPr>
      </w:pPr>
      <w:r>
        <w:rPr>
          <w:rFonts w:ascii="Arial" w:cs="Arial" w:eastAsia="Arial" w:hAnsi="Arial"/>
          <w:sz w:val="20"/>
          <w:szCs w:val="20"/>
          <w:color w:val="auto"/>
        </w:rPr>
        <w:t>Greg Blanchard</w:t>
      </w:r>
    </w:p>
    <w:p>
      <w:pPr>
        <w:ind w:left="290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4" w:name="page55"/>
    <w:bookmarkEnd w:id="54"/>
    <w:p>
      <w:pPr>
        <w:ind w:left="270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an L/C Issuer, a Revolver</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a Term Loan Lender</w:t>
      </w:r>
    </w:p>
    <w:p>
      <w:pPr>
        <w:spacing w:after="0" w:line="200" w:lineRule="exact"/>
        <w:rPr>
          <w:sz w:val="20"/>
          <w:szCs w:val="20"/>
          <w:color w:val="auto"/>
        </w:rPr>
      </w:pPr>
    </w:p>
    <w:p>
      <w:pPr>
        <w:spacing w:after="0" w:line="39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Jason Powers</w:t>
            </w:r>
          </w:p>
        </w:tc>
      </w:tr>
      <w:tr>
        <w:trPr>
          <w:trHeight w:val="233"/>
        </w:trPr>
        <w:tc>
          <w:tcPr>
            <w:tcW w:w="2580" w:type="dxa"/>
            <w:vAlign w:val="bottom"/>
            <w:gridSpan w:val="3"/>
          </w:tcPr>
          <w:p>
            <w:pPr>
              <w:ind w:left="200"/>
              <w:spacing w:after="0"/>
              <w:rPr>
                <w:sz w:val="20"/>
                <w:szCs w:val="20"/>
                <w:color w:val="auto"/>
              </w:rPr>
            </w:pPr>
            <w:r>
              <w:rPr>
                <w:rFonts w:ascii="Arial" w:cs="Arial" w:eastAsia="Arial" w:hAnsi="Arial"/>
                <w:sz w:val="20"/>
                <w:szCs w:val="20"/>
                <w:color w:val="auto"/>
              </w:rPr>
              <w:t>Name:  Jason Powers</w:t>
            </w:r>
          </w:p>
        </w:tc>
      </w:tr>
      <w:tr>
        <w:trPr>
          <w:trHeight w:val="250"/>
        </w:trPr>
        <w:tc>
          <w:tcPr>
            <w:tcW w:w="640" w:type="dxa"/>
            <w:vAlign w:val="bottom"/>
            <w:gridSpan w:val="2"/>
          </w:tcPr>
          <w:p>
            <w:pPr>
              <w:ind w:left="200"/>
              <w:spacing w:after="0"/>
              <w:rPr>
                <w:sz w:val="20"/>
                <w:szCs w:val="20"/>
                <w:color w:val="auto"/>
              </w:rPr>
            </w:pPr>
            <w:r>
              <w:rPr>
                <w:rFonts w:ascii="Arial" w:cs="Arial" w:eastAsia="Arial" w:hAnsi="Arial"/>
                <w:sz w:val="20"/>
                <w:szCs w:val="20"/>
                <w:color w:val="auto"/>
                <w:w w:val="96"/>
              </w:rPr>
              <w:t>Title:</w:t>
            </w:r>
          </w:p>
        </w:tc>
        <w:tc>
          <w:tcPr>
            <w:tcW w:w="1940" w:type="dxa"/>
            <w:vAlign w:val="bottom"/>
          </w:tcPr>
          <w:p>
            <w:pPr>
              <w:ind w:left="160"/>
              <w:spacing w:after="0"/>
              <w:rPr>
                <w:sz w:val="20"/>
                <w:szCs w:val="20"/>
                <w:color w:val="auto"/>
              </w:rPr>
            </w:pPr>
            <w:r>
              <w:rPr>
                <w:rFonts w:ascii="Arial" w:cs="Arial" w:eastAsia="Arial" w:hAnsi="Arial"/>
                <w:sz w:val="20"/>
                <w:szCs w:val="20"/>
                <w:color w:val="auto"/>
              </w:rPr>
              <w:t>VP</w:t>
            </w:r>
          </w:p>
        </w:tc>
      </w:tr>
    </w:tbl>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Seventh Amended and Restated Credit Agreement</w:t>
      </w:r>
    </w:p>
    <w:p>
      <w:pPr>
        <w:sectPr>
          <w:pgSz w:w="11900" w:h="16838" w:orient="portrait"/>
          <w:cols w:equalWidth="0" w:num="1">
            <w:col w:w="9680"/>
          </w:cols>
          <w:pgMar w:left="1440" w:top="589" w:right="779" w:bottom="1440" w:gutter="0" w:footer="0" w:header="0"/>
        </w:sectPr>
      </w:pPr>
    </w:p>
    <w:bookmarkStart w:id="55" w:name="page56"/>
    <w:bookmarkEnd w:id="55"/>
    <w:p>
      <w:pPr>
        <w:ind w:left="2700"/>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Justin Lien</w:t>
            </w:r>
          </w:p>
        </w:tc>
      </w:tr>
      <w:tr>
        <w:trPr>
          <w:trHeight w:val="233"/>
        </w:trPr>
        <w:tc>
          <w:tcPr>
            <w:tcW w:w="2580" w:type="dxa"/>
            <w:vAlign w:val="bottom"/>
            <w:gridSpan w:val="3"/>
          </w:tcPr>
          <w:p>
            <w:pPr>
              <w:ind w:left="200"/>
              <w:spacing w:after="0"/>
              <w:rPr>
                <w:sz w:val="20"/>
                <w:szCs w:val="20"/>
                <w:color w:val="auto"/>
              </w:rPr>
            </w:pPr>
            <w:r>
              <w:rPr>
                <w:rFonts w:ascii="Arial" w:cs="Arial" w:eastAsia="Arial" w:hAnsi="Arial"/>
                <w:sz w:val="20"/>
                <w:szCs w:val="20"/>
                <w:color w:val="auto"/>
              </w:rPr>
              <w:t>Name:  Justin Lien</w:t>
            </w:r>
          </w:p>
        </w:tc>
      </w:tr>
      <w:tr>
        <w:trPr>
          <w:trHeight w:val="250"/>
        </w:trPr>
        <w:tc>
          <w:tcPr>
            <w:tcW w:w="640" w:type="dxa"/>
            <w:vAlign w:val="bottom"/>
            <w:gridSpan w:val="2"/>
          </w:tcPr>
          <w:p>
            <w:pPr>
              <w:ind w:left="200"/>
              <w:spacing w:after="0"/>
              <w:rPr>
                <w:sz w:val="20"/>
                <w:szCs w:val="20"/>
                <w:color w:val="auto"/>
              </w:rPr>
            </w:pPr>
            <w:r>
              <w:rPr>
                <w:rFonts w:ascii="Arial" w:cs="Arial" w:eastAsia="Arial" w:hAnsi="Arial"/>
                <w:sz w:val="20"/>
                <w:szCs w:val="20"/>
                <w:color w:val="auto"/>
                <w:w w:val="96"/>
              </w:rPr>
              <w:t>Title:</w:t>
            </w:r>
          </w:p>
        </w:tc>
        <w:tc>
          <w:tcPr>
            <w:tcW w:w="1940" w:type="dxa"/>
            <w:vAlign w:val="bottom"/>
          </w:tcPr>
          <w:p>
            <w:pPr>
              <w:ind w:left="18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89" w:right="1440" w:bottom="1440" w:gutter="0" w:footer="0" w:header="0"/>
        </w:sectPr>
      </w:pPr>
    </w:p>
    <w:bookmarkStart w:id="56" w:name="page57"/>
    <w:bookmarkEnd w:id="56"/>
    <w:p>
      <w:pPr>
        <w:ind w:left="2700"/>
        <w:spacing w:after="0" w:line="267" w:lineRule="auto"/>
        <w:rPr>
          <w:sz w:val="20"/>
          <w:szCs w:val="20"/>
          <w:color w:val="auto"/>
        </w:rPr>
      </w:pPr>
      <w:r>
        <w:rPr>
          <w:rFonts w:ascii="Arial" w:cs="Arial" w:eastAsia="Arial" w:hAnsi="Arial"/>
          <w:sz w:val="20"/>
          <w:szCs w:val="20"/>
          <w:b w:val="1"/>
          <w:bCs w:val="1"/>
          <w:color w:val="auto"/>
        </w:rPr>
        <w:t>BOKF, N.A. DBA COLORADO STATE BANK &amp; TRUST</w:t>
      </w:r>
      <w:r>
        <w:rPr>
          <w:rFonts w:ascii="Arial" w:cs="Arial" w:eastAsia="Arial" w:hAnsi="Arial"/>
          <w:sz w:val="20"/>
          <w:szCs w:val="20"/>
          <w:color w:val="auto"/>
        </w:rPr>
        <w:t>, as a Revolver Lender and a</w:t>
      </w:r>
      <w:r>
        <w:rPr>
          <w:rFonts w:ascii="Arial" w:cs="Arial" w:eastAsia="Arial" w:hAnsi="Arial"/>
          <w:sz w:val="20"/>
          <w:szCs w:val="20"/>
          <w:b w:val="1"/>
          <w:bCs w:val="1"/>
          <w:color w:val="auto"/>
        </w:rPr>
        <w:t xml:space="preserve"> </w:t>
      </w:r>
      <w:r>
        <w:rPr>
          <w:rFonts w:ascii="Arial" w:cs="Arial" w:eastAsia="Arial" w:hAnsi="Arial"/>
          <w:sz w:val="20"/>
          <w:szCs w:val="20"/>
          <w:color w:val="auto"/>
        </w:rPr>
        <w:t>Term Loan Lender</w:t>
      </w:r>
    </w:p>
    <w:p>
      <w:pPr>
        <w:spacing w:after="0" w:line="200" w:lineRule="exact"/>
        <w:rPr>
          <w:sz w:val="20"/>
          <w:szCs w:val="20"/>
          <w:color w:val="auto"/>
        </w:rPr>
      </w:pPr>
    </w:p>
    <w:p>
      <w:pPr>
        <w:spacing w:after="0" w:line="39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Chris Golec</w:t>
            </w:r>
          </w:p>
        </w:tc>
      </w:tr>
      <w:tr>
        <w:trPr>
          <w:trHeight w:val="233"/>
        </w:trPr>
        <w:tc>
          <w:tcPr>
            <w:tcW w:w="2660" w:type="dxa"/>
            <w:vAlign w:val="bottom"/>
            <w:gridSpan w:val="3"/>
          </w:tcPr>
          <w:p>
            <w:pPr>
              <w:ind w:left="200"/>
              <w:spacing w:after="0"/>
              <w:rPr>
                <w:sz w:val="20"/>
                <w:szCs w:val="20"/>
                <w:color w:val="auto"/>
              </w:rPr>
            </w:pPr>
            <w:r>
              <w:rPr>
                <w:rFonts w:ascii="Arial" w:cs="Arial" w:eastAsia="Arial" w:hAnsi="Arial"/>
                <w:sz w:val="20"/>
                <w:szCs w:val="20"/>
                <w:color w:val="auto"/>
              </w:rPr>
              <w:t>Name:  Chris Golec</w:t>
            </w:r>
          </w:p>
        </w:tc>
      </w:tr>
      <w:tr>
        <w:trPr>
          <w:trHeight w:val="250"/>
        </w:trPr>
        <w:tc>
          <w:tcPr>
            <w:tcW w:w="640" w:type="dxa"/>
            <w:vAlign w:val="bottom"/>
            <w:gridSpan w:val="2"/>
          </w:tcPr>
          <w:p>
            <w:pPr>
              <w:ind w:left="200"/>
              <w:spacing w:after="0"/>
              <w:rPr>
                <w:sz w:val="20"/>
                <w:szCs w:val="20"/>
                <w:color w:val="auto"/>
              </w:rPr>
            </w:pPr>
            <w:r>
              <w:rPr>
                <w:rFonts w:ascii="Arial" w:cs="Arial" w:eastAsia="Arial" w:hAnsi="Arial"/>
                <w:sz w:val="20"/>
                <w:szCs w:val="20"/>
                <w:color w:val="auto"/>
                <w:w w:val="96"/>
              </w:rPr>
              <w:t>Title:</w:t>
            </w:r>
          </w:p>
        </w:tc>
        <w:tc>
          <w:tcPr>
            <w:tcW w:w="2020" w:type="dxa"/>
            <w:vAlign w:val="bottom"/>
          </w:tcPr>
          <w:p>
            <w:pPr>
              <w:ind w:left="16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Seventh Amended and Restated Credit Agreement</w:t>
      </w:r>
    </w:p>
    <w:p>
      <w:pPr>
        <w:sectPr>
          <w:pgSz w:w="11900" w:h="16838" w:orient="portrait"/>
          <w:cols w:equalWidth="0" w:num="1">
            <w:col w:w="9880"/>
          </w:cols>
          <w:pgMar w:left="1440" w:top="1035" w:right="579" w:bottom="1440" w:gutter="0" w:footer="0" w:header="0"/>
        </w:sectPr>
      </w:pPr>
    </w:p>
    <w:bookmarkStart w:id="57" w:name="page58"/>
    <w:bookmarkEnd w:id="57"/>
    <w:p>
      <w:pPr>
        <w:ind w:left="270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Vail Resorts,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 Media Associates, Inc.</w:t>
      </w:r>
    </w:p>
    <w:p>
      <w:pPr>
        <w:ind w:left="2700"/>
        <w:spacing w:after="0"/>
        <w:rPr>
          <w:sz w:val="20"/>
          <w:szCs w:val="20"/>
          <w:color w:val="auto"/>
        </w:rPr>
      </w:pPr>
      <w:r>
        <w:rPr>
          <w:rFonts w:ascii="Arial" w:cs="Arial" w:eastAsia="Arial" w:hAnsi="Arial"/>
          <w:sz w:val="20"/>
          <w:szCs w:val="20"/>
          <w:color w:val="auto"/>
        </w:rPr>
        <w:t>All Media Holdings, Inc.</w:t>
      </w:r>
    </w:p>
    <w:p>
      <w:pPr>
        <w:ind w:left="2700"/>
        <w:spacing w:after="0"/>
        <w:rPr>
          <w:sz w:val="20"/>
          <w:szCs w:val="20"/>
          <w:color w:val="auto"/>
        </w:rPr>
      </w:pPr>
      <w:r>
        <w:rPr>
          <w:rFonts w:ascii="Arial" w:cs="Arial" w:eastAsia="Arial" w:hAnsi="Arial"/>
          <w:sz w:val="20"/>
          <w:szCs w:val="20"/>
          <w:color w:val="auto"/>
        </w:rPr>
        <w:t>Arrabelle at Vail Square,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Beaver Creek Associates, Inc.</w:t>
      </w:r>
    </w:p>
    <w:p>
      <w:pPr>
        <w:ind w:left="2700"/>
        <w:spacing w:after="0"/>
        <w:rPr>
          <w:sz w:val="20"/>
          <w:szCs w:val="20"/>
          <w:color w:val="auto"/>
        </w:rPr>
      </w:pPr>
      <w:r>
        <w:rPr>
          <w:rFonts w:ascii="Arial" w:cs="Arial" w:eastAsia="Arial" w:hAnsi="Arial"/>
          <w:sz w:val="20"/>
          <w:szCs w:val="20"/>
          <w:color w:val="auto"/>
        </w:rPr>
        <w:t>Beaver Creek Consultants, Inc.</w:t>
      </w:r>
    </w:p>
    <w:p>
      <w:pPr>
        <w:ind w:left="2700"/>
        <w:spacing w:after="0"/>
        <w:rPr>
          <w:sz w:val="20"/>
          <w:szCs w:val="20"/>
          <w:color w:val="auto"/>
        </w:rPr>
      </w:pPr>
      <w:r>
        <w:rPr>
          <w:rFonts w:ascii="Arial" w:cs="Arial" w:eastAsia="Arial" w:hAnsi="Arial"/>
          <w:sz w:val="20"/>
          <w:szCs w:val="20"/>
          <w:color w:val="auto"/>
        </w:rPr>
        <w:t>Beaver Creek Food Services, Inc.</w:t>
      </w:r>
    </w:p>
    <w:p>
      <w:pPr>
        <w:ind w:left="2700"/>
        <w:spacing w:after="0"/>
        <w:rPr>
          <w:sz w:val="20"/>
          <w:szCs w:val="20"/>
          <w:color w:val="auto"/>
        </w:rPr>
      </w:pPr>
      <w:r>
        <w:rPr>
          <w:rFonts w:ascii="Arial" w:cs="Arial" w:eastAsia="Arial" w:hAnsi="Arial"/>
          <w:sz w:val="20"/>
          <w:szCs w:val="20"/>
          <w:color w:val="auto"/>
        </w:rPr>
        <w:t>Booth Creek Ski Holdings, Inc.</w:t>
      </w:r>
    </w:p>
    <w:p>
      <w:pPr>
        <w:ind w:left="2700"/>
        <w:spacing w:after="0"/>
        <w:rPr>
          <w:sz w:val="20"/>
          <w:szCs w:val="20"/>
          <w:color w:val="auto"/>
        </w:rPr>
      </w:pPr>
      <w:r>
        <w:rPr>
          <w:rFonts w:ascii="Arial" w:cs="Arial" w:eastAsia="Arial" w:hAnsi="Arial"/>
          <w:sz w:val="20"/>
          <w:szCs w:val="20"/>
          <w:color w:val="auto"/>
        </w:rPr>
        <w:t>BCRP Inc.</w:t>
      </w:r>
    </w:p>
    <w:p>
      <w:pPr>
        <w:ind w:left="2700"/>
        <w:spacing w:after="0"/>
        <w:rPr>
          <w:sz w:val="20"/>
          <w:szCs w:val="20"/>
          <w:color w:val="auto"/>
        </w:rPr>
      </w:pPr>
      <w:r>
        <w:rPr>
          <w:rFonts w:ascii="Arial" w:cs="Arial" w:eastAsia="Arial" w:hAnsi="Arial"/>
          <w:sz w:val="20"/>
          <w:szCs w:val="20"/>
          <w:color w:val="auto"/>
        </w:rPr>
        <w:t>Breckenridge Resort Properties, Inc.</w:t>
      </w:r>
    </w:p>
    <w:p>
      <w:pPr>
        <w:ind w:left="2700"/>
        <w:spacing w:after="0"/>
        <w:rPr>
          <w:sz w:val="20"/>
          <w:szCs w:val="20"/>
          <w:color w:val="auto"/>
        </w:rPr>
      </w:pPr>
      <w:r>
        <w:rPr>
          <w:rFonts w:ascii="Arial" w:cs="Arial" w:eastAsia="Arial" w:hAnsi="Arial"/>
          <w:sz w:val="20"/>
          <w:szCs w:val="20"/>
          <w:color w:val="auto"/>
        </w:rPr>
        <w:t>Colorado Mountain Express, Inc.</w:t>
      </w:r>
    </w:p>
    <w:p>
      <w:pPr>
        <w:ind w:left="2700"/>
        <w:spacing w:after="0"/>
        <w:rPr>
          <w:sz w:val="20"/>
          <w:szCs w:val="20"/>
          <w:color w:val="auto"/>
        </w:rPr>
      </w:pPr>
      <w:r>
        <w:rPr>
          <w:rFonts w:ascii="Arial" w:cs="Arial" w:eastAsia="Arial" w:hAnsi="Arial"/>
          <w:sz w:val="20"/>
          <w:szCs w:val="20"/>
          <w:color w:val="auto"/>
        </w:rPr>
        <w:t>Colter Bay Café Court,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Convenience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Corporation</w:t>
      </w:r>
    </w:p>
    <w:p>
      <w:pPr>
        <w:ind w:left="2700"/>
        <w:spacing w:after="0"/>
        <w:rPr>
          <w:sz w:val="20"/>
          <w:szCs w:val="20"/>
          <w:color w:val="auto"/>
        </w:rPr>
      </w:pPr>
      <w:r>
        <w:rPr>
          <w:rFonts w:ascii="Arial" w:cs="Arial" w:eastAsia="Arial" w:hAnsi="Arial"/>
          <w:sz w:val="20"/>
          <w:szCs w:val="20"/>
          <w:color w:val="auto"/>
        </w:rPr>
        <w:t>Colter Bay General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Colter Bay Marina,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Crystal Peak Lodge of Breckenridge, Inc.</w:t>
      </w:r>
    </w:p>
    <w:p>
      <w:pPr>
        <w:ind w:left="2700"/>
        <w:spacing w:after="0"/>
        <w:rPr>
          <w:sz w:val="20"/>
          <w:szCs w:val="20"/>
          <w:color w:val="auto"/>
        </w:rPr>
      </w:pPr>
      <w:r>
        <w:rPr>
          <w:rFonts w:ascii="Arial" w:cs="Arial" w:eastAsia="Arial" w:hAnsi="Arial"/>
          <w:sz w:val="20"/>
          <w:szCs w:val="20"/>
          <w:color w:val="auto"/>
        </w:rPr>
        <w:t>DTPC,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EpicSki, Inc.</w:t>
      </w:r>
    </w:p>
    <w:p>
      <w:pPr>
        <w:ind w:left="2700"/>
        <w:spacing w:after="0"/>
        <w:rPr>
          <w:sz w:val="20"/>
          <w:szCs w:val="20"/>
          <w:color w:val="auto"/>
        </w:rPr>
      </w:pPr>
      <w:r>
        <w:rPr>
          <w:rFonts w:ascii="Arial" w:cs="Arial" w:eastAsia="Arial" w:hAnsi="Arial"/>
          <w:sz w:val="20"/>
          <w:szCs w:val="20"/>
          <w:color w:val="auto"/>
        </w:rPr>
        <w:t>Flagg Ranch Company</w:t>
      </w:r>
    </w:p>
    <w:p>
      <w:pPr>
        <w:ind w:left="2700"/>
        <w:spacing w:after="0"/>
        <w:rPr>
          <w:sz w:val="20"/>
          <w:szCs w:val="20"/>
          <w:color w:val="auto"/>
        </w:rPr>
      </w:pPr>
      <w:r>
        <w:rPr>
          <w:rFonts w:ascii="Arial" w:cs="Arial" w:eastAsia="Arial" w:hAnsi="Arial"/>
          <w:sz w:val="20"/>
          <w:szCs w:val="20"/>
          <w:color w:val="auto"/>
        </w:rPr>
        <w:t>Gillett Broadcasting, Inc.</w:t>
      </w:r>
    </w:p>
    <w:p>
      <w:pPr>
        <w:ind w:left="2700"/>
        <w:spacing w:after="0"/>
        <w:rPr>
          <w:sz w:val="20"/>
          <w:szCs w:val="20"/>
          <w:color w:val="auto"/>
        </w:rPr>
      </w:pPr>
      <w:r>
        <w:rPr>
          <w:rFonts w:ascii="Arial" w:cs="Arial" w:eastAsia="Arial" w:hAnsi="Arial"/>
          <w:sz w:val="20"/>
          <w:szCs w:val="20"/>
          <w:color w:val="auto"/>
        </w:rPr>
        <w:t>Grand Teton Lodge Company</w:t>
      </w:r>
    </w:p>
    <w:p>
      <w:pPr>
        <w:ind w:left="2700"/>
        <w:spacing w:after="0"/>
        <w:rPr>
          <w:sz w:val="20"/>
          <w:szCs w:val="20"/>
          <w:color w:val="auto"/>
        </w:rPr>
      </w:pPr>
      <w:r>
        <w:rPr>
          <w:rFonts w:ascii="Arial" w:cs="Arial" w:eastAsia="Arial" w:hAnsi="Arial"/>
          <w:sz w:val="20"/>
          <w:szCs w:val="20"/>
          <w:color w:val="auto"/>
        </w:rPr>
        <w:t>Heavenly Valley, Limited Partnership</w:t>
      </w:r>
    </w:p>
    <w:p>
      <w:pPr>
        <w:ind w:left="334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HPK,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HVLP Kirkwood Services, LLC</w:t>
      </w:r>
    </w:p>
    <w:p>
      <w:pPr>
        <w:ind w:left="3340"/>
        <w:spacing w:after="0"/>
        <w:rPr>
          <w:sz w:val="20"/>
          <w:szCs w:val="20"/>
          <w:color w:val="auto"/>
        </w:rPr>
      </w:pPr>
      <w:r>
        <w:rPr>
          <w:rFonts w:ascii="Arial" w:cs="Arial" w:eastAsia="Arial" w:hAnsi="Arial"/>
          <w:sz w:val="19"/>
          <w:szCs w:val="19"/>
          <w:color w:val="auto"/>
        </w:rPr>
        <w:t>By: Heavenly Valley, Limited Partnership</w:t>
      </w:r>
    </w:p>
    <w:p>
      <w:pPr>
        <w:spacing w:after="0" w:line="1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VR Heavenly I, Inc.</w:t>
      </w:r>
    </w:p>
    <w:p>
      <w:pPr>
        <w:ind w:left="2700"/>
        <w:spacing w:after="0"/>
        <w:rPr>
          <w:sz w:val="20"/>
          <w:szCs w:val="20"/>
          <w:color w:val="auto"/>
        </w:rPr>
      </w:pPr>
      <w:r>
        <w:rPr>
          <w:rFonts w:ascii="Arial" w:cs="Arial" w:eastAsia="Arial" w:hAnsi="Arial"/>
          <w:sz w:val="20"/>
          <w:szCs w:val="20"/>
          <w:color w:val="auto"/>
        </w:rPr>
        <w:t>Jackson Hole Golf and Tennis Club, Inc.</w:t>
      </w:r>
    </w:p>
    <w:p>
      <w:pPr>
        <w:ind w:left="2700"/>
        <w:spacing w:after="0"/>
        <w:rPr>
          <w:sz w:val="20"/>
          <w:szCs w:val="20"/>
          <w:color w:val="auto"/>
        </w:rPr>
      </w:pPr>
      <w:r>
        <w:rPr>
          <w:rFonts w:ascii="Arial" w:cs="Arial" w:eastAsia="Arial" w:hAnsi="Arial"/>
          <w:sz w:val="18"/>
          <w:szCs w:val="18"/>
          <w:color w:val="auto"/>
        </w:rPr>
        <w:t>Jackson Hole Golf &amp; Tennis Club Snack Shack,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Jackson Lake Lodge Corporation</w:t>
      </w:r>
    </w:p>
    <w:p>
      <w:pPr>
        <w:ind w:left="2700"/>
        <w:spacing w:after="0"/>
        <w:rPr>
          <w:sz w:val="20"/>
          <w:szCs w:val="20"/>
          <w:color w:val="auto"/>
        </w:rPr>
      </w:pPr>
      <w:r>
        <w:rPr>
          <w:rFonts w:ascii="Arial" w:cs="Arial" w:eastAsia="Arial" w:hAnsi="Arial"/>
          <w:sz w:val="20"/>
          <w:szCs w:val="20"/>
          <w:color w:val="auto"/>
        </w:rPr>
        <w:t>Jenny Lake Lodge, Inc.</w:t>
      </w:r>
    </w:p>
    <w:p>
      <w:pPr>
        <w:ind w:left="2700"/>
        <w:spacing w:after="0"/>
        <w:rPr>
          <w:sz w:val="20"/>
          <w:szCs w:val="20"/>
          <w:color w:val="auto"/>
        </w:rPr>
      </w:pPr>
      <w:r>
        <w:rPr>
          <w:rFonts w:ascii="Arial" w:cs="Arial" w:eastAsia="Arial" w:hAnsi="Arial"/>
          <w:sz w:val="20"/>
          <w:szCs w:val="20"/>
          <w:color w:val="auto"/>
        </w:rPr>
        <w:t>Jenny Lake Store,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JHL&amp;S LLC</w:t>
      </w:r>
    </w:p>
    <w:p>
      <w:pPr>
        <w:ind w:left="3340"/>
        <w:spacing w:after="0"/>
        <w:rPr>
          <w:sz w:val="20"/>
          <w:szCs w:val="20"/>
          <w:color w:val="auto"/>
        </w:rPr>
      </w:pPr>
      <w:r>
        <w:rPr>
          <w:rFonts w:ascii="Arial" w:cs="Arial" w:eastAsia="Arial" w:hAnsi="Arial"/>
          <w:sz w:val="20"/>
          <w:szCs w:val="20"/>
          <w:color w:val="auto"/>
        </w:rPr>
        <w:t>By: Teton Hospitality Services, Inc.</w:t>
      </w:r>
    </w:p>
    <w:p>
      <w:pPr>
        <w:ind w:left="2700"/>
        <w:spacing w:after="0"/>
        <w:rPr>
          <w:sz w:val="20"/>
          <w:szCs w:val="20"/>
          <w:color w:val="auto"/>
        </w:rPr>
      </w:pPr>
      <w:r>
        <w:rPr>
          <w:rFonts w:ascii="Arial" w:cs="Arial" w:eastAsia="Arial" w:hAnsi="Arial"/>
          <w:sz w:val="20"/>
          <w:szCs w:val="20"/>
          <w:color w:val="auto"/>
        </w:rPr>
        <w:t>Keystone Conference Services,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58" w:name="page59"/>
    <w:bookmarkEnd w:id="58"/>
    <w:p>
      <w:pPr>
        <w:ind w:left="2700"/>
        <w:spacing w:after="0"/>
        <w:rPr>
          <w:sz w:val="20"/>
          <w:szCs w:val="20"/>
          <w:color w:val="auto"/>
        </w:rPr>
      </w:pPr>
      <w:r>
        <w:rPr>
          <w:rFonts w:ascii="Arial" w:cs="Arial" w:eastAsia="Arial" w:hAnsi="Arial"/>
          <w:sz w:val="20"/>
          <w:szCs w:val="20"/>
          <w:color w:val="auto"/>
        </w:rPr>
        <w:t>Keystone Development Sales,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Keystone Food &amp; Beverage Company</w:t>
      </w:r>
    </w:p>
    <w:p>
      <w:pPr>
        <w:ind w:left="2700"/>
        <w:spacing w:after="0"/>
        <w:rPr>
          <w:sz w:val="20"/>
          <w:szCs w:val="20"/>
          <w:color w:val="auto"/>
        </w:rPr>
      </w:pPr>
      <w:r>
        <w:rPr>
          <w:rFonts w:ascii="Arial" w:cs="Arial" w:eastAsia="Arial" w:hAnsi="Arial"/>
          <w:sz w:val="16"/>
          <w:szCs w:val="16"/>
          <w:color w:val="auto"/>
        </w:rPr>
        <w:t>Keystone Resort Property Management Company</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Lake Tahoe Lodging Company</w:t>
      </w:r>
    </w:p>
    <w:p>
      <w:pPr>
        <w:ind w:left="2700"/>
        <w:spacing w:after="0"/>
        <w:rPr>
          <w:sz w:val="20"/>
          <w:szCs w:val="20"/>
          <w:color w:val="auto"/>
        </w:rPr>
      </w:pPr>
      <w:r>
        <w:rPr>
          <w:rFonts w:ascii="Arial" w:cs="Arial" w:eastAsia="Arial" w:hAnsi="Arial"/>
          <w:sz w:val="20"/>
          <w:szCs w:val="20"/>
          <w:color w:val="auto"/>
        </w:rPr>
        <w:t>Lodge Properties Inc.</w:t>
      </w:r>
    </w:p>
    <w:p>
      <w:pPr>
        <w:ind w:left="2700"/>
        <w:spacing w:after="0"/>
        <w:rPr>
          <w:sz w:val="20"/>
          <w:szCs w:val="20"/>
          <w:color w:val="auto"/>
        </w:rPr>
      </w:pPr>
      <w:r>
        <w:rPr>
          <w:rFonts w:ascii="Arial" w:cs="Arial" w:eastAsia="Arial" w:hAnsi="Arial"/>
          <w:sz w:val="20"/>
          <w:szCs w:val="20"/>
          <w:color w:val="auto"/>
        </w:rPr>
        <w:t>Lodge Realty, Inc.</w:t>
      </w:r>
    </w:p>
    <w:p>
      <w:pPr>
        <w:ind w:left="2700"/>
        <w:spacing w:after="0"/>
        <w:rPr>
          <w:sz w:val="20"/>
          <w:szCs w:val="20"/>
          <w:color w:val="auto"/>
        </w:rPr>
      </w:pPr>
      <w:r>
        <w:rPr>
          <w:rFonts w:ascii="Arial" w:cs="Arial" w:eastAsia="Arial" w:hAnsi="Arial"/>
          <w:sz w:val="20"/>
          <w:szCs w:val="20"/>
          <w:color w:val="auto"/>
        </w:rPr>
        <w:t>La Posada Beverage Service,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National Park Hospitality Company</w:t>
      </w:r>
    </w:p>
    <w:p>
      <w:pPr>
        <w:ind w:left="2700"/>
        <w:spacing w:after="0"/>
        <w:rPr>
          <w:sz w:val="20"/>
          <w:szCs w:val="20"/>
          <w:color w:val="auto"/>
        </w:rPr>
      </w:pPr>
      <w:r>
        <w:rPr>
          <w:rFonts w:ascii="Arial" w:cs="Arial" w:eastAsia="Arial" w:hAnsi="Arial"/>
          <w:sz w:val="19"/>
          <w:szCs w:val="19"/>
          <w:color w:val="auto"/>
        </w:rPr>
        <w:t>Northstar Group Commercial Properties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20"/>
          <w:szCs w:val="20"/>
          <w:color w:val="auto"/>
        </w:rPr>
        <w:t>Northstar Group Restaurant Properties, LLC</w:t>
      </w:r>
    </w:p>
    <w:p>
      <w:pPr>
        <w:ind w:left="3340"/>
        <w:spacing w:after="0"/>
        <w:rPr>
          <w:sz w:val="20"/>
          <w:szCs w:val="20"/>
          <w:color w:val="auto"/>
        </w:rPr>
      </w:pPr>
      <w:r>
        <w:rPr>
          <w:rFonts w:ascii="Arial" w:cs="Arial" w:eastAsia="Arial" w:hAnsi="Arial"/>
          <w:sz w:val="20"/>
          <w:szCs w:val="20"/>
          <w:color w:val="auto"/>
        </w:rPr>
        <w:t>By: VR Acquisition, Inc.</w:t>
      </w:r>
    </w:p>
    <w:p>
      <w:pPr>
        <w:ind w:left="2700"/>
        <w:spacing w:after="0"/>
        <w:rPr>
          <w:sz w:val="20"/>
          <w:szCs w:val="20"/>
          <w:color w:val="auto"/>
        </w:rPr>
      </w:pPr>
      <w:r>
        <w:rPr>
          <w:rFonts w:ascii="Arial" w:cs="Arial" w:eastAsia="Arial" w:hAnsi="Arial"/>
          <w:sz w:val="20"/>
          <w:szCs w:val="20"/>
          <w:color w:val="auto"/>
        </w:rPr>
        <w:t>One Ski Hill Place,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Property Management Acquisition Corp., Inc.</w:t>
      </w:r>
    </w:p>
    <w:p>
      <w:pPr>
        <w:spacing w:after="0" w:line="1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RCR Vail, LLC</w:t>
      </w:r>
    </w:p>
    <w:p>
      <w:pPr>
        <w:ind w:left="3340"/>
        <w:spacing w:after="0"/>
        <w:rPr>
          <w:sz w:val="20"/>
          <w:szCs w:val="20"/>
          <w:color w:val="auto"/>
        </w:rPr>
      </w:pPr>
      <w:r>
        <w:rPr>
          <w:rFonts w:ascii="Arial" w:cs="Arial" w:eastAsia="Arial" w:hAnsi="Arial"/>
          <w:sz w:val="18"/>
          <w:szCs w:val="18"/>
          <w:color w:val="auto"/>
        </w:rPr>
        <w:t>By: Vail Resorts Development Company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Rockresorts Arrabelle,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9"/>
          <w:szCs w:val="19"/>
          <w:color w:val="auto"/>
        </w:rPr>
        <w:t>Rockresorts Cordillera Lodge Company, LLC</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DR,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Equinox, Inc.</w:t>
      </w:r>
    </w:p>
    <w:p>
      <w:pPr>
        <w:ind w:left="2700"/>
        <w:spacing w:after="0"/>
        <w:rPr>
          <w:sz w:val="20"/>
          <w:szCs w:val="20"/>
          <w:color w:val="auto"/>
        </w:rPr>
      </w:pPr>
      <w:r>
        <w:rPr>
          <w:rFonts w:ascii="Arial" w:cs="Arial" w:eastAsia="Arial" w:hAnsi="Arial"/>
          <w:sz w:val="20"/>
          <w:szCs w:val="20"/>
          <w:color w:val="auto"/>
        </w:rPr>
        <w:t>Rockresorts Hotel Jerome,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International, LLC</w:t>
      </w:r>
    </w:p>
    <w:p>
      <w:pPr>
        <w:ind w:left="334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18"/>
          <w:szCs w:val="18"/>
          <w:color w:val="auto"/>
        </w:rPr>
        <w:t>Rockresorts International Management Company</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Ski Tip,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Rockresorts Wyoming,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Soho Development, LLC</w:t>
      </w:r>
    </w:p>
    <w:p>
      <w:pPr>
        <w:ind w:left="2700"/>
        <w:spacing w:after="0"/>
        <w:rPr>
          <w:sz w:val="20"/>
          <w:szCs w:val="20"/>
          <w:color w:val="auto"/>
        </w:rPr>
      </w:pPr>
      <w:r>
        <w:rPr>
          <w:rFonts w:ascii="Arial" w:cs="Arial" w:eastAsia="Arial" w:hAnsi="Arial"/>
          <w:sz w:val="20"/>
          <w:szCs w:val="20"/>
          <w:color w:val="auto"/>
        </w:rPr>
        <w:t>By: Vail Associates Holdings, Ltd.</w:t>
      </w:r>
    </w:p>
    <w:p>
      <w:pPr>
        <w:ind w:left="2700"/>
        <w:spacing w:after="0"/>
        <w:rPr>
          <w:sz w:val="20"/>
          <w:szCs w:val="20"/>
          <w:color w:val="auto"/>
        </w:rPr>
      </w:pPr>
      <w:r>
        <w:rPr>
          <w:rFonts w:ascii="Arial" w:cs="Arial" w:eastAsia="Arial" w:hAnsi="Arial"/>
          <w:sz w:val="20"/>
          <w:szCs w:val="20"/>
          <w:color w:val="auto"/>
        </w:rPr>
        <w:t>SSI Venture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59" w:name="page60"/>
    <w:bookmarkEnd w:id="59"/>
    <w:p>
      <w:pPr>
        <w:jc w:val="right"/>
        <w:ind w:right="559"/>
        <w:spacing w:after="0"/>
        <w:rPr>
          <w:sz w:val="20"/>
          <w:szCs w:val="20"/>
          <w:color w:val="auto"/>
        </w:rPr>
      </w:pPr>
      <w:r>
        <w:rPr>
          <w:rFonts w:ascii="Arial" w:cs="Arial" w:eastAsia="Arial" w:hAnsi="Arial"/>
          <w:sz w:val="20"/>
          <w:szCs w:val="20"/>
          <w:color w:val="auto"/>
        </w:rPr>
        <w:t>By: SSV Holdings,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SSV Online Holdings, Inc.</w:t>
      </w:r>
    </w:p>
    <w:p>
      <w:pPr>
        <w:ind w:left="2700"/>
        <w:spacing w:after="0"/>
        <w:rPr>
          <w:sz w:val="20"/>
          <w:szCs w:val="20"/>
          <w:color w:val="auto"/>
        </w:rPr>
      </w:pPr>
      <w:r>
        <w:rPr>
          <w:rFonts w:ascii="Arial" w:cs="Arial" w:eastAsia="Arial" w:hAnsi="Arial"/>
          <w:sz w:val="20"/>
          <w:szCs w:val="20"/>
          <w:color w:val="auto"/>
        </w:rPr>
        <w:t>SSV Online LLC</w:t>
      </w:r>
    </w:p>
    <w:p>
      <w:pPr>
        <w:ind w:left="3340"/>
        <w:spacing w:after="0"/>
        <w:rPr>
          <w:sz w:val="20"/>
          <w:szCs w:val="20"/>
          <w:color w:val="auto"/>
        </w:rPr>
      </w:pPr>
      <w:r>
        <w:rPr>
          <w:rFonts w:ascii="Arial" w:cs="Arial" w:eastAsia="Arial" w:hAnsi="Arial"/>
          <w:sz w:val="20"/>
          <w:szCs w:val="20"/>
          <w:color w:val="auto"/>
        </w:rPr>
        <w:t>By: SSV Holdings, Inc.</w:t>
      </w:r>
    </w:p>
    <w:p>
      <w:pPr>
        <w:ind w:left="2700"/>
        <w:spacing w:after="0"/>
        <w:rPr>
          <w:sz w:val="20"/>
          <w:szCs w:val="20"/>
          <w:color w:val="auto"/>
        </w:rPr>
      </w:pPr>
      <w:r>
        <w:rPr>
          <w:rFonts w:ascii="Arial" w:cs="Arial" w:eastAsia="Arial" w:hAnsi="Arial"/>
          <w:sz w:val="20"/>
          <w:szCs w:val="20"/>
          <w:color w:val="auto"/>
        </w:rPr>
        <w:t>SSV Holdings, Inc.</w:t>
      </w:r>
    </w:p>
    <w:p>
      <w:pPr>
        <w:ind w:left="2700"/>
        <w:spacing w:after="0"/>
        <w:rPr>
          <w:sz w:val="20"/>
          <w:szCs w:val="20"/>
          <w:color w:val="auto"/>
        </w:rPr>
      </w:pPr>
      <w:r>
        <w:rPr>
          <w:rFonts w:ascii="Arial" w:cs="Arial" w:eastAsia="Arial" w:hAnsi="Arial"/>
          <w:sz w:val="20"/>
          <w:szCs w:val="20"/>
          <w:color w:val="auto"/>
        </w:rPr>
        <w:t>Stampede Canteen, LLC</w:t>
      </w:r>
    </w:p>
    <w:p>
      <w:pPr>
        <w:ind w:left="3340"/>
        <w:spacing w:after="0"/>
        <w:rPr>
          <w:sz w:val="20"/>
          <w:szCs w:val="20"/>
          <w:color w:val="auto"/>
        </w:rPr>
      </w:pPr>
      <w:r>
        <w:rPr>
          <w:rFonts w:ascii="Arial" w:cs="Arial" w:eastAsia="Arial" w:hAnsi="Arial"/>
          <w:sz w:val="20"/>
          <w:szCs w:val="20"/>
          <w:color w:val="auto"/>
        </w:rPr>
        <w:t>By: Grand Teton Lodge Company</w:t>
      </w:r>
    </w:p>
    <w:p>
      <w:pPr>
        <w:ind w:left="2700"/>
        <w:spacing w:after="0"/>
        <w:rPr>
          <w:sz w:val="20"/>
          <w:szCs w:val="20"/>
          <w:color w:val="auto"/>
        </w:rPr>
      </w:pPr>
      <w:r>
        <w:rPr>
          <w:rFonts w:ascii="Arial" w:cs="Arial" w:eastAsia="Arial" w:hAnsi="Arial"/>
          <w:sz w:val="20"/>
          <w:szCs w:val="20"/>
          <w:color w:val="auto"/>
        </w:rPr>
        <w:t>Teton Hospitality Services, Inc.</w:t>
      </w:r>
    </w:p>
    <w:p>
      <w:pPr>
        <w:ind w:left="2700"/>
        <w:spacing w:after="0"/>
        <w:rPr>
          <w:sz w:val="20"/>
          <w:szCs w:val="20"/>
          <w:color w:val="auto"/>
        </w:rPr>
      </w:pPr>
      <w:r>
        <w:rPr>
          <w:rFonts w:ascii="Arial" w:cs="Arial" w:eastAsia="Arial" w:hAnsi="Arial"/>
          <w:sz w:val="20"/>
          <w:szCs w:val="20"/>
          <w:color w:val="auto"/>
        </w:rPr>
        <w:t>The Chalets at the Lodge at Vail, LLC</w:t>
      </w:r>
    </w:p>
    <w:p>
      <w:pPr>
        <w:ind w:left="3340"/>
        <w:spacing w:after="0"/>
        <w:rPr>
          <w:sz w:val="20"/>
          <w:szCs w:val="20"/>
          <w:color w:val="auto"/>
        </w:rPr>
      </w:pPr>
      <w:r>
        <w:rPr>
          <w:rFonts w:ascii="Arial" w:cs="Arial" w:eastAsia="Arial" w:hAnsi="Arial"/>
          <w:sz w:val="20"/>
          <w:szCs w:val="20"/>
          <w:color w:val="auto"/>
        </w:rPr>
        <w:t>By: Vail Resorts Development Company</w:t>
      </w:r>
    </w:p>
    <w:p>
      <w:pPr>
        <w:ind w:left="2700"/>
        <w:spacing w:after="0"/>
        <w:rPr>
          <w:sz w:val="20"/>
          <w:szCs w:val="20"/>
          <w:color w:val="auto"/>
        </w:rPr>
      </w:pPr>
      <w:r>
        <w:rPr>
          <w:rFonts w:ascii="Arial" w:cs="Arial" w:eastAsia="Arial" w:hAnsi="Arial"/>
          <w:sz w:val="20"/>
          <w:szCs w:val="20"/>
          <w:color w:val="auto"/>
        </w:rPr>
        <w:t>The Vail Corporation (D/B/A “Vail Associates, Inc.”)</w:t>
      </w:r>
    </w:p>
    <w:p>
      <w:pPr>
        <w:ind w:left="2700"/>
        <w:spacing w:after="0"/>
        <w:rPr>
          <w:sz w:val="20"/>
          <w:szCs w:val="20"/>
          <w:color w:val="auto"/>
        </w:rPr>
      </w:pPr>
      <w:r>
        <w:rPr>
          <w:rFonts w:ascii="Arial" w:cs="Arial" w:eastAsia="Arial" w:hAnsi="Arial"/>
          <w:sz w:val="20"/>
          <w:szCs w:val="20"/>
          <w:color w:val="auto"/>
        </w:rPr>
        <w:t>The Village at Breckenridge Acquisition Corp., Inc.</w:t>
      </w:r>
    </w:p>
    <w:p>
      <w:pPr>
        <w:ind w:left="2700"/>
        <w:spacing w:after="0"/>
        <w:rPr>
          <w:sz w:val="20"/>
          <w:szCs w:val="20"/>
          <w:color w:val="auto"/>
        </w:rPr>
      </w:pPr>
      <w:r>
        <w:rPr>
          <w:rFonts w:ascii="Arial" w:cs="Arial" w:eastAsia="Arial" w:hAnsi="Arial"/>
          <w:sz w:val="20"/>
          <w:szCs w:val="20"/>
          <w:color w:val="auto"/>
        </w:rPr>
        <w:t>Trimont Land Company</w:t>
      </w:r>
    </w:p>
    <w:p>
      <w:pPr>
        <w:ind w:left="2700"/>
        <w:spacing w:after="0"/>
        <w:rPr>
          <w:sz w:val="20"/>
          <w:szCs w:val="20"/>
          <w:color w:val="auto"/>
        </w:rPr>
      </w:pPr>
      <w:r>
        <w:rPr>
          <w:rFonts w:ascii="Arial" w:cs="Arial" w:eastAsia="Arial" w:hAnsi="Arial"/>
          <w:sz w:val="20"/>
          <w:szCs w:val="20"/>
          <w:color w:val="auto"/>
        </w:rPr>
        <w:t>VA Rancho Mirage I, Inc.</w:t>
      </w:r>
    </w:p>
    <w:p>
      <w:pPr>
        <w:ind w:left="2700"/>
        <w:spacing w:after="0"/>
        <w:rPr>
          <w:sz w:val="20"/>
          <w:szCs w:val="20"/>
          <w:color w:val="auto"/>
        </w:rPr>
      </w:pPr>
      <w:r>
        <w:rPr>
          <w:rFonts w:ascii="Arial" w:cs="Arial" w:eastAsia="Arial" w:hAnsi="Arial"/>
          <w:sz w:val="20"/>
          <w:szCs w:val="20"/>
          <w:color w:val="auto"/>
        </w:rPr>
        <w:t>VA Rancho Mirage II, Inc.</w:t>
      </w:r>
    </w:p>
    <w:p>
      <w:pPr>
        <w:ind w:left="2700"/>
        <w:spacing w:after="0"/>
        <w:rPr>
          <w:sz w:val="20"/>
          <w:szCs w:val="20"/>
          <w:color w:val="auto"/>
        </w:rPr>
      </w:pPr>
      <w:r>
        <w:rPr>
          <w:rFonts w:ascii="Arial" w:cs="Arial" w:eastAsia="Arial" w:hAnsi="Arial"/>
          <w:sz w:val="20"/>
          <w:szCs w:val="20"/>
          <w:color w:val="auto"/>
        </w:rPr>
        <w:t>VA Rancho Mirage Resort, L.P.</w:t>
      </w:r>
    </w:p>
    <w:p>
      <w:pPr>
        <w:ind w:left="3340"/>
        <w:spacing w:after="0"/>
        <w:rPr>
          <w:sz w:val="20"/>
          <w:szCs w:val="20"/>
          <w:color w:val="auto"/>
        </w:rPr>
      </w:pPr>
      <w:r>
        <w:rPr>
          <w:rFonts w:ascii="Arial" w:cs="Arial" w:eastAsia="Arial" w:hAnsi="Arial"/>
          <w:sz w:val="20"/>
          <w:szCs w:val="20"/>
          <w:color w:val="auto"/>
        </w:rPr>
        <w:t>By: VA Rancho Mirage I, Inc.</w:t>
      </w:r>
    </w:p>
    <w:p>
      <w:pPr>
        <w:ind w:left="2700"/>
        <w:spacing w:after="0"/>
        <w:rPr>
          <w:sz w:val="20"/>
          <w:szCs w:val="20"/>
          <w:color w:val="auto"/>
        </w:rPr>
      </w:pPr>
      <w:r>
        <w:rPr>
          <w:rFonts w:ascii="Arial" w:cs="Arial" w:eastAsia="Arial" w:hAnsi="Arial"/>
          <w:sz w:val="20"/>
          <w:szCs w:val="20"/>
          <w:color w:val="auto"/>
        </w:rPr>
        <w:t>Vail/Arrowhead, Inc.</w:t>
      </w:r>
    </w:p>
    <w:p>
      <w:pPr>
        <w:ind w:left="2700"/>
        <w:spacing w:after="0"/>
        <w:rPr>
          <w:sz w:val="20"/>
          <w:szCs w:val="20"/>
          <w:color w:val="auto"/>
        </w:rPr>
      </w:pPr>
      <w:r>
        <w:rPr>
          <w:rFonts w:ascii="Arial" w:cs="Arial" w:eastAsia="Arial" w:hAnsi="Arial"/>
          <w:sz w:val="20"/>
          <w:szCs w:val="20"/>
          <w:color w:val="auto"/>
        </w:rPr>
        <w:t>Vail Associates Holdings, Ltd.</w:t>
      </w:r>
    </w:p>
    <w:p>
      <w:pPr>
        <w:ind w:left="2700"/>
        <w:spacing w:after="0"/>
        <w:rPr>
          <w:sz w:val="20"/>
          <w:szCs w:val="20"/>
          <w:color w:val="auto"/>
        </w:rPr>
      </w:pPr>
      <w:r>
        <w:rPr>
          <w:rFonts w:ascii="Arial" w:cs="Arial" w:eastAsia="Arial" w:hAnsi="Arial"/>
          <w:sz w:val="20"/>
          <w:szCs w:val="20"/>
          <w:color w:val="auto"/>
        </w:rPr>
        <w:t>Vail Associates Investments, Inc.</w:t>
      </w:r>
    </w:p>
    <w:p>
      <w:pPr>
        <w:ind w:left="2700"/>
        <w:spacing w:after="0"/>
        <w:rPr>
          <w:sz w:val="20"/>
          <w:szCs w:val="20"/>
          <w:color w:val="auto"/>
        </w:rPr>
      </w:pPr>
      <w:r>
        <w:rPr>
          <w:rFonts w:ascii="Arial" w:cs="Arial" w:eastAsia="Arial" w:hAnsi="Arial"/>
          <w:sz w:val="20"/>
          <w:szCs w:val="20"/>
          <w:color w:val="auto"/>
        </w:rPr>
        <w:t>Vail Associates Real Estate, Inc.</w:t>
      </w:r>
    </w:p>
    <w:p>
      <w:pPr>
        <w:ind w:left="2700"/>
        <w:spacing w:after="0"/>
        <w:rPr>
          <w:sz w:val="20"/>
          <w:szCs w:val="20"/>
          <w:color w:val="auto"/>
        </w:rPr>
      </w:pPr>
      <w:r>
        <w:rPr>
          <w:rFonts w:ascii="Arial" w:cs="Arial" w:eastAsia="Arial" w:hAnsi="Arial"/>
          <w:sz w:val="20"/>
          <w:szCs w:val="20"/>
          <w:color w:val="auto"/>
        </w:rPr>
        <w:t>Vail/Beaver Creek Resort Properties, Inc.</w:t>
      </w:r>
    </w:p>
    <w:p>
      <w:pPr>
        <w:ind w:left="2700"/>
        <w:spacing w:after="0"/>
        <w:rPr>
          <w:sz w:val="20"/>
          <w:szCs w:val="20"/>
          <w:color w:val="auto"/>
        </w:rPr>
      </w:pPr>
      <w:r>
        <w:rPr>
          <w:rFonts w:ascii="Arial" w:cs="Arial" w:eastAsia="Arial" w:hAnsi="Arial"/>
          <w:sz w:val="20"/>
          <w:szCs w:val="20"/>
          <w:color w:val="auto"/>
        </w:rPr>
        <w:t>Vail Food Services, Inc.</w:t>
      </w:r>
    </w:p>
    <w:p>
      <w:pPr>
        <w:ind w:left="2700"/>
        <w:spacing w:after="0"/>
        <w:rPr>
          <w:sz w:val="20"/>
          <w:szCs w:val="20"/>
          <w:color w:val="auto"/>
        </w:rPr>
      </w:pPr>
      <w:r>
        <w:rPr>
          <w:rFonts w:ascii="Arial" w:cs="Arial" w:eastAsia="Arial" w:hAnsi="Arial"/>
          <w:sz w:val="20"/>
          <w:szCs w:val="20"/>
          <w:color w:val="auto"/>
        </w:rPr>
        <w:t>Vail Hotel Management Company, LLC</w:t>
      </w:r>
    </w:p>
    <w:p>
      <w:pPr>
        <w:ind w:left="3340"/>
        <w:spacing w:after="0"/>
        <w:rPr>
          <w:sz w:val="20"/>
          <w:szCs w:val="20"/>
          <w:color w:val="auto"/>
        </w:rPr>
      </w:pPr>
      <w:r>
        <w:rPr>
          <w:rFonts w:ascii="Arial" w:cs="Arial" w:eastAsia="Arial" w:hAnsi="Arial"/>
          <w:sz w:val="20"/>
          <w:szCs w:val="20"/>
          <w:color w:val="auto"/>
        </w:rPr>
        <w:t>By: Rockresorts International, LLC</w:t>
      </w:r>
    </w:p>
    <w:p>
      <w:pPr>
        <w:ind w:left="4000"/>
        <w:spacing w:after="0"/>
        <w:rPr>
          <w:sz w:val="20"/>
          <w:szCs w:val="20"/>
          <w:color w:val="auto"/>
        </w:rPr>
      </w:pPr>
      <w:r>
        <w:rPr>
          <w:rFonts w:ascii="Arial" w:cs="Arial" w:eastAsia="Arial" w:hAnsi="Arial"/>
          <w:sz w:val="20"/>
          <w:szCs w:val="20"/>
          <w:color w:val="auto"/>
        </w:rPr>
        <w:t>By: Vail RR, Inc.</w:t>
      </w:r>
    </w:p>
    <w:p>
      <w:pPr>
        <w:ind w:left="2700"/>
        <w:spacing w:after="0"/>
        <w:rPr>
          <w:sz w:val="20"/>
          <w:szCs w:val="20"/>
          <w:color w:val="auto"/>
        </w:rPr>
      </w:pPr>
      <w:r>
        <w:rPr>
          <w:rFonts w:ascii="Arial" w:cs="Arial" w:eastAsia="Arial" w:hAnsi="Arial"/>
          <w:sz w:val="20"/>
          <w:szCs w:val="20"/>
          <w:color w:val="auto"/>
        </w:rPr>
        <w:t>Vail Resorts Development Company</w:t>
      </w:r>
    </w:p>
    <w:p>
      <w:pPr>
        <w:ind w:left="2700"/>
        <w:spacing w:after="0"/>
        <w:rPr>
          <w:sz w:val="20"/>
          <w:szCs w:val="20"/>
          <w:color w:val="auto"/>
        </w:rPr>
      </w:pPr>
      <w:r>
        <w:rPr>
          <w:rFonts w:ascii="Arial" w:cs="Arial" w:eastAsia="Arial" w:hAnsi="Arial"/>
          <w:sz w:val="20"/>
          <w:szCs w:val="20"/>
          <w:color w:val="auto"/>
        </w:rPr>
        <w:t>Vail Resorts Lodging Company</w:t>
      </w:r>
    </w:p>
    <w:p>
      <w:pPr>
        <w:ind w:left="2700"/>
        <w:spacing w:after="0"/>
        <w:rPr>
          <w:sz w:val="20"/>
          <w:szCs w:val="20"/>
          <w:color w:val="auto"/>
        </w:rPr>
      </w:pPr>
      <w:r>
        <w:rPr>
          <w:rFonts w:ascii="Arial" w:cs="Arial" w:eastAsia="Arial" w:hAnsi="Arial"/>
          <w:sz w:val="20"/>
          <w:szCs w:val="20"/>
          <w:color w:val="auto"/>
        </w:rPr>
        <w:t>Vail RR, Inc.</w:t>
      </w:r>
    </w:p>
    <w:p>
      <w:pPr>
        <w:ind w:left="2700"/>
        <w:spacing w:after="0"/>
        <w:rPr>
          <w:sz w:val="20"/>
          <w:szCs w:val="20"/>
          <w:color w:val="auto"/>
        </w:rPr>
      </w:pPr>
      <w:r>
        <w:rPr>
          <w:rFonts w:ascii="Arial" w:cs="Arial" w:eastAsia="Arial" w:hAnsi="Arial"/>
          <w:sz w:val="20"/>
          <w:szCs w:val="20"/>
          <w:color w:val="auto"/>
        </w:rPr>
        <w:t>Vail Summit Resorts, Inc.</w:t>
      </w:r>
    </w:p>
    <w:p>
      <w:pPr>
        <w:ind w:left="2700"/>
        <w:spacing w:after="0"/>
        <w:rPr>
          <w:sz w:val="20"/>
          <w:szCs w:val="20"/>
          <w:color w:val="auto"/>
        </w:rPr>
      </w:pPr>
      <w:r>
        <w:rPr>
          <w:rFonts w:ascii="Arial" w:cs="Arial" w:eastAsia="Arial" w:hAnsi="Arial"/>
          <w:sz w:val="20"/>
          <w:szCs w:val="20"/>
          <w:color w:val="auto"/>
        </w:rPr>
        <w:t>Vail Trademarks, Inc.</w:t>
      </w:r>
    </w:p>
    <w:p>
      <w:pPr>
        <w:ind w:left="2700"/>
        <w:spacing w:after="0"/>
        <w:rPr>
          <w:sz w:val="20"/>
          <w:szCs w:val="20"/>
          <w:color w:val="auto"/>
        </w:rPr>
      </w:pPr>
      <w:r>
        <w:rPr>
          <w:rFonts w:ascii="Arial" w:cs="Arial" w:eastAsia="Arial" w:hAnsi="Arial"/>
          <w:sz w:val="20"/>
          <w:szCs w:val="20"/>
          <w:color w:val="auto"/>
        </w:rPr>
        <w:t>VAMHC, Inc.</w:t>
      </w:r>
    </w:p>
    <w:p>
      <w:pPr>
        <w:ind w:left="2700"/>
        <w:spacing w:after="0"/>
        <w:rPr>
          <w:sz w:val="20"/>
          <w:szCs w:val="20"/>
          <w:color w:val="auto"/>
        </w:rPr>
      </w:pPr>
      <w:r>
        <w:rPr>
          <w:rFonts w:ascii="Arial" w:cs="Arial" w:eastAsia="Arial" w:hAnsi="Arial"/>
          <w:sz w:val="20"/>
          <w:szCs w:val="20"/>
          <w:color w:val="auto"/>
        </w:rPr>
        <w:t>VR Acquisition, Inc.</w:t>
      </w:r>
    </w:p>
    <w:p>
      <w:pPr>
        <w:ind w:left="2700"/>
        <w:spacing w:after="0"/>
        <w:rPr>
          <w:sz w:val="20"/>
          <w:szCs w:val="20"/>
          <w:color w:val="auto"/>
        </w:rPr>
      </w:pPr>
      <w:r>
        <w:rPr>
          <w:rFonts w:ascii="Arial" w:cs="Arial" w:eastAsia="Arial" w:hAnsi="Arial"/>
          <w:sz w:val="20"/>
          <w:szCs w:val="20"/>
          <w:color w:val="auto"/>
        </w:rPr>
        <w:t>VR CPC Holdings, Inc.</w:t>
      </w:r>
    </w:p>
    <w:p>
      <w:pPr>
        <w:ind w:left="2700"/>
        <w:spacing w:after="0"/>
        <w:rPr>
          <w:sz w:val="20"/>
          <w:szCs w:val="20"/>
          <w:color w:val="auto"/>
        </w:rPr>
      </w:pPr>
      <w:r>
        <w:rPr>
          <w:rFonts w:ascii="Arial" w:cs="Arial" w:eastAsia="Arial" w:hAnsi="Arial"/>
          <w:sz w:val="20"/>
          <w:szCs w:val="20"/>
          <w:color w:val="auto"/>
        </w:rPr>
        <w:t>VR CPC Services, LLC</w:t>
      </w:r>
    </w:p>
    <w:p>
      <w:pPr>
        <w:ind w:left="2700"/>
        <w:spacing w:after="0"/>
        <w:rPr>
          <w:sz w:val="20"/>
          <w:szCs w:val="20"/>
          <w:color w:val="auto"/>
        </w:rPr>
      </w:pPr>
      <w:r>
        <w:rPr>
          <w:rFonts w:ascii="Arial" w:cs="Arial" w:eastAsia="Arial" w:hAnsi="Arial"/>
          <w:sz w:val="20"/>
          <w:szCs w:val="20"/>
          <w:color w:val="auto"/>
        </w:rPr>
        <w:t>VR Heavenly Concessions, Inc.</w:t>
      </w:r>
    </w:p>
    <w:p>
      <w:pPr>
        <w:ind w:left="2700"/>
        <w:spacing w:after="0"/>
        <w:rPr>
          <w:sz w:val="20"/>
          <w:szCs w:val="20"/>
          <w:color w:val="auto"/>
        </w:rPr>
      </w:pPr>
      <w:r>
        <w:rPr>
          <w:rFonts w:ascii="Arial" w:cs="Arial" w:eastAsia="Arial" w:hAnsi="Arial"/>
          <w:sz w:val="20"/>
          <w:szCs w:val="20"/>
          <w:color w:val="auto"/>
        </w:rPr>
        <w:t>VR Heavenly I, Inc.</w:t>
      </w:r>
    </w:p>
    <w:p>
      <w:pPr>
        <w:ind w:left="2700"/>
        <w:spacing w:after="0"/>
        <w:rPr>
          <w:sz w:val="20"/>
          <w:szCs w:val="20"/>
          <w:color w:val="auto"/>
        </w:rPr>
      </w:pPr>
      <w:r>
        <w:rPr>
          <w:rFonts w:ascii="Arial" w:cs="Arial" w:eastAsia="Arial" w:hAnsi="Arial"/>
          <w:sz w:val="20"/>
          <w:szCs w:val="20"/>
          <w:color w:val="auto"/>
        </w:rPr>
        <w:t>VR Heavenly II, Inc.</w:t>
      </w:r>
    </w:p>
    <w:p>
      <w:pPr>
        <w:ind w:left="2700"/>
        <w:spacing w:after="0"/>
        <w:rPr>
          <w:sz w:val="20"/>
          <w:szCs w:val="20"/>
          <w:color w:val="auto"/>
        </w:rPr>
      </w:pPr>
      <w:r>
        <w:rPr>
          <w:rFonts w:ascii="Arial" w:cs="Arial" w:eastAsia="Arial" w:hAnsi="Arial"/>
          <w:sz w:val="20"/>
          <w:szCs w:val="20"/>
          <w:color w:val="auto"/>
        </w:rPr>
        <w:t>VR Holdings, Inc.</w:t>
      </w:r>
    </w:p>
    <w:p>
      <w:pPr>
        <w:ind w:left="2700"/>
        <w:spacing w:after="0"/>
        <w:rPr>
          <w:sz w:val="20"/>
          <w:szCs w:val="20"/>
          <w:color w:val="auto"/>
        </w:rPr>
      </w:pPr>
      <w:r>
        <w:rPr>
          <w:rFonts w:ascii="Arial" w:cs="Arial" w:eastAsia="Arial" w:hAnsi="Arial"/>
          <w:sz w:val="20"/>
          <w:szCs w:val="20"/>
          <w:color w:val="auto"/>
        </w:rPr>
        <w:t>VR US Holdings, Inc.</w:t>
      </w:r>
    </w:p>
    <w:p>
      <w:pPr>
        <w:ind w:left="2700"/>
        <w:spacing w:after="0"/>
        <w:rPr>
          <w:sz w:val="20"/>
          <w:szCs w:val="20"/>
          <w:color w:val="auto"/>
        </w:rPr>
      </w:pPr>
      <w:r>
        <w:rPr>
          <w:rFonts w:ascii="Arial" w:cs="Arial" w:eastAsia="Arial" w:hAnsi="Arial"/>
          <w:sz w:val="20"/>
          <w:szCs w:val="20"/>
          <w:color w:val="auto"/>
        </w:rPr>
        <w:t>VR WM Holdings, LLC</w:t>
      </w:r>
    </w:p>
    <w:p>
      <w:pPr>
        <w:ind w:left="3340"/>
        <w:spacing w:after="0"/>
        <w:rPr>
          <w:sz w:val="20"/>
          <w:szCs w:val="20"/>
          <w:color w:val="auto"/>
        </w:rPr>
      </w:pPr>
      <w:r>
        <w:rPr>
          <w:rFonts w:ascii="Arial" w:cs="Arial" w:eastAsia="Arial" w:hAnsi="Arial"/>
          <w:sz w:val="20"/>
          <w:szCs w:val="20"/>
          <w:color w:val="auto"/>
        </w:rPr>
        <w:t>By: VR US Holdings, INC.</w:t>
      </w:r>
    </w:p>
    <w:p>
      <w:pPr>
        <w:spacing w:after="0" w:line="200" w:lineRule="exact"/>
        <w:rPr>
          <w:sz w:val="20"/>
          <w:szCs w:val="20"/>
          <w:color w:val="auto"/>
        </w:rPr>
      </w:pPr>
    </w:p>
    <w:p>
      <w:pPr>
        <w:spacing w:after="0" w:line="219"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Ryan H. Siurek</w:t>
            </w:r>
          </w:p>
        </w:tc>
        <w:tc>
          <w:tcPr>
            <w:tcW w:w="2420" w:type="dxa"/>
            <w:vAlign w:val="bottom"/>
          </w:tcPr>
          <w:p>
            <w:pPr>
              <w:spacing w:after="0"/>
              <w:rPr>
                <w:sz w:val="19"/>
                <w:szCs w:val="19"/>
                <w:color w:val="auto"/>
              </w:rPr>
            </w:pPr>
          </w:p>
        </w:tc>
      </w:tr>
      <w:tr>
        <w:trPr>
          <w:trHeight w:val="242"/>
        </w:trPr>
        <w:tc>
          <w:tcPr>
            <w:tcW w:w="64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0"/>
                <w:szCs w:val="20"/>
                <w:color w:val="auto"/>
              </w:rPr>
              <w:t>Ryan H. Siurek</w:t>
            </w:r>
          </w:p>
        </w:tc>
      </w:tr>
      <w:tr>
        <w:trPr>
          <w:trHeight w:val="275"/>
        </w:trPr>
        <w:tc>
          <w:tcPr>
            <w:tcW w:w="640" w:type="dxa"/>
            <w:vAlign w:val="bottom"/>
          </w:tcPr>
          <w:p>
            <w:pPr>
              <w:spacing w:after="0"/>
              <w:rPr>
                <w:sz w:val="23"/>
                <w:szCs w:val="23"/>
                <w:color w:val="auto"/>
              </w:rPr>
            </w:pPr>
          </w:p>
        </w:tc>
        <w:tc>
          <w:tcPr>
            <w:tcW w:w="4680" w:type="dxa"/>
            <w:vAlign w:val="bottom"/>
            <w:gridSpan w:val="2"/>
          </w:tcPr>
          <w:p>
            <w:pPr>
              <w:spacing w:after="0"/>
              <w:rPr>
                <w:sz w:val="20"/>
                <w:szCs w:val="20"/>
                <w:color w:val="auto"/>
              </w:rPr>
            </w:pPr>
            <w:r>
              <w:rPr>
                <w:rFonts w:ascii="Arial" w:cs="Arial" w:eastAsia="Arial" w:hAnsi="Arial"/>
                <w:sz w:val="20"/>
                <w:szCs w:val="20"/>
                <w:color w:val="auto"/>
                <w:w w:val="93"/>
              </w:rPr>
              <w:t xml:space="preserve">Vice President, Controller and </w:t>
            </w:r>
            <w:r>
              <w:rPr>
                <w:rFonts w:ascii="Arial" w:cs="Arial" w:eastAsia="Arial" w:hAnsi="Arial"/>
                <w:sz w:val="21"/>
                <w:szCs w:val="21"/>
                <w:color w:val="auto"/>
                <w:w w:val="93"/>
              </w:rPr>
              <w:t>Chief Accounting Officer</w:t>
            </w:r>
          </w:p>
        </w:tc>
      </w:tr>
    </w:tbl>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Third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Seventh Amended and Restated Credit Agreement</w:t>
      </w:r>
    </w:p>
    <w:p>
      <w:pPr>
        <w:sectPr>
          <w:pgSz w:w="11900" w:h="16838" w:orient="portrait"/>
          <w:cols w:equalWidth="0" w:num="1">
            <w:col w:w="9019"/>
          </w:cols>
          <w:pgMar w:left="1440" w:top="595"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2017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1."/>
      <w:numFmt w:val="decimal"/>
      <w:start w:val="10"/>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32"/>
    </w:lvl>
  </w:abstractNum>
  <w:abstractNum w:abstractNumId="19">
    <w:nsid w:val="4353D0CD"/>
    <w:multiLevelType w:val="hybridMultilevel"/>
    <w:lvl w:ilvl="0">
      <w:lvlJc w:val="left"/>
      <w:lvlText w:val="%1"/>
      <w:numFmt w:val="decimal"/>
      <w:start w:val="101"/>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Roman"/>
      <w:start w:val="3"/>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6"/>
    </w:lvl>
  </w:abstractNum>
  <w:abstractNum w:abstractNumId="28">
    <w:nsid w:val="8138641"/>
    <w:multiLevelType w:val="hybridMultilevel"/>
    <w:lvl w:ilvl="0">
      <w:lvlJc w:val="left"/>
      <w:lvlText w:val="%1."/>
      <w:numFmt w:val="decimal"/>
      <w:start w:val="7"/>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2019-12-29T05:52:21Z</dcterms:created>
  <dcterms:modified xsi:type="dcterms:W3CDTF">2019-12-29T05:52:21Z</dcterms:modified>
</cp:coreProperties>
</file>