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July 31,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001-09614 </w:t>
      </w:r>
    </w:p>
    <w:p>
      <w:pPr>
        <w:pStyle w:val="TextBody"/>
        <w:bidi w:val="0"/>
        <w:spacing w:before="240" w:after="283"/>
        <w:jc w:val="center"/>
        <w:rPr/>
      </w:pPr>
      <w:r>
        <w:rPr/>
        <w:drawing>
          <wp:inline distT="0" distB="0" distL="0" distR="0">
            <wp:extent cx="41338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33850" cy="723900"/>
                    </a:xfrm>
                    <a:prstGeom prst="rect">
                      <a:avLst/>
                    </a:prstGeom>
                  </pic:spPr>
                </pic:pic>
              </a:graphicData>
            </a:graphic>
          </wp:inline>
        </w:drawing>
      </w:r>
    </w:p>
    <w:p>
      <w:pPr>
        <w:pStyle w:val="TextBody"/>
        <w:bidi w:val="0"/>
        <w:spacing w:lineRule="auto" w:line="288" w:before="100" w:after="283"/>
        <w:jc w:val="center"/>
        <w:rPr/>
      </w:pPr>
      <w:r>
        <w:rPr>
          <w:rFonts w:ascii="Times New Roman;sans-serif" w:hAnsi="Times New Roman;sans-serif"/>
          <w:b/>
          <w:color w:val="000000"/>
          <w:sz w:val="48"/>
        </w:rPr>
        <w:t>Vail Resorts,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7285"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51-0291762</w:t>
            </w:r>
          </w:p>
        </w:tc>
      </w:tr>
      <w:tr>
        <w:trPr/>
        <w:tc>
          <w:tcPr>
            <w:tcW w:w="42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Broomfield, </w:t>
            </w:r>
          </w:p>
        </w:tc>
        <w:tc>
          <w:tcPr>
            <w:tcW w:w="2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80021</w:t>
            </w:r>
          </w:p>
        </w:tc>
      </w:tr>
      <w:tr>
        <w:trPr/>
        <w:tc>
          <w:tcPr>
            <w:tcW w:w="42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949" w:type="dxa"/>
        <w:jc w:val="left"/>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tbl>
      <w:tblPr>
        <w:tblW w:w="1319" w:type="dxa"/>
        <w:jc w:val="center"/>
        <w:tblInd w:w="0" w:type="dxa"/>
        <w:tblLayout w:type="fixed"/>
        <w:tblCellMar>
          <w:top w:w="28" w:type="dxa"/>
          <w:left w:w="28" w:type="dxa"/>
          <w:bottom w:w="28" w:type="dxa"/>
          <w:right w:w="28" w:type="dxa"/>
        </w:tblCellMar>
      </w:tblPr>
      <w:tblGrid>
        <w:gridCol w:w="420"/>
        <w:gridCol w:w="370"/>
        <w:gridCol w:w="529"/>
      </w:tblGrid>
      <w:tr>
        <w:trPr/>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class)</w:t>
            </w:r>
          </w:p>
        </w:tc>
      </w:tr>
    </w:tbl>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a well-known seasoned issuer, as defined in Rule 405 of the Securities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pPr>
      <w:r>
        <w:rPr>
          <w:rFonts w:ascii="Times New Roman;sans-serif" w:hAnsi="Times New Roman;sans-serif"/>
          <w:b w:val="false"/>
          <w:color w:val="000000"/>
          <w:sz w:val="20"/>
        </w:rPr>
        <w:t>Indicate by check mark if the registrant is not required to file reports pursuant to Section 13 or Section 15(d) of the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w:t>
      </w:r>
      <w:r>
        <w:rPr>
          <w:rFonts w:ascii="Times New Roman;sans-serif" w:hAnsi="Times New Roman;sans-serif"/>
          <w:b w:val="false"/>
          <w:color w:val="000000"/>
          <w:sz w:val="18"/>
        </w:rPr>
        <w:t>§ 232.405</w:t>
      </w:r>
      <w:r>
        <w:rPr>
          <w:color w:val="000000"/>
        </w:rPr>
        <w:t xml:space="preserve"> </w:t>
      </w:r>
      <w:r>
        <w:rPr>
          <w:rFonts w:ascii="Times New Roman;sans-serif" w:hAnsi="Times New Roman;sans-serif"/>
          <w:b w:val="false"/>
          <w:color w:val="000000"/>
          <w:sz w:val="20"/>
        </w:rPr>
        <w:t>of this chapter) during the preceding 12 months (or for such shorter period that the registrant was required to submit such files).</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both"/>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180" w:after="283"/>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sans-serif" w:hAnsi="Times New Roman;sans-serif"/>
          <w:b w:val="false"/>
          <w:color w:val="000000"/>
          <w:sz w:val="18"/>
        </w:rPr>
        <w:t>§240.10D-1(b)</w:t>
      </w:r>
      <w:r>
        <w:rPr>
          <w:rFonts w:ascii="Times New Roman;sans-serif" w:hAnsi="Times New Roman;sans-serif"/>
          <w:b w:val="false"/>
          <w:color w:val="000000"/>
          <w:sz w:val="20"/>
        </w:rPr>
        <w:t xml:space="preserve">. </w:t>
      </w:r>
      <w:r>
        <w:rPr>
          <w:color w:val="00000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based on the closing price of $262.34 per share as reported on the New York Stock Exchange Composite Tape on January 31, 2023 (the last business day of the registrant’s most recently completed second fiscal quarter) was $10,473,772,605.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25, 2023, 38,149,524 shares of the registrant’s common stock were outstanding.</w:t>
      </w:r>
    </w:p>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registrant’s definitive Proxy Statement for its 2023 Annual Meeting of Stockholders to be filed with the Securities and Exchange Commission within 120 days of July 31, 2023 are incorporated by reference herein into Part III, Items 10 through 14,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75"/>
        <w:gridCol w:w="2967"/>
        <w:gridCol w:w="2985"/>
        <w:gridCol w:w="136"/>
        <w:gridCol w:w="136"/>
        <w:gridCol w:w="19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1daa0a49cc64dff9ff6fa3066be09cb_13">
              <w:r>
                <w:rPr>
                  <w:rStyle w:val="InternetLink"/>
                  <w:rFonts w:ascii="Times New Roman;sans-serif" w:hAnsi="Times New Roman;sans-serif"/>
                  <w:b/>
                  <w:color w:val="0000FF"/>
                  <w:sz w:val="20"/>
                  <w:u w:val="single"/>
                </w:rPr>
                <w:t>PART I</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6">
              <w:r>
                <w:rPr>
                  <w:rStyle w:val="InternetLink"/>
                  <w:rFonts w:ascii="Times New Roman;sans-serif" w:hAnsi="Times New Roman;sans-serif"/>
                  <w:b w:val="false"/>
                  <w:color w:val="0000FF"/>
                  <w:sz w:val="20"/>
                  <w:u w:val="single"/>
                </w:rPr>
                <w:t>Business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6">
              <w:r>
                <w:rPr>
                  <w:rStyle w:val="InternetLink"/>
                  <w:rFonts w:ascii="Times New Roman;sans-serif" w:hAnsi="Times New Roman;sans-serif"/>
                  <w:b w:val="false"/>
                  <w:color w:val="0000FF"/>
                  <w:sz w:val="20"/>
                  <w:u w:val="single"/>
                </w:rPr>
                <w:t>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2">
              <w:r>
                <w:rPr>
                  <w:rStyle w:val="InternetLink"/>
                  <w:rFonts w:ascii="Times New Roman;sans-serif" w:hAnsi="Times New Roman;sans-serif"/>
                  <w:b w:val="false"/>
                  <w:color w:val="0000FF"/>
                  <w:sz w:val="20"/>
                  <w:u w:val="single"/>
                </w:rPr>
                <w:t>Risk Factors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2">
              <w:r>
                <w:rPr>
                  <w:rStyle w:val="InternetLink"/>
                  <w:rFonts w:ascii="Times New Roman;sans-serif" w:hAnsi="Times New Roman;sans-serif"/>
                  <w:b w:val="false"/>
                  <w:color w:val="0000FF"/>
                  <w:sz w:val="20"/>
                  <w:u w:val="single"/>
                </w:rPr>
                <w:t>21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5">
              <w:r>
                <w:rPr>
                  <w:rStyle w:val="InternetLink"/>
                  <w:rFonts w:ascii="Times New Roman;sans-serif" w:hAnsi="Times New Roman;sans-serif"/>
                  <w:b w:val="false"/>
                  <w:color w:val="0000FF"/>
                  <w:sz w:val="20"/>
                  <w:u w:val="single"/>
                </w:rPr>
                <w:t>Unresolved Staff Comments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5">
              <w:r>
                <w:rPr>
                  <w:rStyle w:val="InternetLink"/>
                  <w:rFonts w:ascii="Times New Roman;sans-serif" w:hAnsi="Times New Roman;sans-serif"/>
                  <w:b w:val="false"/>
                  <w:color w:val="0000FF"/>
                  <w:sz w:val="20"/>
                  <w:u w:val="single"/>
                </w:rPr>
                <w:t>34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8">
              <w:r>
                <w:rPr>
                  <w:rStyle w:val="InternetLink"/>
                  <w:rFonts w:ascii="Times New Roman;sans-serif" w:hAnsi="Times New Roman;sans-serif"/>
                  <w:b w:val="false"/>
                  <w:color w:val="0000FF"/>
                  <w:sz w:val="20"/>
                  <w:u w:val="single"/>
                </w:rPr>
                <w:t>Properties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8">
              <w:r>
                <w:rPr>
                  <w:rStyle w:val="InternetLink"/>
                  <w:rFonts w:ascii="Times New Roman;sans-serif" w:hAnsi="Times New Roman;sans-serif"/>
                  <w:b w:val="false"/>
                  <w:color w:val="0000FF"/>
                  <w:sz w:val="20"/>
                  <w:u w:val="single"/>
                </w:rPr>
                <w:t>34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31">
              <w:r>
                <w:rPr>
                  <w:rStyle w:val="InternetLink"/>
                  <w:rFonts w:ascii="Times New Roman;sans-serif" w:hAnsi="Times New Roman;sans-serif"/>
                  <w:b w:val="false"/>
                  <w:color w:val="0000FF"/>
                  <w:sz w:val="20"/>
                  <w:u w:val="single"/>
                </w:rPr>
                <w:t>Legal Proceedings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31">
              <w:r>
                <w:rPr>
                  <w:rStyle w:val="InternetLink"/>
                  <w:rFonts w:ascii="Times New Roman;sans-serif" w:hAnsi="Times New Roman;sans-serif"/>
                  <w:b w:val="false"/>
                  <w:color w:val="0000FF"/>
                  <w:sz w:val="20"/>
                  <w:u w:val="single"/>
                </w:rPr>
                <w:t>37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34">
              <w:r>
                <w:rPr>
                  <w:rStyle w:val="InternetLink"/>
                  <w:rFonts w:ascii="Times New Roman;sans-serif" w:hAnsi="Times New Roman;sans-serif"/>
                  <w:b w:val="false"/>
                  <w:color w:val="0000FF"/>
                  <w:sz w:val="20"/>
                  <w:u w:val="single"/>
                </w:rPr>
                <w:t>Mine Safety Disclosures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34">
              <w:r>
                <w:rPr>
                  <w:rStyle w:val="InternetLink"/>
                  <w:rFonts w:ascii="Times New Roman;sans-serif" w:hAnsi="Times New Roman;sans-serif"/>
                  <w:b w:val="false"/>
                  <w:color w:val="0000FF"/>
                  <w:sz w:val="20"/>
                  <w:u w:val="single"/>
                </w:rPr>
                <w:t>37</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1daa0a49cc64dff9ff6fa3066be09cb_37">
              <w:r>
                <w:rPr>
                  <w:rStyle w:val="InternetLink"/>
                  <w:rFonts w:ascii="Times New Roman;sans-serif" w:hAnsi="Times New Roman;sans-serif"/>
                  <w:b/>
                  <w:color w:val="0000FF"/>
                  <w:sz w:val="20"/>
                  <w:u w:val="single"/>
                </w:rPr>
                <w:t>PART II</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40">
              <w:r>
                <w:rPr>
                  <w:rStyle w:val="InternetLink"/>
                  <w:rFonts w:ascii="Times New Roman;sans-serif" w:hAnsi="Times New Roman;sans-serif"/>
                  <w:b w:val="false"/>
                  <w:color w:val="0000FF"/>
                  <w:sz w:val="20"/>
                  <w:u w:val="single"/>
                </w:rPr>
                <w:t>38</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43">
              <w:r>
                <w:rPr>
                  <w:rStyle w:val="InternetLink"/>
                  <w:rFonts w:ascii="Times New Roman;sans-serif" w:hAnsi="Times New Roman;sans-serif"/>
                  <w:b w:val="false"/>
                  <w:color w:val="0000FF"/>
                  <w:sz w:val="20"/>
                  <w:u w:val="single"/>
                </w:rPr>
                <w:t>Reserved</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43">
              <w:r>
                <w:rPr>
                  <w:rStyle w:val="InternetLink"/>
                  <w:rFonts w:ascii="Times New Roman;sans-serif" w:hAnsi="Times New Roman;sans-serif"/>
                  <w:b w:val="false"/>
                  <w:color w:val="0000FF"/>
                  <w:sz w:val="20"/>
                  <w:u w:val="single"/>
                </w:rPr>
                <w:t>39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46">
              <w:r>
                <w:rPr>
                  <w:rStyle w:val="InternetLink"/>
                  <w:rFonts w:ascii="Times New Roman;sans-serif" w:hAnsi="Times New Roman;sans-serif"/>
                  <w:b w:val="false"/>
                  <w:color w:val="0000FF"/>
                  <w:sz w:val="20"/>
                  <w:u w:val="single"/>
                </w:rPr>
                <w:t>39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91">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91">
              <w:r>
                <w:rPr>
                  <w:rStyle w:val="InternetLink"/>
                  <w:rFonts w:ascii="Times New Roman;sans-serif" w:hAnsi="Times New Roman;sans-serif"/>
                  <w:b w:val="false"/>
                  <w:color w:val="0000FF"/>
                  <w:sz w:val="20"/>
                  <w:u w:val="single"/>
                </w:rPr>
                <w:t>56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94">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94">
              <w:r>
                <w:rPr>
                  <w:rStyle w:val="InternetLink"/>
                  <w:rFonts w:ascii="Times New Roman;sans-serif" w:hAnsi="Times New Roman;sans-serif"/>
                  <w:b w:val="false"/>
                  <w:color w:val="0000FF"/>
                  <w:sz w:val="20"/>
                  <w:u w:val="single"/>
                </w:rPr>
                <w:t>58</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7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78">
              <w:r>
                <w:rPr>
                  <w:rStyle w:val="InternetLink"/>
                  <w:rFonts w:ascii="Times New Roman;sans-serif" w:hAnsi="Times New Roman;sans-serif"/>
                  <w:b w:val="false"/>
                  <w:color w:val="0000FF"/>
                  <w:sz w:val="20"/>
                  <w:u w:val="single"/>
                </w:rPr>
                <w:t>99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81">
              <w:r>
                <w:rPr>
                  <w:rStyle w:val="InternetLink"/>
                  <w:rFonts w:ascii="Times New Roman;sans-serif" w:hAnsi="Times New Roman;sans-serif"/>
                  <w:b w:val="false"/>
                  <w:color w:val="0000FF"/>
                  <w:sz w:val="20"/>
                  <w:u w:val="single"/>
                </w:rPr>
                <w:t>Controls and Procedures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81">
              <w:r>
                <w:rPr>
                  <w:rStyle w:val="InternetLink"/>
                  <w:rFonts w:ascii="Times New Roman;sans-serif" w:hAnsi="Times New Roman;sans-serif"/>
                  <w:b w:val="false"/>
                  <w:color w:val="0000FF"/>
                  <w:sz w:val="20"/>
                  <w:u w:val="single"/>
                </w:rPr>
                <w:t>99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84">
              <w:r>
                <w:rPr>
                  <w:rStyle w:val="InternetLink"/>
                  <w:rFonts w:ascii="Times New Roman;sans-serif" w:hAnsi="Times New Roman;sans-serif"/>
                  <w:b w:val="false"/>
                  <w:color w:val="0000FF"/>
                  <w:sz w:val="20"/>
                  <w:u w:val="single"/>
                </w:rPr>
                <w:t>Other Information</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84">
              <w:r>
                <w:rPr>
                  <w:rStyle w:val="InternetLink"/>
                  <w:rFonts w:ascii="Times New Roman;sans-serif" w:hAnsi="Times New Roman;sans-serif"/>
                  <w:b w:val="false"/>
                  <w:color w:val="0000FF"/>
                  <w:sz w:val="20"/>
                  <w:u w:val="single"/>
                </w:rPr>
                <w:t>100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87">
              <w:r>
                <w:rPr>
                  <w:rStyle w:val="InternetLink"/>
                  <w:rFonts w:ascii="Times New Roman;sans-serif" w:hAnsi="Times New Roman;sans-serif"/>
                  <w:b w:val="false"/>
                  <w:color w:val="0000FF"/>
                  <w:sz w:val="20"/>
                  <w:u w:val="single"/>
                </w:rPr>
                <w:t>Disclosure Reporting Regarding Foreign Jurisdictions that Prevent Inspections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87">
              <w:r>
                <w:rPr>
                  <w:rStyle w:val="InternetLink"/>
                  <w:rFonts w:ascii="Times New Roman;sans-serif" w:hAnsi="Times New Roman;sans-serif"/>
                  <w:b w:val="false"/>
                  <w:color w:val="0000FF"/>
                  <w:sz w:val="20"/>
                  <w:u w:val="single"/>
                </w:rPr>
                <w:t>100</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1daa0a49cc64dff9ff6fa3066be09cb_190">
              <w:r>
                <w:rPr>
                  <w:rStyle w:val="InternetLink"/>
                  <w:rFonts w:ascii="Times New Roman;sans-serif" w:hAnsi="Times New Roman;sans-serif"/>
                  <w:b/>
                  <w:color w:val="0000FF"/>
                  <w:sz w:val="20"/>
                  <w:u w:val="single"/>
                </w:rPr>
                <w:t>PART III</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93">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93">
              <w:r>
                <w:rPr>
                  <w:rStyle w:val="InternetLink"/>
                  <w:rFonts w:ascii="Times New Roman;sans-serif" w:hAnsi="Times New Roman;sans-serif"/>
                  <w:b w:val="false"/>
                  <w:color w:val="0000FF"/>
                  <w:sz w:val="20"/>
                  <w:u w:val="single"/>
                </w:rPr>
                <w:t>101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96">
              <w:r>
                <w:rPr>
                  <w:rStyle w:val="InternetLink"/>
                  <w:rFonts w:ascii="Times New Roman;sans-serif" w:hAnsi="Times New Roman;sans-serif"/>
                  <w:b w:val="false"/>
                  <w:color w:val="0000FF"/>
                  <w:sz w:val="20"/>
                  <w:u w:val="single"/>
                </w:rPr>
                <w:t>Executive Compensation</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96">
              <w:r>
                <w:rPr>
                  <w:rStyle w:val="InternetLink"/>
                  <w:rFonts w:ascii="Times New Roman;sans-serif" w:hAnsi="Times New Roman;sans-serif"/>
                  <w:b w:val="false"/>
                  <w:color w:val="0000FF"/>
                  <w:sz w:val="20"/>
                  <w:u w:val="single"/>
                </w:rPr>
                <w:t>101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9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99">
              <w:r>
                <w:rPr>
                  <w:rStyle w:val="InternetLink"/>
                  <w:rFonts w:ascii="Times New Roman;sans-serif" w:hAnsi="Times New Roman;sans-serif"/>
                  <w:b w:val="false"/>
                  <w:color w:val="0000FF"/>
                  <w:sz w:val="20"/>
                  <w:u w:val="single"/>
                </w:rPr>
                <w:t>101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0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02">
              <w:r>
                <w:rPr>
                  <w:rStyle w:val="InternetLink"/>
                  <w:rFonts w:ascii="Times New Roman;sans-serif" w:hAnsi="Times New Roman;sans-serif"/>
                  <w:b w:val="false"/>
                  <w:color w:val="0000FF"/>
                  <w:sz w:val="20"/>
                  <w:u w:val="single"/>
                </w:rPr>
                <w:t>101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05">
              <w:r>
                <w:rPr>
                  <w:rStyle w:val="InternetLink"/>
                  <w:rFonts w:ascii="Times New Roman;sans-serif" w:hAnsi="Times New Roman;sans-serif"/>
                  <w:b w:val="false"/>
                  <w:color w:val="0000FF"/>
                  <w:sz w:val="20"/>
                  <w:u w:val="single"/>
                </w:rPr>
                <w:t>Principal Accounting Fees and Services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05">
              <w:r>
                <w:rPr>
                  <w:rStyle w:val="InternetLink"/>
                  <w:rFonts w:ascii="Times New Roman;sans-serif" w:hAnsi="Times New Roman;sans-serif"/>
                  <w:b w:val="false"/>
                  <w:color w:val="0000FF"/>
                  <w:sz w:val="20"/>
                  <w:u w:val="single"/>
                </w:rPr>
                <w:t>101</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1daa0a49cc64dff9ff6fa3066be09cb_208">
              <w:r>
                <w:rPr>
                  <w:rStyle w:val="InternetLink"/>
                  <w:rFonts w:ascii="Times New Roman;sans-serif" w:hAnsi="Times New Roman;sans-serif"/>
                  <w:b/>
                  <w:color w:val="0000FF"/>
                  <w:sz w:val="20"/>
                  <w:u w:val="single"/>
                </w:rPr>
                <w:t>PART IV</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11">
              <w:r>
                <w:rPr>
                  <w:rStyle w:val="InternetLink"/>
                  <w:rFonts w:ascii="Times New Roman;sans-serif" w:hAnsi="Times New Roman;sans-serif"/>
                  <w:b w:val="false"/>
                  <w:color w:val="0000FF"/>
                  <w:sz w:val="20"/>
                  <w:u w:val="single"/>
                </w:rPr>
                <w:t>Exhibits, Financial Statement Schedules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11">
              <w:r>
                <w:rPr>
                  <w:rStyle w:val="InternetLink"/>
                  <w:rFonts w:ascii="Times New Roman;sans-serif" w:hAnsi="Times New Roman;sans-serif"/>
                  <w:b w:val="false"/>
                  <w:color w:val="0000FF"/>
                  <w:sz w:val="20"/>
                  <w:u w:val="single"/>
                </w:rPr>
                <w:t>101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214">
              <w:r>
                <w:rPr>
                  <w:rStyle w:val="InternetLink"/>
                  <w:rFonts w:ascii="Times New Roman;sans-serif" w:hAnsi="Times New Roman;sans-serif"/>
                  <w:b w:val="false"/>
                  <w:color w:val="0000FF"/>
                  <w:sz w:val="20"/>
                  <w:u w:val="single"/>
                </w:rPr>
                <w:t>Form 10-K Summary</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214">
              <w:r>
                <w:rPr>
                  <w:rStyle w:val="InternetLink"/>
                  <w:rFonts w:ascii="Times New Roman;sans-serif" w:hAnsi="Times New Roman;sans-serif"/>
                  <w:b w:val="false"/>
                  <w:color w:val="0000FF"/>
                  <w:sz w:val="20"/>
                  <w:u w:val="single"/>
                </w:rPr>
                <w:t>104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economy generally, and our business and results of operations, including the ultimate amount of refunds that we would be required to refund to our pass product holders for qualifying circumstances under our Epic Coverage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prolonged weakness in general economic conditions, including adverse effects on the overall travel and leisure related industries;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the effects of high or prolonged inflation, rising interest rates and financial institution disruptions;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unfavorable weather conditions or the impact of natural disasters or other unexpected events;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willingness or ability of our guests to travel due to terrorism, the uncertainty of military conflicts or outbreaks of contagious diseases (such as the COVID-19 pandemic), and the cost and availability of travel options and changing consumer preferences, discretionary spending habits or willingness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travel and airline disruptions, and other adverse impacts on the ability of our guests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interruptions or disruptions of our information technology systems, data security or cyberattacks;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reliance on information technology, including our failure to maintain the integrity of our customer or employee data and our ability to adapt to technological developments or industry trends;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acquire, develop and implement relevant technology offerings for customers and partners;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seasonality of our business combined with adverse events that may occur during our peak operating periods;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competition in our mountain and lodging businesses or with other recreational and leisure activities;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the high fixed cost structure of our business;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fund resort capital expenditures;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a disruption in our water supply that would impact our snowmaking capabilities and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reliance on government permits or approvals for our use of public land or to make operational and capital improvements;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federal, state, local and foreign government laws, rules and regulations, including environmental and health and safety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changes in security and privacy laws and regulations which could increase our operating costs and adversely affect our ability to market our products, properties and services effectively;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potential failure to adapt to technological developments or industry trends regarding information technology;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workforce, including increased labor costs, loss of key personnel and our ability to maintain adequate staffing, including hiring and retaining a sufficient seasonal workforce;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deterioration in the quality or reputation of our brands, including our ability to protect our intellectual property and the risk of accidents at our mountain resorts;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scrutiny and changing expectations regarding our environmental, social and governance practices and reporting;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international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fluctuations in foreign currency exchange rates where the Company has foreign currency exposure, primarily the Canadian and Australian dollars and the Swiss franc, as compared to the U.S. dollar;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tax laws, regulations or interpretations, or adverse determinations by taxing authorities;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materially adverse change in our financial condition;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adverse consequences of current or future litigation and legal claims;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accounting judgments and estimates, accounting principles, policies or guidelines;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other risks and uncertainties included under Part I, Item 1A. “Risk Factors” in this document.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attributable to us or any persons acting on our behalf are expressly qualified in their entirety by these cautionary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Vail Resorts, Inc., together with its subsidiaries, is referred to throughout this document as “we,” “us,” “our” or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Vail Resorts, Inc., a Delaware corporation, was organized as a holding company in 1997 and operates through various subsidiaries. Our operations are grouped into three reportable segments: Mountain, Lodging and Real Estate, which represented approximately 88%, 12% and 0%, respectively, of our net revenue for our fiscal year ended July 31, 2023 (“Fiscal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segment operates 41 world-class destination mountain resorts and regional ski areas (collectively, our “Resorts”). Additionally, the Mountain segment includes ancillary services, primarily including ski school, dining and retail/rental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“Resort” as the combination of the Mountain and Lodging segments. Our Real Estate segment owns, develops and sells real estate in and around our resort communities.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information and other information about the Company’s segments and geographic areas, see Item 7. “Management’s Discussion and Analysis of Financial Condition and Results of Operations” and Item 8. “Financial Statements and Supplementary Data.”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Mountain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 including five resorts within the top ten most visited resorts in the United States for the 2022/2023 North American ski season:</w:t>
      </w:r>
    </w:p>
    <w:p>
      <w:pPr>
        <w:pStyle w:val="TextBody"/>
        <w:bidi w:val="0"/>
        <w:spacing w:before="240" w:after="283"/>
        <w:jc w:val="center"/>
        <w:rPr/>
      </w:pPr>
      <w:r>
        <w:rPr/>
        <w:drawing>
          <wp:inline distT="0" distB="0" distL="0" distR="0">
            <wp:extent cx="6515100" cy="30670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6515100" cy="306705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our regional ski areas, which tend to generate skier visits predominantly from their respective local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destination mountain resorts operate year-round and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approximately 110 million people.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Destination Mountain Resorts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Rocky Mountains (Colorado and Utah Resorts)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Breckenridge Ski Resort (“Breckenridge”) - the most visited mountain resort in the United States (“U.S.”) for the 2022/2023 ski season with five interconnected peaks offering an expansive variety of terrain for every skill level, including access to above tree line intermediate and expert terrain, and progressive and award-winning terrain parks.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Park City Resort (“Park City”) - the second most visited mountain resort in the U.S. for the 2022/2023 ski season and the largest by acreage in the U.S. Park City offers 7,300 skiable acres, including diverse terrain for every type of skier and snowboarder.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Vail Mountain Resort (“Vail Mountain”) - the third most visited mountain resort in the U.S. for the 2022/2023 ski season. Vail Mountain offers some of the most expansive and varied terrain in North America with approximately 5,300 skiable acres including seven world renowned back bowls and the resort’s rustic Blue Sky Basin.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Keystone Resort (“Keystone”) - the ninth most visited mountain resort in the U.S. for the 2022/2023 ski season, as well as the largest area for night skiing in Colorado. For the 2023/2024 ski season, we also plan to complete the transformational lift-served terrain expansion project in Bergman Bowl, increasing lift served terrain by 555 acres with the addition of a new six-person high speed lift, and also providing lift-served access to Erickson Bowl. Keystone is a premier destination for families with its “Kidtopia” program focused on providing activities for kids on and off the mountain.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Beaver Creek Resort (“Beaver Creek”) - the tenth most visited mountain resort in the U.S. for the 2022/2023 ski season. Beaver Creek is a European-style resort with multiple villages and also includes a world renowned children’s ski school program focused on providing a first-class experience with unique amenities such as a dedicated children’s gondola.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Pacific Northwest (British Columbia, Canada)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Whistler Blackcomb (“Whistler Blackcomb”) - located in the Coast Mountains of British Columbia, Canada, approximately 85 miles (135 kilometers) from the Vancouver International Airport, Whistler Blackcomb is the largest year-round mountain resort in North America, with two mountains connected by the PEAK 2 PEAK gondola, which combined offer over 200 marked runs, over 8,000 skiable acres (3,300 hectares),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Lake Tahoe Resorts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Heavenly Mountain Resort (“Heavenly”) - located near the South Shore of Lake Tahoe with over 4,800 skiable acres, Heavenly straddles the border of California and Nevada and offers unique and spectacular views of Lake Tahoe. Heavenly offers great nightlife, including its proximity to several casinos.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skiable acres.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Switzerland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Andermatt-Sedrun (“Andermatt-Sedrun”) - marking our first owned and operated resort in Europe, the Company acquired a 55% controlling ownership stake in Andermatt-Sedrun during Fiscal 2023. Andermatt-Sedrun is located approximately 70 miles (110 kilometers) from Zurich, Switzerland and approximately 200 miles (320 kilometers) from Geneva, Switzerland, in the Ursern Valley of the Swiss Alps. Andermatt-Sedrun offers nearly 75 miles (120 kilometers) of varied terrain and a top elevation of 9,800 feet (3,000 meters) across the mountains of Andermatt, Sedrun and Gemsstock, with connected access to Disentis, which is independently owned. The ski area spans over 10 miles (16 kilometers) of scenic high alpine terrain between Andermatt and Sedrun, including the iconic Oberalp Pass, and is connected by the Matterhorn Gothard Bahn, a railway which operates year-round.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Regional Ski Areas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 </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Northeast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Mid-Atlantic (Pennsylvania)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eight ski areas in the Mid-Atlantic region serving guests in Philadelphia, Pittsburgh, Southern New Jersey, Baltimore and Washington D.C. Our presence in the region allows us to offer compelling local options and easy overnight weekend and holiday trips to our premium Northeast regional ski areas, which are within driving distance from these markets. </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Midwest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and operate ten ski areas in the Midwest that draw guests from Chicago, Detroit, Minneapolis, St. Louis, Indianapolis, Cleveland, Columbus, Kansas City and Louisville, among others. Located within close proximity to major metropolitan markets, these ski areas provide beginners with easy access to beginner ski programs and many also offer night skiing for young adults and families. Additionally, the proximity of these ski areas to metropolitan areas allows for regular usage by avid skiers.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Pacific Northwest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Stevens Pass Resort (“Stevens Pass’’) - located less than 85 miles from Seattle on the crest of Washington State’s Cascade Range, Stevens Pass offers terrain for all levels across over 1,100 acres of skiable terrain. Stevens Pass has operated for over 80 years and is known for its numerous bowls, glades and faces, as well as extensive lighted terrain for skiing and riding well into the evening.</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Australia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Australia is an important market for both domestic skiing during the Australian winter and as a source of international visitation to the Northern Hemisphere in the Australian off-season, with typically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Ski Industry/Competition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approximately 760 ski areas operating in North America with approximately 480 in the U.S., ranging from small ski area operations that service day skiers to large resorts that attract both day skiers and destination guests looking for a comprehensive vacation experience. During the 2022/2023 North American ski season, combined skier visits for all ski areas in North America were approximately 85.8 million. Our North American Resorts had approximately 17.2 million skier visits during the 2022/2023 ski season, representing approximately 20.0% of North American skier visits.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of scale in North America for over 40 years, which has allowed and should continue to allow the best-positioned destination resorts to benefit from future industry growth. Our resorts compete with other major destination mountain resorts, including, among others, Aspen Snowmass, Copper Mountain, Mammoth, Deer Valley, Snowbird, Palisades Tahoe, Killington, Sierra at Tahoe, Steamboat, Jackson Hole and Winter Park, as well as other ski areas in Colorado, California, Nevada, Utah, the Pacific Northwest, the Northeast, the Southwest, British Columbia, Canada, Australia and Switzerland, and other destination ski areas worldwide as well as non-ski related vacation options and destinations. Additionally, our pass products compete with other single and multi-resort frequency pass products in North America, including the IKON Pass, the Mountain Collective Pass and various regional and local pass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ski industry statistics stated in this section have been derived primarily from data published by Colorado Ski Country USA, Canadian Ski Council, Kottke National End of Season Surveys as well as other industry publications.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Competitive Strengths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premier resorts and business model differentiate our Company from the rest of the ski industry. We own and operate some of the most iconic, branded destination mountain resorts in geographically diverse and important ski destinations in North America, including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and one ski resort in Switzerland. Through our data-driven marketing analytics and personalized marketing capabilities, we target increased penetration of ski pass products, providing our guests with a strong value proposition in return for guests committing to ski or ride at our resorts prior to, or very early into the ski season, which we believe attracts more guests to our resorts. We believe we invest in more capital improvements than our competitors and we create synergies through our owned and operated network of resorts, which enhances our profitability by enabling customers to access our network of resorts with our pass products. Many of our destination mountain resorts located in the U.S. typically rank in the most visited ski resorts in the U.S. (five of the top ten for the 2022/2023 U.S. ski season), and most of our destination mountain resorts are consistently in the top ranked ski resorts in North America according to industry surveys, which we attribute to our ability to provide a high-quality experience.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factors contribute directly to each Resort’s success: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Exceptional Mountain Experience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World-Class Mountain Resorts and Integrated Base Resort Areas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Snow Conditions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Resorts in the Rocky Mountain region of Colorado and Utah, the Sierra Nevada Mountains in Lake Tahoe and the Coast Mountains in British Columbia, Canada generally receive abundant snowfall each year, but we have invested significantly in snowmaking systems in these areas that help provide a more consistent experience, especially in the early season. We have made significant recent investments in our snowmaking systems in Colorado that transformed the early-season terrain experience at Vail, Keystone and Beaver Creek. Our other ski areas receive less snowfall than our western North American mountain resorts, but we have invested in snowmaking operations at these resorts in order to provide a consistent experience for our guests. Additionally, we provide several hundred acres of groomed terrain at each of our mountain resorts with extensive fleets of snow grooming equipment.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Lift Service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systematically upgrade our lifts and put in new lifts to increase uphill capacity and streamline skier traffic to maximize the guest experience. Discretionary capital expenditures expected for calendar year 2023 include, among other projects: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new high-speed six-person lift in Bergman Bowl at Keystone, providing access to more than 550 acres of intermediate-and-above high alpine terrain, including 16 new trails in Bergman and Erickson Bowls;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Breckenridge’s fixed-grip double 5-Chair with a new high-speed four-person lift as part of a continued investment plan in the Peak 8 base area, which also includes new teaching terrain and a transport carpet from the base to make beginner terrain more accessible;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Whistler Blackcomb’s existing four-person high speed Fitzsimmons lift with a new high-speed eight-person lift, which will increase uphill capacity from Whistler Village, significantly reducing wait times and improving bike haul capacity during summer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Stevens Pass’ current fixed-grip double Kehr’s Chair lift with a new four-person lift to improve uphill capacity and guest experience;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the current three-person fixed-grip Summit Triple lift at Attitash with a new high-speed four-person lift, increasing uphill capacity and reducing guests’ time on the longest lift at the resort.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several years, we have installed or upgraded several high speed chairlifts and gondolas across our Resorts, including 18 new or replacement lifts across 12 Resorts for the 2022/2023 North American ski season, which meaningfully increased lift capacity and reduced wait times at those lift locations. Investments in the past several years include: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new high-speed ten-person gondola at Whistler Blackcomb replacing the existing six-person gondola;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Whistler Blackcomb’s existing Big Red Express high-speed four-person lift with a high-speed six-person lift;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new high-speed four-person lift in Vail’s Sun Down Bowl;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the four-person lift in Vail’s Game Creek Bowl with a new high-speed six-person lift;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Breckenridge’s fixed-grip double Rip’s Ride lift with a high-speed four-person lift;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new high-speed six-person chair replacing Northstar’s Comstock four-person lift;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Heavenly’s fixed-grip triple North Bowl lift with a high-speed four-person lift;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replacing 11 existing lifts at Stowe, Mount Snow, Attitash, Boston Mills, Brandywine, Jack Frost and Big Boulder with new high-speed and fixed-grip lifts;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250-acre lift-served terrain expansion in the McCoy Park area of Beaver Creek;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new four-person high speed lift to serve Peak 7 at Breckenridge;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replacing the four-person Peru lift at Keystone with a six-person high speed lift;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replacing the Peachtree lift at Crested Butte with a new three-person fixed-grip lift;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 upgrade of the four-person Quantum lift at Okemo with a six-person high speed lift, and relocating the four-person Quantum lift to replace the Green Ridge three-person fixed-grip lift.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Terrain Parks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leading the industry in terrain park design, education and events for the growing segment of freestyle skiers and snowboarders. Each of our destination mountain resorts has multiple terrain parks that include progressively-challenging features. These park structures, coupled with freestyle ski school programs, promote systematic learning from basic to professional skills.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Extraordinary Service and Amenities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Commitment to the Guest Experience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foster a customer-focused environment. During Fiscal 2023, we announced the launch of the new My Epic mobile application (“My Epic App”), which we expect will be available to guests for the 2023/2024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North American ski season, and will allow our guests to purchase their pass product or lift ticket online and access our Resorts via the new app, utilizing hands free Bluetooth® technology, eliminating the need to wait in line to purchase lift tickets. In addition, the My Epic App allows guests to capture their activity on the mountain (e.g. number of ski days, vertical feet skied and chairlift activity); provides current trail maps along with real-time trail and lift status; allows guests to access real and forecasted lift line wait times; and provides information regarding parking, dining, events and other on-mountain activities. In addition, beginning in the 2023/2024 North American ski season, we plan to pilot “My Epic Gear,” a new membership program that provides its members with the ability to choose the gear they want from a selection of popular ski and snowboard models, and have it delivered to them when and where they want it, with free slopeside pick up and drop off every day. A limited number of Epic Pass holders will pilot the membership at Vail, Beaver Creek, Breckenridge and Keystone during the 2023/2024 ski season. Expansion of the program is planned for the 2024/2025 ski season to additional North American Resorts, with further expansions planned for future seasons. My Epic Gear is designed to allow users to manage their entire experience from gear selection to boot fitting to delivery all from the new My Epic App.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Season Pass &amp; Epic Day Pass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a variety of pass products, primarily season pass and Epic Day Pass products, for all of our Resorts that are marketed towards both out-of-state and international (“Destination”) guests as well as in-state and local (“Local”) guests. These pass products are available for purchase prior to the start of the ski season, offering our guests a better value in exchange for their commitment to ski at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Our pass products generated approximately 61% of our total lift revenue for Fiscal 2023, and generated approximately 73% of total visitation (excluding complimentary access) for Fiscal 2023. Sales of pass products are a key component of our overall Mountain segment revenue and help create strong synergies among our Resorts. Our pass products range from providing access for a certain number of days to one or a combination of our Resorts to our Epic Pass, which provides unrestricted and unlimited access to all of our Resorts. The Epic Day Pass is a customizable one to seven day pass product purchased in advance of the season, for those skiers and riders who expect to ski a certain number of days during the season, and which is available in three tiers of resort offerings. All of our various pass product options can be found on our consumer website www.snow.com. Information on our websites does not constitute part of this document.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continued strategy to drive pass product sales and create a stronger connection between key skier markets and our iconic destination mountain resorts, we have continued to expand our portfolio of properties in recent years. In August 2022, we acquired Andermatt-Sedrun, located in Switzerland, marking our first strategic investment in, and opportunity to operate, a ski resort in Europe. In December 2021, we acquired Seven Springs Mountain Resort, Hidden Valley Resort and Laurel Mountain Ski Area in Pennsylvania (collectively, the “Seven Springs Resorts”), which added three regional ski areas strategically located near Pittsburgh, expanding our presence in the Mid-Atlantic region and generating incremental drive-to business from other major metropolitan areas such as Washington DC, Baltimore and Cleveland. In September 2019, we acquired Peak Resorts, Inc., which added 17 regional ski areas strategically located near key U.S. population centers in the Northeast, Mid-Atlantic and Midwest regions. Additionally, we enter into strategic long-term season pass alliance agreements with third-party mountain resorts, which for the 2023/2024 ski season include Telluride Ski Resort in Colorado, Hakuba Valley and Rusutsu Resort in Japan, Resorts of the Canadian Rockies in Canada, Les 3 Vallées in France, Disentis Ski Area and Verbier 4 Vallées in Switzerland, Skirama Dolomiti in Italy and Ski Arlberg in Austria, which further increase the value proposition of our pass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 product holders also receive additional value in exchange for their advance commitment through our Epic Mountain Rewards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Epic Coverage is included with the purchase of all pass products for no additional charge and provides refunds in the event of certain resort closures and certain travel restrictions, giving pass holders a refund for any portion of the season that is lost due to qualifying circumstances. Additionally, Epic Coverage provides a refund for qualifying personal circumstances including eligible injuries, job losses and many other personal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Premier Ski Schools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Dining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Resorts provide a variety of quality on-mountain and base village dining venues, ranging from top-rated fine dining restaurants to trailside express food service outlets. For the 2022/2023 ski season, we operated approximately 270 dining venues at our Resorts.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Retail/Rental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approximately 340 retail/rental locations specializing in sporting goods including ski, snowboard and cycling equipment. Several of our rental locations offer delivery services, bringing ski and snowboard gear and expert advice directly to our guests. In addition to providing a major retail/rental presence at each of our Resorts, we also have retail/rental locations throughout the Colorado Front Range and Minneapolis. Many of our retail/rental locations near key population centers also offer prime venues for selling our pass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On-Mountain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ski industry leader in providing comprehensive destination vacation experiences, including on-mountain activities designed to appeal to a broad range of interests. During a normal winter season, in addition to our exceptional ski experiences, guests can choose from a variety of non-ski related activities such as snowtubing, snowshoeing, scenic snow cat tours, backcountry expeditions, horse-drawn sleigh rides and high altitude dining. During the summer season, our mountain resorts offer non-ski related recreational activities and provide guests with a wide array of options including scenic chairlift and gondola rides, mountain biking, horseback riding, guided hiking, 4x4 Jeep tours and our Epic Discovery program at Vail Mountain, Heavenly and Breckenridge.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 The Mountain segment also operates several company-owned mountain resort golf courses, including three in Colorado, one in Vermont and two in Pennsylvania.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Lodging and Real Estate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High quality lodging options are an integral part of providing a complete resort experience. Our owned and managed properties proximate to our mountain resorts, including six RockResorts branded properties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Lodging Segment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Lodging segment includes owned and managed lodging properties, including those under our luxury hotel management company, RockResorts; managed condominium units which are in and around our mountain resorts in Colorado, Lake Tahoe, Utah, Vermont, New York, Pennsylvania and British Columbia, Canada; two NPS concessioner properties in and near Grand Teton National Park in Wyoming; a resort ground transportation company in Colorado; and company-owned and operated mountain resort golf courses managed by our Lodging operations, including two in Colorado, one in Wyoming, one in Lake Tahoe, California, and one in Park City, Utah. For additional property details, see Item 2.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Lodging segment currently includes approximately 5,500 owned and managed hotel rooms and condominium units. Our lodging strategy seeks to complement and enhance our mountain resort operations through our ownership or management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properties and condominiums proximate to our mountain resorts and selective management of luxury resort hotels in premier destination locations.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portfolio of owned and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and Summit County (which includes Keystone, Breckenridge, Copper Mountain, Frisco and Silverthorne). </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Lodging Industry/Market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Hotels are categorized by Smith Travel Research, a leading lodging industry research firm, as luxury, upper upscale, upscale, upper midscale, midscale and economy. The service quality and level of accommodations of our RockResorts’ hotels place them in the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 approximately 827,000 rooms at approximately 2,700 properties in the U.S. as of July 31, 2023. For Fiscal 2023, our owned hotels, which include a combination of certain RockResort hotels as well as other hotels in proximity to our Resorts, had an overall ADR of $312.15, a paid occupancy rate of 51.5% and revenue per available room (“RevPAR”) of $160.75, as compared to the upper upscale segment’s ADR of $221.25, a paid occupancy rate of 67.1% and RevPAR of $148.45. We believe that this comparison to the upper upscale segment is appropriate as our mix of owned hotels include those in the luxury and upper upscale segments, as well as some of our hotels that fall in the upscale segment. The highly seasonal nature of our lodging properties typically results in lower average occupancy as compared to the upper upscale segment of the lodging industry as a whole.</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Competition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all of our hotels are located in unique, highly desirable resort destinations;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hotel portfolio has achieved some of the most prestigious hotel designations in the world, including The Arrabelle at Vail Square, which is currently rated as AAA 4-Diamond;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many of our hotels (both owned and managed) are designed to provide a look that feels indigenous to their surroundings, enhancing the guest’s vacation experience;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 The Seven Springs Resorts also provide conference services, offering over 77,000 square feet of meeting and function space;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we have a central reservations system that leverages our mountain resort reservations system and has an online planning and booking platform, offering our guests a seamless and useful way to make reservations at our resorts;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National Park Concessioner Properties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GTLC, which is based in the Jackson Hole area in Wyoming and operates within Grand Teton National Park under a concession agreement with the NPS with an initial term that would have expired on December 31, 2021. In June 2021, we agreed to an amendment extending the term of the agreement an additional two years, with an expiration date of December 31, 2023. The NPS currently expects to release a contract solicitation for the services offered by GTLC by the end of calendar year 2023. We currently expect that our existing agreement will be extended for an additional one year through December 31, 2024 due to the time needed for solicitation, preparation, review and award of a new contract. We expect the NPS to confirm this extension in the fall of 2023. We also own Flagg Ranch, located in Moran, Wyoming and centrally located between Yellowstone National Park and Grand Teton National Park on the John D. Rockefeller, Jr. Memorial Parkway (the “Parkway”). Flagg Ranch operates under a concession agreement with the NPS that expires October 31, 2028. GTLC also owns Jackson Hole Golf &amp; Tennis Club (“JHG&amp;TC”), located outside Grand Teton National Park near Jackson, Wyoming. GTLC’s operations within Grand Teton National Park and JHG&amp;TC have operating seasons that generally run from mid-May through the end of September.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compete with such companies as Aramark Parks &amp; Resorts, Delaware North Companies Parks &amp; Resorts, ExploreUS and Xanterra Parks &amp; Resorts in retaining and obtaining NPS concession agreements. Four full-service concessioners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We also operate two additional campgrounds separate from these facilities: the 304-site Gros Ventre Campground and 51-site Jenny Lake Campground. GTLC offers dining options as extensive as its lodging options, with cafeterias, casual eateries and fine dining establishments. Additionally we operate 11 retail outlets located throughout the GTLC properties.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generally operate near full capacity during their operating season.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Real Estate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extensive holdings of real property at our mountain resorts primarily throughout Summit and Eagle Counties in Colorado. 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Marketing and Sales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lift tickets, ski and ride school products, gear rentals, and lodging properties on our e-commerce platform, as well as through our mobile applications and our lift ticket windows. We promote our Resorts using guest-centric omni-channel marketing campaigns leveraging email,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We also enter into strategic alliances with companies to enhance the guest experience at our Resorts, as well as to create opportunities for cross-marketing.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Across both the Mountain and Lodging segments, sales made through our websites and call center allow us to transact directly with our guests, which further expands our customer base and enables analytics to deliver an increasingly guest-centric marketing experience.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mountain coasters, ziplines, golf (primarily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Sustainability &amp; Social Responsibility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Sustainability remains a core philosophy for us. As a company rooted in the great outdoors, we have a unique responsibility to protect and preserve the incredible environments in which we operate. Through our corporate sustainability and social responsibility program, EpicPromise, we focus on climate change mitigation and adaptation, resource conservation and building stronger local communities through contributions to local non-profit organizations. Our sustainability efforts are diverse and touch nearly every area of our operations. In 2017, we launched Commitment to Zero, our pledge to have a zero net operating footprint by 2030. This commitment includes (i) achieving zero net emissions by finding operational energy efficiencies, investing in renewable energy and investing in offsets and other emissions reduction projects, (ii) zero waste to landfill and (iii) zero net operating impact to forests and habitat by restoring an acre of forest for every acre displaced by our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this commitment, Vail Resorts was accepted as the first travel and tourism company into RE100, a collaborative initiative uniting more than 400 global and influential businesses committed to 100% renewable electricity. During Fiscal 2023, we continued to make progress toward our Commitment to Zero goals. Specifically, we focused on reducing waste to landfill and expanding our robust composting and recycling programs as much as possible. During the year ended July 31, 2022 (“Fiscal 2022”) we achieved 100% renewable electricity for our North American operations, and as a result we were awarded the National Ski Area Association’s Golden Eagle Climate Change Award at their 2023 annual conference. In Fiscal 2023, we continued to make progress toward our zero net emissions goals, including continuing to purchase renewable energy from the 82-turbine Plum Creek Wind project we enabled, along with other renewable electricity programs.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over four years, Vail Resorts has worked with leaders from other ski companies to develop an industry-driven climate commitment. In June 2021 we, alongside Alterra Mountain Company, Boyne Resorts and POWDR, announced the Climate Collaborative Charter - the ski industry’s first unified effort to combat climate change. This group rebranded as the Mountain Collaborative for Climate Action in September 2022 and continues to advocate for climate-smart policy, innovative waste reduction, and deepened sustainability within the partners’ respective operations. This partnership leverages our leadership in sustainability and is expected to accelerate our collective progress, leading the industry toward long-term transformational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Fiscal 2023 we sponsored the reforestation of 95 acres in Washington, Oregon and Wyoming that were previously impacted by wildfire, which addressed 100% of the forests permanently impacted by our operations throughout the year. Through direct EpicPromise grants and contributions from our $1 guest donation program, we partnered with several local environmental organizations to fund restoration projects, including the National Forest Foundation, the Tahoe Fund, Grand Teton National Park Foundation, Mountain Trails Foundation in Park City and the EnviroFund at Whistler Blackcomb. We also encouraged our employees to help protect the environment and support their local community by volunteering with various local organizations. Vail Resorts was recently recognized by Newsweek as one of the “Most Trustworthy Companies in America in 2023,” which we believe reflects our focus on building customer, investor, and employee trust through listening, learning and adapting to the needs of our team members and guests, while remaining responsible stewards through our industry-leading sustainability efforts.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2023, our focus for the EpicPromise community impact grant program focused on larger grants in key communities to support housing and childcare. In addition, support continues to be given for food security, equal access to education and other basic needs and services. In the second year of our Epic for Everyone Youth Access in partnership with the Katz Amsterdam Foundation, we hosted 2,186 urban youth to attend a 5-day snowsports program. We also continued our legacy access program with more than 9,100 youth participating in multi-day programs focused on mentorship, leadership and the impact of outdoor time on mental health in this unprecedented time.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 million in grants and scholarships are provided to help employees in times of need or to pursue educational opportunities. For more information on both the Foundation and our environmental stewardship, visit www.EpicPromise.com. Information on our websites does not constitute part of this document.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Vail Resorts, our talent philosophy is designed to enable us to fully achieve our mission and vision by ensuring we have the talent in place to deliver on our future growth plans. We are truly passionate about our people, and we are focused on attracting, developing and retaining the best talent and building the best teams around them. At fiscal year end, we employed approximately 7,200 year-round employees. Over the course of our Resorts’ various winter and summer operating seasons in Fiscal 2023, we employed approximately 49,200 seasonal employees. In addition, we employed approximately 200 year-round employees and 200 seasonal employees on behalf of the owners of our managed hotel properties. We consider our employee relations to be positive.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Recent investments in employee wages and benefits have driven strong staffing levels, enabling our mountain resorts to deliver strong guest experience results, including on-mountain activities as well as at our restaurants, lodging, ski and ride school, and retail/rental locations. These investments included: (i) increases in compensation for all of our hourly employees, including seasonal frontline staff, for the 2022/2023 North American ski season; (ii) investments in our human resource department to support full staffing and deliver enhanced employee experience and a new frontline leadership development program; (iii) a new mental health program available for all employees, even if they are not enrolled in an employer-sponsored healthcare plan, which includes free mental health therapy sessions; (iv) expanded reproductive care; (v) establishment of a Flexible Remote Work policy which allows corporate employees to permanently work from any state in which we currently operate; and (vi) new employee benefits, including a 40% discount for retail and rental gear. Collectively, these investments helped enable strong return rates for our seasonal employee population.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Vail Resorts talent philosophy recognizes that people are our most important asset in driving our business growth, and outlines the role that leaders play in attracting, developing, engaging, retaining and rewarding high performing, high potential talent, including supporting them to achieve their future career growth. Our talent management system equips leaders with programs and tools to effectively assess, develop and reward talent and includes regular leadership talent review and assessment processes to ensure that the caliber and capability of our talent aligns with the sophistication of our business strategies and processes. Our executive team reviews talent strategy and succession planning frequently, including with our Board of Directors, to assess current and future talent needs. We have a strong track record of hiring, developing and preparing high performing, high potential talent for internal mobility and succession and since 2018, we have nearly doubled our percentage of high performing, high potential talent through performance management and talent upgrades. As a result, succession for our year-round senior leadership roles is primarily sourced through internal talent development and promotion, rather than external hires (76% internal fill rate, including re-hires). Over the past three years, we announced internal successors for some of the most senior roles in our Company, including Chief Executive Officer, Chief Marketing Officer, President of the Mountain Division and Chief Operating Officer of Hospitality and Retail. Nearly all of our recent appointments of General Managers and Chief Operating Officers of our Resorts for the past three years came from internal succession. Additionally, in December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appointed a new Executive Vice President and Chief Financial Officer who had previously been with the Company for more than ten years, serving in various senior finance leadership roles.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ensure we are building high performing teams, we encourage every employee at every level within the Company to continuously grow their leadership by participating in ongoing events that build leadership capability and drive aligned leadership expectations to enable business outcomes. We host an annual leadership summit that brings together our leaders at the senior manager level and above to build understanding and alignment to business priorities, explore emerging leadership topics and build connections across our growing global business and organization. We offer ongoing digital leadership series discussions led by our CEO for this same population throughout the year and equip leaders to share learnings and insights from these sessions in dialogue with their teams for the benefit of the entire organization. Our leadership philosophy has a very strong emphasis on emotional intelligence and a leader’s ability to understand their own impact on others, and shape that impact to unlock the potential of their teams.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professionally designed leadership development programs, with differentiated development for our highest performing, highest potential employees who make up our long-term leadership succession pipeline. Building upon our culture of leadership development and in addition to the wage investment for seasonal, frontline talent, we also relaunched our signature “Epic Service” training. This program inspires and equips frontline talent, who play the most important role in delivering a differentiated guest experience, to practice service-based leadership. We reinforce the principles of this program through a daily in-resort frontline recognition program and manager-led career development conversations for frontline staff. The full Epic Service development platform enables employees to choose curated learning experiences in the areas of Leadership, Guest Service and Business – that align with their specific motivations and career goals. Results are measured by completion of required training, utilization and impact of the Epic Service recognition program, employee engagement scores, pipeline readiness of internal talent for front-line leader roles, guest experience scores and Net Promoter Scores.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a quarterly continuous listening survey to measure and understand the key drivers of sustainable engagement among our employees, make timely adjustments to maintain strong alignment, and to care for the needs of our employees.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Vail Resorts Culture</w:t>
      </w:r>
    </w:p>
    <w:p>
      <w:pPr>
        <w:pStyle w:val="TextBody"/>
        <w:bidi w:val="0"/>
        <w:spacing w:lineRule="auto" w:line="288" w:before="0" w:after="0"/>
        <w:jc w:val="both"/>
        <w:rPr/>
      </w:pPr>
      <w:r>
        <w:rPr>
          <w:rFonts w:ascii="Times New Roman;sans-serif" w:hAnsi="Times New Roman;sans-serif"/>
          <w:b w:val="false"/>
          <w:color w:val="000000"/>
          <w:sz w:val="20"/>
        </w:rPr>
        <w:t xml:space="preserve">Core to our human capital management strategy is our mission – to create an </w:t>
      </w:r>
      <w:r>
        <w:rPr>
          <w:rFonts w:ascii="Times New Roman;sans-serif" w:hAnsi="Times New Roman;sans-serif"/>
          <w:b w:val="false"/>
          <w:i/>
          <w:color w:val="000000"/>
          <w:sz w:val="20"/>
        </w:rPr>
        <w:t>Experience of a Lifetime</w:t>
      </w:r>
      <w:r>
        <w:rPr>
          <w:color w:val="000000"/>
        </w:rPr>
        <w:t xml:space="preserve"> </w:t>
      </w:r>
      <w:r>
        <w:rPr>
          <w:rFonts w:ascii="Times New Roman;sans-serif" w:hAnsi="Times New Roman;sans-serif"/>
          <w:b w:val="false"/>
          <w:color w:val="000000"/>
          <w:sz w:val="20"/>
        </w:rPr>
        <w:t xml:space="preserve">for our employees so they can in turn create an </w:t>
      </w:r>
      <w:r>
        <w:rPr>
          <w:rFonts w:ascii="Times New Roman;sans-serif" w:hAnsi="Times New Roman;sans-serif"/>
          <w:b w:val="false"/>
          <w:i/>
          <w:color w:val="000000"/>
          <w:sz w:val="20"/>
        </w:rPr>
        <w:t>Experience of a Lifetime</w:t>
      </w:r>
      <w:r>
        <w:rPr>
          <w:color w:val="000000"/>
        </w:rPr>
        <w:t xml:space="preserve"> </w:t>
      </w:r>
      <w:r>
        <w:rPr>
          <w:rFonts w:ascii="Times New Roman;sans-serif" w:hAnsi="Times New Roman;sans-serif"/>
          <w:b w:val="false"/>
          <w:color w:val="000000"/>
          <w:sz w:val="20"/>
        </w:rPr>
        <w:t xml:space="preserve">for our guests. We have a values-based leadership culture that places a premium on leader transparency, vulnerability and authenticity. We look for people to join Vail Resorts who are brave, passionate and ambitious. As Vail Resorts employees, we hold ourselves accountable for living these seven foundational values every day in everything we do: Serve Others, Do Right, Do Good, Be Safe, Have Fun, Be Inclusive and Drive Value.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Diversity, Equity and Inclusion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diversity, equity and inclusion (“DEI”) is core to both our company success and the future growth of our industry. At Vail Resorts, one of our core values is “Be Inclusive,” which means that we expect everyone at our Company to be welcoming to others, including all races, gender identities, sexual orientations, abilities and other differences. We have also recently added a new leadership competency, “Elevate,” which requires that all of our leaders are self-aware of their own inclusive behavior so they can intentionally build diverse representation, bring equity to our business practices, and create inclusive communities in which all people can thrive. We are focused on moving from accountability to action, and “Elevate” will be included as a competency in our annual performance management process for all employees beginning with the year ending July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4467225" cy="22860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4467225" cy="22860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long history of building gender diversity throughout the Company. Women represent 55% of our corporate senior leaders at the director level and above and 53% of our corporate roles generally. Ten resorts in our portfolio are led by women, including six of our 11 destination mountain resorts (Breckenridge, Vail, Park City, Crested Butte, Whistler Blackcomb and Northstar). Five of the ten directors on our Board are women, four of our twelve executive committee members are women, we are one of only a few Fortune 1000 companies with women in both the Chief Financial Officer and Chief Executive Officer positions, and our Chief Executive Officer, Kirsten Lynch, is the only woman in our industry to head a Fortune 1000 company. While women currently represent approximately 22% of mountain operations senior leadership roles, we continue to strive to bring more gender diversity to these roles, which have historically been male-dominated. We have also developed women in leadership programs and a Women &amp; Allies Employee Resource Group (“ERG”) to foster an inclusive culture and ensure equity of our talent practices. ERGs are part of a framework for under-represented talent to create a community with people who share those parts of their identity and their allies. Collectively, we refer to ERGs and Affinity Groups as “Employee Inclusion Networks.” Our first Affinity Group was the Rainbow Room, which was established in 2021 and focused on creating a community for our LGBTQIA+ employees and allies. We also recently announced two new Affinity Groups which will launch in Fiscal 2024, the Black Employee Network and the Veterans, Partners &amp; Allies Affinity Group.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Building on our success with increasing representation of women, we are focused on improving racial diversity at Vail Resorts, as well as in our communities and our industry. To that end, we are working to address barriers to attracting, developing and retaining the best talent from BIPOC communities in order to fuel innovation and growth within our Company and industry. We are also incorporating more diverse representation in our marketing efforts, including more direct outreach to communities of color. Over the past three years, we have undertaken extensive efforts around DEI, including company-wide virtual webinars bringing forward diverse voices, DEI dialogues with external thought leaders, online DEI training modules aligned with our “Be Inclusive” value, building leader capability against our new “Elevate” competency, and establishment of the aforementioned employee resource groups and affinity groups. As part of our commitment to driving sustainable change, we are listening and learning as a company, and the Company is part of CEO Action, Colorado Inclusive Economy and Civic Alliance.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are committed to providing our employees with an </w:t>
      </w:r>
      <w:r>
        <w:rPr>
          <w:rFonts w:ascii="Times New Roman;sans-serif" w:hAnsi="Times New Roman;sans-serif"/>
          <w:b w:val="false"/>
          <w:i/>
          <w:color w:val="000000"/>
          <w:sz w:val="20"/>
        </w:rPr>
        <w:t>Experience of a Lifetime</w:t>
      </w:r>
      <w:r>
        <w:rPr>
          <w:rFonts w:ascii="Times New Roman;sans-serif" w:hAnsi="Times New Roman;sans-serif"/>
          <w:b w:val="false"/>
          <w:color w:val="000000"/>
          <w:sz w:val="20"/>
        </w:rPr>
        <w:t>. We have a holistic set of total rewards programs designed to support all aspects of that experience for people of all races and genders, and we strive for competitiveness against the external market for talent. In addition, as part of our “Be Inclusive” core value, we conduct regular pay equity audits and make adjustments as needed.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Code of Conduct states that every employee is entitled to work in a respectful environment that is free of harassment and discrimination and we require our full-time, year-round employees, as well as certain seasonal employees, to complete a Code of Conduct training on an annual basis. This annual requirement includes training on a variety of topics, such as financial integrity, ethical leadership and anti-harassment. In Fiscal 2023, the training was completed by 96% of this employee base.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Mountain Safety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nature of our on-mountain operations comes with inherent safety risks, and the health and safety of our employees is a top priority. It is the shared responsibility of every employee to actively participate in creating a safe and secure environment and to minimize injuries. To that end, we routinely: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Provide resources and education to promote safe operating environments at our resorts, including compliance with Occupational Safety and Health Administration standards, as well as to improve overall workplace safety and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includes regular and ongoing safety training and assessments as well as safety audits, and all employees are required to take annual slope safety training.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Proactively assess risks to identify and mitigate unsafe conditions and integrate learnings from incidents to prevent future occurrences across our network of resorts.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Hire and train a dedicated health and safety team that oversees resort operations as well as highly trained ski patrol professionals at each resort.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Housing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Making affordable employee housing available is critical to achieve our hiring and retention goals. While identifying and securing affordable housing options is challenging in some of the communities in which we operate, providing frontline employees affordable housing in our resort communities is a critical aspect of the employee value proposition. For the 2023/2024 North American ski season, we expect to serve approximately 6,500 frontline team members with affordable housing across our Resorts, as well as an additional 1,200 team members at GTLC for the 2024 summer season.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pStyle w:val="TextBody"/>
        <w:bidi w:val="0"/>
        <w:spacing w:lineRule="auto" w:line="288" w:before="240" w:after="283"/>
        <w:jc w:val="both"/>
        <w:rPr/>
      </w:pPr>
      <w:r>
        <w:rPr>
          <w:rFonts w:ascii="Times New Roman;sans-serif" w:hAnsi="Times New Roman;sans-serif"/>
          <w:b w:val="false"/>
          <w:color w:val="000000"/>
          <w:sz w:val="20"/>
        </w:rPr>
        <w:t xml:space="preserve">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sans-serif" w:hAnsi="Times New Roman;sans-serif"/>
          <w:b w:val="false"/>
          <w:i/>
          <w:color w:val="000000"/>
          <w:sz w:val="20"/>
        </w:rPr>
        <w:t>Epic</w:t>
      </w:r>
      <w:r>
        <w:rPr>
          <w:rFonts w:ascii="Times New Roman;sans-serif" w:hAnsi="Times New Roman;sans-serif"/>
          <w:b w:val="false"/>
          <w:color w:val="000000"/>
          <w:sz w:val="13"/>
        </w:rPr>
        <w:t>®</w:t>
      </w:r>
      <w:r>
        <w:rPr>
          <w:rFonts w:ascii="Times New Roman;sans-serif" w:hAnsi="Times New Roman;sans-serif"/>
          <w:b w:val="false"/>
          <w:i/>
          <w:color w:val="000000"/>
          <w:sz w:val="20"/>
        </w:rPr>
        <w:t>, Epic Pass</w:t>
      </w:r>
      <w:r>
        <w:rPr>
          <w:rFonts w:ascii="Times New Roman;sans-serif" w:hAnsi="Times New Roman;sans-serif"/>
          <w:b w:val="false"/>
          <w:color w:val="000000"/>
          <w:sz w:val="13"/>
        </w:rPr>
        <w:t>®</w:t>
      </w:r>
      <w:r>
        <w:rPr>
          <w:rFonts w:ascii="Times New Roman;sans-serif" w:hAnsi="Times New Roman;sans-serif"/>
          <w:b w:val="false"/>
          <w:i/>
          <w:color w:val="000000"/>
          <w:sz w:val="20"/>
        </w:rPr>
        <w:t>, Vail Resorts</w:t>
      </w:r>
      <w:r>
        <w:rPr>
          <w:rFonts w:ascii="Times New Roman;sans-serif" w:hAnsi="Times New Roman;sans-serif"/>
          <w:b w:val="false"/>
          <w:color w:val="000000"/>
          <w:sz w:val="13"/>
        </w:rPr>
        <w:t>®</w:t>
      </w:r>
      <w:r>
        <w:rPr>
          <w:rFonts w:ascii="Times New Roman;sans-serif" w:hAnsi="Times New Roman;sans-serif"/>
          <w:b w:val="false"/>
          <w:i/>
          <w:color w:val="000000"/>
          <w:sz w:val="20"/>
        </w:rPr>
        <w:t>, Vail</w:t>
      </w:r>
      <w:r>
        <w:rPr>
          <w:rFonts w:ascii="Times New Roman;sans-serif" w:hAnsi="Times New Roman;sans-serif"/>
          <w:b w:val="false"/>
          <w:color w:val="000000"/>
          <w:sz w:val="13"/>
        </w:rPr>
        <w:t>®</w:t>
      </w:r>
      <w:r>
        <w:rPr>
          <w:rFonts w:ascii="Times New Roman;sans-serif" w:hAnsi="Times New Roman;sans-serif"/>
          <w:b w:val="false"/>
          <w:i/>
          <w:color w:val="000000"/>
          <w:sz w:val="20"/>
        </w:rPr>
        <w:t>, Beaver Creek</w:t>
      </w:r>
      <w:r>
        <w:rPr>
          <w:rFonts w:ascii="Times New Roman;sans-serif" w:hAnsi="Times New Roman;sans-serif"/>
          <w:b w:val="false"/>
          <w:color w:val="000000"/>
          <w:sz w:val="13"/>
        </w:rPr>
        <w:t>®</w:t>
      </w:r>
      <w:r>
        <w:rPr>
          <w:rFonts w:ascii="Times New Roman;sans-serif" w:hAnsi="Times New Roman;sans-serif"/>
          <w:b w:val="false"/>
          <w:i/>
          <w:color w:val="000000"/>
          <w:sz w:val="20"/>
        </w:rPr>
        <w:t>, Breckenridge</w:t>
      </w:r>
      <w:r>
        <w:rPr>
          <w:rFonts w:ascii="Times New Roman;sans-serif" w:hAnsi="Times New Roman;sans-serif"/>
          <w:b w:val="false"/>
          <w:color w:val="000000"/>
          <w:sz w:val="13"/>
        </w:rPr>
        <w:t>®</w:t>
      </w:r>
      <w:r>
        <w:rPr>
          <w:rFonts w:ascii="Times New Roman;sans-serif" w:hAnsi="Times New Roman;sans-serif"/>
          <w:b w:val="false"/>
          <w:i/>
          <w:color w:val="000000"/>
          <w:sz w:val="20"/>
        </w:rPr>
        <w:t>, Keystone</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Crested Butte &amp; Design</w:t>
      </w:r>
      <w:r>
        <w:rPr>
          <w:rFonts w:ascii="Times New Roman;sans-serif" w:hAnsi="Times New Roman;sans-serif"/>
          <w:b w:val="false"/>
          <w:i/>
          <w:color w:val="000000"/>
          <w:sz w:val="13"/>
        </w:rPr>
        <w:t>®</w:t>
      </w:r>
      <w:r>
        <w:rPr>
          <w:rFonts w:ascii="Times New Roman;sans-serif" w:hAnsi="Times New Roman;sans-serif"/>
          <w:b w:val="false"/>
          <w:i/>
          <w:color w:val="000000"/>
          <w:sz w:val="20"/>
        </w:rPr>
        <w:t>, Kirkwood &amp; Design</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Heavenly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The Company also owns Canadian and U.S. trademark registrations for the </w:t>
      </w:r>
      <w:r>
        <w:rPr>
          <w:rFonts w:ascii="Times New Roman;sans-serif" w:hAnsi="Times New Roman;sans-serif"/>
          <w:b w:val="false"/>
          <w:i/>
          <w:color w:val="000000"/>
          <w:sz w:val="20"/>
        </w:rPr>
        <w:t>Whistler Blackcomb &amp; Design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name and logo.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Environmental Compliance and other Laws and Regulations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 With the acquisition of Andermatt-Sedrun, the Company is required to comply with all Swiss regulations, including federal acts and ordinances, as well as Cantonal authorities.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Contracts with Governmental Authorities for Resort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Forest Service Resorts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Breckenridge, Vail Mountain, Keystone, Crested Butte, Stevens Pass, Heavenly, Kirkwood, Mount Snow, Attitash and portions of Beaver Creek and Wildcat are conducted on land under the jurisdiction of the U.S. Forest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and the Enhancement Act, the Forest Service has the authority to review and approve the location, design and construction of improvements in the permit area and many operational matters.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Forest Service Resorts operates under a SUP, and the acreage and expiration date information for each SUP is as follows:</w:t>
      </w:r>
    </w:p>
    <w:tbl>
      <w:tblPr>
        <w:tblW w:w="4170" w:type="dxa"/>
        <w:jc w:val="center"/>
        <w:tblInd w:w="0" w:type="dxa"/>
        <w:tblLayout w:type="fixed"/>
        <w:tblCellMar>
          <w:top w:w="28" w:type="dxa"/>
          <w:left w:w="28" w:type="dxa"/>
          <w:bottom w:w="28" w:type="dxa"/>
          <w:right w:w="28" w:type="dxa"/>
        </w:tblCellMar>
      </w:tblPr>
      <w:tblGrid>
        <w:gridCol w:w="625"/>
        <w:gridCol w:w="547"/>
        <w:gridCol w:w="553"/>
        <w:gridCol w:w="223"/>
        <w:gridCol w:w="223"/>
        <w:gridCol w:w="230"/>
        <w:gridCol w:w="516"/>
        <w:gridCol w:w="516"/>
        <w:gridCol w:w="737"/>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Forest Service Resort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Breckenridge</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5,702</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Vail Mountain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2031</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Keystone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8,376</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2032</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Beaver Creek</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2039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Heavenly</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7,050</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2042</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Mount Snow</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2047</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Attitash</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2047</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Wildcat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18, 2050</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Kirkwood</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2052</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Stevens Pass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2,443</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31, 2058</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Crested Butte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4,350</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2058</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Whistler Blackcomb</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Northeast Resorts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pass products, food and beverage, summer activities and retail merchandise. We are obligated to indemnify the State of New Hampshire from third-party claims arising out of our operations under the lease.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Laurel Mountain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Laurel Mountain Ski Area operates within Laurel Mountain State Park (“State Park”) under a Concession Lease Agreement (the “Lease Agreement”) with the Commonwealth of Pennsylvania, acting through the Department of Conservation and Natural Resources (“Department”). The Lease Agreement, first entered into on October 15, 2018, allows for ski operations on approximately 387 acres of the State Park, including the existing ski area, buildings and equipment owned by the Department. The Lease Agreement is automatically renewed for a total of 35 one-year terms through October 31, 2051. We pay a fixed annual rent, as well and an additional amount based on the number of skier visits, with a cap subject to semi-annual consumer price index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Australian Resorts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pStyle w:val="TextBody"/>
        <w:bidi w:val="0"/>
        <w:spacing w:lineRule="auto" w:line="288" w:before="240" w:after="283"/>
        <w:jc w:val="both"/>
        <w:rPr/>
      </w:pPr>
      <w:r>
        <w:rPr>
          <w:rFonts w:ascii="Times New Roman;sans-serif" w:hAnsi="Times New Roman;sans-serif"/>
          <w:b w:val="false"/>
          <w:color w:val="000000"/>
          <w:sz w:val="20"/>
        </w:rPr>
        <w:t xml:space="preserve">Falls Creek and Hotham are located in the Alpine National Park in Victoria, Australia. Falls Creek and Hotham both operate on Crown land permanently reserved under the </w:t>
      </w:r>
      <w:r>
        <w:rPr>
          <w:rFonts w:ascii="Times New Roman;sans-serif" w:hAnsi="Times New Roman;sans-serif"/>
          <w:b w:val="false"/>
          <w:i/>
          <w:color w:val="000000"/>
          <w:sz w:val="20"/>
        </w:rPr>
        <w:t xml:space="preserve">Crown Land (Reserves) Act 1978 </w:t>
      </w:r>
      <w:r>
        <w:rPr>
          <w:rFonts w:ascii="Times New Roman;sans-serif" w:hAnsi="Times New Roman;sans-serif"/>
          <w:b w:val="false"/>
          <w:color w:val="000000"/>
          <w:sz w:val="20"/>
        </w:rPr>
        <w:t xml:space="preserve">(Vic), with the exception of three small parcels of freehold land within the Hotham resort area. Each resort is subject to the </w:t>
      </w:r>
      <w:r>
        <w:rPr>
          <w:rFonts w:ascii="Times New Roman;sans-serif" w:hAnsi="Times New Roman;sans-serif"/>
          <w:b w:val="false"/>
          <w:i/>
          <w:color w:val="000000"/>
          <w:sz w:val="20"/>
        </w:rPr>
        <w:t xml:space="preserve">Alpine Resorts (Management) Act 1997 </w:t>
      </w:r>
      <w:r>
        <w:rPr>
          <w:rFonts w:ascii="Times New Roman;sans-serif" w:hAnsi="Times New Roman;sans-serif"/>
          <w:b w:val="false"/>
          <w:color w:val="000000"/>
          <w:sz w:val="20"/>
        </w:rPr>
        <w:t>(Vic)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pStyle w:val="TextBody"/>
        <w:bidi w:val="0"/>
        <w:spacing w:lineRule="auto" w:line="288" w:before="24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Alpine Resorts (Management) Regulations 2009</w:t>
      </w:r>
      <w:r>
        <w:rPr>
          <w:color w:val="000000"/>
        </w:rPr>
        <w:t xml:space="preserve"> </w:t>
      </w:r>
      <w:r>
        <w:rPr>
          <w:rFonts w:ascii="Times New Roman;sans-serif" w:hAnsi="Times New Roman;sans-serif"/>
          <w:b w:val="false"/>
          <w:color w:val="000000"/>
          <w:sz w:val="20"/>
        </w:rPr>
        <w:t xml:space="preserve">(Vic)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Andermatt-Sedrun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Andermatt-Sedrun, acquired by the Company on August 3, 2022, is located in the Usern Valley of the Swiss Alps and comprises five mountains (Gemsstock, Nätschen, Sedrun/Oberalp, Realp and Valtgeva). Ski operations are conducted on land owned by Andermatt Swiss Alps AG (“ASA”) as freehold or leasehold properties, land owned by Usern Corporation, land owned by the municipality of Tujetsch and land owned by private property owners.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ASA holds three leasehold properties, which are owned by either Usern Corporation, a corporation under public law consisting of all the citizens of the Usern Valley, or the Swiss Confederation, namely the Federal Department of Defense, Civil Protection, and Sport (“DDPS”). For the land owned by Usern Corporation, ASA and Usern Corporation have entered into a main framework concession agreement, dated August 13, 2013, which sets forth the terms and conditions for the use of the land in connection with ski infrastructure facilities in the Gemsstock and Nätschen-Gütsch-Oberalp areas (“Ursern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Concession”). The Ursern Framework Concession was entered into for a fixed term until December 31, 2032. An application for renewal of the Ursern Framework Concession must be submitted at least 12 months prior to the expiration of the concession agreement, and we anticipate applying for the renewal.</w:t>
      </w:r>
      <w:r>
        <w:rPr>
          <w:color w:val="000000"/>
        </w:rPr>
        <w:t xml:space="preserve"> </w:t>
      </w:r>
      <w:r>
        <w:rPr>
          <w:rFonts w:ascii="Times New Roman;sans-serif" w:hAnsi="Times New Roman;sans-serif"/>
          <w:b w:val="false"/>
          <w:color w:val="000000"/>
          <w:sz w:val="20"/>
        </w:rPr>
        <w:t>For the land owned by the Swiss Confederation, ASA has entered into leasehold agreements with the DDPS, which have a term of 50 years expiring on April 10, 2067 and March 13, 2068.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Another part of the land on which the Andermatt-Sedrun resort operations are conducted is owned by the municipality of Tujetsch. By means of a personal easement agreement dated October 12, 2012, ASA was granted various building rights and rights of way in order to build, operate and maintain the T-Bars and chairlifts on Tujetsch's property. The personal easement agreement was entered into for a fixed term until October 12, 2032, and we anticipate applying for renewal.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Swiss operations, companies who provide for regular and commercial passenger transportation by rail, road and water as well as by cable cars and elevators must obtain a passenger transport concession from the Federal Office of Transport (“FOT”). Under the Ursern Framework Concession, ASA was granted the required concessions for all ski infrastructure facilities and the usage of the ski slopes on the property of the Ursern Corporation. In the course of expanding the ski infrastructure facilities Urserntal-Oberalp, the FOT granted ASA passenger transport concessions for a total of 12 cableway installations by means of a plan approval dated May 30, 2014. Each passenger transport concession has a separate expiration date between 2026 and 2042, and we will then be able to apply for an extension or new concession. Additionally, the plan approval included concessions and approvals for ancillary installations such as ski slopes, snowmaking systems, rolling carpets, railway station passenger subway and clearings.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Concession Agreements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National Park Concessioner Properties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GTLC operates three lodging properties, food and beverage services, retail, camping and other services within the Grand Teton National Park under a concession agreement with the NPS. Our concession agreement with the NPS for GTLC, which had an initial term expiration date of December 31, 2021, was amended in June 2021 to extend the term to December 31, 2023. The NPS currently expects to release a contract solicitation for the services offered by GTLC by the end of calendar year 2023. We currently expect that our existing agreement will be extended for an additional one year through December 31, 2024 due to the time needed for solicitation, preparation, review and award of a new contract. We expect the NPS to confirm this extension in the fall of 2023. We pay a fee to the NPS of a percentage of the majority of our sales occurring in Grand Teton National Park.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to the NPS of a percentage of the majority of our sales occurring in the Parkway.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expiration of these concession contracts, we will have the opportunity to bid against other prospective concessioners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jc w:val="both"/>
        <w:rPr/>
      </w:pPr>
      <w:r>
        <w:rPr>
          <w:rFonts w:ascii="Times New Roman;sans-serif" w:hAnsi="Times New Roman;sans-serif"/>
          <w:b w:val="false"/>
          <w:color w:val="000000"/>
          <w:sz w:val="20"/>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and proxy statements are available free of charge on our corporate website </w:t>
      </w:r>
      <w:r>
        <w:rPr>
          <w:rFonts w:ascii="Times New Roman;sans-serif" w:hAnsi="Times New Roman;sans-serif"/>
          <w:b w:val="false"/>
          <w:color w:val="000000"/>
          <w:sz w:val="20"/>
          <w:u w:val="single"/>
        </w:rPr>
        <w:t>www.vailresorts.com</w:t>
      </w:r>
      <w:r>
        <w:rPr>
          <w:color w:val="000000"/>
        </w:rPr>
        <w:t xml:space="preserve"> </w:t>
      </w:r>
      <w:r>
        <w:rPr>
          <w:rFonts w:ascii="Times New Roman;sans-serif" w:hAnsi="Times New Roman;sans-serif"/>
          <w:b w:val="false"/>
          <w:color w:val="000000"/>
          <w:sz w:val="20"/>
        </w:rPr>
        <w:t>as soon as reasonably practicable after they are electronically filed with or furnished to the SEC. We also use our website as a means of disclosing additional information, including for complying with our disclosure obligations under the SEC’s Regulation FD (Fair Disclosure). Information on our websites does not constitute part of this document. Materials filed with or furnished to the SEC are also made available on its website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are subject to the risk of prolonged weakness in general economic conditions including adverse effects on the overall travel and leisure related industries.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inflationary pressures, rising interest rates, supply chain disruption, fluctuating commodity pricing, geopolitical uncertainties, increased labor costs and shortages, increased fuel prices, high unemployment, erosion of consumer confidence, health pandemics, sovereign debt issues and financial instability in the global markets, among other factors, could have negative effects on the travel and leisure industry and on our results of operations. As a result of these and other economic uncertainties, we have experienced and may continue to experience changes in booking trends including guest reservations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that are available at a discount to the single day lift 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inflation, geopolitical conflicts, health pandemics or other factors, it could impact the volume of international visitation, which could have a significant impact on our operating results.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may be adversely impacted by the effects of high or prolonged inflation and rising interest rates.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Inflation increases the cost of goods we purchase and services we buy, the cost of capital projects and wages and benefits for our workforce. Although we may take measures to mitigate the impact of inflation through pricing actions or cost reduction measures, if we are not able to offset inflationary costs, our results of operations will be negatively impacted and possibly in a material manner. As a result, the impact of high and prolonged inflation could have a material adverse effect on our business, financial condition, or results of operations. Inflationary pressures also increase the cost of living and cost of travel, which decreases consumers’ disposable income and could impact our guests’ discretionary spending habits or willingness to visit our Resorts, which could reduce customer demand for the products and services that we offer and negatively impact our financial condition or our results of operations. In addition, the existence of inflation in certain economies has resulted in, and may continue to result in, rising interest rates. Our business could be adversely impacted by increases in the cost of borrowing from rising interest rates. Rising interest rates increase the borrowing costs on new debt, including debt we may refinance, and could affect the fair value of our investments.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Epic Coverage program may require us to provide significant refunds to our pass product holders, which would result in reduced revenue and also exposes us to the risk of customer complaints and negative perception about our pass products.</w:t>
      </w:r>
    </w:p>
    <w:p>
      <w:pPr>
        <w:pStyle w:val="TextBody"/>
        <w:bidi w:val="0"/>
        <w:spacing w:lineRule="auto" w:line="288" w:before="0" w:after="0"/>
        <w:jc w:val="both"/>
        <w:rPr/>
      </w:pPr>
      <w:r>
        <w:rPr>
          <w:rFonts w:ascii="Times New Roman;sans-serif" w:hAnsi="Times New Roman;sans-serif"/>
          <w:b w:val="false"/>
          <w:color w:val="000000"/>
          <w:sz w:val="20"/>
        </w:rPr>
        <w:t xml:space="preserve">Epic Coverage is included with the purchase of all pass products for no additional charge. Epic Coverage offers refunds to pass product holders if certain qualifying personal or Resort closure events occur before or during the ski season, </w:t>
      </w:r>
      <w:r>
        <w:rPr>
          <w:rFonts w:ascii="Times New Roman;sans-serif" w:hAnsi="Times New Roman;sans-serif"/>
          <w:b w:val="false"/>
          <w:color w:val="000000"/>
          <w:sz w:val="20"/>
          <w:shd w:fill="FFFFFF" w:val="clear"/>
        </w:rPr>
        <w:t>subject to express terms and conditions</w:t>
      </w:r>
      <w:r>
        <w:rPr>
          <w:rFonts w:ascii="Times New Roman;sans-serif" w:hAnsi="Times New Roman;sans-serif"/>
          <w:b w:val="false"/>
          <w:color w:val="000000"/>
          <w:sz w:val="20"/>
        </w:rPr>
        <w:t>. Accordingly, to the extent that a significant volume of qualifying events occur during the ski season, we could be required to provide a significant amount of refunds to our pass product holders, subject to express terms and conditions, which could have a material negative impact on our financial performance and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amount of refunds reduce the amount of pass product revenue recognized by the Company. To estimate the amount of refunds under Epic Coverage, the Company considers historical claims data for personal events and the Company’s operating plans for its Resorts. The Company believes the estimates of refunds are reasonable; however, the program is subject to a number of variables and uncertainties, and therefore actual results could vary materially from such estimates, and the Company could be required to refund significantly higher amounts than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are vulnerable to unfavorable weather conditions and the impact of natural disasters.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guests to our Resorts is partly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Resorts.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decreased snowfall, increased weather variability and/or warmer overall temperatures, which could adversely affect skier visits and our revenue and profits.</w:t>
      </w:r>
      <w:r>
        <w:rPr>
          <w:color w:val="000000"/>
        </w:rPr>
        <w:t xml:space="preserve"> </w:t>
      </w:r>
      <w:r>
        <w:rPr>
          <w:rFonts w:ascii="Times New Roman;sans-serif" w:hAnsi="Times New Roman;sans-serif"/>
          <w:b w:val="false"/>
          <w:color w:val="000000"/>
          <w:sz w:val="20"/>
        </w:rPr>
        <w:t>Revenues and profits generated from mountain summer activities/sightseeing and golf peak season operations are not nearly sufficient to off-set off-season losses from our other mountain and lodging operations.</w:t>
      </w:r>
      <w:r>
        <w:rPr>
          <w:color w:val="000000"/>
        </w:rPr>
        <w:t xml:space="preserve"> </w:t>
      </w:r>
      <w:r>
        <w:rPr>
          <w:rFonts w:ascii="Times New Roman;sans-serif" w:hAnsi="Times New Roman;sans-serif"/>
          <w:b w:val="false"/>
          <w:color w:val="000000"/>
          <w:sz w:val="20"/>
        </w:rPr>
        <w:t>This impact could be exacerbated by climate change.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Resorts will receive seasonal snowfalls near their historical averages. As an example of weather variability, throughout the 2022/2023 North American ski season, unseasonably warm and extreme cold weather disrupted operating days, impacted demand and increased operating costs at our eastern U.S. Resorts, and significant snowstorms impacted resort access and our ability to fully open our Resorts in the Tahoe region at certain times. Past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could take several years for the environment to recover.</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Leisure travel is particularly susceptible to various factors outside of our control, including terrorism, the uncertainty of military and geopolitical conflicts, the cost and availability of travel options and changing consumer preferences or willingness to travel.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sensitive to the willingness of our guests to travel. Adverse economic conditions, pandemics, acts of terrorism, political events and developments in military and geopolitical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Visitation may also decrease if widespread airline or airport disruptions or flight cancellations occur. A significant portion of our guests also travel by vehicle and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 In addition, economic volatility and uncertainty, supply chain disruptions, increased fuel prices and increases to cost of travel (as a result of geopolitical factors or otherwise) may adversely affect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success depends on our ability to attract visitors to our Resorts. Changes in consumer tastes and preferences, particularly those affecting the popularity of skiing and snowboarding, and other social and demographic trends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affect the number of skier visits during a ski season. A significant decline in skier visits compared to historical levels would have a material adverse effect on our business, prospects, financial condition, results of operations and cash flows.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Pandemics and public health emergencies could materially disrupt our business and negatively impact our results of operations, cash flows and financial condition.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Pandemics and public health emergencies, such as the COVID-19 pandemic,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provide our services during such an event may be dependent on the governmental or societal responses to these circumstances in the markets in which we operate. A pandemic or public health emergency is likely to heighten and exacerbate the risks described herein. We experienced many of these risks in connection with the COVID-19 pandemic. Any resurgence of infection rates or the spread of new variants or viruses could adversely affect our revenue, results of operations and cash flows.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Cyberattacks or other interruptions to or disruption of our information technology systems and services could disrupt our business.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 or our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 rise in the number of sophisticated cyberattacks on network and information systems, including ransomware attacks that prevent the target from accessing its own data and/or systems until a ransom is paid. As a result, the risks associated with such an event continue to increase. We have experienced cybersecurity threats and incidents, none of which have been material. We have taken, and continue to take, steps to address these concerns by implementing security and internal controls. However, there can be no assurance that a system interruption, security breach or unauthorized access will not occur. Cyber threats and attacks are constantly evolving and becoming more sophisticated, which increases the difficulty and cost of detecting and defending against them.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Failure to maintain the integrity and security of our internal, employee or guest data could result in damages to our reputation and subject us to costs, fines or lawsuits.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relies on the use of large volumes of data. We collect and retain guest data, including credit card numbers and other sensitive personal information, for various business purposes, such as processing transactions, marketing and other promotional purposes. We also maintain personal information about our employees. We could make faulty decisions if data is inaccurate or incomplete. Maintaining the integrity and security of data can be costly and is critical to our business, and our guests and employees have a high expectation that we will adequately protect their personal information. A significant theft, loss, loss of access to, or fraudulent use of customer, employee, or company data held by us or our service providers could adversely impact our reputation, and could result in significant remedial and other expenses, fines, and/or litigation.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Our business is highly seasonal.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mountain and lodging operations are highly seasonal in nature. Peak operating season for our North American and European Resorts is from mid-December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generated by our Australian Resorts, GTLC and Flagg Ranch, mountain summer activities/sightseeing and golf peak season operations are not nearly sufficient to fully offset our off-season losses from our other mountain and lodging operations. For Fiscal 2023, approximately 81%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2023 accounted for approximately 61% of the total lift revenue) predominately occurring during the period prior to the start of the ski season as the cash from those sales is collected in advance and revenue is primarily recognized in the second and third fiscal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in such fiscal year due to the seasonality of our business. Operating results for any quarter are not necessarily indicative of the results that may be achieved for any subsequent quarter or for a full fiscal year (see Notes to Consolidated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face significant competition.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ski resort and lodging industries are highly competitive. There are approximately 760 ski areas in North America, including approximately 480 in the U.S. that serve local and destination guests, and these ski areas can be more or less impacted by weather conditions based on their location and snowmaking capabilities. The factors that we believe are important to customers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proximity to population centers;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availability and cost of transportation to ski areas;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availability and quality of lodging options and other amenities in resort areas;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ease of travel to ski areas (including direct flights by major airlines);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pricing of lift tickets and/or pass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magnitude, quality and price of related ancillary services (ski school, dining and retail/rental);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quality of snowmaking;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type and quality of skiing and snowboarding offered;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duration of the ski season;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weather conditions;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reputation.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competing options for our guests, including other major resorts in Colorado, Utah, California, Nevada, the Pacific Northwest, Northeast and Southwest United States, and British Columbia, Canada, Australia, Switzerland,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retail/rental business competes with numerous other national, regional, local and online retail and rental businesses. RockResorts hotels, our other hotels and our property management business compete with numerous other hotel and property management companies. Each of these competing businesses may have greater financial resources than we do and they may be able to adapt more quickly to changes in customer requirements or devote greater resources to promotion of their offerings than us. Additionally these competing businesses may offer locations, pricing or other factors that appeal to potential customers.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The high fixed cost structure of mountain resort operations can result in significantly lower margins if revenues decline.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inflation has accelerated in the U.S. and globally due in part to global supply chain issues, the Ukraine-Russia war, a rise in energy prices and strong consumer demand. Increases in expenses as a result of this inflationary environment and other economic factors may adversely impact wages and other labor costs, energy, healthcare, insurance, transportation and fuel, cost of goods, property taxes, minimum lease payments and other expenses and operating costs included in our fixed cost structure, which may also reduce our margin, profits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may not be able to fund resort capital expenditures.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circumstances beyond our control. We currently anticipate that we will spend approximately $204 million to $209 million on capital projects in calendar year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fund capital expenditures will depend on our ability to generate sufficient cash flow from operations and/or to borrow from third parties in the debt market or raise additional capital in the equity market. We cannot provide assurances that our operations will be able to generate sufficient cash flow to fund such capital expenditures, or that we will be able to obtain sufficient capital from other sources on adequate terms, or at all, especially considering rising interest rates. Our ability to generate cash flow and to obtain third-party financing will depend upon many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future operating performance;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general economic conditions, including interest rates, and economic conditions affecting the resort industry, the ski industry and the capital markets;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legislative and regulatory matters affecting our operations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inability to generate sufficient cash flows from operations or to obtain adequate third-party financing could cause us to delay or abandon certain projects and/or plans.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A disruption in our water supply would impact our snowmaking capabilities and operations.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rely on various government permits and landlord approvals at our U.S. resorts. </w:t>
      </w:r>
    </w:p>
    <w:p>
      <w:pPr>
        <w:pStyle w:val="TextBody"/>
        <w:bidi w:val="0"/>
        <w:spacing w:lineRule="auto" w:line="288" w:before="0" w:after="0"/>
        <w:jc w:val="both"/>
        <w:rPr/>
      </w:pPr>
      <w:r>
        <w:rPr>
          <w:rFonts w:ascii="Times New Roman;sans-serif" w:hAnsi="Times New Roman;sans-serif"/>
          <w:b w:val="false"/>
          <w:color w:val="000000"/>
          <w:sz w:val="20"/>
        </w:rPr>
        <w:t>Our U.S. Resort operations require permits and approvals from certain federal, state and local authorities, including the Forest Service, U.S. Army Corps of Engineers, the States of Vermont, New Hampshire and Pennsylvania and the NPS. Virtually all of our ski trails and related activities, including our summer activities, at Vail Mountain, Breckenridge, Keystone, Crested Butte, Stevens Pass, Heavenly, Kirkwood, Mount Snow, Wildcat, a majority of Beaver Creek and portions of Attitash are located on National Forest land.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w:t>
      </w:r>
      <w:r>
        <w:rPr>
          <w:rFonts w:ascii="Times New Roman;sans-serif" w:hAnsi="Times New Roman;sans-serif"/>
          <w:b w:val="false"/>
          <w:color w:val="000000"/>
          <w:sz w:val="20"/>
          <w:shd w:fill="FFFFFF" w:val="clear"/>
        </w:rPr>
        <w:t>Contracts with Governmental Authorities for Resort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Stowe and Okemo are partially located on land we lease from the State of Vermont, Mount Sunapee is located on land we lease from the State of New Hampshire and Laurel Mountain is located on land we lease from the State of Pennsylvania. We are required to seek approval from such states for certain developments and improvements made to the resort. Certain other resorts are operated on land under long-term leases with third parties. For example, operations at our Northstar, Park City and Mad River Mountain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Following the initial lease term expiration, we have six 50-year renewal options. Additionally, GTLC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Flagg Ranch operate under concession agreements with the NPS that expire on December 31, 2023 (which we currently expect will be extended in the fall of 2023 for an additional year through December 31, 2024 due to the time needed for solicitation, preparation, review and award of a new contract) and October 31, 2028, respectively. There is no guarantee that at the end of the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governments, and we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rely on foreign government leases and landlord approvals, and are subject to certain related laws and regulations, at our international resorts.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Resort operations require permits and approvals from certain foreign authorities, including the (i) Province of British Columbia, (ii) the New South Wales and Victoria, Australia governments and (iii) the DDPS, the municipality of Tujetsch and the FOT in Switzerland.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Portions of our operations at Andermatt-Sedrun are located on land owned by (i) the DDPS and subject to two leasehold agreements with ASA, each with a term of 50 years expiring on April 10, 2067 and March 13, 2068; and (ii) the municipality of Tujetsch by means of a personal easement agreement which expires on October 12, 2032 with an option to apply for renewal. We also hold a passenger transport concessions from the FOT, for a total of 12 cableway installations by means of a plan approval dated May 3, 2014. Each passenger transport concession has a separate expiration date between 2026 and 2042, and we will then be able to apply for an extension or new concession.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are subject to extensive environmental and health and safety laws and regulations in the ordinary course of business.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Our ski area improvement proposals may not be approved or may be approved with modifications that substantially increase the cost or decrease the 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Changes in security and privacy laws and regulations could increase our operating costs, increase our exposure to fines and litigation, and adversely affect our ability to market our products, properties and services effectively.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security and privacy requirements imposed by applicable laws and governmental regulation and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particularly in light of the launch of our new My Epic App, or otherwise impact our ability to market our products, properties and services to our guests. In addition, any failure to maintain compliance with such regulations may cause us to incur significant penalties and generate negative publicity, require us to change our business practices, increase our costs and adversely affect our business. Any future changes or restrictions in U.S. or international privacy laws could also adversely affect our operations, including our ability to transfer guest data. Changes in U.S. or international law affecting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rely on information technology to operate our businesses and maintain our competitiveness, and any failure to adapt to technological developments or industry trends could harm our business or competitive position.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Particularly in light of the launch of our new My Epic App, we may not be able to maintain our existing systems or replace or introduce new technologies and systems as quickly as we would like or in a cost-effective manner, which may keep us from achieving the desired results in a timely manner, to the extent anticipated, or at all. Also, we may be unable to devote adequate financial resources to new technologies and systems in the future. If any of these events occur, our business and financial performance could suffer.</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may not be able to hire, train, reward and retain adequate team members and determine and maintain adequate staffing, including our seasonal workforce, which may impact labor costs and our ability to achieve our operating, growth and financial objectives.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In addition, our mountain and lodging operations are highly dependent on a large seasonal workforce. Maintaining adequate staffing is complicated and unpredictable. The market for the most qualified talent continues to be highly 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immigration laws could also impact our workforce because we typically recruit and hire foreign nationals as part of our seasonal workforce. A shortage of international workers, failure to adequately recruit and retain new domestic employees, higher than expected attrition levels, or increased wages all could affect our ability to open and operate parts of our Resorts, deliver guest service at traditional margins or achieve our labor cost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we also experience market-driven pressures to pay wages even higher than mandated minimum wages. This can result in increases not only to the wages of our minimum wage employees but also to the wages paid to employees at wage rates that are above the minimum wage. During Fiscal 2023, we increased our minimum wage for North American employees to $20 per hour and announced a substantial investment in our human resource department to support more normalized staffing and operations at our Resorts. From time to time, we have experienced non-union employees attempting to unionize. While only a very small portion of our employees are unionized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present, we may experience additional union activity in the future, which could lead to disruptions in our business, increases in our operating costs and/or constraints on our operating flexibility. These potential labor impacts could adversely impact our results of operations. For additional details, see “Business—Human Capital Management.”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have recently acquired Andermatt-Sedrun, which was not subject to rules and regulations promulgated under the Sarbanes-Oxley Act of 2002, as amended ("Sarbanes-Oxley"), and may therefore lack the internal controls that would be required of a U.S. public company, which could ultimately affect our ability to ensure compliance with the requirements of Section 404 of Sarbanes-Oxley.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recently acquired Andermatt-Sedrun, which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July 31, 2023 did not include certain elements of the internal controls of Andermatt-Sedrun, which was acquired on August 3,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management will continue to review and evaluate the effectiveness of our internal controls in light of this acquisition,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Sarbanes-Oxley.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considerable expansion in the use of social media over recent years has compounded the impact of negative publicity. Information posted on social media platforms at any time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access to capital and employee recruitment and retention.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across all industries are facing increasing scrutiny related to their environmental, social and governance (“ESG”) practices and reporting. Investors, consumers, employees and other stakeholders have focused increasingly on ESG practices and have placed increasing importance on the implications and social cost of their investments, purchases and other interactions with companies. In 2017, we launched an ambitious Commitment to Zero pledge to have a zero net operating footprint by 2030, which includes commitments to (i) achieving zero net emissions, (ii) zero waste to landfill, and (iii) zero net operating impact to forests. Additionally, we were awarded the National Ski Area Association’s Golden Eagle Climate Change award at their 2023 annual conference; however we may not be able to sustain such recognition for our ESG efforts. If our ESG practices do not meet investor, consumer or employee expectations related to our Commitment to Zero or any other ESG initiative, which continue to evolve, or if we do not maintain recognition for our ESG efforts, our brand, reputation and customer retention may be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achieve any ESG objective is subject to numerous risks, many of which are outside of our control. Examples of such risks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evolving regulatory requirements affecting ESG practices;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suppliers that can meet sustainability, diversity and other ESG standards that we may set;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recruit, develop and retain diverse talent in our labor markets.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or are perceived to be failing, to meet the standards included in any sustainability disclosure (including our Commitment to Zero pledge included in our annual EpicPromise Progress Report) or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customer attraction and retention, access to capital, and employee retention.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Our acquisitions might not be successful.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 our recent acquisitions of the Seven Springs Resorts and Andermatt-Sedrun, some of which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evaluation of the synergies and/or long-term benefits of an acquired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inability to integrate acquired businesses into our operations as planned;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diversion of our management’s attention;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expenditures (including legal, accounting and due diligence expenses, higher administrative costs to support the acquired entities, information technology, personnel and other integration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increased debt leverage;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issuance of dilutive equity securities;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litigation arising from acquisition activity;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potential impairment of goodwill, intangible or tangible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risks with respect to current and potential international operations, including by unique laws, regulations and business practices of foreign jurisdictions;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unanticipated problems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run the risk that any new acquisitions may fail to perform in accordance with expectations, and that estimates of the costs of improvements and integration for such properties may prove inaccurate.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subject to additional risks with respect to our current and potential international operations and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acquisitions of Whistler Blackcomb in Canada, Perisher, Hotham and Falls Creek in Australia, and Andermatt-Sedrun in Switzerland, and potential future international acquisitions, we have and may continue to increase our operations outside of the United States. We are accordingly subject to a number of risks relating to doing business internationally. We also intend to consider strategic growth opportunities for our portfolio globally through acquisitions in attractive international markets to service demonstrable demand where we believe the anticipated risk-adjusted returns are consistent with our investment objectives. Our international operations and properties and in particular our newly acquired European properties (following the Andermatt-Sedrun acquisition), could be affected by factors peculiar to the laws, regulations and business practices of those jurisdictions. These laws, regulations and business practices expose us to risks that are different than or in addition to those commonly found in the United States. Risks relating to our international operations and properties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changing governmental rules and policies, including changes in land use and zoning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enactment of laws relating to international ownership and laws restricting the ability to remove profits earned from activities within a particular country to a person’s or company’s country of origin;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variations in currency exchange rates and the imposition of currency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market conditions caused by terrorism, civil unrest, natural disasters, infectious disease and changes in international, national or local governmental or economic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business disruptions arising from public health crises and outbreaks of communicable diseases, including the recent coronavirus outbreak;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willingness of U.S. or international lenders to make loans in certain countries and changes in the availability, cost and terms of secured and unsecured debt resulting from varying governmental economic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imposition of unique tax structures and changes in tax rates and other operating expenses in particular countries, including the potential imposition of adverse or confiscatory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imposition of restrictions on currency conversions or the transfer of funds;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general political and economic instability;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international laws and regulations (including anti-corruption regulations, such as the U.S. Foreign Corrupt Practices Act);</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data security, including requirements that local customer data be stored locally and not transferred to other jurisdictions;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limited experience and expertise in foreign countries, particularly European countries, relative to our experience and expertise in the United States;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 foregoing risks were to materialize, they could materially and adversely affect us.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Exchange rate fluctuations could result in significant foreign currency gains and losses and affect our business results.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currency translation risk because the local currency utilized in the operations of Whistler Blackcomb, Perisher, Hotham, Falls Creek and Andermatt-Sedrun are different than our functional currency, the U.S. dollar. As a result, changes in foreign exchange rates, in particular between the Canadian dollar, Australian dollar, Swiss franc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 are subject to tax laws and regulations in multiple jurisdictions, and changes to those laws and regulations or interpretations thereof or adverse determinations by tax authorities may adversely affect us.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examination of tax returns and other tax matters by the Internal Revenue Service (“IRS”)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cannot provide assurance that we will pay dividends, or if paid, that dividend payments will be consistent with historical levels.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generally paid quarterly dividends since fiscal 2011 (with the exception of several quarters in Fiscal 2020 and Fiscal 2021 to maintain short-term liquidity in response to the COVID-19 pandemic), which are funded through cash flow from operations, available cash on hand and borrowings under our Credit Facilities.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Eighth Amended and Restated Credit Agreement (the “Vail Holdings Credit Agreement”), any future contractual restrictions, future prospects for earnings and cash flows, as well as other factors considered relevant by our Board of Directors.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 On September 27, 2023, our Board of Directors approved a cash dividend of $2.06 per share payable on October 26, 2023 to stockholders of record as of October 10, 2023.</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amount of debt, which requires significant interest and principal payments. As of July 31, 2023, we had $2.8 billion in total indebtedness outstanding. This amount includes (i) $575.0 million in aggregate principal amount of 0.0% convertible notes due 2026 (the “0.0% Convertible Notes”), (ii) $600.0 million aggregate principal amount of our unsecured senior notes due 2025 (the “6.25% Notes”), (iii) $1.0 billion of indebtedness pursuant to the term loan facility under the Vail Holdings Credit Agreement that matures in 2026, (iv) $363.4 million with respect to our obligation associated with the Canyons long-term lease, (v) $29.5 million with respect to our obligations associated with the Whistler Blackcomb employee housing leases, (vi) $114.2 million with respect to the EPR Secured Notes under the master credit and security agreements and other related agreements with EPT Ski Properties, Inc. and its affiliates (“EPR”), as amended (collectively, the “EPR Agreements”), and (vii) $40.4 million with respect to the New Regional Policy loan between Andermatt-Sedrun and the Canton of Uri and Canton of Graubünden (the “NRP Loan”). We also have a credit agreement at Whistler Blackcomb that matures in 2028 (the “Whistler Credit Agreement”), which had no amounts outstanding as of July 31, 2023. Collectively, the Vail Holdings Credit Agreement, the Whistler Credit Agreement, the EPR Agreements and the NRP Loan are referred to herein as the “Credit Agreements,” and such facilities, the “Credit Facilities.” Our borrowings under the Vail Holdings Credit Agreement are subject to interest rate changes substantially increasing our risk to changes in interest rates. Following the Fifth Amendment to the Vail Holdings Credit Agreement, dated as of August 31, 2022 (the “Fifth Amendment”), borrowings under the Vail Holdings Credit Agreement, including the term loan facility, bear interest annually at a rate of SOFR plus 1.60%. As of July 31, 2023 we also have, on a cumulative basis, minimum lease payment obligations under operating leases of approximately $267.3 million over the term of the leases. Our level of indebtedness and minimum lease payment obligations could have important consequences. For example, it could: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make it more difficult for us to satisfy our obligations under our outstanding debt;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 us to dedicate a substantial portion of our cash flow from operations to payments on our indebtedness, including the annual payments under the Canyons lease, thereby reducing the availability of our cash flow to fund dividend payments, working capital, capital expenditures, real estate developments, marketing efforts and other general corporate purposes;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place us at a competitive disadvantage compared to our competitors that have less debt;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 our ability to borrow additional funds, refinance debt, or obtain additional financing for working capital, capital expenditures, debt service requirements, acquisitions or other general corporate purposes;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make it difficult for us to satisfy our obligations, including debt service requirements under our outstanding debt;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cause potential or existing customers to not contract with us due to concerns over our ability to meet our financial obligations, such as insuring against our professional liability risks, under such contracts.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debt under our Credit Facilities bears interest at variable rates, which may be impacted by potential future changes in interest rates due to reference rate reform. We may be able to incur additional indebtedness in the future. The terms of our Credit Facilities, the 0.0% Convertible Notes and the 6.25% Notes do not fully prohibit us from doing so. If we incur additional debt, the related risks that we face could intensify.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Credit Facilities also impose significant operating and financial restrictions on us. These restrictions limit our ability and the ability of our subsidiaries to,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incur or guarantee additional debt or issue capital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pay dividends and make other distributions on, or redeem or repurchase, capital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make certain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incur certain liens;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merge or consolidate;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agreements that restrict the ability of subsidiaries to make dividends, distributions or other payments to us or the guarantors;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designate restricted subsidiaries as unrestricted subsidiaries;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transfer or sell assets.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6.25% Notes contains a number of significant restrictions and covenants that limit our ability 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grant or permit liens;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engage in sale/leaseback transactions;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engage in a consolidation or merger, or sell, transfer or otherwise dispose of all or substantially all of our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may affect our ability to comply with these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any future indebtedness we may incur could include more restrictive covenants. We may not be able to maintain compliance with our financial covenants in the future and, if we fail to do so, we may not be able to obtain waivers from the lenders and/or amend the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Since inception of this stock repurchase program through July 31, 2023, the Company has repurchased 8,648,302 shares at a cost of approximately $979.4 million, excluding accrued excise tax. As of July 31, 2023, 1,351,698 Vail Shares remained available to repurchase under the existing share repurchase program, which has no expiration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reduce our available liquidity, which may impact our ability to finance future growth and to pursue possible future strategic opportunities and acquisitions. Further, the Internal Revenue Service recently implemented a nondeductible excise tax equal to 1% of the fair market value of certain corporate share repurchases.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are subject to litigation in the ordinary course of business.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We are subject to complex and evolving accounting regulations and use certain estimates and judgments that may differ significantly from actual results.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Anti-takeover provisions affecting us could prevent or delay a change of control that is beneficial to our stockholders.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delay, defer or prevent a change in control of our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discourage bids for our securities at a premium over the market price;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adversely affect the market price of, and the voting and other rights of the holders of our securities;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impede the ability of the holders of our securities to change our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provisions of the indentures governing our indebtedness stipulate that the Company must repurchase the senior notes at the option of their holders upon the event of a change in control of the Company. Further, a change of control would constitute an event of default under our credit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2.PROPERTIES.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principal properties that we own or lease for use in our operations:</w:t>
      </w:r>
    </w:p>
    <w:tbl>
      <w:tblPr>
        <w:tblW w:w="10205" w:type="dxa"/>
        <w:jc w:val="left"/>
        <w:tblInd w:w="0" w:type="dxa"/>
        <w:tblLayout w:type="fixed"/>
        <w:tblCellMar>
          <w:top w:w="28" w:type="dxa"/>
          <w:left w:w="28" w:type="dxa"/>
          <w:bottom w:w="28" w:type="dxa"/>
          <w:right w:w="28" w:type="dxa"/>
        </w:tblCellMar>
      </w:tblPr>
      <w:tblGrid>
        <w:gridCol w:w="780"/>
        <w:gridCol w:w="660"/>
        <w:gridCol w:w="663"/>
        <w:gridCol w:w="295"/>
        <w:gridCol w:w="295"/>
        <w:gridCol w:w="296"/>
        <w:gridCol w:w="2099"/>
        <w:gridCol w:w="2086"/>
        <w:gridCol w:w="3031"/>
      </w:tblGrid>
      <w:tr>
        <w:trPr/>
        <w:tc>
          <w:tcPr>
            <w:tcW w:w="78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w:t>
            </w:r>
          </w:p>
        </w:tc>
        <w:tc>
          <w:tcPr>
            <w:tcW w:w="7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Use</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Afton Alps, MN</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7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clubhouse, buildings, commercial space and other improvements</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Alpine Valley Resort, OH</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golf course, clubhouse, buildings, commercial space and other improvements</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Andermatt Ski Resort, Switzerland</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commercial space and other improvements, and dining facilities</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Andermatt Ski Resort, Switzerland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buildings, commercial space, parking and other improvements, dining facilities and employee housing</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Andermatt Ski Resort, Switzerland</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Easement</w:t>
            </w:r>
          </w:p>
        </w:tc>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third party land use rights, and dining facilities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0"/>
        <w:gridCol w:w="793"/>
        <w:gridCol w:w="802"/>
        <w:gridCol w:w="402"/>
        <w:gridCol w:w="402"/>
        <w:gridCol w:w="407"/>
        <w:gridCol w:w="1942"/>
        <w:gridCol w:w="1799"/>
        <w:gridCol w:w="2608"/>
      </w:tblGrid>
      <w:tr>
        <w:trPr/>
        <w:tc>
          <w:tcPr>
            <w:tcW w:w="105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2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w:t>
            </w:r>
          </w:p>
        </w:tc>
        <w:tc>
          <w:tcPr>
            <w:tcW w:w="6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Use</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Andermatt Ski Resort, Switzerland</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Concession contract</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third party land use rights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 Mountain, CO</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and commercial space</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Attitash Mountain, NH</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commercial space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Attitash Mountain, NH (279 acres)</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BC Housing RiverEdge,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 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facilities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Bachelor Gulch Village, CO</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and commercial space</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Beaver Creek Resort,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commercial space and real estate held for sale or development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Beaver Creek Mountain, CO (3,801 acres)</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Beaver Creek Mountain Resort,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Golf course, clubhouse, commercial space and residential condominium units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Big Boulder Mountain, PA</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Boston Mills, OH</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Brandywine, OH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Breckenridge Ski Resort,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commercial space and real estate held for sale or development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Breckenridge Mountain, CO (5,702 acres)</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Breckenridge Terrace,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 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facilities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Broomfield, CO</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Colter Bay Village, WY</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Concession contract</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and dining facilities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Crested Butte Mountain Resort, CO</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other improvements and land used for operation of Crested Butte Mountain Resort</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Crested Butte Mountain Resort, CO (4,350 acres)</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Crotched Mountain, NH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Eagle-Vail, CO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 facility</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Edwards, CO</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 offices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Falls Creek Alpine Resort, Victoria, Australia (1,112 acres)</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Headwaters Lodge &amp; Cabins at Flagg Ranch, WY</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Concession contract</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and dining facilities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Heavenly Mountain Resort, CA &amp; NV</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and commercial space</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Heavenly Mountain, CA &amp; NV (7,050 acres)</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Hidden Valley Resort, MO</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Hidden Valley Resort, PA</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Hotham Alpine Resort, Victoria, Australia (791 acres)</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Hunter Mountain, NY</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golf course, clubhouse, buildings, commercial space and other improvements.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Frost Ski Resort, PA</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Jackson Hole Golf &amp; Tennis Club, WY</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Golf course, clubhouse, tennis and dining facilities</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Jackson Lake Lodge, WY</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Concession contract</w:t>
            </w:r>
          </w:p>
        </w:tc>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dining and conference facilities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4"/>
        <w:gridCol w:w="600"/>
        <w:gridCol w:w="602"/>
        <w:gridCol w:w="431"/>
        <w:gridCol w:w="431"/>
        <w:gridCol w:w="437"/>
        <w:gridCol w:w="2205"/>
        <w:gridCol w:w="1926"/>
        <w:gridCol w:w="2789"/>
      </w:tblGrid>
      <w:tr>
        <w:trPr/>
        <w:tc>
          <w:tcPr>
            <w:tcW w:w="7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w:t>
            </w:r>
          </w:p>
        </w:tc>
        <w:tc>
          <w:tcPr>
            <w:tcW w:w="6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Use</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Jenny Lake Lodge, WY</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Concession contract</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and dining facilities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Keystone Conference Center, CO</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Conference facility</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Keystone Lodge, CO</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spa, dining and conference facilities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Keystone Resort, CO</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commercial space, property management, dining and real estate held for sale or development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Keystone Mountain, CO (8,376 acres)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Keystone Ranch, CO</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Golf course, clubhouse and dining facilities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Kirkwood Mountain Resort, CA</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Ski resort operations, including ski lifts, ski trails, buildings and other improvements, property management and commercial space </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Kirkwood Mountain, CA (2,330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Laurel Mountain, PA</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Liberty Mountain Resort, PA</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golf course, clubhouse, buildings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Mad River Mountain, OH</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 Snow, VT</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golf course, clubhouse, buildings, commercial space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 Snow, VT (894 acres)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 Sunapee Resort, NH (850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Owned/Leased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and commercial space</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Mt. Brighton, MI</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commercial space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Mt. Mansfield, VT (1,400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Leased </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 used for operation of Stowe Mountain Resort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Northstar California Resort, CA (7,200 acres)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golf course, commercial space, dining facilities,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Northstar Village, CA</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space, ski resort operations, dining facilities, buildings, property management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Okemo Mountain Resort, VT</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and commercial space</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Okemo Mountain, VT (1,223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dining facilities, buildings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Paoli Peaks, IN</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Owned/Leased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Park City Mountain, UT (8,900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commercial space, dining facilities, property management, conference facilities and other improvements (including areas previously referred to as Canyons Resort, UT)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Park City Mountain, UT (220 acres)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Ski trails, ski lifts, dining facilities, commercial space, buildings, real estate held for sale or development and other improvements </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Perisher Ski Resort, NSW, Australia (3,335 acres)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Owned/Leased/Licensed</w:t>
            </w:r>
            <w:r>
              <w:rPr>
                <w:color w:val="000000"/>
              </w:rPr>
              <w:t xml:space="preserve"> </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dining facilities, commercial space, railway, buildings, lodging, conference facilities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Cliffs Lodge, CA</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Dining facilities, ski resort operations, commercial space, administrative offices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Sky Ranch, CO</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Golf courses, clubhouses, dining facilities and real estate held for sale or development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River Course at Keystone, CO</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Golf course and clubhouse</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Roundtop Mountain Resort, PA</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commercial space and other improvements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Seven Springs Resort, PA</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dining facilities, commercial space, lodging, property management, conference facilities and other improvements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0"/>
        <w:gridCol w:w="947"/>
        <w:gridCol w:w="951"/>
        <w:gridCol w:w="336"/>
        <w:gridCol w:w="336"/>
        <w:gridCol w:w="338"/>
        <w:gridCol w:w="1789"/>
        <w:gridCol w:w="1756"/>
        <w:gridCol w:w="2552"/>
      </w:tblGrid>
      <w:tr>
        <w:trPr/>
        <w:tc>
          <w:tcPr>
            <w:tcW w:w="120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3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w:t>
            </w:r>
          </w:p>
        </w:tc>
        <w:tc>
          <w:tcPr>
            <w:tcW w:w="60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Use</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Snow Creek, MO</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SSI Venture, LLC (“VRR”) Properties; CO, CA, NV, UT, MN &amp; BC, Canada</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Owned/Leased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Approximately 270 rental and retail stores (of which approximately 105 stores are currently held under lease) for recreational products and 7 leased warehouses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Tip Lodge, CO</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and dining facilities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Stevens Pass, WA</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and guest parking facilities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Stevens Pass Mountain, WA (2,443 acres)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Stevens Pass Ski Resort, WA</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and commercial space</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Stowe Mountain Resort, VT</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and commercial space</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Arrabelle at Vail Square, CO</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spa, dining and conference facilities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Lodge at Vail, CO</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spa, dining and conference facilities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Osprey at Beaver Creek, CO</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dining and conference facilities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Tarnes at Beaver Creek, CO</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 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facilities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Tenderfoot Housing, CO</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 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facilities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Pines Lodge at Beaver Creek, CO</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Lodging, dining and conference facilities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Vail Mountain, CO</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commercial space and real estate held for sale or development</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Vail Mountain, CO (12,226 acres)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Whistler Blackcomb Resort, BC, Canada</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75% Owned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 property management, commercial space and real estate held for sale or development</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Whistler Mountain and Blackcomb Mountain, BC, Canada</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MDA</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buildings and other improvements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Whistler Blackcomb Resort, BC, Canada</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housing facilities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Whitetail Resort, PA</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resort operations, including ski lifts, ski trails, golf course, buildings, commercial space and other improvements</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Wildcat Mountain, NH (953 acres)</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Wilmot Mountain, WI</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Ski trails, ski lifts, buildings and other improvements</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properties are used across all segments in complementary and interdependent ways.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lawsuits arising in the ordinary course of business. We believe that we have adequate insurance coverage and/or have accrued for all estimable and probable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Market and Stockholders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New York Stock Exchange (“NYSE”) under the symbol “MTN.” As of September 25, 2023, 38,149,524 shares of common stock were outstanding, held by approximately 245 holders of record.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2011, our Board of Directors approved the commencement of a regular quarterly cash dividend on our common stock, subject to quarterly declaration, which has typically been increased on an annual basis. The amount, if any, of dividends to be paid in the future will depend on our available cash on hand, anticipated cash needs, overall financial condition, restrictions contained in our Eighth Amended and Restated Credit Agreement (the “Vail Holdings Credit Agreement”), future prospects for earnings and cash flows, as well as other factors considered relevant by our Board of Directors. On September 27, 2023, our Board of Directors approved a cash dividend of $2.06 per share payable on October 26, 2023 to stockholders of record as of October 10, 2023. We expect to fund the dividend with available cash on hand.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Repurchase of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purchases of shares of our common stock during the fourth quarter of Fiscal 2023:</w:t>
      </w:r>
    </w:p>
    <w:tbl>
      <w:tblPr>
        <w:tblW w:w="9729" w:type="dxa"/>
        <w:jc w:val="left"/>
        <w:tblInd w:w="0" w:type="dxa"/>
        <w:tblLayout w:type="fixed"/>
        <w:tblCellMar>
          <w:top w:w="28" w:type="dxa"/>
          <w:left w:w="28" w:type="dxa"/>
          <w:bottom w:w="28" w:type="dxa"/>
          <w:right w:w="28" w:type="dxa"/>
        </w:tblCellMar>
      </w:tblPr>
      <w:tblGrid>
        <w:gridCol w:w="884"/>
        <w:gridCol w:w="778"/>
        <w:gridCol w:w="782"/>
        <w:gridCol w:w="535"/>
        <w:gridCol w:w="535"/>
        <w:gridCol w:w="536"/>
        <w:gridCol w:w="109"/>
        <w:gridCol w:w="109"/>
        <w:gridCol w:w="109"/>
        <w:gridCol w:w="276"/>
        <w:gridCol w:w="946"/>
        <w:gridCol w:w="144"/>
        <w:gridCol w:w="109"/>
        <w:gridCol w:w="109"/>
        <w:gridCol w:w="109"/>
        <w:gridCol w:w="555"/>
        <w:gridCol w:w="555"/>
        <w:gridCol w:w="556"/>
        <w:gridCol w:w="109"/>
        <w:gridCol w:w="109"/>
        <w:gridCol w:w="109"/>
        <w:gridCol w:w="488"/>
        <w:gridCol w:w="488"/>
        <w:gridCol w:w="690"/>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Paid per Share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Purchased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Part of Publicly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Announced Plans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or Programs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Maximum</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that May Yet Be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Purchased Under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Plans 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Programs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1,756,562 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404,864 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1,351,698 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1,351,698 </w:t>
            </w:r>
          </w:p>
        </w:tc>
        <w:tc>
          <w:tcPr>
            <w:tcW w:w="6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404,864 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404,864 </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1,351,698 </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     Average price per share excludes any excise tax imposed on stock repurchases as part of the Inflation Reduction Act of 2022.</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     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and 2,500,000 Vail Shares (March 7, 2023), for a total authorization to repurchase up to 10,000,000 Vail Shares. From inception of this stock repurchase program through July 31, 2023, the Company has repurchased 8,648,302 shares at a cost of approximately $979.4 million, excluding excise tax. As of July 31, 2023, 1,351,698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pStyle w:val="TextBody"/>
        <w:bidi w:val="0"/>
        <w:spacing w:before="0" w:after="0"/>
        <w:ind w:left="0" w:right="0" w:hanging="540"/>
        <w:jc w:val="both"/>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Performance Graph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return graph below is presented for the period from the beginning of our fiscal year ended July 31, 2019 through the end of our fiscal year ended July 31, 2023 (“Fiscal 2023”). The comparison assumes that $100 was invested at the beginning of the period in our common stock (“MTN”), 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pStyle w:val="TextBody"/>
        <w:bidi w:val="0"/>
        <w:spacing w:before="240" w:after="240"/>
        <w:jc w:val="center"/>
        <w:rPr/>
      </w:pPr>
      <w:r>
        <w:rPr/>
        <w:drawing>
          <wp:inline distT="0" distB="0" distL="0" distR="0">
            <wp:extent cx="5295900" cy="315277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5295900" cy="3152775"/>
                    </a:xfrm>
                    <a:prstGeom prst="rect">
                      <a:avLst/>
                    </a:prstGeom>
                  </pic:spPr>
                </pic:pic>
              </a:graphicData>
            </a:graphic>
          </wp:inline>
        </w:drawing>
      </w:r>
    </w:p>
    <w:tbl>
      <w:tblPr>
        <w:tblW w:w="9215" w:type="dxa"/>
        <w:jc w:val="left"/>
        <w:tblInd w:w="0" w:type="dxa"/>
        <w:tblLayout w:type="fixed"/>
        <w:tblCellMar>
          <w:top w:w="28" w:type="dxa"/>
          <w:left w:w="28" w:type="dxa"/>
          <w:bottom w:w="28" w:type="dxa"/>
          <w:right w:w="28" w:type="dxa"/>
        </w:tblCellMar>
      </w:tblPr>
      <w:tblGrid>
        <w:gridCol w:w="1057"/>
        <w:gridCol w:w="930"/>
        <w:gridCol w:w="937"/>
        <w:gridCol w:w="211"/>
        <w:gridCol w:w="721"/>
        <w:gridCol w:w="109"/>
        <w:gridCol w:w="211"/>
        <w:gridCol w:w="721"/>
        <w:gridCol w:w="109"/>
        <w:gridCol w:w="211"/>
        <w:gridCol w:w="721"/>
        <w:gridCol w:w="109"/>
        <w:gridCol w:w="211"/>
        <w:gridCol w:w="721"/>
        <w:gridCol w:w="109"/>
        <w:gridCol w:w="211"/>
        <w:gridCol w:w="721"/>
        <w:gridCol w:w="109"/>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31,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Standard &amp; Poor’s 500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Dow Jones U.S. Travel and Leisure</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grouped into three integrated and interdependent segments: Mountain, Lodging and Real Estate. We refer to “Resort” as the combination of the Mountain and Lodging segments. The Mountain, Lodging and Real Estate segments represented approximately 88%, 12% and 0%, respectively, of our net revenue for Fiscal 2023.</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 (collectively, “Resorts”):</w:t>
      </w:r>
    </w:p>
    <w:p>
      <w:pPr>
        <w:pStyle w:val="TextBody"/>
        <w:bidi w:val="0"/>
        <w:spacing w:lineRule="auto" w:line="288" w:before="120" w:after="283"/>
        <w:jc w:val="center"/>
        <w:rPr/>
      </w:pPr>
      <w:r>
        <w:rPr/>
        <w:drawing>
          <wp:inline distT="0" distB="0" distL="0" distR="0">
            <wp:extent cx="6515100" cy="3067050"/>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6"/>
                    <a:stretch>
                      <a:fillRect/>
                    </a:stretch>
                  </pic:blipFill>
                  <pic:spPr bwMode="auto">
                    <a:xfrm>
                      <a:off x="0" y="0"/>
                      <a:ext cx="6515100" cy="3067050"/>
                    </a:xfrm>
                    <a:prstGeom prst="rect">
                      <a:avLst/>
                    </a:prstGeom>
                  </pic:spPr>
                </pic:pic>
              </a:graphicData>
            </a:graphic>
          </wp:inline>
        </w:drawing>
      </w:r>
      <w:r>
        <w:rPr>
          <w:color w:val="000000"/>
        </w:rPr>
        <w:t xml:space="preserv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*Denotes a destination mountain resort, which generally receives a meaningful portion of skier visits from long-distance travelers, as opposed to our regional ski areas, which tend to generate skier visits predominantly from their respective local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w:t>
      </w:r>
      <w:r>
        <w:rPr>
          <w:rFonts w:ascii="Times New Roman;sans-serif" w:hAnsi="Times New Roman;sans-serif"/>
          <w:b w:val="false"/>
          <w:color w:val="000000"/>
          <w:sz w:val="20"/>
          <w:shd w:fill="FFFFFF" w:val="clear"/>
        </w:rPr>
        <w:t>y October</w:t>
      </w:r>
      <w:r>
        <w:rPr>
          <w:rFonts w:ascii="Times New Roman;sans-serif" w:hAnsi="Times New Roman;sans-serif"/>
          <w:b w:val="false"/>
          <w:color w:val="000000"/>
          <w:sz w:val="20"/>
        </w:rPr>
        <w:t>. Our largest source of Mountain segment revenue comes from the sale of lift tickets (including pass products), which represented approximately 56%, 59% and 63% of Mountain segment net revenue for Fiscal 2023, the fiscal year ended July 31, 2022 (“Fiscal 2022”) and the fiscal year ended July 31, 2021 (“Fiscal 2021”),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2022/2023 North American ski season, Destination guests comprised approximately 57% of our North American destination mountain resort skier visits (excluding complimentary access), while Local guests comprised approximately 43% of our North American destination mountain resort skier visits (excluding complimentary access), which compares to 58% and 42%, respectively, for the 2021/2022 North American ski season and approximately 52% and 48%, respectively, for the 2020/2021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2023/2024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on the Company’s Consolidated Statements of Operations throughout the ski season on a straight-line basis using the skiable days of the season to date relative to the total estimated skiable days of the season.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consists of pass product lift revenue (“pass revenue”) and non-pass product lift revenue (“non-pass revenue”). Approximately 61% of total lift revenue was derived from pass revenue for each of Fiscal 2023, Fiscal 2022, and Fiscal 2021 (including the impact of the deferral of pass product revenue from Fiscal 2020 to Fiscal 2021 as a result of credits offered to 2019/2020 North American pass product holders who purchased 2020/2021 pass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structure of our mountain resort operations has a significant fixed component with variable expenses including, but not limited to, land use permit or lease fees, credit card fees, retail/rental cost of sales and labor, ski school labor and expenses associated with dining operations; as such, profit margins can fluctuate greatly based on the level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80" w:after="120"/>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of our lodging properties (including managed condominium units)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71%, 73% and 67% of Lodging segment net revenue (excluding Lodging segment revenue associated with the reimbursement of payroll costs) for Fiscal 2023, Fiscal 2022 and Fiscal 2021,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from mid-May through the end of September); mountain resort golf operations and seasonally lower volume from our other owned and managed properties and businesses.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Trends, Risks and Uncertainties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important factors (as well as risks and uncertainties associated with such factors) that could impact our future financial performance or condition: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economies in the countries in which we operate and from which we attract our guests may be impacted by economic challenges associated with rising inflation, increasing interest rates,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amount of snowfall can have an impact on Mountain and Lodging revenue, particularly with regard to skier visits and the duration and frequency of guest visitation. To help mitigate the impact of weather variability, we sell a variety of pass products prior to the beginning of the ski season, which results in a more stabilized stream of lift revenue. Additionally, our pass products provide a compelling value proposition to our guests, which in turn creates a guest commitment predominately prior to the start of the ski season. In March 2023, we began selling pass products for the 2023/2024 North American and European ski seasons. Pass product sales through September 22, 2023 for the upcoming 2023/2024 North American ski season increased approximately 7% in units and approximately 11% in sales dollars as compared to the prior year through September 23, 2022. Pass product sales are adjusted to eliminate the impact of foreign currency by applying an exchange rate of $0.74 between the Canadian dollar and U.S. dollar in both periods for Whistler Blackcomb pass product sales. We cannot predict if this favorable trend will continue through the remainder of the 2023 North American pass product sales campaign or the overall impact that pass product sales will have on lift revenue for the 2023/2024 North American and European ski seasons.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overall results throughout the 2022/2023 North American ski season highlight the stability of the advance commitment from season pass products in a season with challenging conditions, including travel disruptions during the peak holiday period, abnormal weather conditions which significantly reduced operating days, terrain availability, and activity offerings across our 26 Midwest, Mid-Atlantic and Northeast resorts (collectively, “Eastern” U.S. resorts), and severe weather disruptions at our Tahoe resorts. Our ancillary businesses, including ski school, dining, and retail/rental, experienced strong growth compared to the prior year period, when those businesses were impacted by capacity constraints driven by staffing, and in the case of dining, by operational restrictions associated with COVID-19. Our dining business rebounded strongly from the prior year, though underperformed expectations for the year as guest dining behavior did not fully return to pre-COVID levels following two years of significant operational restrictions associated with COVID-19. The return to normal staffing levels enabled our mountain resorts to deliver a strong guest experience resulting in a significant improvement in guest satisfaction scores, which exceeded pre-COVID-19 levels at our destination mountain resorts.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Given that we operate in the travel and leisure industry, we are subject to risks related to public health emergencies, including the potential outbreak and spread of contagious disease. Public health emergencies may lead to adverse economic impacts in global and local economies, including the economies in which we operate, which may in turn impact consumer demand, the willingness or ability of guests to travel, guest visitation, staffing levels or financial results. We cannot predict the ultimate impact that any potential public health emergency may have on our guest visitation, guest spending, staffing capabilities, other related trends or overall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of July 31, 2023, we had $563.0 million of cash and cash equivalents as well as $421.0 million available under the revolver component of the Vail Holdings Credit Agreement, which represents the total commitment of $500.0 million less certain letters of credit outstanding of $79.0 million. Additionally, we have a credit facility which supports the liquidity needs of Whistler Blackcomb (the “Whistler Credit Agreement”). As of July 31, 2023, we had C$296.6 million ($224.9 million) available under the revolver component of the Whistler Credit Agreement which represents the total commitment of C$300.0 million ($227.5 million) less letters of credit outstanding of C$3.4 million ($2.6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August 3, 2022, through a wholly-owned subsidiary, we acquired a 55% controlling interest in Andermatt-Sedrun Sport AG (“Andermatt-Sedrun”) from Andermatt Swiss Alps AG (“ASA”). Andermatt-Sedrun controls and operates all of Andermatt-Sedrun's mountain and ski-related assets, including lifts, most of the restaurants and a ski school operation at the ski area. The total consideration we paid was comprised of a $114.4 million (CHF 110.0 million) investment into Andermatt-Sedrun for use in capital investments to enhance the guest experience on the mountain and $41.3 million (CHF 39.3 million) paid to ASA. As of August 3, 2022 the total fair value of the consideration paid was $155.4 million (CHF 149.3 million). The proceeds paid to ASA will be fully reinvested into real estate developments in the base area. ASA retains a 40% ownership stake in Andermatt-Sedrun, with a group of existing shareholders comprising the remaining 5% ownership. We cannot predict the ultimate impact the acquisition of Andermatt-Sedrun will have on our future results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Summary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Shown below is a summary of operating results for Fiscal 2023, Fiscal 2022 and Fiscal 2021 (in thousands):</w:t>
      </w:r>
    </w:p>
    <w:tbl>
      <w:tblPr>
        <w:tblW w:w="7812" w:type="dxa"/>
        <w:jc w:val="left"/>
        <w:tblInd w:w="0" w:type="dxa"/>
        <w:tblLayout w:type="fixed"/>
        <w:tblCellMar>
          <w:top w:w="28" w:type="dxa"/>
          <w:left w:w="28" w:type="dxa"/>
          <w:bottom w:w="28" w:type="dxa"/>
          <w:right w:w="28" w:type="dxa"/>
        </w:tblCellMar>
      </w:tblPr>
      <w:tblGrid>
        <w:gridCol w:w="1331"/>
        <w:gridCol w:w="1169"/>
        <w:gridCol w:w="1175"/>
        <w:gridCol w:w="211"/>
        <w:gridCol w:w="826"/>
        <w:gridCol w:w="109"/>
        <w:gridCol w:w="109"/>
        <w:gridCol w:w="109"/>
        <w:gridCol w:w="109"/>
        <w:gridCol w:w="211"/>
        <w:gridCol w:w="826"/>
        <w:gridCol w:w="109"/>
        <w:gridCol w:w="109"/>
        <w:gridCol w:w="109"/>
        <w:gridCol w:w="109"/>
        <w:gridCol w:w="211"/>
        <w:gridCol w:w="82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Andermatt-Sedrun (acquired August 3, 2022) and Seven Springs Mountain Resort, Hidden Valley Resort and Laurel Mountain Ski Area in Pennsylvania (collectively, the “Seven Springs Resorts,” acquired December 31, 2021) prospectively from their respective dates of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COVID-19 in general had an adverse impact on our results of operations for Fiscal 2022 and Fiscal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sections titled “Fiscal 2023 compared to Fiscal 2022” in each of the Mountain and Lodging segment discussions below provide comparisons of financial and operating performance for Fiscal 2023 to Fiscal 2022, unless otherwise noted. Discussion of our financial results for Fiscal 2022 compared to Fiscal 2021 can be found in our Annual Report on Form 10-K for Fiscal 2022, which was filed on September 28,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Mountain segment operating results for Fiscal 2023, Fiscal 2022 and Fiscal 2021 are presented by category as follows (in thousands, except ETP):</w:t>
      </w:r>
    </w:p>
    <w:tbl>
      <w:tblPr>
        <w:tblW w:w="10205" w:type="dxa"/>
        <w:jc w:val="left"/>
        <w:tblInd w:w="0" w:type="dxa"/>
        <w:tblLayout w:type="fixed"/>
        <w:tblCellMar>
          <w:top w:w="28" w:type="dxa"/>
          <w:left w:w="28" w:type="dxa"/>
          <w:bottom w:w="28" w:type="dxa"/>
          <w:right w:w="28" w:type="dxa"/>
        </w:tblCellMar>
      </w:tblPr>
      <w:tblGrid>
        <w:gridCol w:w="1111"/>
        <w:gridCol w:w="896"/>
        <w:gridCol w:w="90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98"/>
        <w:gridCol w:w="272"/>
        <w:gridCol w:w="430"/>
        <w:gridCol w:w="121"/>
        <w:gridCol w:w="121"/>
        <w:gridCol w:w="121"/>
        <w:gridCol w:w="298"/>
        <w:gridCol w:w="272"/>
        <w:gridCol w:w="492"/>
      </w:tblGrid>
      <w:tr>
        <w:trPr/>
        <w:tc>
          <w:tcPr>
            <w:tcW w:w="11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2022/2021</w:t>
            </w:r>
          </w:p>
        </w:tc>
      </w:tr>
      <w:tr>
        <w:trPr/>
        <w:tc>
          <w:tcPr>
            <w:tcW w:w="2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Lift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operating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cost of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operating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skier visits</w:t>
            </w:r>
          </w:p>
        </w:tc>
        <w:tc>
          <w:tcPr>
            <w:tcW w:w="11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Reported EBITDA includes $21.2 million, $20.9 million and $20.3 million of stock-based compensation expense for Fiscal 2023, Fiscal 2022 and Fiscal 2021,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Fiscal 2023 compared to Fiscal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Mountain Reported EBITDA increased $11.4 million, or 1.4%. The increase was driven by: (i) an overall increase in skier visitation that benefited our ancillary lines of business, which remained disproportionately impacted by COVID-19 restrictions and limitations in the prior year; (ii) an increase in North American pass revenue, which benefited from an increase in pass product sales for the 2022/2023 North American ski season compared to the prior year; and (iii) our Australian operations, which experienced record visitation and favorable snow conditions in the 2022 ski season following periodic COVID-19 related closures in the prior year at Perisher, Falls Creek and Hotham. These increases were partially offset by: (i) increased labor and labor-related benefits and general and administrative expense, primarily as a result of investments in North American employee wages and increased headcount to support more normalized staffing and operations at our Resorts; (ii) increased variable expenses associated with increased revenues; (iii) increased expenses related to variable weather conditions; and (iv) the impact of inflation. Mountain segment results also include $3.1 million and $7.7 million of acquisition and integration related expenses for Fiscal 2023 and Fiscal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increased $110.7 million, or 8.4%, due to increases in both pass revenue and non-pass revenue. Pass revenue increased 8.5% primarily as a result of an increase in pass product sales for the 2022/2023 North American ski season compared to the prior year, as well as an increase in pass product sales for the 2022 Australian ski season compared to the prior year. Non-pass revenue increased 8.3% primarily due to an increase non-pass ETP (excluding Andermatt-Sedrun) of 7.8%, as well as incremental non-pass revenue from Andermatt-Sedrun of $13.2 million. Total non-pass ETP, including the impact of Andermatt-Sedrun, increased 4.3%. The increase in non-pass revenue also benefited from an increase in visitation at our Australian ski areas in the first quarter of Fiscal 2023, which experienced record visitation and favorable snow conditions during the 2022 ski season following periodic COVID-related closures and restrictions in the prior year. Total ETP decreased 3.4% primarily as a result of an increase in the proportion of pass product visitation (which generally results in lower ETP per visit) to total skier visits, driven by a continued migration to advance commitment products, partially offset by the increase in non-pass ETP discussed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Ski school revenue increased $63.6 million, or 28.5%, dining revenue increased $60.9 million, or 37.2%, and retail/rental revenue increased $49.7 million, or 15.9%, each primarily driven by the greater impact of COVID-19 and related limitations and restrictions in the prior year, including staffing challenges which limited our ability to operate at full capacity, as well as increased skier visitation.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mainly consists of revenues from summer visitation and other mountain activities, employee housing, guest services, commercial leasing, marketing, private clubs (which includes both club dues and amortization of initiation fees), municipal services, other recreation activities and Australian ski area lodging and transportation. Other revenue increased $42.8 million, or 21.0%, primarily as a result of increased visitation at our Resorts compared to the prior year. Additionally, the increase was driven by the greater impact of COVID-19 and related limitations and restrictions in the prior year, which impacted the Company’s ability to operate ancillary services and other on-mountain activities at full capacity, as well as our Australian ski areas, which were disproportionately impacted by restrictions on international travel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increased $314.4 million, or 22.4%, which was primarily attributable to investments in employee wages and salaries and increased headcount to support more normalized staffing and operations at our Resorts, as well as increased variable expenses associated with increased revenue, the impact of inflation and incremental expenses associated with Andermatt-Sedrun and the Seven Springs Resorts. Additionally, operating expense includes $3.1 million and $7.7 million of acquisition and integration related expenses for Fiscal 2023 and Fiscal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 increased 32.7%, primarily due to investments in wages and salaries for North American employees and increased headcount to support more normalized staffing and operations at our Resorts, as well as an increase in Australian operations as a result of periodic closures during the 2021 ski season, additional labor costs incurred as a result of variable weather conditions, and incremental expenses from Andermatt-Sedrun and the Seven Springs Resorts of $21.0 million for the comparable period they were not owned in the prior year. Retail cost of sales increased 19.9%, compared to an increase in retail sales of 16.1%, reflecting decreased margins on retail products driven by higher sales of discounted inventory. Resort related fees increased 12.5% primarily as a result of an increase in revenues on which those fees are based. General and administrative expense increased 11.5% due to an increase in costs across all corporate functions, which were primarily driven by investments in employee wages and salaries. Other expense increased 18.5%, primarily due to increases in variable operating expenses associated with increased revenues, in addition to incremental expenses from Andermatt-Sedrun and the Seven Springs Resorts of $17.3 million for the comparable period they were not owned in the prior year, increased utility costs of $10.0 million primarily associated with higher variable rates and increased snowmaking operations at our Eastern U.S. ski areas, and an increase in repairs and maintenance expense of $4.0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 primarily includes our share of income from the operations of a real estate brokerage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segment operating results for Fiscal 2023, Fiscal 2022 and Fiscal 2021 are presented by category as follows (in thousands, except average daily rate (“ADR”) and revenue per available room (“RevPAR”)):</w:t>
      </w:r>
    </w:p>
    <w:tbl>
      <w:tblPr>
        <w:tblW w:w="10205" w:type="dxa"/>
        <w:jc w:val="center"/>
        <w:tblInd w:w="0" w:type="dxa"/>
        <w:tblLayout w:type="fixed"/>
        <w:tblCellMar>
          <w:top w:w="28" w:type="dxa"/>
          <w:left w:w="28" w:type="dxa"/>
          <w:bottom w:w="28" w:type="dxa"/>
          <w:right w:w="28" w:type="dxa"/>
        </w:tblCellMar>
      </w:tblPr>
      <w:tblGrid>
        <w:gridCol w:w="1421"/>
        <w:gridCol w:w="1195"/>
        <w:gridCol w:w="12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87"/>
        <w:gridCol w:w="262"/>
        <w:gridCol w:w="358"/>
        <w:gridCol w:w="116"/>
        <w:gridCol w:w="116"/>
        <w:gridCol w:w="116"/>
        <w:gridCol w:w="323"/>
        <w:gridCol w:w="293"/>
        <w:gridCol w:w="413"/>
      </w:tblGrid>
      <w:tr>
        <w:trPr/>
        <w:tc>
          <w:tcPr>
            <w:tcW w:w="14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2023/2022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2022/2021</w:t>
            </w:r>
          </w:p>
        </w:tc>
      </w:tr>
      <w:tr>
        <w:trPr/>
        <w:tc>
          <w:tcPr>
            <w:tcW w:w="3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 (excluding payroll cost reimbursements)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operating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operating expense (excluding reimbursed payroll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Reimbursed payroll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operating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3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4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587"/>
        <w:gridCol w:w="1307"/>
        <w:gridCol w:w="131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1"/>
        <w:gridCol w:w="233"/>
        <w:gridCol w:w="271"/>
        <w:gridCol w:w="109"/>
        <w:gridCol w:w="109"/>
        <w:gridCol w:w="109"/>
        <w:gridCol w:w="255"/>
        <w:gridCol w:w="256"/>
        <w:gridCol w:w="318"/>
      </w:tblGrid>
      <w:tr>
        <w:trPr/>
        <w:tc>
          <w:tcPr>
            <w:tcW w:w="15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Owned hotel statistics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statistics: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and managed condominium statistics (combined):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Owned hotel RevPAR for Fiscal 2023 declined from the prior comparative period primarily due to the inclusion of properties acquired through the Seven Springs Resorts for the full year-to-date period, compared to only being included for seven months in the prior year period, as well as the sale of the DoubleTree at Breckenridge hotel, which was sold after the 2021/2022 ski season, partially offset by price increases at our other lodging properties. For Fiscal 2022, the DoubleTree at Breckenridge contributed $8.6 million of owned hotel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includes $4.0 million, $3.7 million and $3.8 million of stock-based compensation expense for Fiscal 2023, Fiscal 2022 and Fiscal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Fiscal 2023 compared to Fiscal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decreased $13.5 million, or 52.4%, primarily driven by an increase in labor and labor-related benefits and general and administrative expense, including the impacts of investments in employee wages and salaries and increased headcount to support more normalized staffing and operations at our lodging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Dining revenue increased $13.9 million, or 28.6%, primarily due to incremental revenue from the Seven Springs Resorts of $7.2 million for the comparable period they were not owned in the prior year, as well as increases in revenue at our other lodging properties as a result of fewer COVID-19 related limitations and restrictions as compared to the prior year. Golf revenue increased $1.8 million, or 16.1%, primarily associated with an increase in revenue at our golf course in Wyoming. Other revenue increased $9.3 million, or 20.0%, primarily due to increases in ancillary revenue associated with the return to more normalized operations, which include lodging property support fees, lodging retail sales, conference services, and spa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(excluding reimbursed payroll costs) increased 13.2%. Labor and labor-related benefits increased 15.5%, primarily due to investments in employee wages and salaries, and increased headcount to support more normalized staffing and operations at our lodging properties as compared to prior year, as well as incremental costs from the Seven Springs Resorts of $6.8 million for the comparable period they were not owned in the prior year. General and administrative expense increased 15.4% compared to the prior year, due to an increase in costs across all corporate functions, and particularly for our central reservations booking services, which were primarily driven by employee wage and salary investments. Other expense increased 8.6%, primarily related to increases in variable expenses associated with increased revenues, as well as incremental costs from the Seven Springs Resorts of $4.2 million for the comparable period they were not owned in the prior year.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segment operating results for Fiscal 2023, Fiscal 2022 and Fiscal 2021 are presented by category as follows (in thousands):</w:t>
      </w:r>
    </w:p>
    <w:tbl>
      <w:tblPr>
        <w:tblW w:w="10205" w:type="dxa"/>
        <w:jc w:val="center"/>
        <w:tblInd w:w="0" w:type="dxa"/>
        <w:tblLayout w:type="fixed"/>
        <w:tblCellMar>
          <w:top w:w="28" w:type="dxa"/>
          <w:left w:w="28" w:type="dxa"/>
          <w:bottom w:w="28" w:type="dxa"/>
          <w:right w:w="28" w:type="dxa"/>
        </w:tblCellMar>
      </w:tblPr>
      <w:tblGrid>
        <w:gridCol w:w="1268"/>
        <w:gridCol w:w="1091"/>
        <w:gridCol w:w="1095"/>
        <w:gridCol w:w="211"/>
        <w:gridCol w:w="686"/>
        <w:gridCol w:w="109"/>
        <w:gridCol w:w="109"/>
        <w:gridCol w:w="109"/>
        <w:gridCol w:w="109"/>
        <w:gridCol w:w="211"/>
        <w:gridCol w:w="686"/>
        <w:gridCol w:w="109"/>
        <w:gridCol w:w="109"/>
        <w:gridCol w:w="109"/>
        <w:gridCol w:w="109"/>
        <w:gridCol w:w="211"/>
        <w:gridCol w:w="686"/>
        <w:gridCol w:w="109"/>
        <w:gridCol w:w="109"/>
        <w:gridCol w:w="109"/>
        <w:gridCol w:w="109"/>
        <w:gridCol w:w="402"/>
        <w:gridCol w:w="364"/>
        <w:gridCol w:w="467"/>
        <w:gridCol w:w="124"/>
        <w:gridCol w:w="124"/>
        <w:gridCol w:w="124"/>
        <w:gridCol w:w="323"/>
        <w:gridCol w:w="293"/>
        <w:gridCol w:w="531"/>
      </w:tblGrid>
      <w:tr>
        <w:trPr/>
        <w:tc>
          <w:tcPr>
            <w:tcW w:w="126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345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2022/2021</w:t>
            </w:r>
          </w:p>
        </w:tc>
      </w:tr>
      <w:tr>
        <w:trPr/>
        <w:tc>
          <w:tcPr>
            <w:tcW w:w="3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(including sales commissions)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operating expense</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4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Fiscal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closed on the sale of a land parcel in Keystone for $7.5 million, which was recorded within Real Estate net revenue, with a corresponding cost of sale (including sales commission) of $5.1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of $5.5 million was primarily comprised of general and administrative costs, such as labor and labor-related benefits, professional services and allocated corporate overhead costs.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Fiscal 2022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close on any significant real estate transactions during Fiscal 2022. Other operating expense of $5.7 million was primarily comprised of general and administrative costs, such as labor and labor-related benefits, professional services and allocated corporate overhead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Items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segment operating results, the following items contributed to our overall financial position and results of operations (in thousands).</w:t>
      </w:r>
    </w:p>
    <w:tbl>
      <w:tblPr>
        <w:tblW w:w="10205" w:type="dxa"/>
        <w:jc w:val="center"/>
        <w:tblInd w:w="0" w:type="dxa"/>
        <w:tblLayout w:type="fixed"/>
        <w:tblCellMar>
          <w:top w:w="28" w:type="dxa"/>
          <w:left w:w="28" w:type="dxa"/>
          <w:bottom w:w="28" w:type="dxa"/>
          <w:right w:w="28" w:type="dxa"/>
        </w:tblCellMar>
      </w:tblPr>
      <w:tblGrid>
        <w:gridCol w:w="980"/>
        <w:gridCol w:w="755"/>
        <w:gridCol w:w="758"/>
        <w:gridCol w:w="211"/>
        <w:gridCol w:w="860"/>
        <w:gridCol w:w="271"/>
        <w:gridCol w:w="109"/>
        <w:gridCol w:w="109"/>
        <w:gridCol w:w="109"/>
        <w:gridCol w:w="211"/>
        <w:gridCol w:w="860"/>
        <w:gridCol w:w="271"/>
        <w:gridCol w:w="109"/>
        <w:gridCol w:w="109"/>
        <w:gridCol w:w="109"/>
        <w:gridCol w:w="211"/>
        <w:gridCol w:w="860"/>
        <w:gridCol w:w="271"/>
        <w:gridCol w:w="109"/>
        <w:gridCol w:w="109"/>
        <w:gridCol w:w="109"/>
        <w:gridCol w:w="353"/>
        <w:gridCol w:w="296"/>
        <w:gridCol w:w="339"/>
        <w:gridCol w:w="136"/>
        <w:gridCol w:w="136"/>
        <w:gridCol w:w="136"/>
        <w:gridCol w:w="488"/>
        <w:gridCol w:w="416"/>
        <w:gridCol w:w="405"/>
      </w:tblGrid>
      <w:tr>
        <w:trPr/>
        <w:tc>
          <w:tcPr>
            <w:tcW w:w="98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Increase/(Decrease)</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2022/2021</w:t>
            </w:r>
          </w:p>
        </w:tc>
      </w:tr>
      <w:tr>
        <w:trPr/>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fixed assets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income and other, net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(12,134.7)</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pts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pts</w:t>
            </w:r>
          </w:p>
        </w:tc>
      </w:tr>
      <w:tr>
        <w:trPr/>
        <w:tc>
          <w:tcPr>
            <w:tcW w:w="24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w:t>
            </w:r>
          </w:p>
        </w:tc>
        <w:tc>
          <w:tcPr>
            <w:tcW w:w="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Depreciation and amortization expense for Fiscal 2023 increased $16.1 million compared to the prior year, primarily due to assets acquired in the acquisition of Andermatt-Sedrun.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Change in estimated fair value of contingent consideration</w:t>
      </w:r>
      <w:r>
        <w:rPr>
          <w:rFonts w:ascii="Times New Roman;sans-serif" w:hAnsi="Times New Roman;sans-serif"/>
          <w:b w:val="false"/>
          <w:color w:val="000000"/>
          <w:sz w:val="20"/>
        </w:rPr>
        <w:t>. We recorded expense of $49.8 million for Fiscal 2023, primarily related to an increase in the expected long-term EBITDA performance for Park City, as well as an increase in the expected contingent rent payment to be made for Fiscal 2023. We recorded expense of $20.3 million for Fiscal 2022 primarily related to an increase in the estimated contingent consideration payment for Fiscal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(Loss) gain on disposal of fixed assets and other, net. </w:t>
      </w:r>
      <w:r>
        <w:rPr>
          <w:rFonts w:ascii="Times New Roman;sans-serif" w:hAnsi="Times New Roman;sans-serif"/>
          <w:b w:val="false"/>
          <w:color w:val="000000"/>
          <w:sz w:val="20"/>
        </w:rPr>
        <w:t>Loss on disposal of fixed assets and other, net for Fiscal 2023 included a loss of $5.9 million related to the sale of five retail and rental stores in Telluride, Colorado, as well as other annual disposals of fixed assets. Gain on disposal of fixed assets and other, net for Fiscal 2022 included (i) $32.2 million from the sale of the DoubleTree at Breckenridge hotel; (ii) $10.3 million in proceeds from the NPS related to partial payments for a leasehold surrender interest at GTLC associated with assets that have been fully depreciated by the Company (payments were made at the request of the NPS); and (iii) $7.9 million from the sale of an administrative building in Avon, CO. These gains were partially offset by losses on other annual disposals of fixed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Investment income and other, net. </w:t>
      </w:r>
      <w:r>
        <w:rPr>
          <w:rFonts w:ascii="Times New Roman;sans-serif" w:hAnsi="Times New Roman;sans-serif"/>
          <w:b w:val="false"/>
          <w:color w:val="000000"/>
          <w:sz w:val="20"/>
        </w:rPr>
        <w:t>Investment income and other, net for Fiscal 2023 increased $20.0 million compared to Fiscal 2022, primarily as a result of an increase in earned interest rates.</w:t>
      </w:r>
    </w:p>
    <w:p>
      <w:pPr>
        <w:pStyle w:val="TextBody"/>
        <w:bidi w:val="0"/>
        <w:spacing w:lineRule="auto" w:line="288" w:before="240" w:after="283"/>
        <w:jc w:val="both"/>
        <w:rPr/>
      </w:pPr>
      <w:r>
        <w:rPr>
          <w:rFonts w:ascii="Times New Roman;sans-serif" w:hAnsi="Times New Roman;sans-serif"/>
          <w:b w:val="false"/>
          <w:i/>
          <w:color w:val="000000"/>
          <w:sz w:val="20"/>
        </w:rPr>
        <w:t xml:space="preserve">Foreign currency (loss) gain on intercompany loans. </w:t>
      </w:r>
      <w:r>
        <w:rPr>
          <w:rFonts w:ascii="Times New Roman;sans-serif" w:hAnsi="Times New Roman;sans-serif"/>
          <w:b w:val="false"/>
          <w:color w:val="000000"/>
          <w:sz w:val="20"/>
        </w:rPr>
        <w:t>Foreign currency (loss) gain on intercompany loans is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between the Canadian dollar and U.S. dollar associated with the loan are recorded within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w:t>
      </w:r>
      <w:r>
        <w:rPr>
          <w:rFonts w:ascii="Times New Roman;sans-serif" w:hAnsi="Times New Roman;sans-serif"/>
          <w:b w:val="false"/>
          <w:color w:val="000000"/>
          <w:sz w:val="20"/>
        </w:rPr>
        <w:t>The effective tax rate for Fiscal 2023 was 23.7%, compared to 19.4% for Fiscal 2022. The increase in the effective tax rate was primarily due to a shift in income to higher tax rate jurisdictions, as well as a reduction in favorable discrete items, including excess tax benefits from employee share awards.</w:t>
      </w:r>
    </w:p>
    <w:p>
      <w:pPr>
        <w:pStyle w:val="TextBody"/>
        <w:bidi w:val="0"/>
        <w:spacing w:lineRule="auto" w:line="288" w:before="240" w:after="283"/>
        <w:jc w:val="both"/>
        <w:rPr/>
      </w:pPr>
      <w:r>
        <w:rPr>
          <w:rFonts w:ascii="Times New Roman;sans-serif" w:hAnsi="Times New Roman;sans-serif"/>
          <w:b w:val="false"/>
          <w:i/>
          <w:color w:val="000000"/>
          <w:sz w:val="20"/>
        </w:rPr>
        <w:t>Net (income) loss attributable to noncontrolling interest</w:t>
      </w:r>
      <w:r>
        <w:rPr>
          <w:rFonts w:ascii="Times New Roman;sans-serif" w:hAnsi="Times New Roman;sans-serif"/>
          <w:b w:val="false"/>
          <w:color w:val="000000"/>
          <w:sz w:val="20"/>
        </w:rPr>
        <w:t>. Net (income) loss attributable to noncontrolling interest is primarily associated with the income or loss attributable to the minority shareholder of Whistler Blackcomb, and accordingly, fluctuations are primarily associated with changes in income or loss from Whistler Blackcomb operations. Beginning in Fiscal 2023, net income (loss) attributable to noncontrolling interest also includes income or loss attributable to the minority shareholder of Andermatt-Sedrun, for which fluctuations are primarily associated with changes in income or loss from Andermatt-Sedrun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Non-GAAP Measures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net income attributable to Vail Resorts, Inc. to Total Reported EBITDA for Fiscal 2023, Fiscal 2022 and Fiscal 2021 (in thousands): </w:t>
      </w:r>
    </w:p>
    <w:tbl>
      <w:tblPr>
        <w:tblW w:w="9027" w:type="dxa"/>
        <w:jc w:val="center"/>
        <w:tblInd w:w="0" w:type="dxa"/>
        <w:tblLayout w:type="fixed"/>
        <w:tblCellMar>
          <w:top w:w="28" w:type="dxa"/>
          <w:left w:w="28" w:type="dxa"/>
          <w:bottom w:w="28" w:type="dxa"/>
          <w:right w:w="28" w:type="dxa"/>
        </w:tblCellMar>
      </w:tblPr>
      <w:tblGrid>
        <w:gridCol w:w="1771"/>
        <w:gridCol w:w="1555"/>
        <w:gridCol w:w="1564"/>
        <w:gridCol w:w="211"/>
        <w:gridCol w:w="826"/>
        <w:gridCol w:w="109"/>
        <w:gridCol w:w="109"/>
        <w:gridCol w:w="109"/>
        <w:gridCol w:w="109"/>
        <w:gridCol w:w="211"/>
        <w:gridCol w:w="826"/>
        <w:gridCol w:w="109"/>
        <w:gridCol w:w="109"/>
        <w:gridCol w:w="109"/>
        <w:gridCol w:w="109"/>
        <w:gridCol w:w="211"/>
        <w:gridCol w:w="826"/>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fixed assets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833,109 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832,987 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540,074 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long-term debt, net to Net Debt (defined as long-term debt, net plus long-term debt due within one year less cash and cash equivalents) (in thousands):</w:t>
      </w:r>
    </w:p>
    <w:tbl>
      <w:tblPr>
        <w:tblW w:w="5994" w:type="dxa"/>
        <w:jc w:val="center"/>
        <w:tblInd w:w="0" w:type="dxa"/>
        <w:tblLayout w:type="fixed"/>
        <w:tblCellMar>
          <w:top w:w="28" w:type="dxa"/>
          <w:left w:w="28" w:type="dxa"/>
          <w:bottom w:w="28" w:type="dxa"/>
          <w:right w:w="28" w:type="dxa"/>
        </w:tblCellMar>
      </w:tblPr>
      <w:tblGrid>
        <w:gridCol w:w="1097"/>
        <w:gridCol w:w="965"/>
        <w:gridCol w:w="968"/>
        <w:gridCol w:w="211"/>
        <w:gridCol w:w="976"/>
        <w:gridCol w:w="109"/>
        <w:gridCol w:w="109"/>
        <w:gridCol w:w="109"/>
        <w:gridCol w:w="109"/>
        <w:gridCol w:w="211"/>
        <w:gridCol w:w="97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2,256,860 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1,626,622 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significant sources and uses of cash for Fiscal 2023, Fiscal 2022 and Fiscal 2021 are presented by categories as follows (in thousands):</w:t>
      </w:r>
    </w:p>
    <w:tbl>
      <w:tblPr>
        <w:tblW w:w="8358" w:type="dxa"/>
        <w:jc w:val="center"/>
        <w:tblInd w:w="0" w:type="dxa"/>
        <w:tblLayout w:type="fixed"/>
        <w:tblCellMar>
          <w:top w:w="28" w:type="dxa"/>
          <w:left w:w="28" w:type="dxa"/>
          <w:bottom w:w="28" w:type="dxa"/>
          <w:right w:w="28" w:type="dxa"/>
        </w:tblCellMar>
      </w:tblPr>
      <w:tblGrid>
        <w:gridCol w:w="1525"/>
        <w:gridCol w:w="1343"/>
        <w:gridCol w:w="1346"/>
        <w:gridCol w:w="211"/>
        <w:gridCol w:w="901"/>
        <w:gridCol w:w="109"/>
        <w:gridCol w:w="211"/>
        <w:gridCol w:w="901"/>
        <w:gridCol w:w="109"/>
        <w:gridCol w:w="211"/>
        <w:gridCol w:w="901"/>
        <w:gridCol w:w="109"/>
        <w:gridCol w:w="109"/>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(915,708)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(493,136)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434,662 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lower cash available at the end of each first and fourth fiscal quarter-end as compared to our second and third fiscal quarter-ends, primarily due to the seasonality of our Mountain segment operations, although our available cash balances as of July 31, 2022 and 2021 were higher than our historical July 31 balance primarily as a result of the debt offerings we completed in Fiscal 2021 and Fiscal 2020.</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2023 compared to Fiscal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generated $639.6 million of cash from operating activities during Fiscal 2023, a decrease of $70.9 million compared to $710.5 million generated during Fiscal 2022. The decrease in operating cash flows was primarily a result of (i) an increase in income tax payments of approximately $74.7 million and (ii) an increase in payments for accounts payable and accrued liabilities primarily associated with the lower level of operations as of the beginning of the prior fiscal year. These decreases were partially offset by an increase in earned interest on short-term investments of approximately $20.0 million. Additionally, we generated $7.5 million of proceeds from real estate land parcel sales during Fiscal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for Fiscal 2023 decreased by $74.8 million primarily due to the prior year acquisition of the Seven Springs Resorts for $116.3 million, net of cash acquired. Additionally, we made a cash deposit of $114.4 million (CHF 110.0 million) in July 2022 related to the acquisition of Andermatt-Sedrun, which was returned in the current year upon closing of the acquisition on August 3, 2022. The cash deposit was invested into Andermatt-Sedrun, which is consolidated in our consolidated financial statements subsequent to the acquisition being completed. Accordingly, the deposit is shown as a cash outflow in Fiscal 2022 and a cash inflow in Fiscal 2023. These decreases in cash used in investing activities were partially offset by (i) an increase in capital expenditures of approximately $122.1 million as compared to the prior year, driven by our significant investment in lift upgrades in calendar year 2022; (ii) $48.8 million of short-term investments in bank deposits in the current year, net of maturities, which were invested in deposits with maturity dates of more than three months at the date of purchase and are therefore not reflected as cash equivalents; (iii) $38.6 million of cash paid to ASA upon closing the acquisition of Andermatt-Sedrun, net of cash acquired, on August 3, 2022 and (iv) proceeds in the prior year due to the sale of the DoubleTree at Breckenridge, payment from the NPS related to a leasehold surrender interest at GTLC associated with assets that had been fully depreciated by the Company and the sale of an administrative building in Avon, CO, which did not recur in the current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increased by $422.6 million during Fiscal 2023 compared to Fiscal 2022, primarily due to an increase in repurchases of common stock of $425.0 million and an increase in dividends paid of $88.6 million. These increases were partially offset by a decrease in debt repayments, including (i) the prior year repayment associated with the maturity of the EB-5 Development Notes, which were assumed in our acquisition of Peak Resorts, Inc. ($51.5 million) and (ii) a reduction in net repayments under the revolver component of our Whistler Credit Agreement ($21.2 million), as well as a decrease in employee taxes paid for share award exercises ($31.8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Significant Sources of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$563.0 million of cash and cash equivalents as of July 31, 2023, compared to $1,107.4 million as of July 31, 2022. The decrease was primarily due to a $425.0 million increase in share repurchases during Fiscal 2023. We currently anticipate that our Mountain and Lodging segment operating results will continue to provide a significant source of future operating cash flows.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$563.0 million of cash and cash equivalents at July 31, 2023, we had $421.0 million available under the revolver component of our Vail Holdings Credit Agreement as of July 31, 2023 (which represents the total commitment of $500.0 million less certain letters of credit outstanding of $79.0 million). Also, to further support the liquidity needs of Whistler Blackcomb, we had C$296.6 million ($224.9 million) available under the revolver component of our Whistler Credit Agreement (which represents the total commitment of C$300.0 million ($227.5 million) less letters of credit outstanding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C$3.4 million ($2.6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SOFR, plus 1.60% for the Vail Holdings Credit Agreement, and Bankers Acceptance Rate plus 1.75% for the Whistler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Significant Uses of Cash</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for the guest experience throughout our owned hotels and in technology that can impact the full network. Additionally, planned capital expenditures include discretionary improvements at our Resorts which we evaluate based on an expected level of return on investment.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currently anticipate we will spend approximately $180 million to $185 million on resort capital expenditures during calendar year 2023</w:t>
      </w:r>
      <w:r>
        <w:rPr>
          <w:rFonts w:ascii="Times New Roman;sans-serif" w:hAnsi="Times New Roman;sans-serif"/>
          <w:b w:val="false"/>
          <w:color w:val="000000"/>
          <w:sz w:val="20"/>
        </w:rPr>
        <w:t>, excluding one-time investments related to integration activities, deferred capital associated with the Keystone and Park City projects, $4 million of reimbursable investments associated with insurance recoveries, and $9 million of growth capital investments at Andermatt-Sedrun. Including these one-time items, our total capital plan for calendar year 2023 is expected to be approximately $204 million to $209 million. Included in these estimated capital expenditures are approximately $112 million to $117 million of maintenance capital expenditures (excluding Andermatt-Sedrun),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Approximately $108 million was spent for capital expenditures in calendar year 2023 as of July 31, 2023, leaving approximately $96 million to $101 million to spend in the remainder of calendar year 2023.</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we acquired a majority stake in Andermatt-Sedrun, which was funded with cash on hand. The purchase price was comprised of a $114.4 million (CHF 110.0 million) investment into Andermatt-Sedrun for use in capital investments to enhance the guest experience on the mountain and $41.3 million (CHF 39.3 million) paid to the seller. As of August 3, 2022, the value of the total consideration paid was $155.4 million (CHF 149.3 million).</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principal payments on the majority of our long-term debt ($2.1 billion of the total $2.8 billion debt outstanding as of July 31, 2023) are not due until fiscal year 2026 and beyond. As of July 31, 2023 and 2022, total long-term debt, net (including long-term debt due within one year) was $2.8 billion and $2.7 billion, respectively. Net Debt (defined as long-term debt, net plus long-term debt due within one year less cash and cash equivalents) was $2.3 billion and $1.6 billion as of July 31, 2023 and 2022, respectively, and the increase was primarily associated with the use of cash to fund increased share repurchases under our share repurchase program during Fiscal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Vail Holdings Credit Agreement provides for (i) a revolving loan facility in an aggregate principal amount of $500.0 million and (ii) a term loan facility of $1.0 billion. We expect that our liquidity needs in the near term will be met by continued use of our existing cash and cash equivalents, operating cash flows and borrowings under the Vail Holdings Credit Agreement and the Whistler Credit Agreement, if needed.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service requirements can be impacted by changing interest rates as we had approximately $0.7 billion of net variable-rate debt outstanding as of July 31, 2023, after consideration of $400.0 million in interest rate swaps which effectively convert variable-rate debt to fixed-rate debt. A 100-basis point change in our borrowing rates would cause our annual interest payments on our net variable-rate debt to change by approximately $6.7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and economic environment by managing our capital expenditures, variable operating expenses, the timing of new real estate development activity and the payment of cash dividends on our common stock.</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Material Cash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operations, we enter into arrangements that obligate us to make future payments under contracts such as debt agreements and construction agreements in conjunction with our resort capital expenditures. Debt obligations, which totaled $2.8 billion as of July 31, 2023, are recognized as liabilities in our Consolidated Balance Sheet. Obligations under construction contracts and other purchase commitments are not recognized as liabilities in our Consolidated Balance Sheet until services and/or goods are received which is in accordance with GAAP. A summary of our material cash requirements as of July 31, 2023 (excluding obligations presented elsewhere, including Notes to Consolidated Financial Statements) is presented below (in thousands):</w:t>
      </w:r>
    </w:p>
    <w:tbl>
      <w:tblPr>
        <w:tblW w:w="10205" w:type="dxa"/>
        <w:jc w:val="left"/>
        <w:tblInd w:w="0" w:type="dxa"/>
        <w:tblLayout w:type="fixed"/>
        <w:tblCellMar>
          <w:top w:w="28" w:type="dxa"/>
          <w:left w:w="28" w:type="dxa"/>
          <w:bottom w:w="28" w:type="dxa"/>
          <w:right w:w="28" w:type="dxa"/>
        </w:tblCellMar>
      </w:tblPr>
      <w:tblGrid>
        <w:gridCol w:w="1023"/>
        <w:gridCol w:w="897"/>
        <w:gridCol w:w="90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2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obligations and other </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3,940,076 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1,559,213 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896,912 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736,946 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Long-term debt includes principal payments, fixed-rate interest payments (including payments that are required under interest rate swaps) and estimated variable interest payments utilizing interest rates in effect at July 31, 2023, and assumes all debt outstanding as of July 31, 2023 will be held to maturity. The future annual interest obligations noted herein are estimated only in relation to debt outstanding as of July 31, 2023, and do not reflect interest obligations on potential future debt or refinancing.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also includes $12.8 million of proceeds resulting from real estate transactions accounted for as financing arrangements, which are expected to be recognized on the Company’s Statements of Operations in future years as a result of the anticipated resolution of continuing involvement, with no associated cash outflow.</w:t>
      </w:r>
    </w:p>
    <w:p>
      <w:pPr>
        <w:pStyle w:val="TextBody"/>
        <w:bidi w:val="0"/>
        <w:spacing w:lineRule="auto" w:line="288" w:before="12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Purchase obligations and other primarily includes amounts which are classified as trade payables ($148.5 million), accrued payroll and benefits ($99.4 million), accrued fees and assessments ($27.6 million), contingent consideration liability ($73.3 million) and accrued taxes (including taxes for uncertain tax positions) ($140.3 million) on our Consolidated Balance Sheet as of July 31, 2023. These amounts also include other commitments for goods and services not yet received, including construction contracts and minimum commitments under season pass alliance agreements, which are not included on our Consolidated Balance Sheet as of July 31, 2023 in accordance with GAAP.</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is conducted under authorizations made from time to time by our Board of Directors. On March 9, 2006, our Board of Directors initially authorized the repurchase of up to 3,000,000 shares of Vail Shares and later authorized additional repurchases of up to 3,000,000 additional Vail Shares (July 16, 2008), 1,500,000 Vail Shares (December 4, 2015), and 2,500,000 Vail Shares (March 7, 2023), for a total authorization to repurchase shares of up to 10,000,000 Vail Shares. During Fiscal 2023, we repurchased 2,182,594 shares (at an average price of $229.09) for a total cost of approximately $500.0 million, excluding accrued excise tax. Since the inception of this stock repurchase program through July 31, 2023, we have repurchased 8,648,302 Vail Shares at a cost of approximately $979.4 million. As of July 31, 2023, 1,351,698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Dividend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paid cash dividends of $7.94 per share ($314.4 million). During Fiscal 2022, we paid cash dividends of $5.58 per share ($225.8 million, including cash dividends paid to Exchangeco shareholders). On September 27, 2023, our Board of Directors approved a cash dividend of $2.06 per share payable on October 26, 2023 to stockholders of record as of October 10, 2023. We expect to fund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Covenants and Limitations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abide by certain restrictive financial covenants under our credit agreements. The most restrictive of those covenants include the following: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restrictive financial covenants in our debt instruments as of July 31, 2023. We expect that we will continue to meet all applicable financial maintenance covenants in effect in our credit agreements throughout the year ending July 31, 2024;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off balance sheet transactions that are expected to have a material effect on our financial condition, revenue,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Definite-lived intangible assets are evaluated for impairment only when there is evidence that events or changes in circumstances indicate that the carrying amount of these assets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Judgments and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is more likely than not less than its carrying amount, or if significant changes to macro-economic factors related to the reporting unit or intangible asset have occurred that could materially impact the estimated fair value since the previous quantitative analysis was performed, a quantitative impairment test would be required. The quantitative test includes determination of the estimated fair value of our reporting units using a discounted cash flow analysis and determination of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terminal value, determination of the respective weighted average cost of capital and market participant assumptions. Changes in these estimates and assumptions could materially affect the determination of estimated fair value and the amount of any potential impairment for each reporting unit or indefinite-lived intangible asset.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if Actual Results Differ From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tested for impairment at least annually as of May 1. If the net carrying value of the reporting units or assets exceed their estimated fair value, an impairment will be recognized in an amount equal to that excess; otherwise, no impairment loss is recognized. During Fiscal 2023, we performed qualitative analyses of our reporting units and indefinite-lived intangible assets and determined that the estimated fair value of all material reporting units and indefinite-lived intangible assets significantly exceeded their respective carrying values.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determinations require considerable judgment and are sensitive to changes in underlying assumptions and factors. As a result, there can be no assurance that the estimates and assumptions made for purposes of the annual goodwill or indefinite-lived asset impairment tests are accurate.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estimates and judgments are reasonable and while historical performance and current expectations have generally resulted in estimated fair values of our reporting units and indefinite-lived assets that are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2023, we had $1,720.3 million of goodwill and $254.4 million of indefinite-lived intangible assets recorded on our Consolidated Balance Sheet. There can be no assurance that the estimates and assumptions made for purposes of the annual goodwill and indefinite-lived intangible asset impairment tests will prove to be an accurate prediction of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Tax Contingencies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Judgments and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of our tax contingencies reserve contain uncertainty because management must use judgment to estimate the potential exposure associated with our various filing positions.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if Actual Results Differ From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estimates and judgments we have made related to tax contingencies are reasonable and we have adequate reserves for uncertain tax positions. Our reserves for uncertain tax positions, including any income tax related interest and penalties, are $56.8 million as of July 31, 2023. This reserve solely relates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Depreciable Lives of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Judgments and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of our useful lives of the assets contain uncertainty because management must use judgment to estimate the useful life of the asset.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if Actual Results Differ From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$28.3 million for Fiscal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Judgments and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 rates and volatility for the respective business.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if Actual Results Differ From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which could be significant,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on our Consolidated Statements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fair value of contingent consideration, if any,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on our Consolidated Statements of Operations, while decreases in fair value are recorded as gains.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Summary of Significant Accounting Policies within the Notes to Consolidated Financial Statements for a discussion of 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 and Quarterly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mountain and lodging operations are seasonal in nature, with a typical peak operating season in North America and Europe generally beginning in mid-December and running through mid-April. In particular, revenue and profits for our North American and European mountain and most of our lodging operations are substantially lower and historically result in losses from late spring to late fall. Conversely, peak operating seasons for our NPS concessioner properties, our mountain resort golf courses and our Australian resorts’ ski season generally occur during the North American summer months, and these operations typically incur operating losses during the North American and European winter months. Revenue and profits generated by NPS concessioner properties’ summer operations, golf operations and Australian resorts’ ski operations are not sufficient to fully offset our off-season losses from our North American and European mountain and other lodging operations. During Fiscal 2023, approximately 81%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Our exposure to market risk is limited primarily to the fluctuating interest rates associated with variable rate indebtedness. At July 31, 2023, we had approximately $0.7 billion of net variable rate indebtedness (after taking into consideration $400.0 million in interest rate swaps which converts variable-rate debt to fixed-rate debt), representing approximately 24% of our total debt outstanding, at an average interest rate during Fiscal 2023 of approximately 5.4%. Based on variable-rate borrowings outstanding as of July 31, 2023, a 100-basis point (or 1.0%) change in our borrowing rates would result in our annual interest payments changing by $6.7 million. Our market risk exposure fluctuates based on changes in underlying interest rates.</w:t>
      </w:r>
    </w:p>
    <w:p>
      <w:pPr>
        <w:pStyle w:val="TextBody"/>
        <w:bidi w:val="0"/>
        <w:spacing w:lineRule="auto" w:line="288" w:before="240" w:after="283"/>
        <w:jc w:val="both"/>
        <w:rPr/>
      </w:pPr>
      <w:r>
        <w:rPr>
          <w:rFonts w:ascii="Times New Roman;sans-serif" w:hAnsi="Times New Roman;sans-serif"/>
          <w:b w:val="false"/>
          <w:i/>
          <w:color w:val="000000"/>
          <w:sz w:val="20"/>
        </w:rPr>
        <w:t xml:space="preserve">Foreign Currency Exchange Rate Risk. </w:t>
      </w:r>
      <w:r>
        <w:rPr>
          <w:rFonts w:ascii="Times New Roman;sans-serif" w:hAnsi="Times New Roman;sans-serif"/>
          <w:b w:val="false"/>
          <w:color w:val="000000"/>
          <w:sz w:val="20"/>
        </w:rPr>
        <w:t xml:space="preserve">We are exposed to currency translation risk because our international operations are conducted in local currency, which we then translate to U.S. dollars for inclusion in our Consolidated Financial Statements. As a result, changes in foreign exchange rates, in particular the Canadian dollar, Australian dollar and Swiss franc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we then translate to U.S. dollars for inclusion in our Consolidated Financial Statements. We do not currently enter into hedging arrangements to minimize the impact of foreign currency fluctuations on our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of foreign currency translation adjustments, representing (losses) gains, and foreign currency (loss) gain on intercompany loans recognized in comprehensive income (in thousands):</w:t>
      </w:r>
    </w:p>
    <w:tbl>
      <w:tblPr>
        <w:tblW w:w="8367" w:type="dxa"/>
        <w:jc w:val="center"/>
        <w:tblInd w:w="0" w:type="dxa"/>
        <w:tblLayout w:type="fixed"/>
        <w:tblCellMar>
          <w:top w:w="28" w:type="dxa"/>
          <w:left w:w="28" w:type="dxa"/>
          <w:bottom w:w="28" w:type="dxa"/>
          <w:right w:w="28" w:type="dxa"/>
        </w:tblCellMar>
      </w:tblPr>
      <w:tblGrid>
        <w:gridCol w:w="1554"/>
        <w:gridCol w:w="1366"/>
        <w:gridCol w:w="1370"/>
        <w:gridCol w:w="211"/>
        <w:gridCol w:w="796"/>
        <w:gridCol w:w="109"/>
        <w:gridCol w:w="109"/>
        <w:gridCol w:w="109"/>
        <w:gridCol w:w="109"/>
        <w:gridCol w:w="211"/>
        <w:gridCol w:w="796"/>
        <w:gridCol w:w="109"/>
        <w:gridCol w:w="109"/>
        <w:gridCol w:w="109"/>
        <w:gridCol w:w="109"/>
        <w:gridCol w:w="211"/>
        <w:gridCol w:w="82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Financial Statements for the Years Ended July 31, 2023, 2022 and 2021</w:t>
      </w:r>
    </w:p>
    <w:p>
      <w:pPr>
        <w:pStyle w:val="TextBody"/>
        <w:bidi w:val="0"/>
        <w:spacing w:lineRule="auto" w:line="288" w:before="0" w:after="0"/>
        <w:jc w:val="left"/>
        <w:rPr>
          <w:color w:val="000000"/>
        </w:rPr>
      </w:pPr>
      <w:r>
        <w:rPr>
          <w:color w:val="000000"/>
        </w:rPr>
        <w:t> </w:t>
      </w:r>
    </w:p>
    <w:tbl>
      <w:tblPr>
        <w:tblW w:w="6642" w:type="dxa"/>
        <w:jc w:val="left"/>
        <w:tblInd w:w="0" w:type="dxa"/>
        <w:tblLayout w:type="fixed"/>
        <w:tblCellMar>
          <w:top w:w="28" w:type="dxa"/>
          <w:left w:w="28" w:type="dxa"/>
          <w:bottom w:w="28" w:type="dxa"/>
          <w:right w:w="28" w:type="dxa"/>
        </w:tblCellMar>
      </w:tblPr>
      <w:tblGrid>
        <w:gridCol w:w="2269"/>
        <w:gridCol w:w="1998"/>
        <w:gridCol w:w="2003"/>
        <w:gridCol w:w="109"/>
        <w:gridCol w:w="109"/>
        <w:gridCol w:w="154"/>
      </w:tblGrid>
      <w:tr>
        <w:trPr/>
        <w:tc>
          <w:tcPr>
            <w:tcW w:w="226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97">
              <w:r>
                <w:rPr>
                  <w:rStyle w:val="InternetLink"/>
                  <w:rFonts w:ascii="Times New Roman;sans-serif" w:hAnsi="Times New Roman;sans-serif"/>
                  <w:b w:val="false"/>
                  <w:i/>
                  <w:color w:val="0000FF"/>
                  <w:sz w:val="20"/>
                  <w:u w:val="single"/>
                </w:rPr>
                <w:t>Management’s Report on Internal Control Over Financial Reporting</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97">
              <w:r>
                <w:rPr>
                  <w:rStyle w:val="InternetLink"/>
                  <w:rFonts w:ascii="Times New Roman;sans-serif" w:hAnsi="Times New Roman;sans-serif"/>
                  <w:b w:val="false"/>
                  <w:color w:val="0000FF"/>
                  <w:sz w:val="20"/>
                  <w:u w:val="single"/>
                </w:rPr>
                <w:t>59</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00">
              <w:r>
                <w:rPr>
                  <w:rStyle w:val="InternetLink"/>
                  <w:rFonts w:ascii="Times New Roman;sans-serif" w:hAnsi="Times New Roman;sans-serif"/>
                  <w:b w:val="false"/>
                  <w:i/>
                  <w:color w:val="000080"/>
                  <w:sz w:val="20"/>
                  <w:u w:val="single"/>
                </w:rPr>
                <w:t>Report of Independent Registered Public Accounting Firm</w:t>
              </w:r>
            </w:hyperlink>
            <w:r>
              <w:rPr>
                <w:rFonts w:ascii="Times New Roman;sans-serif" w:hAnsi="Times New Roman;sans-serif"/>
                <w:b w:val="false"/>
                <w:i/>
                <w:color w:val="0000FF"/>
                <w:sz w:val="20"/>
                <w:u w:val="single"/>
              </w:rPr>
              <w:t xml:space="preserve"> (PCAOB ID 238)</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00">
              <w:r>
                <w:rPr>
                  <w:rStyle w:val="InternetLink"/>
                  <w:rFonts w:ascii="Times New Roman;sans-serif" w:hAnsi="Times New Roman;sans-serif"/>
                  <w:b w:val="false"/>
                  <w:color w:val="0000FF"/>
                  <w:sz w:val="20"/>
                  <w:u w:val="single"/>
                </w:rPr>
                <w:t>60</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03">
              <w:r>
                <w:rPr>
                  <w:rStyle w:val="InternetLink"/>
                  <w:rFonts w:ascii="Times New Roman;sans-serif" w:hAnsi="Times New Roman;sans-serif"/>
                  <w:b w:val="false"/>
                  <w:color w:val="0000FF"/>
                  <w:sz w:val="20"/>
                  <w:u w:val="single"/>
                </w:rPr>
                <w:t>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03">
              <w:r>
                <w:rPr>
                  <w:rStyle w:val="InternetLink"/>
                  <w:rFonts w:ascii="Times New Roman;sans-serif" w:hAnsi="Times New Roman;sans-serif"/>
                  <w:b w:val="false"/>
                  <w:color w:val="0000FF"/>
                  <w:sz w:val="20"/>
                  <w:u w:val="single"/>
                </w:rPr>
                <w:t>62</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06">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06">
              <w:r>
                <w:rPr>
                  <w:rStyle w:val="InternetLink"/>
                  <w:rFonts w:ascii="Times New Roman;sans-serif" w:hAnsi="Times New Roman;sans-serif"/>
                  <w:b w:val="false"/>
                  <w:color w:val="0000FF"/>
                  <w:sz w:val="20"/>
                  <w:u w:val="single"/>
                </w:rPr>
                <w:t>63</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09">
              <w:r>
                <w:rPr>
                  <w:rStyle w:val="InternetLink"/>
                  <w:rFonts w:ascii="Times New Roman;sans-serif" w:hAnsi="Times New Roman;sans-serif"/>
                  <w:b w:val="false"/>
                  <w:color w:val="0000FF"/>
                  <w:sz w:val="20"/>
                  <w:u w:val="single"/>
                </w:rPr>
                <w:t>Consolidated Statements of Comprehensive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09">
              <w:r>
                <w:rPr>
                  <w:rStyle w:val="InternetLink"/>
                  <w:rFonts w:ascii="Times New Roman;sans-serif" w:hAnsi="Times New Roman;sans-serif"/>
                  <w:b w:val="false"/>
                  <w:color w:val="0000FF"/>
                  <w:sz w:val="20"/>
                  <w:u w:val="single"/>
                </w:rPr>
                <w:t>64</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12">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12">
              <w:r>
                <w:rPr>
                  <w:rStyle w:val="InternetLink"/>
                  <w:rFonts w:ascii="Times New Roman;sans-serif" w:hAnsi="Times New Roman;sans-serif"/>
                  <w:b w:val="false"/>
                  <w:color w:val="0000FF"/>
                  <w:sz w:val="20"/>
                  <w:u w:val="single"/>
                </w:rPr>
                <w:t>65</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15">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15">
              <w:r>
                <w:rPr>
                  <w:rStyle w:val="InternetLink"/>
                  <w:rFonts w:ascii="Times New Roman;sans-serif" w:hAnsi="Times New Roman;sans-serif"/>
                  <w:b w:val="false"/>
                  <w:color w:val="0000FF"/>
                  <w:sz w:val="20"/>
                  <w:u w:val="single"/>
                </w:rPr>
                <w:t>66</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1daa0a49cc64dff9ff6fa3066be09cb_118">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1daa0a49cc64dff9ff6fa3066be09cb_118">
              <w:r>
                <w:rPr>
                  <w:rStyle w:val="InternetLink"/>
                  <w:rFonts w:ascii="Times New Roman;sans-serif" w:hAnsi="Times New Roman;sans-serif"/>
                  <w:b w:val="false"/>
                  <w:color w:val="0000FF"/>
                  <w:sz w:val="20"/>
                  <w:u w:val="singl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lineRule="auto" w:line="288" w:before="240" w:after="283"/>
        <w:jc w:val="both"/>
        <w:rPr/>
      </w:pPr>
      <w:r>
        <w:rPr>
          <w:rFonts w:ascii="Times New Roman;sans-serif" w:hAnsi="Times New Roman;sans-serif"/>
          <w:b w:val="false"/>
          <w:color w:val="000000"/>
          <w:sz w:val="20"/>
        </w:rPr>
        <w:t xml:space="preserve">Management, including the Company’s Chief Executive Officer and Chief Financial Officer, assessed the effectiveness of the Company’s internal control over financial reporting as of July 31, 2023. In making this assessment, management used the criteria established in </w:t>
      </w:r>
      <w:r>
        <w:rPr>
          <w:rFonts w:ascii="Times New Roman;sans-serif" w:hAnsi="Times New Roman;sans-serif"/>
          <w:b w:val="false"/>
          <w:i/>
          <w:color w:val="000000"/>
          <w:sz w:val="20"/>
        </w:rPr>
        <w:t xml:space="preserve">Internal Control-Integrated Framework </w:t>
      </w:r>
      <w:r>
        <w:rPr>
          <w:rFonts w:ascii="Times New Roman;sans-serif" w:hAnsi="Times New Roman;sans-serif"/>
          <w:b w:val="false"/>
          <w:color w:val="000000"/>
          <w:sz w:val="20"/>
        </w:rPr>
        <w:t>issued by the Committee of Sponsoring Organizations of the Treadway Commission in 2013. Based on this assessment, management concluded that, as of July 31, 2023, the Company’s internal control over financial reporting was effective. Management’s evaluation and conclusion on the effectiveness of internal control over financial reporting as of July 31, 2023 excluded certain elements of internal controls of Andermatt-Sedrun Sport AG (“Andermatt-Sedrun”, acquired August 3, 2022) due to the timing of this acquisition. Those elements of the acquired resort’s internal controls over financial reporting that have been excluded represent approximately 2% of total consolidated assets and approximately 1% of total consolidated net revenues of the Company as of and for the year ended July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registered public accounting firm, PricewaterhouseCoopers LLP, has issued an attestation report on the effectiveness of the Company’s internal control over financial reporting as of July 31, 2023, as stated in the Report of Independent Registered Public Accounting Firm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both"/>
        <w:rPr/>
      </w:pPr>
      <w:r>
        <w:rPr>
          <w:rFonts w:ascii="Times New Roman;sans-serif" w:hAnsi="Times New Roman;sans-serif"/>
          <w:b w:val="false"/>
          <w:color w:val="000000"/>
          <w:sz w:val="20"/>
        </w:rPr>
        <w:t>To</w:t>
      </w:r>
      <w:r>
        <w:rPr>
          <w:color w:val="FF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Vail Resorts, Inc.</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160" w:after="283"/>
        <w:jc w:val="both"/>
        <w:rPr/>
      </w:pPr>
      <w:r>
        <w:rPr>
          <w:rFonts w:ascii="Times New Roman;sans-serif" w:hAnsi="Times New Roman;sans-serif"/>
          <w:b w:val="false"/>
          <w:color w:val="000000"/>
          <w:sz w:val="20"/>
        </w:rPr>
        <w:t>We have audited the accompanying consolidated balance sheets of Vail Resorts, Inc.</w:t>
      </w:r>
      <w:r>
        <w:rPr>
          <w:color w:val="FF0000"/>
        </w:rPr>
        <w:t xml:space="preserve"> </w:t>
      </w:r>
      <w:r>
        <w:rPr>
          <w:rFonts w:ascii="Times New Roman;sans-serif" w:hAnsi="Times New Roman;sans-serif"/>
          <w:b w:val="false"/>
          <w:color w:val="000000"/>
          <w:sz w:val="20"/>
        </w:rPr>
        <w:t>and its subsidiaries</w:t>
      </w:r>
      <w:r>
        <w:rPr>
          <w:color w:val="FF0000"/>
        </w:rPr>
        <w:t xml:space="preserve"> </w:t>
      </w:r>
      <w:r>
        <w:rPr>
          <w:rFonts w:ascii="Times New Roman;sans-serif" w:hAnsi="Times New Roman;sans-serif"/>
          <w:b w:val="false"/>
          <w:color w:val="000000"/>
          <w:sz w:val="20"/>
        </w:rPr>
        <w:t>(the “Company”) as of July 31, 2023</w:t>
      </w:r>
      <w:r>
        <w:rPr>
          <w:color w:val="FF0000"/>
        </w:rPr>
        <w:t xml:space="preserve"> </w:t>
      </w:r>
      <w:r>
        <w:rPr>
          <w:rFonts w:ascii="Times New Roman;sans-serif" w:hAnsi="Times New Roman;sans-serif"/>
          <w:b w:val="false"/>
          <w:color w:val="000000"/>
          <w:sz w:val="20"/>
        </w:rPr>
        <w:t>and 2022,</w:t>
      </w:r>
      <w:r>
        <w:rPr>
          <w:color w:val="FF0000"/>
        </w:rPr>
        <w:t xml:space="preserve"> </w:t>
      </w:r>
      <w:r>
        <w:rPr>
          <w:rFonts w:ascii="Times New Roman;sans-serif" w:hAnsi="Times New Roman;sans-serif"/>
          <w:b w:val="false"/>
          <w:color w:val="000000"/>
          <w:sz w:val="20"/>
        </w:rPr>
        <w:t>and the related consolidated statements of operations, of comprehensive income, of stockholders’ equity and of cash flows for each of the three years in the period ended July 31, 2023, including the related notes (collectively referred to as the “consolidated financial statements”).</w:t>
      </w:r>
      <w:r>
        <w:rPr>
          <w:color w:val="000000"/>
        </w:rPr>
        <w:t xml:space="preserve"> </w:t>
      </w:r>
      <w:r>
        <w:rPr>
          <w:rFonts w:ascii="Times New Roman;sans-serif" w:hAnsi="Times New Roman;sans-serif"/>
          <w:b w:val="false"/>
          <w:color w:val="000000"/>
          <w:sz w:val="20"/>
        </w:rPr>
        <w:t xml:space="preserve">We also have audited the Company's internal control over financial reporting as of July 31,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our opinion, the consolidated</w:t>
      </w:r>
      <w:r>
        <w:rPr>
          <w:color w:val="FF0000"/>
        </w:rPr>
        <w:t xml:space="preserve"> </w:t>
      </w:r>
      <w:r>
        <w:rPr>
          <w:rFonts w:ascii="Times New Roman;sans-serif" w:hAnsi="Times New Roman;sans-serif"/>
          <w:b w:val="false"/>
          <w:color w:val="000000"/>
          <w:sz w:val="20"/>
        </w:rPr>
        <w:t>financial statements referred to above present fairly, in all material respects, the financial position of the Company as of July 31, 2023</w:t>
      </w:r>
      <w:r>
        <w:rPr>
          <w:color w:val="FF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 xml:space="preserve">, </w:t>
      </w:r>
      <w:r>
        <w:rPr>
          <w:rFonts w:ascii="Times New Roman;sans-serif" w:hAnsi="Times New Roman;sans-serif"/>
          <w:b w:val="false"/>
          <w:color w:val="000000"/>
          <w:sz w:val="20"/>
        </w:rPr>
        <w:t>and the results of its</w:t>
      </w:r>
      <w:r>
        <w:rPr>
          <w:color w:val="FF0000"/>
        </w:rPr>
        <w:t xml:space="preserve"> </w:t>
      </w:r>
      <w:r>
        <w:rPr>
          <w:rFonts w:ascii="Times New Roman;sans-serif" w:hAnsi="Times New Roman;sans-serif"/>
          <w:b w:val="false"/>
          <w:color w:val="000000"/>
          <w:sz w:val="20"/>
        </w:rPr>
        <w:t>operations and its</w:t>
      </w:r>
      <w:r>
        <w:rPr>
          <w:color w:val="FF0000"/>
        </w:rPr>
        <w:t xml:space="preserve"> </w:t>
      </w:r>
      <w:r>
        <w:rPr>
          <w:rFonts w:ascii="Times New Roman;sans-serif" w:hAnsi="Times New Roman;sans-serif"/>
          <w:b w:val="false"/>
          <w:color w:val="000000"/>
          <w:sz w:val="20"/>
        </w:rPr>
        <w:t>cash flows for each of the three years in the period ended July 31, 2023</w:t>
      </w:r>
      <w:r>
        <w:rPr>
          <w:color w:val="FF0000"/>
        </w:rPr>
        <w:t xml:space="preserve"> </w:t>
      </w:r>
      <w:r>
        <w:rPr>
          <w:rFonts w:ascii="Times New Roman;sans-serif" w:hAnsi="Times New Roman;sans-serif"/>
          <w:b w:val="false"/>
          <w:color w:val="000000"/>
          <w:sz w:val="20"/>
        </w:rPr>
        <w:t xml:space="preserve">in conformity with accounting principles generally accepted in the United States of America. Also in our opinion, the Company maintained, in all material respects, effective internal control over financial reporting as of July 31,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COSO.</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160" w:after="283"/>
        <w:jc w:val="both"/>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w:t>
      </w:r>
      <w:r>
        <w:rPr>
          <w:color w:val="000000"/>
        </w:rPr>
        <w:t xml:space="preserve"> </w:t>
      </w:r>
      <w:r>
        <w:rPr>
          <w:rFonts w:ascii="Times New Roman;sans-serif" w:hAnsi="Times New Roman;sans-serif"/>
          <w:b w:val="false"/>
          <w:color w:val="000000"/>
          <w:sz w:val="20"/>
        </w:rPr>
        <w:t>Management’s Annual Report on Internal Control over Financial Reporting appearing under Item 9A. Our responsibility is to express opinions on the Company’s consolidated</w:t>
      </w:r>
      <w:r>
        <w:rPr>
          <w:color w:val="FF0000"/>
        </w:rPr>
        <w:t xml:space="preserve"> </w:t>
      </w:r>
      <w:r>
        <w:rPr>
          <w:rFonts w:ascii="Times New Roman;sans-serif" w:hAnsi="Times New Roman;sans-serif"/>
          <w:b w:val="false"/>
          <w:color w:val="000000"/>
          <w:sz w:val="20"/>
        </w:rPr>
        <w:t>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w:t>
      </w:r>
      <w:r>
        <w:rPr>
          <w:color w:val="FF0000"/>
        </w:rPr>
        <w:t xml:space="preserve"> </w:t>
      </w:r>
      <w:r>
        <w:rPr>
          <w:rFonts w:ascii="Times New Roman;sans-serif" w:hAnsi="Times New Roman;sans-serif"/>
          <w:b w:val="false"/>
          <w:color w:val="000000"/>
          <w:sz w:val="20"/>
        </w:rPr>
        <w:t>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Our audits of the consolidated</w:t>
      </w:r>
      <w:r>
        <w:rPr>
          <w:color w:val="FF0000"/>
        </w:rPr>
        <w:t xml:space="preserve"> </w:t>
      </w:r>
      <w:r>
        <w:rPr>
          <w:rFonts w:ascii="Times New Roman;sans-serif" w:hAnsi="Times New Roman;sans-serif"/>
          <w:b w:val="false"/>
          <w:color w:val="000000"/>
          <w:sz w:val="20"/>
        </w:rPr>
        <w:t>financial statements included performing procedures to assess the risks of material misstatement of the consolidated</w:t>
      </w:r>
      <w:r>
        <w:rPr>
          <w:color w:val="FF0000"/>
        </w:rPr>
        <w:t xml:space="preserve"> </w:t>
      </w:r>
      <w:r>
        <w:rPr>
          <w:rFonts w:ascii="Times New Roman;sans-serif" w:hAnsi="Times New Roman;sans-serif"/>
          <w:b w:val="false"/>
          <w:color w:val="000000"/>
          <w:sz w:val="20"/>
        </w:rPr>
        <w:t>financial statements, whether due to error or fraud, and performing procedures that respond to those risks. Such procedures included examining, on a test basis, evidence regarding the amounts and disclosures in the consolidated</w:t>
      </w:r>
      <w:r>
        <w:rPr>
          <w:color w:val="FF0000"/>
        </w:rPr>
        <w:t xml:space="preserve"> </w:t>
      </w:r>
      <w:r>
        <w:rPr>
          <w:rFonts w:ascii="Times New Roman;sans-serif" w:hAnsi="Times New Roman;sans-serif"/>
          <w:b w:val="false"/>
          <w:color w:val="000000"/>
          <w:sz w:val="20"/>
        </w:rPr>
        <w:t>financial statements. Our audits also included evaluating the accounting principles used and significant estimates made by management, as well as evaluating the overall presentation of the consolidated</w:t>
      </w:r>
      <w:r>
        <w:rPr>
          <w:color w:val="FF0000"/>
        </w:rPr>
        <w:t xml:space="preserve"> </w:t>
      </w:r>
      <w:r>
        <w:rPr>
          <w:rFonts w:ascii="Times New Roman;sans-serif" w:hAnsi="Times New Roman;sans-serif"/>
          <w:b w:val="false"/>
          <w:color w:val="000000"/>
          <w:sz w:val="20"/>
        </w:rPr>
        <w:t>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Management’s Report on Internal Control over Financial Reporting, management has excluded Andermatt-Sedrun Sport AG from its assessment of internal control over financial reporting as of July 31, 2023 because it was acquired by the Company in a purchase business combination during the year ended July 31, 2023. We have also excluded Andermatt-Sedrun Sport AG from our audit of internal control over financial reporting. Andermatt-Sedrun Sport AG is a subsidiary whose total assets and total revenues excluded from management’s assessment and our audit of internal control over financial reporting represent 2% and 1%, respectively, of the related consolidated financial statement amounts as of and for the year ended July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Measurement of the Contingent Consideration </w:t>
      </w:r>
    </w:p>
    <w:p>
      <w:pPr>
        <w:pStyle w:val="TextBody"/>
        <w:bidi w:val="0"/>
        <w:spacing w:lineRule="auto" w:line="288" w:before="160" w:after="283"/>
        <w:jc w:val="both"/>
        <w:rPr/>
      </w:pPr>
      <w:r>
        <w:rPr>
          <w:rFonts w:ascii="Times New Roman;sans-serif" w:hAnsi="Times New Roman;sans-serif"/>
          <w:b w:val="false"/>
          <w:color w:val="000000"/>
          <w:sz w:val="20"/>
        </w:rPr>
        <w:t>As described in Note</w:t>
      </w:r>
      <w:r>
        <w:rPr>
          <w:color w:val="FF0000"/>
        </w:rPr>
        <w:t xml:space="preserve"> </w:t>
      </w:r>
      <w:r>
        <w:rPr>
          <w:rFonts w:ascii="Times New Roman;sans-serif" w:hAnsi="Times New Roman;sans-serif"/>
          <w:b w:val="false"/>
          <w:color w:val="000000"/>
          <w:sz w:val="20"/>
        </w:rPr>
        <w:t>9</w:t>
      </w:r>
      <w:r>
        <w:rPr>
          <w:color w:val="FF0000"/>
        </w:rPr>
        <w:t xml:space="preserve"> </w:t>
      </w:r>
      <w:r>
        <w:rPr>
          <w:rFonts w:ascii="Times New Roman;sans-serif" w:hAnsi="Times New Roman;sans-serif"/>
          <w:b w:val="false"/>
          <w:color w:val="000000"/>
          <w:sz w:val="20"/>
        </w:rPr>
        <w:t>to the consolidated</w:t>
      </w:r>
      <w:r>
        <w:rPr>
          <w:color w:val="000000"/>
        </w:rPr>
        <w:t xml:space="preserve"> </w:t>
      </w:r>
      <w:r>
        <w:rPr>
          <w:rFonts w:ascii="Times New Roman;sans-serif" w:hAnsi="Times New Roman;sans-serif"/>
          <w:b w:val="false"/>
          <w:color w:val="000000"/>
          <w:sz w:val="20"/>
        </w:rPr>
        <w:t>financial statements, the Company has established a liability of $73.3 million as of July 31, 2023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Fair value is estimated using an option pricing valuation model. As described by management, significant assumptions in determining the fair value under this model included future period Park City EBITDA, discount rate and volatility.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 (ii) 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September 28,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81"/>
        <w:gridCol w:w="2390"/>
        <w:gridCol w:w="2396"/>
        <w:gridCol w:w="211"/>
        <w:gridCol w:w="976"/>
        <w:gridCol w:w="109"/>
        <w:gridCol w:w="211"/>
        <w:gridCol w:w="976"/>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6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 of allowances of $5,385 and $6,356,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of reserves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(Note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(Note 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(Note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(Note 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 (Note 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(Note 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4,470,544 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25,000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 shares authorized and 46,798 and 46,744 shares issued,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shares, $0.01 par value, 0 and 3 shares issued and outstanding, respectively (Note 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8,648 and 6,466 shares, respectively (Note 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Vail Resorts, Inc.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1,612,439 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6,318,028 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331"/>
        <w:gridCol w:w="1969"/>
        <w:gridCol w:w="1970"/>
        <w:gridCol w:w="211"/>
        <w:gridCol w:w="976"/>
        <w:gridCol w:w="109"/>
        <w:gridCol w:w="211"/>
        <w:gridCol w:w="976"/>
        <w:gridCol w:w="109"/>
        <w:gridCol w:w="211"/>
        <w:gridCol w:w="976"/>
        <w:gridCol w:w="156"/>
      </w:tblGrid>
      <w:tr>
        <w:trPr/>
        <w:tc>
          <w:tcPr>
            <w:tcW w:w="233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services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retail and dining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net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 shown separately below):</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retail and dining cost of products sold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operating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 (Note 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fixed assets and 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income and other,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 (Note 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share amounts (Note 5):</w:t>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Vail Resorts,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share</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8853" w:type="dxa"/>
        <w:jc w:val="center"/>
        <w:tblInd w:w="0" w:type="dxa"/>
        <w:tblLayout w:type="fixed"/>
        <w:tblCellMar>
          <w:top w:w="28" w:type="dxa"/>
          <w:left w:w="28" w:type="dxa"/>
          <w:bottom w:w="28" w:type="dxa"/>
          <w:right w:w="28" w:type="dxa"/>
        </w:tblCellMar>
      </w:tblPr>
      <w:tblGrid>
        <w:gridCol w:w="1941"/>
        <w:gridCol w:w="1704"/>
        <w:gridCol w:w="1725"/>
        <w:gridCol w:w="211"/>
        <w:gridCol w:w="826"/>
        <w:gridCol w:w="109"/>
        <w:gridCol w:w="211"/>
        <w:gridCol w:w="826"/>
        <w:gridCol w:w="109"/>
        <w:gridCol w:w="211"/>
        <w:gridCol w:w="826"/>
        <w:gridCol w:w="154"/>
      </w:tblGrid>
      <w:tr>
        <w:trPr/>
        <w:tc>
          <w:tcPr>
            <w:tcW w:w="194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hedging instruments,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Vail Resorts,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1125" w:type="dxa"/>
        <w:jc w:val="center"/>
        <w:tblInd w:w="0" w:type="dxa"/>
        <w:tblLayout w:type="fixed"/>
        <w:tblCellMar>
          <w:top w:w="28" w:type="dxa"/>
          <w:left w:w="28" w:type="dxa"/>
          <w:bottom w:w="28" w:type="dxa"/>
          <w:right w:w="28" w:type="dxa"/>
        </w:tblCellMar>
      </w:tblPr>
      <w:tblGrid>
        <w:gridCol w:w="617"/>
        <w:gridCol w:w="358"/>
        <w:gridCol w:w="226"/>
        <w:gridCol w:w="196"/>
        <w:gridCol w:w="421"/>
        <w:gridCol w:w="109"/>
        <w:gridCol w:w="306"/>
        <w:gridCol w:w="634"/>
        <w:gridCol w:w="171"/>
        <w:gridCol w:w="196"/>
        <w:gridCol w:w="871"/>
        <w:gridCol w:w="109"/>
        <w:gridCol w:w="246"/>
        <w:gridCol w:w="832"/>
        <w:gridCol w:w="138"/>
        <w:gridCol w:w="196"/>
        <w:gridCol w:w="736"/>
        <w:gridCol w:w="109"/>
        <w:gridCol w:w="196"/>
        <w:gridCol w:w="751"/>
        <w:gridCol w:w="109"/>
        <w:gridCol w:w="196"/>
        <w:gridCol w:w="871"/>
        <w:gridCol w:w="109"/>
        <w:gridCol w:w="226"/>
        <w:gridCol w:w="849"/>
        <w:gridCol w:w="126"/>
        <w:gridCol w:w="196"/>
        <w:gridCol w:w="871"/>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 in</w:t>
              <w:br/>
              <w:t>Capital</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Vail Resorts, Inc. Stockholders’ Equity</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Vail Resorts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Exchangeable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July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(56,837)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estimated fair value of hedging instruments, net of tax</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0.0% Convertible Notes, net (Note 6)</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under share award plan, net of shares withheld for employee taxes (Note 14)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Distributions to noncontrolling interests, net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July 31, 2021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27,799 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234,469 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estimated fair value of hedging instruments, net of tax</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(Note 14)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under share award plan, net of shares withheld for employee taxes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(Note 13)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(Note 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Distributions to noncontrolling interests, net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July 31, 2022</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estimated fair value of hedging instruments, net of tax</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adoption of ASU 2020-06 (Notes 2 &amp; 6)</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(Note 14)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under share award plan, net of shares withheld for employee taxes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(Note 13)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(Note 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Estimated acquisition date fair value of noncontrolling interests (Note 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Distributions to noncontrolling interests, net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July 31, 2023</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1,124,433 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(10,358)</w:t>
            </w:r>
          </w:p>
        </w:tc>
        <w:tc>
          <w:tcPr>
            <w:tcW w:w="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873,710 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(984,306)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1,003,947 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331,713 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1,335,660 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362" w:type="dxa"/>
        <w:jc w:val="center"/>
        <w:tblInd w:w="0" w:type="dxa"/>
        <w:tblLayout w:type="fixed"/>
        <w:tblCellMar>
          <w:top w:w="28" w:type="dxa"/>
          <w:left w:w="28" w:type="dxa"/>
          <w:bottom w:w="28" w:type="dxa"/>
          <w:right w:w="28" w:type="dxa"/>
        </w:tblCellMar>
      </w:tblPr>
      <w:tblGrid>
        <w:gridCol w:w="2097"/>
        <w:gridCol w:w="1839"/>
        <w:gridCol w:w="1853"/>
        <w:gridCol w:w="196"/>
        <w:gridCol w:w="871"/>
        <w:gridCol w:w="109"/>
        <w:gridCol w:w="196"/>
        <w:gridCol w:w="871"/>
        <w:gridCol w:w="109"/>
        <w:gridCol w:w="196"/>
        <w:gridCol w:w="87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fixed assets and 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effects of acquisitions: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returned (paid) for acquisition of business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short-term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disposal of fixed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Whistler Credit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0.0%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Vail Holdings Credit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Whistler Credit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EB-5 Development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taxes paid for share award exercises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140,599 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Times New Roman;sans-serif" w:hAnsi="Times New Roman;sans-serif"/>
          <w:b/>
          <w:color w:val="000000"/>
          <w:sz w:val="20"/>
        </w:rPr>
        <w:t>Notes to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1.</w:t>
      </w:r>
      <w:r>
        <w:rPr>
          <w:rFonts w:ascii="Times New Roman;sans-serif" w:hAnsi="Times New Roman;sans-serif"/>
          <w:b/>
          <w:color w:val="000000"/>
          <w:sz w:val="20"/>
        </w:rPr>
        <w:t>Organization and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 (collectively, “Resorts”):</w:t>
      </w:r>
    </w:p>
    <w:p>
      <w:pPr>
        <w:pStyle w:val="TextBody"/>
        <w:bidi w:val="0"/>
        <w:spacing w:before="120" w:after="283"/>
        <w:jc w:val="center"/>
        <w:rPr/>
      </w:pPr>
      <w:r>
        <w:rPr/>
        <w:drawing>
          <wp:inline distT="0" distB="0" distL="0" distR="0">
            <wp:extent cx="6515100" cy="3067050"/>
            <wp:effectExtent l="0" t="0" r="0" b="0"/>
            <wp:docPr id="7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 descr=""/>
                    <pic:cNvPicPr>
                      <a:picLocks noChangeAspect="1" noChangeArrowheads="1"/>
                    </pic:cNvPicPr>
                  </pic:nvPicPr>
                  <pic:blipFill>
                    <a:blip r:embed="rId7"/>
                    <a:stretch>
                      <a:fillRect/>
                    </a:stretch>
                  </pic:blipFill>
                  <pic:spPr bwMode="auto">
                    <a:xfrm>
                      <a:off x="0" y="0"/>
                      <a:ext cx="6515100" cy="306705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the Company’s regional ski areas, which tend to generate skier visits predominantly from their respective local markets.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A portion of the operations of Andermatt-Sedrun are conducted on land owned by the Swiss Confederation, for which operations are conducted under leasehold agreements and pursuant to a personal easement on land owned by the municipality of Tujetsch. Okemo, Mount Sunapee and Stowe operate on land leased from the respective states in which the resorts are located and on land owned by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segment primarily owns, develops and sells real estate in and around the Company’s resort communities.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mountain business and its lodging properties at or around the Company’s mountain resorts are seasonal in nature, and typically experience their peak operating seasons primarily from mid-December through mid-April in North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America and Europe. The peak operating season at the Company’s Australian resorts, NPS concessioner properties and golf courses generally occurs from June to early October.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pPr>
      <w:r>
        <w:rPr>
          <w:rFonts w:ascii="Times New Roman;sans-serif" w:hAnsi="Times New Roman;sans-serif"/>
          <w:b w:val="false"/>
          <w:i/>
          <w:color w:val="000000"/>
          <w:sz w:val="20"/>
        </w:rPr>
        <w:t xml:space="preserve">Principles of Consolidation — </w:t>
      </w:r>
      <w:r>
        <w:rPr>
          <w:rFonts w:ascii="Times New Roman;sans-serif" w:hAnsi="Times New Roman;sans-serif"/>
          <w:b w:val="false"/>
          <w:color w:val="000000"/>
          <w:sz w:val="20"/>
        </w:rPr>
        <w:t>The accompanying Consolidated Financial Statements include the accounts of the Company and its consolidated 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pStyle w:val="TextBody"/>
        <w:bidi w:val="0"/>
        <w:spacing w:lineRule="auto" w:line="288" w:before="240" w:after="283"/>
        <w:jc w:val="both"/>
        <w:rPr/>
      </w:pPr>
      <w:r>
        <w:rPr>
          <w:rFonts w:ascii="Times New Roman;sans-serif" w:hAnsi="Times New Roman;sans-serif"/>
          <w:b w:val="false"/>
          <w:i/>
          <w:color w:val="000000"/>
          <w:sz w:val="20"/>
        </w:rPr>
        <w:t xml:space="preserve">Cash and Cash Equivalents — </w:t>
      </w:r>
      <w:r>
        <w:rPr>
          <w:rFonts w:ascii="Times New Roman;sans-serif" w:hAnsi="Times New Roman;sans-serif"/>
          <w:b w:val="false"/>
          <w:color w:val="000000"/>
          <w:sz w:val="20"/>
        </w:rPr>
        <w:t>The Company considers all highly liquid investments with maturities of three months or less at the date of purchase to be cash equivalents.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Restricted Cash — </w:t>
      </w:r>
      <w:r>
        <w:rPr>
          <w:rFonts w:ascii="Times New Roman;sans-serif" w:hAnsi="Times New Roman;sans-serif"/>
          <w:b w:val="false"/>
          <w:color w:val="000000"/>
          <w:sz w:val="20"/>
        </w:rPr>
        <w:t>The Company considers cash to be restricted when withdrawal or general use is legally restricted.</w:t>
      </w:r>
    </w:p>
    <w:p>
      <w:pPr>
        <w:pStyle w:val="TextBody"/>
        <w:bidi w:val="0"/>
        <w:spacing w:lineRule="auto" w:line="288" w:before="240" w:after="283"/>
        <w:jc w:val="both"/>
        <w:rPr/>
      </w:pPr>
      <w:r>
        <w:rPr>
          <w:rFonts w:ascii="Times New Roman;sans-serif" w:hAnsi="Times New Roman;sans-serif"/>
          <w:b w:val="false"/>
          <w:i/>
          <w:color w:val="000000"/>
          <w:sz w:val="20"/>
        </w:rPr>
        <w:t>Accounts Receivable —</w:t>
      </w:r>
      <w:r>
        <w:rPr>
          <w:color w:val="000000"/>
        </w:rPr>
        <w:t xml:space="preserve"> </w:t>
      </w:r>
      <w:r>
        <w:rPr>
          <w:rFonts w:ascii="Times New Roman;sans-serif" w:hAnsi="Times New Roman;sans-serif"/>
          <w:b w:val="false"/>
          <w:color w:val="000000"/>
          <w:sz w:val="20"/>
        </w:rPr>
        <w:t>The Company records trade accounts receivable in the normal course of business related to the sale of products or services. The 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pStyle w:val="TextBody"/>
        <w:bidi w:val="0"/>
        <w:spacing w:lineRule="auto" w:line="288" w:before="240" w:after="283"/>
        <w:jc w:val="both"/>
        <w:rPr/>
      </w:pPr>
      <w:r>
        <w:rPr>
          <w:rFonts w:ascii="Times New Roman;sans-serif" w:hAnsi="Times New Roman;sans-serif"/>
          <w:b w:val="false"/>
          <w:i/>
          <w:color w:val="000000"/>
          <w:sz w:val="20"/>
        </w:rPr>
        <w:t>Inventories —</w:t>
      </w:r>
      <w:r>
        <w:rPr>
          <w:color w:val="000000"/>
        </w:rPr>
        <w:t xml:space="preserve"> </w:t>
      </w:r>
      <w:r>
        <w:rPr>
          <w:rFonts w:ascii="Times New Roman;sans-serif" w:hAnsi="Times New Roman;sans-serif"/>
          <w:b w:val="false"/>
          <w:color w:val="000000"/>
          <w:sz w:val="20"/>
        </w:rPr>
        <w:t>The Company’s inventories consist primarily of purchased retail goods, food and beverage items and spare parts. Inventories are stated at the lower of cost or net realizable value, determined using primarily an average weighted cost method. The Company records a reserve for estimated shrinkage and obsolete or unusable inventory.</w:t>
      </w:r>
    </w:p>
    <w:p>
      <w:pPr>
        <w:pStyle w:val="TextBody"/>
        <w:bidi w:val="0"/>
        <w:spacing w:lineRule="auto" w:line="288" w:before="240" w:after="283"/>
        <w:jc w:val="both"/>
        <w:rPr/>
      </w:pPr>
      <w:r>
        <w:rPr>
          <w:rFonts w:ascii="Times New Roman;sans-serif" w:hAnsi="Times New Roman;sans-serif"/>
          <w:b w:val="false"/>
          <w:i/>
          <w:color w:val="000000"/>
          <w:sz w:val="20"/>
        </w:rPr>
        <w:t>Property, Plant and Equipment —</w:t>
      </w:r>
      <w:r>
        <w:rPr>
          <w:color w:val="000000"/>
        </w:rPr>
        <w:t xml:space="preserve"> </w:t>
      </w:r>
      <w:r>
        <w:rPr>
          <w:rFonts w:ascii="Times New Roman;sans-serif" w:hAnsi="Times New Roman;sans-serif"/>
          <w:b w:val="false"/>
          <w:color w:val="000000"/>
          <w:sz w:val="20"/>
        </w:rPr>
        <w:t>Property, plant and equipment is carried at cost net of accumulated depreciation. Repairs and maintenance are expensed 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finance leases, generally based on the following useful lives:</w:t>
      </w:r>
    </w:p>
    <w:tbl>
      <w:tblPr>
        <w:tblW w:w="4425" w:type="dxa"/>
        <w:jc w:val="center"/>
        <w:tblInd w:w="0" w:type="dxa"/>
        <w:tblLayout w:type="fixed"/>
        <w:tblCellMar>
          <w:top w:w="28" w:type="dxa"/>
          <w:left w:w="28" w:type="dxa"/>
          <w:bottom w:w="28" w:type="dxa"/>
          <w:right w:w="28" w:type="dxa"/>
        </w:tblCellMar>
      </w:tblPr>
      <w:tblGrid>
        <w:gridCol w:w="1168"/>
        <w:gridCol w:w="1025"/>
        <w:gridCol w:w="1031"/>
        <w:gridCol w:w="351"/>
        <w:gridCol w:w="351"/>
        <w:gridCol w:w="499"/>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Life</w:t>
              <w:br/>
              <w:t>in Years</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2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2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bl>
    <w:p>
      <w:pPr>
        <w:pStyle w:val="TextBody"/>
        <w:bidi w:val="0"/>
        <w:spacing w:lineRule="auto" w:line="288" w:before="240" w:after="283"/>
        <w:jc w:val="both"/>
        <w:rPr/>
      </w:pPr>
      <w:r>
        <w:rPr>
          <w:rFonts w:ascii="Times New Roman;sans-serif" w:hAnsi="Times New Roman;sans-serif"/>
          <w:b w:val="false"/>
          <w:i/>
          <w:color w:val="000000"/>
          <w:sz w:val="20"/>
        </w:rPr>
        <w:t>Real Estate Held for Sale or Investment —</w:t>
      </w:r>
      <w:r>
        <w:rPr>
          <w:color w:val="000000"/>
        </w:rPr>
        <w:t xml:space="preserve"> </w:t>
      </w:r>
      <w:r>
        <w:rPr>
          <w:rFonts w:ascii="Times New Roman;sans-serif" w:hAnsi="Times New Roman;sans-serif"/>
          <w:b w:val="false"/>
          <w:color w:val="000000"/>
          <w:sz w:val="20"/>
        </w:rPr>
        <w:t xml:space="preserve">The Company capitalizes as real estate held for sale or investment the original land acquisition cost, direct construction and development costs, property taxes and interest paid related to real estate under development and other related costs. Sales and marketing expenses are charged against income in the period incurred. </w:t>
      </w:r>
    </w:p>
    <w:p>
      <w:pPr>
        <w:pStyle w:val="TextBody"/>
        <w:bidi w:val="0"/>
        <w:spacing w:lineRule="auto" w:line="288" w:before="240" w:after="283"/>
        <w:jc w:val="both"/>
        <w:rPr/>
      </w:pPr>
      <w:r>
        <w:rPr>
          <w:rFonts w:ascii="Times New Roman;sans-serif" w:hAnsi="Times New Roman;sans-serif"/>
          <w:b w:val="false"/>
          <w:i/>
          <w:color w:val="000000"/>
          <w:sz w:val="20"/>
        </w:rPr>
        <w:t>Deferred Financing Costs —</w:t>
      </w:r>
      <w:r>
        <w:rPr>
          <w:color w:val="000000"/>
        </w:rPr>
        <w:t xml:space="preserve"> </w:t>
      </w:r>
      <w:r>
        <w:rPr>
          <w:rFonts w:ascii="Times New Roman;sans-serif" w:hAnsi="Times New Roman;sans-serif"/>
          <w:b w:val="false"/>
          <w:color w:val="000000"/>
          <w:sz w:val="20"/>
        </w:rPr>
        <w:t>Certain costs incurred with the issuance of debt and debt securities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pStyle w:val="TextBody"/>
        <w:bidi w:val="0"/>
        <w:spacing w:lineRule="auto" w:line="288" w:before="240" w:after="283"/>
        <w:jc w:val="both"/>
        <w:rPr/>
      </w:pPr>
      <w:r>
        <w:rPr>
          <w:rFonts w:ascii="Times New Roman;sans-serif" w:hAnsi="Times New Roman;sans-serif"/>
          <w:b w:val="false"/>
          <w:i/>
          <w:color w:val="000000"/>
          <w:sz w:val="20"/>
        </w:rPr>
        <w:t>Goodwill and Intangible Assets —</w:t>
      </w:r>
      <w:r>
        <w:rPr>
          <w:color w:val="000000"/>
        </w:rPr>
        <w:t xml:space="preserve"> </w:t>
      </w:r>
      <w:r>
        <w:rPr>
          <w:rFonts w:ascii="Times New Roman;sans-serif" w:hAnsi="Times New Roman;sans-serif"/>
          <w:b w:val="false"/>
          <w:color w:val="000000"/>
          <w:sz w:val="20"/>
        </w:rPr>
        <w:t xml:space="preserve">The Company has classified as goodwill the cost in excess of estimated fair value of the net assets of businesses acquired in purchase 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necessary) for impairment as of May 1. Amortizable intangible assets are amortized over the shorter of their contractual terms or estimated useful lives.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testing of goodwill and other indefinite-lived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quantitative test for impairment consists of a comparison of the estimated fair value of the assets with their respective net carrying values. If the net carrying amount of the assets exceed their respective estimated fair values, an impairment loss would be recognized for indefinite-lived intangibles, including goodwill, in an amount equal to that excess. If the net carrying amount of the assets does not exceed their respective estimated fair values, no impairment loss is recognized. The Company determined that there were no impairments of goodwill or definite and indefinite-lived assets for the years ended July 31, 2023, 2022 and 2021. </w:t>
      </w:r>
    </w:p>
    <w:p>
      <w:pPr>
        <w:pStyle w:val="TextBody"/>
        <w:bidi w:val="0"/>
        <w:spacing w:lineRule="auto" w:line="288" w:before="240" w:after="283"/>
        <w:jc w:val="both"/>
        <w:rPr/>
      </w:pPr>
      <w:r>
        <w:rPr>
          <w:rFonts w:ascii="Times New Roman;sans-serif" w:hAnsi="Times New Roman;sans-serif"/>
          <w:b w:val="false"/>
          <w:i/>
          <w:color w:val="000000"/>
          <w:sz w:val="20"/>
        </w:rPr>
        <w:t>Long-Lived Assets —</w:t>
      </w:r>
      <w:r>
        <w:rPr>
          <w:color w:val="000000"/>
        </w:rPr>
        <w:t xml:space="preserve"> </w:t>
      </w:r>
      <w:r>
        <w:rPr>
          <w:rFonts w:ascii="Times New Roman;sans-serif" w:hAnsi="Times New Roman;sans-serif"/>
          <w:b w:val="false"/>
          <w:color w:val="000000"/>
          <w:sz w:val="20"/>
        </w:rPr>
        <w:t>The Company evaluates potential impairment of long-lived assets and long-lived assets to be disposed of whenever events or changes in circumstances indicate that the net carrying amount of an asset group may not be fully recoverable. If the sum of the expected cash flows, on an undiscounted basis, is less than the net carrying amount of the asset group, an impairment loss is recognized in the amount by which the net carrying amount of the asset group exceeds its estimated fair value. The Company determined that there were no impairments of long-lived assets for the years ended July 31, 2023, 2022 and 2021.</w:t>
      </w:r>
    </w:p>
    <w:p>
      <w:pPr>
        <w:pStyle w:val="TextBody"/>
        <w:bidi w:val="0"/>
        <w:spacing w:lineRule="auto" w:line="288" w:before="240" w:after="283"/>
        <w:jc w:val="both"/>
        <w:rPr/>
      </w:pPr>
      <w:r>
        <w:rPr>
          <w:rFonts w:ascii="Times New Roman;sans-serif" w:hAnsi="Times New Roman;sans-serif"/>
          <w:b w:val="false"/>
          <w:i/>
          <w:color w:val="000000"/>
          <w:sz w:val="20"/>
        </w:rPr>
        <w:t>Revenue Recognition —</w:t>
      </w:r>
      <w:r>
        <w:rPr>
          <w:color w:val="000000"/>
        </w:rPr>
        <w:t xml:space="preserve"> </w:t>
      </w:r>
      <w:r>
        <w:rPr>
          <w:rFonts w:ascii="Times New Roman;sans-serif" w:hAnsi="Times New Roman;sans-serif"/>
          <w:b w:val="false"/>
          <w:color w:val="000000"/>
          <w:sz w:val="20"/>
        </w:rPr>
        <w:t>The Company’s significant accounting policies with regard to revenue recognition are discussed in Note 3, Revenues.</w:t>
      </w:r>
    </w:p>
    <w:p>
      <w:pPr>
        <w:pStyle w:val="TextBody"/>
        <w:bidi w:val="0"/>
        <w:spacing w:lineRule="auto" w:line="288" w:before="240" w:after="283"/>
        <w:jc w:val="both"/>
        <w:rPr/>
      </w:pPr>
      <w:r>
        <w:rPr>
          <w:rFonts w:ascii="Times New Roman;sans-serif" w:hAnsi="Times New Roman;sans-serif"/>
          <w:b w:val="false"/>
          <w:i/>
          <w:color w:val="000000"/>
          <w:sz w:val="20"/>
        </w:rPr>
        <w:t>Real Estate Cost of Sales —</w:t>
      </w:r>
      <w:r>
        <w:rPr>
          <w:color w:val="000000"/>
        </w:rPr>
        <w:t xml:space="preserve"> </w:t>
      </w:r>
      <w:r>
        <w:rPr>
          <w:rFonts w:ascii="Times New Roman;sans-serif" w:hAnsi="Times New Roman;sans-serif"/>
          <w:b w:val="false"/>
          <w:color w:val="000000"/>
          <w:sz w:val="20"/>
        </w:rPr>
        <w:t xml:space="preserve">Costs of real estate transactions include direct project costs, common cost allocations (primarily determined on relative sales value) and sales commission expense. The Company utilizes the relative sales value method to determine cost of sales for condominium units sold within a project when specific identification of costs cannot be reasonably determined. </w:t>
      </w:r>
    </w:p>
    <w:p>
      <w:pPr>
        <w:pStyle w:val="TextBody"/>
        <w:bidi w:val="0"/>
        <w:spacing w:lineRule="auto" w:line="288" w:before="240" w:after="283"/>
        <w:jc w:val="both"/>
        <w:rPr/>
      </w:pPr>
      <w:r>
        <w:rPr>
          <w:rFonts w:ascii="Times New Roman;sans-serif" w:hAnsi="Times New Roman;sans-serif"/>
          <w:b w:val="false"/>
          <w:i/>
          <w:color w:val="000000"/>
          <w:sz w:val="20"/>
        </w:rPr>
        <w:t xml:space="preserve">Foreign Currency Translation — </w:t>
      </w:r>
      <w:r>
        <w:rPr>
          <w:rFonts w:ascii="Times New Roman;sans-serif" w:hAnsi="Times New Roman;sans-serif"/>
          <w:b w:val="false"/>
          <w:color w:val="000000"/>
          <w:sz w:val="20"/>
        </w:rPr>
        <w:t>The functional currency of the Company’s entities operating outside of the United States is the principal currency of the 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income as a separate component of stockholders’ equity. Intercompany transactions that are not of a long-term nature are reported as gains and losses within “segment operating expense” and for intercompany loans within “foreign currency (loss) gain on intercompany loans” on the Company’s Consolidated Statements of Operations.</w:t>
      </w:r>
    </w:p>
    <w:p>
      <w:pPr>
        <w:pStyle w:val="TextBody"/>
        <w:bidi w:val="0"/>
        <w:spacing w:lineRule="auto" w:line="288" w:before="240" w:after="283"/>
        <w:jc w:val="both"/>
        <w:rPr/>
      </w:pPr>
      <w:r>
        <w:rPr>
          <w:rFonts w:ascii="Times New Roman;sans-serif" w:hAnsi="Times New Roman;sans-serif"/>
          <w:b w:val="false"/>
          <w:i/>
          <w:color w:val="000000"/>
          <w:sz w:val="20"/>
        </w:rPr>
        <w:t>Reserve Estimates —</w:t>
      </w:r>
      <w:r>
        <w:rPr>
          <w:color w:val="000000"/>
        </w:rPr>
        <w:t xml:space="preserve"> </w:t>
      </w:r>
      <w:r>
        <w:rPr>
          <w:rFonts w:ascii="Times New Roman;sans-serif" w:hAnsi="Times New Roman;sans-serif"/>
          <w:b w:val="false"/>
          <w:color w:val="000000"/>
          <w:sz w:val="20"/>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pStyle w:val="TextBody"/>
        <w:bidi w:val="0"/>
        <w:spacing w:lineRule="auto" w:line="288" w:before="240" w:after="283"/>
        <w:jc w:val="both"/>
        <w:rPr/>
      </w:pPr>
      <w:r>
        <w:rPr>
          <w:rFonts w:ascii="Times New Roman;sans-serif" w:hAnsi="Times New Roman;sans-serif"/>
          <w:b w:val="false"/>
          <w:i/>
          <w:color w:val="000000"/>
          <w:sz w:val="20"/>
        </w:rPr>
        <w:t>Advertising Costs —</w:t>
      </w:r>
      <w:r>
        <w:rPr>
          <w:color w:val="000000"/>
        </w:rPr>
        <w:t xml:space="preserve"> </w:t>
      </w:r>
      <w:r>
        <w:rPr>
          <w:rFonts w:ascii="Times New Roman;sans-serif" w:hAnsi="Times New Roman;sans-serif"/>
          <w:b w:val="false"/>
          <w:color w:val="000000"/>
          <w:sz w:val="20"/>
        </w:rPr>
        <w:t xml:space="preserve">Advertising costs are expensed at the time such advertising commences. Advertising expense for the years ended July 31, 2023, 2022 and 2021 was $47.2 million, $47.7 million and $38.6 million, respectively, and was recorded within Mountain and Lodging operating expense on the Company’s Consolidated Statement of Operations. </w:t>
      </w:r>
    </w:p>
    <w:p>
      <w:pPr>
        <w:pStyle w:val="TextBody"/>
        <w:bidi w:val="0"/>
        <w:spacing w:lineRule="auto" w:line="288" w:before="240" w:after="283"/>
        <w:jc w:val="both"/>
        <w:rPr/>
      </w:pPr>
      <w:r>
        <w:rPr>
          <w:rFonts w:ascii="Times New Roman;sans-serif" w:hAnsi="Times New Roman;sans-serif"/>
          <w:b w:val="false"/>
          <w:i/>
          <w:color w:val="000000"/>
          <w:sz w:val="20"/>
        </w:rPr>
        <w:t>Income Taxes —</w:t>
      </w:r>
      <w:r>
        <w:rPr>
          <w:color w:val="000000"/>
        </w:rPr>
        <w:t xml:space="preserve"> </w:t>
      </w:r>
      <w:r>
        <w:rPr>
          <w:rFonts w:ascii="Times New Roman;sans-serif" w:hAnsi="Times New Roman;sans-serif"/>
          <w:b w:val="false"/>
          <w:color w:val="000000"/>
          <w:sz w:val="20"/>
        </w:rPr>
        <w:t xml:space="preserve">Income tax expense includes U.S. tax (federal and state) and foreign income taxes. The Company’s provision for income taxes is based on 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pStyle w:val="TextBody"/>
        <w:bidi w:val="0"/>
        <w:spacing w:lineRule="auto" w:line="288" w:before="240" w:after="283"/>
        <w:jc w:val="both"/>
        <w:rPr/>
      </w:pPr>
      <w:r>
        <w:rPr>
          <w:rFonts w:ascii="Times New Roman;sans-serif" w:hAnsi="Times New Roman;sans-serif"/>
          <w:b w:val="false"/>
          <w:i/>
          <w:color w:val="000000"/>
          <w:sz w:val="20"/>
        </w:rPr>
        <w:t>Fair Value of Financial Instruments —</w:t>
      </w:r>
      <w:r>
        <w:rPr>
          <w:color w:val="000000"/>
        </w:rPr>
        <w:t xml:space="preserve"> </w:t>
      </w:r>
      <w:r>
        <w:rPr>
          <w:rFonts w:ascii="Times New Roman;sans-serif" w:hAnsi="Times New Roman;sans-serif"/>
          <w:b w:val="false"/>
          <w:color w:val="000000"/>
          <w:sz w:val="20"/>
        </w:rPr>
        <w:t>The estimated fair values of the 6.25% Notes and the 0.0% Convertible Notes (each as defined in Note 6, Long-Term Debt) are based on quoted market prices (a Level 2 input). The estimated fair value of the EPR Secured Notes (as defined in Note 6, Long-Term Debt) has been estimated using an analysis based on current borrowing rates for debt with similar remaining maturities and ratings (a Level 2 input). The carrying values, including any unamortized premium or discount, and estimated fair values of the 6.25% Notes, 0.0% Convertible Notes and EPR Secured Notes as of July 31, 2023 are presented below (in thousands):</w:t>
      </w:r>
    </w:p>
    <w:tbl>
      <w:tblPr>
        <w:tblW w:w="5010" w:type="dxa"/>
        <w:jc w:val="center"/>
        <w:tblInd w:w="0" w:type="dxa"/>
        <w:tblLayout w:type="fixed"/>
        <w:tblCellMar>
          <w:top w:w="28" w:type="dxa"/>
          <w:left w:w="28" w:type="dxa"/>
          <w:bottom w:w="28" w:type="dxa"/>
          <w:right w:w="28" w:type="dxa"/>
        </w:tblCellMar>
      </w:tblPr>
      <w:tblGrid>
        <w:gridCol w:w="750"/>
        <w:gridCol w:w="656"/>
        <w:gridCol w:w="664"/>
        <w:gridCol w:w="229"/>
        <w:gridCol w:w="898"/>
        <w:gridCol w:w="118"/>
        <w:gridCol w:w="300"/>
        <w:gridCol w:w="1176"/>
        <w:gridCol w:w="219"/>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 Notes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 Convertible Notes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EPR Secured Notes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recorded amount of the Company’s NRP Loan (as defined in Note 6, Long-Term Debt), which was assumed by the Company during the year ended July 31, 2023, approximates fair value as the debt obligation was recorded at estimated fair value in conjunction with the preliminary purchase accounting for the Andermatt-Sedrun acquisition (see Note 7, Acquisitions) and there has been no significant change in underlying rates. The recorded amounts for all current asset, current liability and other financial liability balances not included in the above table approximate fair value due to their short-term nature or variable nature of associated interest rates.</w:t>
      </w:r>
    </w:p>
    <w:p>
      <w:pPr>
        <w:pStyle w:val="TextBody"/>
        <w:bidi w:val="0"/>
        <w:spacing w:lineRule="auto" w:line="288" w:before="180" w:after="283"/>
        <w:jc w:val="both"/>
        <w:rPr/>
      </w:pPr>
      <w:r>
        <w:rPr>
          <w:rFonts w:ascii="Times New Roman;sans-serif" w:hAnsi="Times New Roman;sans-serif"/>
          <w:b w:val="false"/>
          <w:i/>
          <w:color w:val="000000"/>
          <w:sz w:val="20"/>
        </w:rPr>
        <w:t>Stock-Based Compensation —</w:t>
      </w:r>
      <w:r>
        <w:rPr>
          <w:color w:val="000000"/>
        </w:rPr>
        <w:t xml:space="preserve"> </w:t>
      </w:r>
      <w:r>
        <w:rPr>
          <w:rFonts w:ascii="Times New Roman;sans-serif" w:hAnsi="Times New Roman;sans-serif"/>
          <w:b w:val="false"/>
          <w:color w:val="000000"/>
          <w:sz w:val="20"/>
        </w:rPr>
        <w:t>Stock-based compensation expense is measured at the grant date based upon the estimated fair value of the award and is recognized as expense over the applicable vesting period of the award generally using the straight-line method (see Note 14, Stock Compensation Plan, for more information), less the amount of forfeited awards which are recorded as they occur. The following table shows total net stock-based compensation expense for the years ended July 31, 2023, 2022 and 2021 included on the accompanying Consolidated Statements of Operations (in thousands):</w:t>
      </w:r>
      <w:r>
        <w:rPr>
          <w:color w:val="000000"/>
        </w:rPr>
        <w:t> </w:t>
      </w:r>
    </w:p>
    <w:tbl>
      <w:tblPr>
        <w:tblW w:w="7098" w:type="dxa"/>
        <w:jc w:val="center"/>
        <w:tblInd w:w="0" w:type="dxa"/>
        <w:tblLayout w:type="fixed"/>
        <w:tblCellMar>
          <w:top w:w="28" w:type="dxa"/>
          <w:left w:w="28" w:type="dxa"/>
          <w:bottom w:w="28" w:type="dxa"/>
          <w:right w:w="28" w:type="dxa"/>
        </w:tblCellMar>
      </w:tblPr>
      <w:tblGrid>
        <w:gridCol w:w="1424"/>
        <w:gridCol w:w="1250"/>
        <w:gridCol w:w="1256"/>
        <w:gridCol w:w="211"/>
        <w:gridCol w:w="721"/>
        <w:gridCol w:w="109"/>
        <w:gridCol w:w="211"/>
        <w:gridCol w:w="721"/>
        <w:gridCol w:w="109"/>
        <w:gridCol w:w="211"/>
        <w:gridCol w:w="721"/>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stock-based compensation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benefit from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stock-based compensation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i/>
          <w:color w:val="000000"/>
          <w:sz w:val="20"/>
        </w:rPr>
        <w:t>Concentration of Credit Risk —</w:t>
      </w:r>
      <w:r>
        <w:rPr>
          <w:color w:val="000000"/>
        </w:rPr>
        <w:t xml:space="preserve"> </w:t>
      </w:r>
      <w:r>
        <w:rPr>
          <w:rFonts w:ascii="Times New Roman;sans-serif" w:hAnsi="Times New Roman;sans-serif"/>
          <w:b w:val="false"/>
          <w:color w:val="000000"/>
          <w:sz w:val="20"/>
        </w:rPr>
        <w:t>The Company’s financial instruments that are exposed to concentrations of credit risk consist primarily of cash and cash equivalents and restricted cash. The Company places its cash and temporary cash investments in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conducts business, as well as their dispersion across many geographical areas. The Company performs ongoing credit evaluations of its customers and generally does not require collateral, but does require advance deposits on certain transactions.</w:t>
      </w:r>
    </w:p>
    <w:p>
      <w:pPr>
        <w:pStyle w:val="TextBody"/>
        <w:bidi w:val="0"/>
        <w:spacing w:lineRule="auto" w:line="288" w:before="240" w:after="283"/>
        <w:jc w:val="both"/>
        <w:rPr/>
      </w:pPr>
      <w:r>
        <w:rPr>
          <w:rFonts w:ascii="Times New Roman;sans-serif" w:hAnsi="Times New Roman;sans-serif"/>
          <w:b w:val="false"/>
          <w:i/>
          <w:color w:val="000000"/>
          <w:sz w:val="20"/>
        </w:rPr>
        <w:t>Accounting for Hedging Instruments —</w:t>
      </w:r>
      <w:r>
        <w:rPr>
          <w:color w:val="000000"/>
        </w:rPr>
        <w:t xml:space="preserve"> </w:t>
      </w:r>
      <w:r>
        <w:rPr>
          <w:rFonts w:ascii="Times New Roman;sans-serif" w:hAnsi="Times New Roman;sans-serif"/>
          <w:b w:val="false"/>
          <w:color w:val="000000"/>
          <w:sz w:val="20"/>
        </w:rPr>
        <w:t xml:space="preserve">From time to time, the Company enters into interest rate swaps to hedge the variability in cash flows associated with variable-rate borrowings by converting the floating interest rate to a fixed interest rate (the “Interest Rate Swaps”). As of July 31, 2023, the Company hedged the future cash flows associated with $400.0 million of the principal amount outstanding of its Vail Holdings Credit Agreement (as defined in Note 6, Long-Term Debt),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designated as cash flow hedges.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net of tax, on the Company’s Consolidated Statements of Comprehensive Income, and such change was recorded as a gain of $3.7 million, $18.9 million and $12.8 million during the years ended July 31, 2023, 2022 and 2021, respectively. Amounts are reclassified into interest expense, net from other comprehensive income during the period in which the hedged item affects earnings. During the years ended July 31, 2023, 2022 and 2021, gains (losses) of $11.0 million, $(4.3) million and $(5.4) million, respectively, were reclassified into interest expense, net from other comprehensive income. See Note 9, Fair Value Measurements, for more information.</w:t>
      </w:r>
    </w:p>
    <w:p>
      <w:pPr>
        <w:pStyle w:val="TextBody"/>
        <w:bidi w:val="0"/>
        <w:spacing w:lineRule="auto" w:line="288" w:before="240" w:after="283"/>
        <w:jc w:val="both"/>
        <w:rPr/>
      </w:pPr>
      <w:r>
        <w:rPr>
          <w:rFonts w:ascii="Times New Roman;sans-serif" w:hAnsi="Times New Roman;sans-serif"/>
          <w:b w:val="false"/>
          <w:i/>
          <w:color w:val="000000"/>
          <w:sz w:val="20"/>
        </w:rPr>
        <w:t>Leases —</w:t>
      </w:r>
      <w:r>
        <w:rPr>
          <w:color w:val="000000"/>
        </w:rPr>
        <w:t xml:space="preserve"> </w:t>
      </w:r>
      <w:r>
        <w:rPr>
          <w:rFonts w:ascii="Times New Roman;sans-serif" w:hAnsi="Times New Roman;sans-serif"/>
          <w:b w:val="false"/>
          <w:color w:val="000000"/>
          <w:sz w:val="20"/>
        </w:rPr>
        <w:t>The Company determines if an arrangement is or contains a lease at inception or modification of the arrangement. An arrangement is or contains 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pStyle w:val="TextBody"/>
        <w:bidi w:val="0"/>
        <w:spacing w:lineRule="auto" w:line="288" w:before="240" w:after="283"/>
        <w:jc w:val="both"/>
        <w:rPr/>
      </w:pPr>
      <w:r>
        <w:rPr>
          <w:rFonts w:ascii="Times New Roman;sans-serif" w:hAnsi="Times New Roman;sans-serif"/>
          <w:b w:val="false"/>
          <w:i/>
          <w:color w:val="000000"/>
          <w:sz w:val="20"/>
        </w:rPr>
        <w:t>Use of Estimates —</w:t>
      </w:r>
      <w:r>
        <w:rPr>
          <w:color w:val="000000"/>
        </w:rPr>
        <w:t xml:space="preserve"> </w:t>
      </w: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Adopted Standards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of ASU 2020-04 were effective as of March 12, 2020. In December 2022, the FASB issued ASU 2022-06, “Reference Rate Reform (Topic 848): Deferral of the Sunset Date of Topic 848,” which extended the effective date of the provisions of ASU 2020-04 to December 31, 2024.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interest rate swap agreements that hedge the variable interest rate component of underlying cash flows of $400.0 million in principal amount of its Vail Holdings Credit Agreement (as defined in Note 6, Long-Term Debt), which are designated as cash flow hedges. During the year ended July 31, 2023, the Company entered into an amendment to its Vail Holdings Credit Agreement (the “Fifth Amendment”) to modify the calculation of interest under the Vail Holdings Credit Agreement from being calculated based on LIBOR to being calculated based on the Secured Overnight Financing Rate (“SOFR”). See Note 6, Long-Term Debt, for additional information. Subsequent to the Fifth Amendment, the interest rate swaps were also amended to transition from a hedge of LIBOR-based cash flows to a hedge of SOFR-based cash flows. The Company elected certain optional expedients provided by Topic 848, which allowed the Company to not apply certain modification accounting requirements or reassess the previous accounting designation of the interest rate swap agreements as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ASU 2020-06, “Accounting for Convertible Instruments and Contracts in an Entity’s Own Equity” which simplifies the accounting related to certain convertible debt instruments. The guidance removes certain rules which required separation of the embedded conversion features from the host contract for convertible instruments. The updated guidance requires bifurcation only if the convertible debt feature qualifies as a derivative under ASC 815, “Derivatives and Hedging”, or for convertible debt issued at a substantial premium. The guidance also amends the guidance in ASC 815-40, “Derivatives and Hedging – Contracts in Entity’s Own Equity” for certain contracts in an entity’s own equity that are currently accounted for as derivatives. This standard is effective for fiscal years beginning after December 15, 2021, including interim periods within those fiscal years (the Company’s first quarter of the fiscal year ended July 31, 2023). This standard allows for a modified retrospective or fully retrospective method of transition. The Company adopted ASU 2020-06 on August 1, 2022 using the modified retrospective method, and therefore prior period financial information has not been retrospectively adjusted and continues to be reported under the accounting standards in effect for those periods.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Upon adoption of the standard, the Company reclassified the previously bifurcated equity component of its 0.0% Convertible Notes (as defined in Note 6, Long-Term Debt) to long-term debt, net, as the convertible option on the 0.0% Convertible Notes does not qualify as a derivative under ASC 815 nor were the 0.0% Convertible Notes issued at a substantial premium. This reclassification was partially offset by an increase to retained earnings to reverse the previously recognized non-cash interest expense, net of tax that had been recorded as a result of amortization of the previously recorded debt discount. The adoption of this new guidance eliminates the recognition of non-cash interest expense in future periods due to the elimination of the debt discount.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adoption of ASU 2020-06 on the Company’s Consolidated Balance Sheet as of the adoption date was as follows (in thousands):</w:t>
      </w:r>
    </w:p>
    <w:tbl>
      <w:tblPr>
        <w:tblW w:w="10205" w:type="dxa"/>
        <w:jc w:val="left"/>
        <w:tblInd w:w="0" w:type="dxa"/>
        <w:tblLayout w:type="fixed"/>
        <w:tblCellMar>
          <w:top w:w="28" w:type="dxa"/>
          <w:left w:w="28" w:type="dxa"/>
          <w:bottom w:w="28" w:type="dxa"/>
          <w:right w:w="28" w:type="dxa"/>
        </w:tblCellMar>
      </w:tblPr>
      <w:tblGrid>
        <w:gridCol w:w="818"/>
        <w:gridCol w:w="719"/>
        <w:gridCol w:w="722"/>
        <w:gridCol w:w="573"/>
        <w:gridCol w:w="2656"/>
        <w:gridCol w:w="295"/>
        <w:gridCol w:w="211"/>
        <w:gridCol w:w="795"/>
        <w:gridCol w:w="109"/>
        <w:gridCol w:w="519"/>
        <w:gridCol w:w="2405"/>
        <w:gridCol w:w="383"/>
      </w:tblGrid>
      <w:tr>
        <w:trPr/>
        <w:tc>
          <w:tcPr>
            <w:tcW w:w="8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August 1, 2022</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w:t>
            </w:r>
          </w:p>
        </w:tc>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Balances without the Adoption of ASU 2020-06</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Balances with the adoption of ASU 2020-06</w:t>
            </w:r>
          </w:p>
        </w:tc>
      </w:tr>
      <w:tr>
        <w:trPr/>
        <w:tc>
          <w:tcPr>
            <w:tcW w:w="2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2,745,122 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249,685 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1,184,577 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1,104,511 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5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895,889 </w:t>
            </w:r>
          </w:p>
        </w:tc>
        <w:tc>
          <w:tcPr>
            <w:tcW w:w="2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919,912 </w:t>
            </w:r>
          </w:p>
        </w:tc>
        <w:tc>
          <w:tcPr>
            <w:tcW w:w="3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ASU 2020-06 also prohibits the use of the treasury stock method for convertible instruments for the purposes of calculating diluted earnings per share (“EPS”) and instead requires application of the if-converted method. Under the if-converted method, diluted EPS will generally be calculated assuming that all of the convertible debt instruments were converted solely into shares of common stock at the beginning of the reporting period unless the result would be anti-dilutive. Pursuant to the terms of the 0.0% Convertible Notes, the principal amount of the 0.0% Convertible Notes is required to be paid in cash and only the premium due upon conversion, if any, is permitted to be settled in shares, cash or a combination of shares and cash. Consequently, for the Company the if-converted method would produce a similar result as the treasury stock method, which was utilized for the calculation of diluted EPS prior to the adoption of ASU 2020-06 for the 0.0%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ski areas. The Company also includes other sources of revenue, primarily related to commercial leasing and employee housing leasing arrangements, within other mountain revenue. Revenue is recognized over time as performance obligations are satisfied as control of the good or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In accordance with Topic 606, the Company estimates progress towards satisfaction of its performance obligations using an output method that best depicts the transfer of control of the service to its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output method utilized by the Company measured progress toward satisfaction of the Company’s performance obligations based on the estimated number of pass product holder visits relative to total expected visits, based on historical data, which the Company believed to provide a faithful depiction of its customers’ pass product usage. When sufficient historical data to determine usage patterns was not available, such as in the case of new product offerings, progress was measured on a straight-line basis throughout the ski season until sufficient historical usage patterns were available. Beginning August 1, 2021, progress towards satisfaction of the Company’s performance obligations for all passes is measured using an output method based on the skiable days of the season,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relative to the remaining services promised under the contract. Due to the strong correlation between historical pass product usage and skiable days, the change in the Company’s method of estimating progress toward satisfaction of the performance obligation alone does not have a material effect on the recognition pattern of pass product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Epic Coverage is included with the purchase of all pass products for no additional charge, and offers refunds if certain personal or resort closure events occur before or during the ski season. The estimated amount of refunds reduce the amount of pass product revenue recognized by the Company, and is remeasured at each reporting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Epic Mountain Rewards provides pass product holders a discount on ancillary purchases at the Company’s North American owned and operated Resorts. Epic Mountain Rewards constitutes an option to purchase additional products and services at a discount, and as a result, the Company allocates a portion of the pass product transaction price to these other lines of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 Taxes collected from customers and remitted to governmental authorities are generally excluded from revenue on the accompanying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revenues disaggregated by segment and major revenue type for the years ended July 31, 2023, 2022 and 2021 (in thousands):</w:t>
      </w:r>
    </w:p>
    <w:tbl>
      <w:tblPr>
        <w:tblW w:w="7523"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Dining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Lodging net revenue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2,889,364 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2,525,912 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1,909,710 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Performance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$572.6 million and $511.3 million as of July 31, 2023 and 2022, respectively. For the year ended July 31, 2023, the Company recognized approximately $486.5 million of net revenue that was included in the deferred revenue balance as of July 31, 2022. Deferred revenue balances of a long-term nature, comprised primarily of long-term private club initiation fee revenue, were $109.7 million and $117.2 million as of July 31, 2023 and 2022, respectively. As of July 31, 2023, the weighted average remaining period over which revenue for unsatisfied performance obligations on long-term private club contracts will be recognized was approximately 15 years.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are recorded as trade receivables when the right to consideration is unconditional. Trade receivable balances were $381.1 million and $383.4 million as of July 31, 2023 and 2022, respectively. Payments from customers are based on billing terms established in the contracts with customers, which vary by the type of customer, the location and the products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to Obtain Contracts with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that credit card fees and sales commissions paid in order to obtain season ski pass products contracts are recoverable. Accordingly, the Company records these amounts as assets when they are paid prior to the start of the ski season.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$5.1 million of costs to obtain contracts with customers were recorded within other current assets on the Company’s Consolidated Balance Sheet. Deferred credit card fees and sales commissions are amortized commensurate with the recognition of pass product revenue. The Company recorded amortization of $25.2 million, $22.1 million and $17.8 million for these costs during the years ended July 31, 2023, 2022 and 2021, respectively, which were recorded within Mountain and Lodging operating expense on the accompanying Consolidated Statement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Utilizing the practical expedient provided for under Topic 606, the Company has elected to expense credit card fees and sales commissions related to non-pass products and services as incurred, as the amortization period is generally one year or less for the time between customer purchase and utilization. These fees are recorded within Mountain and Lodging operating expense on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on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or represent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long-lived assets impairment guidance to determine recognition and measurement of an ROU asset impairment, if any. The Company monitors for events or changes in circumstances that require a reassessment.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components of lease expense for the years ended July 31, 2023, </w:t>
      </w:r>
      <w:r>
        <w:rPr>
          <w:rFonts w:ascii="Times New Roman;sans-serif" w:hAnsi="Times New Roman;sans-serif"/>
          <w:b w:val="false"/>
          <w:color w:val="000000"/>
          <w:sz w:val="20"/>
        </w:rPr>
        <w:t>2022 and 2021</w:t>
      </w:r>
      <w:r>
        <w:rPr>
          <w:color w:val="000000"/>
          <w:shd w:fill="FFFFFF" w:val="clear"/>
        </w:rPr>
        <w:t xml:space="preserve"> </w:t>
      </w:r>
      <w:r>
        <w:rPr>
          <w:rFonts w:ascii="Times New Roman;sans-serif" w:hAnsi="Times New Roman;sans-serif"/>
          <w:b w:val="false"/>
          <w:color w:val="000000"/>
          <w:sz w:val="20"/>
          <w:shd w:fill="FFFFFF" w:val="clear"/>
        </w:rPr>
        <w:t>were as follows (in thousands):</w:t>
      </w:r>
    </w:p>
    <w:tbl>
      <w:tblPr>
        <w:tblW w:w="7137" w:type="dxa"/>
        <w:jc w:val="center"/>
        <w:tblInd w:w="0" w:type="dxa"/>
        <w:tblLayout w:type="fixed"/>
        <w:tblCellMar>
          <w:top w:w="28" w:type="dxa"/>
          <w:left w:w="28" w:type="dxa"/>
          <w:bottom w:w="28" w:type="dxa"/>
          <w:right w:w="28" w:type="dxa"/>
        </w:tblCellMar>
      </w:tblPr>
      <w:tblGrid>
        <w:gridCol w:w="1200"/>
        <w:gridCol w:w="1053"/>
        <w:gridCol w:w="1062"/>
        <w:gridCol w:w="211"/>
        <w:gridCol w:w="721"/>
        <w:gridCol w:w="109"/>
        <w:gridCol w:w="109"/>
        <w:gridCol w:w="109"/>
        <w:gridCol w:w="109"/>
        <w:gridCol w:w="211"/>
        <w:gridCol w:w="721"/>
        <w:gridCol w:w="109"/>
        <w:gridCol w:w="109"/>
        <w:gridCol w:w="109"/>
        <w:gridCol w:w="109"/>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finance ROU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lease liabilities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lease expense </w:t>
            </w:r>
            <w:r>
              <w:rPr>
                <w:rFonts w:ascii="Times New Roman;sans-serif" w:hAnsi="Times New Roman;sans-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expense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Short-term lease expense is attributable to leases with terms of 12 months or less which are not included within the Company’s Consolidated Balance Sheets.</w:t>
      </w:r>
    </w:p>
    <w:p>
      <w:pPr>
        <w:pStyle w:val="TextBody"/>
        <w:bidi w:val="0"/>
        <w:spacing w:lineRule="auto" w:line="288" w:before="160" w:after="283"/>
        <w:jc w:val="both"/>
        <w:rPr/>
      </w:pPr>
      <w:r>
        <w:rPr>
          <w:rFonts w:ascii="Times New Roman;sans-serif" w:hAnsi="Times New Roman;sans-serif"/>
          <w:b w:val="false"/>
          <w:color w:val="000000"/>
          <w:sz w:val="20"/>
        </w:rPr>
        <w:t xml:space="preserve">The following table presents the supplemental cash flow information associated with the Company’s leasing activities for the years ended </w:t>
      </w:r>
      <w:r>
        <w:rPr>
          <w:rFonts w:ascii="Times New Roman;sans-serif" w:hAnsi="Times New Roman;sans-serif"/>
          <w:b w:val="false"/>
          <w:color w:val="000000"/>
          <w:sz w:val="20"/>
          <w:shd w:fill="FFFFFF" w:val="clear"/>
        </w:rPr>
        <w:t xml:space="preserve">July 31, 2023, </w:t>
      </w:r>
      <w:r>
        <w:rPr>
          <w:rFonts w:ascii="Times New Roman;sans-serif" w:hAnsi="Times New Roman;sans-serif"/>
          <w:b w:val="false"/>
          <w:color w:val="000000"/>
          <w:sz w:val="20"/>
        </w:rPr>
        <w:t>2022 and 2021 (in thousands):</w:t>
      </w:r>
    </w:p>
    <w:tbl>
      <w:tblPr>
        <w:tblW w:w="10205" w:type="dxa"/>
        <w:jc w:val="left"/>
        <w:tblInd w:w="0" w:type="dxa"/>
        <w:tblLayout w:type="fixed"/>
        <w:tblCellMar>
          <w:top w:w="28" w:type="dxa"/>
          <w:left w:w="28" w:type="dxa"/>
          <w:bottom w:w="28" w:type="dxa"/>
          <w:right w:w="28" w:type="dxa"/>
        </w:tblCellMar>
      </w:tblPr>
      <w:tblGrid>
        <w:gridCol w:w="2310"/>
        <w:gridCol w:w="2032"/>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supplemental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cash outflows for operating and short-term leases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lease- and non-lease components of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supplemental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ROU assets obtained in exchange for operating lease obligations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ROU assets obtained in exchange for finance lease obligations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Weighted-average remaining lease terms and discount rates as of </w:t>
      </w:r>
      <w:r>
        <w:rPr>
          <w:rFonts w:ascii="Times New Roman;sans-serif" w:hAnsi="Times New Roman;sans-serif"/>
          <w:b w:val="false"/>
          <w:color w:val="000000"/>
          <w:sz w:val="20"/>
          <w:shd w:fill="FFFFFF" w:val="clear"/>
        </w:rPr>
        <w:t xml:space="preserve">July 31, 2023 and </w:t>
      </w:r>
      <w:r>
        <w:rPr>
          <w:rFonts w:ascii="Times New Roman;sans-serif" w:hAnsi="Times New Roman;sans-serif"/>
          <w:b w:val="false"/>
          <w:color w:val="000000"/>
          <w:sz w:val="20"/>
        </w:rPr>
        <w:t>2022 are as follows:</w:t>
      </w:r>
    </w:p>
    <w:tbl>
      <w:tblPr>
        <w:tblW w:w="6985" w:type="dxa"/>
        <w:jc w:val="center"/>
        <w:tblInd w:w="0" w:type="dxa"/>
        <w:tblLayout w:type="fixed"/>
        <w:tblCellMar>
          <w:top w:w="28" w:type="dxa"/>
          <w:left w:w="28" w:type="dxa"/>
          <w:bottom w:w="28" w:type="dxa"/>
          <w:right w:w="28" w:type="dxa"/>
        </w:tblCellMar>
      </w:tblPr>
      <w:tblGrid>
        <w:gridCol w:w="1581"/>
        <w:gridCol w:w="1389"/>
        <w:gridCol w:w="1394"/>
        <w:gridCol w:w="244"/>
        <w:gridCol w:w="244"/>
        <w:gridCol w:w="607"/>
        <w:gridCol w:w="109"/>
        <w:gridCol w:w="109"/>
        <w:gridCol w:w="109"/>
        <w:gridCol w:w="292"/>
        <w:gridCol w:w="232"/>
        <w:gridCol w:w="675"/>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discount rate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4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0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 xml:space="preserve">Future fixed lease payments for operating and finance leases as of </w:t>
      </w:r>
      <w:r>
        <w:rPr>
          <w:rFonts w:ascii="Times New Roman;sans-serif" w:hAnsi="Times New Roman;sans-serif"/>
          <w:b w:val="false"/>
          <w:color w:val="000000"/>
          <w:sz w:val="20"/>
          <w:shd w:fill="FFFFFF" w:val="clear"/>
        </w:rPr>
        <w:t>July 31, 2023</w:t>
      </w:r>
      <w:r>
        <w:rPr>
          <w:color w:val="000000"/>
        </w:rPr>
        <w:t xml:space="preserve"> </w:t>
      </w:r>
      <w:r>
        <w:rPr>
          <w:rFonts w:ascii="Times New Roman;sans-serif" w:hAnsi="Times New Roman;sans-serif"/>
          <w:b w:val="false"/>
          <w:color w:val="000000"/>
          <w:sz w:val="20"/>
        </w:rPr>
        <w:t>reflected by fiscal year (August 1 through July 31) are as follows (in thousands):</w:t>
      </w:r>
    </w:p>
    <w:tbl>
      <w:tblPr>
        <w:tblW w:w="6236" w:type="dxa"/>
        <w:jc w:val="center"/>
        <w:tblInd w:w="0" w:type="dxa"/>
        <w:tblLayout w:type="fixed"/>
        <w:tblCellMar>
          <w:top w:w="28" w:type="dxa"/>
          <w:left w:w="28" w:type="dxa"/>
          <w:bottom w:w="28" w:type="dxa"/>
          <w:right w:w="28" w:type="dxa"/>
        </w:tblCellMar>
      </w:tblPr>
      <w:tblGrid>
        <w:gridCol w:w="1166"/>
        <w:gridCol w:w="1023"/>
        <w:gridCol w:w="1036"/>
        <w:gridCol w:w="259"/>
        <w:gridCol w:w="1017"/>
        <w:gridCol w:w="134"/>
        <w:gridCol w:w="109"/>
        <w:gridCol w:w="109"/>
        <w:gridCol w:w="109"/>
        <w:gridCol w:w="226"/>
        <w:gridCol w:w="884"/>
        <w:gridCol w:w="164"/>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1,724,517 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future minimum lease payments </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amount representing interest </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(1,500,805)</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liabilities </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205,230 </w:t>
            </w:r>
          </w:p>
        </w:tc>
        <w:tc>
          <w:tcPr>
            <w:tcW w:w="1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402,058 </w:t>
            </w:r>
          </w:p>
        </w:tc>
        <w:tc>
          <w:tcPr>
            <w:tcW w:w="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operating lease liabilities of approximately $36.9 million and $34.2 million as of July 31, 2023 and 2022, respectively, is recorded within accounts payables and accrued liabilities in the accompanying Consolidated Balance Sheets. Finance lease liabilities are recorded within long-term debt, net in the accompanying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Canyons finance lease obligation was $363.4 million and $357.6 million as of July 31, 2023 and 2022, respectively, which represents the estimated annual fixed lease payments for the remaining initial 50 year term of the lease assuming annual increases at the floor of 2% and discounted using an interest rate of 10%. As of July 31, 2023 and 2022, respectively, the Company has recorded $90.2 million and $99.0 million of net finance lease ROU assets in connection with the Canyons lease, net of $93.4 million and $84.6 million of accumulated amortization, which is included within property, plant and equipment, net in the Company’s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July 31, 2023, the Company entered into new finance lease agreements for employee housing units at Whistler Blackcomb, for which the finance lease obligation was $29.5 million as of July 31, 2023, which represents the minimum lease payments for the remaining initial 20 year term of the lease, net of amounts representing interest, discounted using an interest rate of 6.95%. As of July 31, 2023, the Company has recorded $27.5 million of net finance lease ROU assets in connection with these leases, net of $1.1 million of accumulated amortization, which is included within property, plant and equipment, net in the Company’s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Net Income per Common Share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shares of Exchangeco (the “Exchangeco Shares”). The Exchangeco Shares could be redeemed for Vail Shares at any time until October 2023 or until the Company elected to convert any remaining Exchangeco Shares to Vail Shares, which the Company had the ability to do once total Exchangeco Shares outstanding fell below 20,904 shares (or 5% of the total Exchangeco Shares originally issued). In July 2022, the number of outstanding Exchangeco Shares fell below such threshold and on August 25, 2022, the Company elected to redeem all outstanding Exchangeco Shares, effective September 26, 2022. As of July 31, 2023,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is basic and diluted EPS for the years ended July 31, 2023, 2022 and 2021 (in thousands, except per share amounts):</w:t>
      </w:r>
    </w:p>
    <w:tbl>
      <w:tblPr>
        <w:tblW w:w="10205" w:type="dxa"/>
        <w:jc w:val="left"/>
        <w:tblInd w:w="0" w:type="dxa"/>
        <w:tblLayout w:type="fixed"/>
        <w:tblCellMar>
          <w:top w:w="28" w:type="dxa"/>
          <w:left w:w="28" w:type="dxa"/>
          <w:bottom w:w="28" w:type="dxa"/>
          <w:right w:w="28" w:type="dxa"/>
        </w:tblCellMar>
      </w:tblPr>
      <w:tblGrid>
        <w:gridCol w:w="1413"/>
        <w:gridCol w:w="931"/>
        <w:gridCol w:w="939"/>
        <w:gridCol w:w="211"/>
        <w:gridCol w:w="826"/>
        <w:gridCol w:w="109"/>
        <w:gridCol w:w="211"/>
        <w:gridCol w:w="826"/>
        <w:gridCol w:w="109"/>
        <w:gridCol w:w="211"/>
        <w:gridCol w:w="826"/>
        <w:gridCol w:w="109"/>
        <w:gridCol w:w="211"/>
        <w:gridCol w:w="826"/>
        <w:gridCol w:w="109"/>
        <w:gridCol w:w="211"/>
        <w:gridCol w:w="826"/>
        <w:gridCol w:w="109"/>
        <w:gridCol w:w="211"/>
        <w:gridCol w:w="826"/>
        <w:gridCol w:w="155"/>
      </w:tblGrid>
      <w:tr>
        <w:trPr/>
        <w:tc>
          <w:tcPr>
            <w:tcW w:w="1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2"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3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Vail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Exchangeco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Weighted-average shares outstanding</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Vail Resorts, Inc.</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the effect of dilutive securities using the treasury stock method and average market prices during the period. The number of shares issuable upon the exercise of share-based awards that were excluded from the calculation of diluted EPS because the effect of their inclusion would have been anti-dilutive totaled approximately 22,000, 6,000 and 2,000 for the years ended July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completed an offering of $575.0 million in aggregate principal amount of 0.0% Convertible Notes (as defined in Note 6,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years ended July 31, 2023, 2022 and 2021, the price of Vail Shares did not exceed the conversion price and therefore there was no impact to diluted EPS during those periods.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July 31, 2023 and 2022, the Company paid cash dividends of $7.94 per share and $5.58 per share, respectively ($314.4 million and $225.8 million, respectively, including cash dividends paid to Exchangeco shareholders). The Company did not pay cash dividends during the year ended July 31, 2021. On September 27, 2023, the Company’s Board of Directors approved a cash dividend of $2.06 per share payable on October 26, 2023 to stockholders of record as of October 10,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Long-Term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as of July 31, 2023 and 2022 is summarized as follows (in thousands):</w:t>
      </w:r>
    </w:p>
    <w:tbl>
      <w:tblPr>
        <w:tblW w:w="9130" w:type="dxa"/>
        <w:jc w:val="center"/>
        <w:tblInd w:w="0" w:type="dxa"/>
        <w:tblLayout w:type="fixed"/>
        <w:tblCellMar>
          <w:top w:w="28" w:type="dxa"/>
          <w:left w:w="28" w:type="dxa"/>
          <w:bottom w:w="28" w:type="dxa"/>
          <w:right w:w="28" w:type="dxa"/>
        </w:tblCellMar>
      </w:tblPr>
      <w:tblGrid>
        <w:gridCol w:w="1986"/>
        <w:gridCol w:w="1745"/>
        <w:gridCol w:w="1758"/>
        <w:gridCol w:w="334"/>
        <w:gridCol w:w="334"/>
        <w:gridCol w:w="336"/>
        <w:gridCol w:w="211"/>
        <w:gridCol w:w="976"/>
        <w:gridCol w:w="109"/>
        <w:gridCol w:w="211"/>
        <w:gridCol w:w="976"/>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br/>
              <w:t>2023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br/>
              <w:t>2022</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Vail Holdings Credit Agreement revolver</w:t>
            </w:r>
            <w:r>
              <w:rPr>
                <w:color w:val="000000"/>
              </w:rPr>
              <w:t xml:space="preserve"> </w:t>
            </w:r>
            <w:r>
              <w:rPr>
                <w:rFonts w:ascii="Times New Roman;sans-serif" w:hAnsi="Times New Roman;sans-serif"/>
                <w:b w:val="false"/>
                <w:color w:val="000000"/>
                <w:sz w:val="13"/>
              </w:rPr>
              <w:t>(a)</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Vail Holdings Credit Agreement term loan</w:t>
            </w:r>
            <w:r>
              <w:rPr>
                <w:color w:val="000000"/>
              </w:rPr>
              <w:t xml:space="preserve"> </w:t>
            </w:r>
            <w:r>
              <w:rPr>
                <w:rFonts w:ascii="Times New Roman;sans-serif" w:hAnsi="Times New Roman;sans-serif"/>
                <w:b w:val="false"/>
                <w:color w:val="000000"/>
                <w:sz w:val="13"/>
              </w:rPr>
              <w:t>(a)</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6.25% Notes</w:t>
            </w:r>
            <w:r>
              <w:rPr>
                <w:color w:val="000000"/>
              </w:rPr>
              <w:t xml:space="preserve"> </w:t>
            </w:r>
            <w:r>
              <w:rPr>
                <w:rFonts w:ascii="Times New Roman;sans-serif" w:hAnsi="Times New Roman;sans-serif"/>
                <w:b w:val="false"/>
                <w:color w:val="000000"/>
                <w:sz w:val="13"/>
              </w:rPr>
              <w:t>(b)</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0.0% Convertible Notes</w:t>
            </w:r>
            <w:r>
              <w:rPr>
                <w:color w:val="000000"/>
              </w:rPr>
              <w:t xml:space="preserve"> </w:t>
            </w:r>
            <w:r>
              <w:rPr>
                <w:rFonts w:ascii="Times New Roman;sans-serif" w:hAnsi="Times New Roman;sans-serif"/>
                <w:b w:val="false"/>
                <w:color w:val="000000"/>
                <w:sz w:val="13"/>
              </w:rPr>
              <w:t>(c)</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Whistler Credit Agreement revolver</w:t>
            </w:r>
            <w:r>
              <w:rPr>
                <w:color w:val="000000"/>
              </w:rPr>
              <w:t xml:space="preserve"> </w:t>
            </w:r>
            <w:r>
              <w:rPr>
                <w:rFonts w:ascii="Times New Roman;sans-serif" w:hAnsi="Times New Roman;sans-serif"/>
                <w:b w:val="false"/>
                <w:color w:val="000000"/>
                <w:sz w:val="13"/>
              </w:rPr>
              <w:t>(d)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EPR Secured Notes</w:t>
            </w:r>
            <w:r>
              <w:rPr>
                <w:color w:val="000000"/>
              </w:rPr>
              <w:t xml:space="preserve"> </w:t>
            </w:r>
            <w:r>
              <w:rPr>
                <w:rFonts w:ascii="Times New Roman;sans-serif" w:hAnsi="Times New Roman;sans-serif"/>
                <w:b w:val="false"/>
                <w:color w:val="000000"/>
                <w:sz w:val="13"/>
              </w:rPr>
              <w:t>(e)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2034-2036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Employee housing bonds</w:t>
            </w:r>
            <w:r>
              <w:rPr>
                <w:color w:val="000000"/>
              </w:rPr>
              <w:t xml:space="preserve"> </w:t>
            </w:r>
            <w:r>
              <w:rPr>
                <w:rFonts w:ascii="Times New Roman;sans-serif" w:hAnsi="Times New Roman;sans-serif"/>
                <w:b w:val="false"/>
                <w:color w:val="000000"/>
                <w:sz w:val="13"/>
              </w:rPr>
              <w:t>(f)</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2027-2039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Canyons obligation</w:t>
            </w:r>
            <w:r>
              <w:rPr>
                <w:color w:val="000000"/>
              </w:rPr>
              <w:t xml:space="preserve"> </w:t>
            </w:r>
            <w:r>
              <w:rPr>
                <w:rFonts w:ascii="Times New Roman;sans-serif" w:hAnsi="Times New Roman;sans-serif"/>
                <w:b w:val="false"/>
                <w:color w:val="000000"/>
                <w:sz w:val="13"/>
              </w:rPr>
              <w:t>(g)</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NRP Loan</w:t>
            </w:r>
            <w:r>
              <w:rPr>
                <w:color w:val="000000"/>
              </w:rPr>
              <w:t xml:space="preserve"> </w:t>
            </w:r>
            <w:r>
              <w:rPr>
                <w:rFonts w:ascii="Times New Roman;sans-serif" w:hAnsi="Times New Roman;sans-serif"/>
                <w:b w:val="false"/>
                <w:color w:val="000000"/>
                <w:sz w:val="13"/>
              </w:rPr>
              <w:t>(h)</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Whistler Blackcomb employee housing leases </w:t>
            </w:r>
            <w:r>
              <w:rPr>
                <w:rFonts w:ascii="Times New Roman;sans-serif" w:hAnsi="Times New Roman;sans-serif"/>
                <w:b w:val="false"/>
                <w:color w:val="000000"/>
                <w:sz w:val="13"/>
              </w:rPr>
              <w:t>(i)</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(j)</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2023-2036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Unamortized premiums, discounts and debt issuance costs </w:t>
            </w:r>
            <w:r>
              <w:rPr>
                <w:rFonts w:ascii="Times New Roman;sans-serif" w:hAnsi="Times New Roman;sans-serif"/>
                <w:b w:val="false"/>
                <w:color w:val="000000"/>
                <w:sz w:val="13"/>
              </w:rPr>
              <w:t>(k)</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maturities </w:t>
            </w:r>
            <w:r>
              <w:rPr>
                <w:rFonts w:ascii="Times New Roman;sans-serif" w:hAnsi="Times New Roman;sans-serif"/>
                <w:b w:val="false"/>
                <w:color w:val="000000"/>
                <w:sz w:val="13"/>
              </w:rPr>
              <w:t>(l)</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00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2,670,300 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(a)On August 31, 2022, Vail Holdings, Inc. (“VHI”), which is a wholly-owned subsidiary of the Company, along with other certain subsidiaries of the Company, as guarantors, Bank of America, N.A., as administrative agent, and certain lenders entered into the Fifth Amendment (the “Fifth Amendment”) to the Eighth Amended and Restated Credit Agreement (the “Vail Holdings Credit Agreement”), which extended the maturity date to September 23, 2026. Additionally, the Fifth Amendment contains customary LIBOR replacement language, including, but not limited to, the use of rates based on SOFR. SOFR is a broad measure of the cost of borrowing cash in the overnight U.S. Treasury repo market and is administered by the Federal Reserve Bank of New York. The Fifth Amendment modified the calculation of interest under the Vail Holdings Credit Agreement from being calculated based on LIBOR to being calculated based on SOFR. No other material terms of the Vail Holdings Credit Agreement were amended.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Vail Holdings Credit Agreement consists of a $500.0 million revolving credit facility and a $1.0 billion outstanding term loan facility. The term loan facility is subject to quarterly amortization of principal of approximately $15.6 million, in equal installments, for a total of 5% of principal payable in each year and the final payment of all amounts outstanding, plus accrued and unpaid interest due in upon maturity.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SOFR plus a spread of 1.60% as of July 31, 2023 (6.92% as of July 31, 2023).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July 31, 2023). The Company is party to various interest rate swap agreements which hedge the cash flows associated with the SOFR-based variable interest rate component of $400.0 million in principal amount of its Vail Holdings Credit Agreement until September 23, 2024, at an effective rate of 1.38%.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(b)On May 4, 2020, the Company completed its offering of $600 million aggregate principal amount of 6.25% senior notes due 2025 at par (the “6.25% Notes”). The Company pays interest on the 6.25% Notes on May 15 and November 15 of each year, which commenced on November 15, 2020. The 6.25% Notes will mature on May 15, 2025. The 6.25% Notes are redeemable, in whole or in part, at any time on or after May 15, 2022 at the redemption prices specified in an indenture dated as of May 4, 2020 (the “6.25% Indenture”) plus accrued and unpaid interest. The 6.25% Notes are senior unsecured obligations of the Company, are guaranteed by certain of the Company’s domestic subsidiaries, and rank equally in right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with existing and future senior indebtedness of the Company and the guarantors (as defined in the 6.25% Indenture).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6.25% Indenture requires that, upon the occurrence of a Change of Control (as defined in the 6.25% Indenture), the Company shall offer to purchase all of the outstanding 6.25% Notes at a purchase price in cash equal to 101% of the outstanding principal amount of the 6.25%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6.25% Notes equal to the excess net cash proceeds at a purchase price of 100% of their principal amount, plus accrued and unpaid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6.25%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6.25% Indenture). The 6.25% Indenture does not contain any financial maintenance covenants. Certain of the covenants will not apply to the 6.25% Notes so long as the 6.25% Notes have investment grade ratings from two specified rating agencies and no event of default has occurred and is continuing under the 6.25% Indenture. The 6.25% Indenture includes customary events of default, including failure to make payment, failure to comply with the obligations set forth in the 6.25% Indenture, certain defaults on certain other indebtedness, certain events of bankruptcy, insolvency or reorganization, and invalidity of the guarantees of the 6.25% Notes issued pursuant to the 6.25% Indenture.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 December 18, 2020, the Company completed an offering of $575.0 million in aggregate principal amount of 0.0% Convertible Notes due 2026 in a private placement conducted pursuant to Rule 144A of the Securities Act of 1933, as amended (the “0.0% Convertible Notes”). The 0.0% Convertible Notes were issued under an indenture dated December 18, 2020 (the “Convertible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6.25%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was 2.4560 shares per $1,000 principal amount of notes, which represents an initial conversion price of approximately $407.17 per share, and is subject to adjustment upon the occurrence of certain specified events as described in the Convertible Indenture, including the payment of cash dividends. As of July 31, 2023, the conversion rate of the 0.0% Convertible Notes, adjusted for cash dividends paid since the issuance date, was 2.5972 shares per $1,000 principal amount of notes (the “Conversion Rate”), which represents a conversion price of $385.03 per share (the “Conversion Price”). The principal amount of the 0.0% Convertible Notes is required to be settled in cash. The Company will settle the in the money component of conversions by paying cash, delivering shares of its common stock, or a combination of the two, at its option.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notes, at their option, only under the following circumstances: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upon the occurrence of certain corporate events or distributions on our common stock, as described in the Convertible Indenture;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if the Company calls the 0.0% Convertible Notes for redemption; or</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at any time from, and including, July 1, 2025 until the close of business on the scheduled trading day immediately before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upon the occurrence of a fundamental change (as defined in the Convertible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Convertible Indenture) occur, the Conversion Rate for the 0.0% Convertible Notes may be increased for a specified period of time.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Indenture includes customary events of default, including failure to make payment, failure to comply with the obligations set forth in the Convertible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Convertible Indenture will consist exclusively of the right of the holders of the 0.0% Convertible Notes to receive additional interest on the notes for up to 360 days following such failure.</w:t>
      </w:r>
    </w:p>
    <w:p>
      <w:pPr>
        <w:pStyle w:val="TextBody"/>
        <w:bidi w:val="0"/>
        <w:spacing w:lineRule="auto" w:line="288" w:before="120" w:after="283"/>
        <w:jc w:val="both"/>
        <w:rPr/>
      </w:pPr>
      <w:r>
        <w:rPr>
          <w:rFonts w:ascii="Times New Roman;sans-serif" w:hAnsi="Times New Roman;sans-serif"/>
          <w:b w:val="false"/>
          <w:color w:val="000000"/>
          <w:sz w:val="20"/>
        </w:rPr>
        <w:t>Prior to the adoption of ASU 2020-06 on August 1, 2022, the Company separately accounted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 Company’s Consolidated Balance Sheet.</w:t>
      </w:r>
      <w:r>
        <w:rPr>
          <w:color w:val="000000"/>
        </w:rPr>
        <w:t xml:space="preserve"> </w:t>
      </w:r>
      <w:r>
        <w:rPr>
          <w:rFonts w:ascii="Times New Roman;sans-serif" w:hAnsi="Times New Roman;sans-serif"/>
          <w:b w:val="false"/>
          <w:color w:val="000000"/>
          <w:sz w:val="20"/>
        </w:rPr>
        <w:t>The excess of the principal amount of the 0.0% Convertible Notes over the initial fair value of the liability component represented a debt discount of $109.7 million and was being amortized to interest expense, net over the term through July 31, 2022 (prior to the adoption of ASU 2020-06). The balance of the unamortized debt discount was $76.7 million as of July 31, 2022.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on the date of issuance, which decreased the recorded value of the equity component. As of July 31, 2022, the equity component was recorded within additional paid-in-capital on the Company’s Consolidated Balance Sheet. The Company adopted ASU 2020-06 on August 1, 2022 using the modified retrospective method, and as a result, the Company reclassified the equity component of its 0.0% Convertible Notes to long-term debt, net, and no longer records non-cash interest expense related to the amortization of the debt discount effective as of the adoption date. Refer to Note 2, Summary of Significant Accounting Policies, for further information on ASU 2020-06.</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(d)Whistler Mountain Resort Limited Partnership (“Whistler LP”) and Blackcomb Skiing Enterprises Limited Partnership (“Blackcomb LP” and together with Whistler LP, the “WB Partnerships”) are party to a credit agreement consisting of a C$300.0 million credit facility which was originally dated as of November 12, 2013, by and among Whistler LP, Blackcomb LP, certain subsidiaries of Whistler LP and Blackcomb LP party thereto as guarantors, the financial institutions party thereto as lenders and The Toronto-Dominion Bank, as administrative agent. On April 14, 2023, the WB Partnerships along with other parties to the original agreement entered into the Second Amended and Restated Credit Agreement (as amended, the “Whistler Credit Agreement”). The amended Whistler Credit Agreement (i) extended the maturity date of the revolving credit facility to April 14, 2028; (ii) contained customary LIBOR replacement language for the use of rates based on SOFR with regard to borrowings under the facility made in U.S. dollars; and (iii) contained customary forward-looking transition language for the Canadian Dollar Offered Rate (“CDOR”) with regard to borrowings under the facility made in Canadian dollars, including, but not limited to, the use of rates based on the Canadian Overnight Repo Rate Average, which is a measure of the cost of overnight general collateral funding using Government of Canada treasury bills and bonds as collateral for repurchase transactions, and for which such transition is expected to occur no later than June 2024. No other significant terms of the agreement were amended. As of July 31, 2023, there were no borrowings under the Whistler Credit Agreement. The Whistler Credit Agreement also includes a quarterly unused commitment fee based on the Consolidated Total Leverage Ratio, which as of July 31, 2023 is equal to 0.39% per annum. The Whistler Credit Agreement provides for affirmative and negative covenants that restrict, among other things, the WB Partnerships’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pStyle w:val="TextBody"/>
        <w:bidi w:val="0"/>
        <w:spacing w:lineRule="auto" w:line="288" w:before="120" w:after="283"/>
        <w:ind w:left="0" w:right="0" w:hanging="465"/>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 xml:space="preserve">The Alpine Valley Secured Note. </w:t>
      </w:r>
      <w:r>
        <w:rPr>
          <w:rFonts w:ascii="Times New Roman;sans-serif" w:hAnsi="Times New Roman;sans-serif"/>
          <w:b w:val="false"/>
          <w:color w:val="000000"/>
          <w:sz w:val="20"/>
        </w:rPr>
        <w:t>The $4.6 million Alpine Valley Secured Note provides for interest payments through its maturity on December 1, 2034. As of July 31, 2023, interest on this note accrued at a rate of 11.72%.</w:t>
      </w:r>
    </w:p>
    <w:p>
      <w:pPr>
        <w:pStyle w:val="TextBody"/>
        <w:bidi w:val="0"/>
        <w:spacing w:lineRule="auto" w:line="288" w:before="120" w:after="283"/>
        <w:ind w:left="0" w:right="0" w:hanging="521"/>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The Boston Mills/Brandywine Secured Note.</w:t>
      </w:r>
      <w:r>
        <w:rPr>
          <w:color w:val="000000"/>
        </w:rPr>
        <w:t xml:space="preserve"> </w:t>
      </w:r>
      <w:r>
        <w:rPr>
          <w:rFonts w:ascii="Times New Roman;sans-serif" w:hAnsi="Times New Roman;sans-serif"/>
          <w:b w:val="false"/>
          <w:color w:val="000000"/>
          <w:sz w:val="20"/>
        </w:rPr>
        <w:t>The $23.3 million Boston Mills/Brandywine Secured Note provides for interest payments through its maturity on December 1, 2034. As of July 31, 2023, interest on this note accrued at a rate of 11.24%.</w:t>
      </w:r>
    </w:p>
    <w:p>
      <w:pPr>
        <w:pStyle w:val="TextBody"/>
        <w:bidi w:val="0"/>
        <w:spacing w:lineRule="auto" w:line="288" w:before="120" w:after="283"/>
        <w:ind w:left="0" w:right="0" w:hanging="576"/>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 xml:space="preserve">The Jack Frost/Big Boulder Secured Note. </w:t>
      </w:r>
      <w:r>
        <w:rPr>
          <w:rFonts w:ascii="Times New Roman;sans-serif" w:hAnsi="Times New Roman;sans-serif"/>
          <w:b w:val="false"/>
          <w:color w:val="000000"/>
          <w:sz w:val="20"/>
        </w:rPr>
        <w:t>The $14.3 million Jack Frost/Big Boulder Secured Note provides for interest payments through its maturity on December 1, 2034. As of July 31, 2023, interest on this note accrued at a rate of 11.24%.</w:t>
      </w:r>
    </w:p>
    <w:p>
      <w:pPr>
        <w:pStyle w:val="TextBody"/>
        <w:bidi w:val="0"/>
        <w:spacing w:lineRule="auto" w:line="288" w:before="120" w:after="283"/>
        <w:ind w:left="0" w:right="0" w:hanging="565"/>
        <w:jc w:val="both"/>
        <w:rPr/>
      </w:pPr>
      <w:r>
        <w:rPr>
          <w:rFonts w:ascii="Times New Roman;sans-serif" w:hAnsi="Times New Roman;sans-serif"/>
          <w:b w:val="false"/>
          <w:color w:val="000000"/>
          <w:sz w:val="20"/>
        </w:rPr>
        <w:t>iv.</w:t>
      </w:r>
      <w:r>
        <w:rPr>
          <w:rFonts w:ascii="Times New Roman;sans-serif" w:hAnsi="Times New Roman;sans-serif"/>
          <w:b w:val="false"/>
          <w:i/>
          <w:color w:val="000000"/>
          <w:sz w:val="20"/>
        </w:rPr>
        <w:t>The Mount Snow Secured Note.</w:t>
      </w:r>
      <w:r>
        <w:rPr>
          <w:color w:val="000000"/>
        </w:rPr>
        <w:t xml:space="preserve"> </w:t>
      </w:r>
      <w:r>
        <w:rPr>
          <w:rFonts w:ascii="Times New Roman;sans-serif" w:hAnsi="Times New Roman;sans-serif"/>
          <w:b w:val="false"/>
          <w:color w:val="000000"/>
          <w:sz w:val="20"/>
        </w:rPr>
        <w:t>The $51.1 million Mount Snow Secured Note provides for interest payments through its maturity on December 1, 2034. As of July 31, 2023, interest on this note accrued at a rate of 12.32%.</w:t>
      </w:r>
    </w:p>
    <w:p>
      <w:pPr>
        <w:pStyle w:val="TextBody"/>
        <w:bidi w:val="0"/>
        <w:spacing w:lineRule="auto" w:line="288" w:before="120" w:after="283"/>
        <w:ind w:left="0" w:right="0" w:hanging="510"/>
        <w:jc w:val="both"/>
        <w:rPr/>
      </w:pPr>
      <w:r>
        <w:rPr>
          <w:rFonts w:ascii="Times New Roman;sans-serif" w:hAnsi="Times New Roman;sans-serif"/>
          <w:b w:val="false"/>
          <w:color w:val="000000"/>
          <w:sz w:val="20"/>
        </w:rPr>
        <w:t>v.</w:t>
      </w:r>
      <w:r>
        <w:rPr>
          <w:rFonts w:ascii="Times New Roman;sans-serif" w:hAnsi="Times New Roman;sans-serif"/>
          <w:b w:val="false"/>
          <w:i/>
          <w:color w:val="000000"/>
          <w:sz w:val="20"/>
        </w:rPr>
        <w:t>The Hunter Mountain Secured Note.</w:t>
      </w:r>
      <w:r>
        <w:rPr>
          <w:color w:val="000000"/>
        </w:rPr>
        <w:t xml:space="preserve"> </w:t>
      </w:r>
      <w:r>
        <w:rPr>
          <w:rFonts w:ascii="Times New Roman;sans-serif" w:hAnsi="Times New Roman;sans-serif"/>
          <w:b w:val="false"/>
          <w:color w:val="000000"/>
          <w:sz w:val="20"/>
        </w:rPr>
        <w:t>The $21.0 million Hunter Mountain Secured Note provides for interest payments through its maturity on January 5, 2036. As of July 31, 2023, interest on this note accrued at a rate of 9.03%.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Peak Resorts is required to maintain a debt service reserve account which amounts are applied to fund interest payments and other amounts due and payable to EPR. As of July 31, 2023, the Company had funded the EPR debt service reserve account in an amount equal to approximately $5.4 million, which was included in other current assets in the Company’s Consolidated Balance Sheet.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seasonal employees at its Colorado mountain resorts. The Employee Housing Bonds are variable rate, interest-only instruments with interest rates tied to SOFR plus 0% to 0.20% (5.32% to 5.52% as of July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2023 (in thousands):    </w:t>
      </w:r>
    </w:p>
    <w:tbl>
      <w:tblPr>
        <w:tblW w:w="5734" w:type="dxa"/>
        <w:jc w:val="left"/>
        <w:tblInd w:w="0" w:type="dxa"/>
        <w:tblLayout w:type="fixed"/>
        <w:tblCellMar>
          <w:top w:w="28" w:type="dxa"/>
          <w:left w:w="28" w:type="dxa"/>
          <w:bottom w:w="28" w:type="dxa"/>
          <w:right w:w="28" w:type="dxa"/>
        </w:tblCellMar>
      </w:tblPr>
      <w:tblGrid>
        <w:gridCol w:w="673"/>
        <w:gridCol w:w="592"/>
        <w:gridCol w:w="595"/>
        <w:gridCol w:w="235"/>
        <w:gridCol w:w="235"/>
        <w:gridCol w:w="236"/>
        <w:gridCol w:w="211"/>
        <w:gridCol w:w="721"/>
        <w:gridCol w:w="109"/>
        <w:gridCol w:w="211"/>
        <w:gridCol w:w="721"/>
        <w:gridCol w:w="109"/>
        <w:gridCol w:w="211"/>
        <w:gridCol w:w="72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Maturity</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Tranche 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Tranche B</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Terrace</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Tarnes</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 Housing</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Tenderfoot</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(g)On May 24, 2013, VR CPC Holdings, Inc. (“VR CPC”), a wholly-owned subsidiary of the Company, entered into a transaction agreement with affiliate companies of Talisker Corporation (“Talisker”) pursuant to which the parties entered into a master lease agreement (the “Park City Lease”) and certain ancillary transaction documents on May 29, 2013 related to the former stand-alone Canyons Resort (“Canyons”), pursuant to which the Company assumed the resort operations of the Canyons. The Park City Lease between VR CPC and Talisker has an initial term of 50 years with six 50-year renewal options. The Park City Lease provides for $25 million in annual payments, which increase each year by an inflation-linked index of CPI less 1% per annum, with a floor of 2%. Vail Resorts has guaranteed the payments under the Park City Lease. The obligation at July 31, 2023 represents future lease payments for the remaining initial lease term of 50 years (including annual increases at the floor of 2%) discounted using an interest rate of 10%, and includes accumulated accreted interest expense of approximately $58.1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(h)On August 3, 2022 in conjunction with the acquisition of Andermatt-Sedrun (see Note 7, Acquisitions), the Company assumed the New Regional Policy loan between Andermatt-Sedrun and the Canton of Uri and Canton of Graubünden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(i)During the year ended July 31, 2023, the Company entered into new finance lease agreements for employee housing units at Whistler Blackcomb. The leases have a term of 20 years with no renewal options. The obligation at July 31, 2023 represents future lease payments for the remaining initial lease term of 20 years (including annual increases at the floor of 3%) discounted using an interest rate of 6.95%.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$12.8 million of proceeds for these sales transactions through the year ended July 31, 2023, which are reflected within long-term debt, net.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(k)In connection with the issuance of the 0.0% Convertible Notes, the Company recorded a debt discount under previous accounting guidance, which represented the excess of the principal amount of the 0.0% Convertible Notes over the fair value of the liability component, as discussed above. The Company adopted ASU 2020-06 on August 1, 2022 using the modified retrospective method, and as a result, the Company reclassified the equity component of its 0.0% Convertible Notes to long-term debt, net, and therefore no longer records non-cash interest expense related to the amortization of the debt discount. In connection with the acquisition of Peak Resorts, the Company estimated the acquisition date fair values of the debt instruments assumed, including the EPR Secured Notes, and recorded any difference between such estimated fair values and the par value of debt instruments as unamortized premiums and discounts, which is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Amortization of such deferred financing costs are recorded to interest expense, net on the Company’s Consolidated Statements of Operations over the respective term of the applicable debt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(l)Current maturities represent principal payments due in the next 12 months.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for debt outstanding, including finance lease obligations, as of July 31, 2023 reflected by fiscal year are as follows (in thousands):</w:t>
      </w:r>
    </w:p>
    <w:tbl>
      <w:tblPr>
        <w:tblW w:w="2300" w:type="dxa"/>
        <w:jc w:val="center"/>
        <w:tblInd w:w="0" w:type="dxa"/>
        <w:tblLayout w:type="fixed"/>
        <w:tblCellMar>
          <w:top w:w="28" w:type="dxa"/>
          <w:left w:w="28" w:type="dxa"/>
          <w:bottom w:w="28" w:type="dxa"/>
          <w:right w:w="28" w:type="dxa"/>
        </w:tblCellMar>
      </w:tblPr>
      <w:tblGrid>
        <w:gridCol w:w="347"/>
        <w:gridCol w:w="304"/>
        <w:gridCol w:w="308"/>
        <w:gridCol w:w="211"/>
        <w:gridCol w:w="97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2,825,649 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expense of $153.0 million, $148.2 million and $151.4 million for the years ended July 31, 2023, 2022 and 2021, respectively, of which $6.7 million, $5.9 million and $4.9 million, respectively, was amortization of deferred financing costs. The Company was in compliance with all of its financial and operating covenants required to be maintained under its debt instruments for all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$(2.9) million, $(2.7) million and $8.3 million of non-cash foreign currency (loss) gain on the intercompany loan to Whistler Blackcomb during the years ended July 31, 2023, 2022 and 2021, respectively, on its Consolidated Statements of Operations. As of July 31, 2023, the remaining balance of the intercompany loan was $98.7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Andermatt-Sedrun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through a wholly-owned subsidiary, the Company acquired a 55% controlling interest in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Balance Sheet as of July 31, 2022) and $41.3 million (CHF 39.3 million) paid to ASA (which was paid on August 3, 2022, commensurate with closing). As of August 3, 2022 the total fair value of the consideration paid was $155.4 million (CHF 149.3 million).</w:t>
      </w:r>
    </w:p>
    <w:p>
      <w:pPr>
        <w:pStyle w:val="TextBody"/>
        <w:bidi w:val="0"/>
        <w:spacing w:lineRule="auto" w:line="288" w:before="120" w:after="120"/>
        <w:jc w:val="both"/>
        <w:rPr/>
      </w:pPr>
      <w:r>
        <w:rPr>
          <w:rFonts w:ascii="Times New Roman;sans-serif" w:hAnsi="Times New Roman;sans-serif"/>
          <w:b w:val="false"/>
          <w:color w:val="000000"/>
          <w:sz w:val="20"/>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w:t>
      </w:r>
      <w:r>
        <w:rPr>
          <w:color w:val="000000"/>
        </w:rPr>
        <w:t xml:space="preserve"> </w:t>
      </w:r>
      <w:r>
        <w:rPr>
          <w:rFonts w:ascii="Times New Roman;sans-serif" w:hAnsi="Times New Roman;sans-serif"/>
          <w:b w:val="false"/>
          <w:color w:val="000000"/>
          <w:sz w:val="20"/>
        </w:rPr>
        <w:t>In addition, the distribution rights are non-transferable and transfer of the noncontrolling interests are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purchase consideration and the preliminary purchase price allocation to estimated fair values of the identifiable assets acquired and liabilities assumed at the date the transaction was effective (in thousands):</w:t>
      </w:r>
    </w:p>
    <w:tbl>
      <w:tblPr>
        <w:tblW w:w="7469" w:type="dxa"/>
        <w:jc w:val="center"/>
        <w:tblInd w:w="0" w:type="dxa"/>
        <w:tblLayout w:type="fixed"/>
        <w:tblCellMar>
          <w:top w:w="28" w:type="dxa"/>
          <w:left w:w="28" w:type="dxa"/>
          <w:bottom w:w="28" w:type="dxa"/>
          <w:right w:w="28" w:type="dxa"/>
        </w:tblCellMar>
      </w:tblPr>
      <w:tblGrid>
        <w:gridCol w:w="1641"/>
        <w:gridCol w:w="1442"/>
        <w:gridCol w:w="1446"/>
        <w:gridCol w:w="521"/>
        <w:gridCol w:w="2039"/>
        <w:gridCol w:w="380"/>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Date Estimated Fair Value</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consideration paid by Vail Resorts, Inc.</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noncontrolling interests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purchase consideration</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Allocation of total estimated purchase consideration:</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and other assets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long-term debt</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pStyle w:val="TextBody"/>
        <w:bidi w:val="0"/>
        <w:spacing w:lineRule="auto" w:line="288" w:before="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estimated fair values of assets acquired and liabilities assumed in the acquisition of Andermatt-Sedrun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Seven Springs Mountain Resort, Hidden Valley Resort &amp; Laurel Mountain Ski Area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2021, the Company, through a wholly-owned subsidiary, acquired Seven Springs Mountain Resort, Hidden Valley Resort and Laurel Mountain Ski Area in Pennsylvania (collectively, the “Seven Springs Resorts”)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purchase consideration and the purchase price allocation to estimated fair values of the identifiable assets acquired and liabilities assumed at the date the transaction was effective (in thousands):</w:t>
      </w:r>
    </w:p>
    <w:tbl>
      <w:tblPr>
        <w:tblW w:w="6720" w:type="dxa"/>
        <w:jc w:val="center"/>
        <w:tblInd w:w="0" w:type="dxa"/>
        <w:tblLayout w:type="fixed"/>
        <w:tblCellMar>
          <w:top w:w="28" w:type="dxa"/>
          <w:left w:w="28" w:type="dxa"/>
          <w:bottom w:w="28" w:type="dxa"/>
          <w:right w:w="28" w:type="dxa"/>
        </w:tblCellMar>
      </w:tblPr>
      <w:tblGrid>
        <w:gridCol w:w="1366"/>
        <w:gridCol w:w="1202"/>
        <w:gridCol w:w="1212"/>
        <w:gridCol w:w="521"/>
        <w:gridCol w:w="2039"/>
        <w:gridCol w:w="380"/>
      </w:tblGrid>
      <w:tr>
        <w:trPr/>
        <w:tc>
          <w:tcPr>
            <w:tcW w:w="13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Date Estimated Fair Value</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and other assets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(15,222)</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116,501 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on its Consolidated Statement of Operations for the year ended July 31, 2022. The operating results of the acquired resorts are reported within the Mountain and Lodging segments prospectively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Supplementary Balance Sheet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composition of property, plant and equipment, including finance lease assets, follows (in thousands):</w:t>
      </w:r>
    </w:p>
    <w:tbl>
      <w:tblPr>
        <w:tblW w:w="5861" w:type="dxa"/>
        <w:jc w:val="center"/>
        <w:tblInd w:w="0" w:type="dxa"/>
        <w:tblLayout w:type="fixed"/>
        <w:tblCellMar>
          <w:top w:w="28" w:type="dxa"/>
          <w:left w:w="28" w:type="dxa"/>
          <w:bottom w:w="28" w:type="dxa"/>
          <w:right w:w="28" w:type="dxa"/>
        </w:tblCellMar>
      </w:tblPr>
      <w:tblGrid>
        <w:gridCol w:w="1167"/>
        <w:gridCol w:w="1026"/>
        <w:gridCol w:w="1031"/>
        <w:gridCol w:w="211"/>
        <w:gridCol w:w="976"/>
        <w:gridCol w:w="109"/>
        <w:gridCol w:w="211"/>
        <w:gridCol w:w="97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1,545,571 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4,469,373 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2,118,052 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which included depreciation of assets recorded under finance leases, for the years ended July 31, 2023, 2022 and 2021 totaled $263.4 million, $247.2 million and $247.2 million,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composition of property, plant and equipment recorded under finance leases as of July 31, 2023 and 2022 (in thousands):</w:t>
      </w:r>
    </w:p>
    <w:tbl>
      <w:tblPr>
        <w:tblW w:w="5457" w:type="dxa"/>
        <w:jc w:val="center"/>
        <w:tblInd w:w="0" w:type="dxa"/>
        <w:tblLayout w:type="fixed"/>
        <w:tblCellMar>
          <w:top w:w="28" w:type="dxa"/>
          <w:left w:w="28" w:type="dxa"/>
          <w:bottom w:w="28" w:type="dxa"/>
          <w:right w:w="28" w:type="dxa"/>
        </w:tblCellMar>
      </w:tblPr>
      <w:tblGrid>
        <w:gridCol w:w="1168"/>
        <w:gridCol w:w="1023"/>
        <w:gridCol w:w="1034"/>
        <w:gridCol w:w="211"/>
        <w:gridCol w:w="826"/>
        <w:gridCol w:w="109"/>
        <w:gridCol w:w="211"/>
        <w:gridCol w:w="721"/>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composition of goodwill and intangible assets follows (in thousands):</w:t>
      </w:r>
    </w:p>
    <w:tbl>
      <w:tblPr>
        <w:tblW w:w="6372" w:type="dxa"/>
        <w:jc w:val="center"/>
        <w:tblInd w:w="0" w:type="dxa"/>
        <w:tblLayout w:type="fixed"/>
        <w:tblCellMar>
          <w:top w:w="28" w:type="dxa"/>
          <w:left w:w="28" w:type="dxa"/>
          <w:bottom w:w="28" w:type="dxa"/>
          <w:right w:w="28" w:type="dxa"/>
        </w:tblCellMar>
      </w:tblPr>
      <w:tblGrid>
        <w:gridCol w:w="1353"/>
        <w:gridCol w:w="1188"/>
        <w:gridCol w:w="1194"/>
        <w:gridCol w:w="211"/>
        <w:gridCol w:w="976"/>
        <w:gridCol w:w="109"/>
        <w:gridCol w:w="211"/>
        <w:gridCol w:w="97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Amortizable intangible assets</w:t>
            </w:r>
          </w:p>
        </w:tc>
        <w:tc>
          <w:tcPr>
            <w:tcW w:w="12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amortizable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intangible assets</w:t>
            </w:r>
          </w:p>
        </w:tc>
        <w:tc>
          <w:tcPr>
            <w:tcW w:w="11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388,723 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314,058 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subject to amortization for the years ended July 31, 2023, 2022 and 2021 totaled $5.1 million, $5.2 million and $5.4 million, respectively, and is estimated to be approximately $3.2 million annually, on average, for the next five fiscal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net carrying amount of goodwill allocated between the Company’s segments for the years ended July 31, 2023 and 2022 are as follows (in thousands): </w:t>
      </w:r>
    </w:p>
    <w:tbl>
      <w:tblPr>
        <w:tblW w:w="8493" w:type="dxa"/>
        <w:jc w:val="center"/>
        <w:tblInd w:w="0" w:type="dxa"/>
        <w:tblLayout w:type="fixed"/>
        <w:tblCellMar>
          <w:top w:w="28" w:type="dxa"/>
          <w:left w:w="28" w:type="dxa"/>
          <w:bottom w:w="28" w:type="dxa"/>
          <w:right w:w="28" w:type="dxa"/>
        </w:tblCellMar>
      </w:tblPr>
      <w:tblGrid>
        <w:gridCol w:w="1745"/>
        <w:gridCol w:w="1528"/>
        <w:gridCol w:w="1542"/>
        <w:gridCol w:w="211"/>
        <w:gridCol w:w="976"/>
        <w:gridCol w:w="109"/>
        <w:gridCol w:w="211"/>
        <w:gridCol w:w="721"/>
        <w:gridCol w:w="109"/>
        <w:gridCol w:w="211"/>
        <w:gridCol w:w="97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Mountain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Lodging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Goodwill, net </w:t>
            </w:r>
          </w:p>
        </w:tc>
      </w:tr>
      <w:tr>
        <w:trPr/>
        <w:tc>
          <w:tcPr>
            <w:tcW w:w="4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(including measurement period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changes in foreign currency exchange rates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31, 2022</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(including measurement period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Times New Roman;sans-serif" w:hAnsi="Times New Roman;sans-serif"/>
                <w:b w:val="false"/>
                <w:color w:val="000000"/>
                <w:sz w:val="20"/>
              </w:rPr>
              <w:t xml:space="preserve">Disposal of retail and rental stores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changes in foreign currency exchange rates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31, 2023</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1,675,338 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During the year ended July 31, 2023, the Company completed a sale of five retail and rental stores in Telluride, Colorado (the “Disposal Group”) to an unrelated party for cash, which the Company determined constituted the sale of a business. As of April 30, 2023, the Company allocated a proportionate share of the applicable reporting unit’s goodwill to the Disposal Group, and reduced the carrying value of the Disposal Group to its net realizable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accounts payable and accrued liabilities follows (in thousands):</w:t>
      </w:r>
    </w:p>
    <w:tbl>
      <w:tblPr>
        <w:tblW w:w="6596" w:type="dxa"/>
        <w:jc w:val="center"/>
        <w:tblInd w:w="0" w:type="dxa"/>
        <w:tblLayout w:type="fixed"/>
        <w:tblCellMar>
          <w:top w:w="28" w:type="dxa"/>
          <w:left w:w="28" w:type="dxa"/>
          <w:bottom w:w="28" w:type="dxa"/>
          <w:right w:w="28" w:type="dxa"/>
        </w:tblCellMar>
      </w:tblPr>
      <w:tblGrid>
        <w:gridCol w:w="1539"/>
        <w:gridCol w:w="1357"/>
        <w:gridCol w:w="1363"/>
        <w:gridCol w:w="211"/>
        <w:gridCol w:w="826"/>
        <w:gridCol w:w="109"/>
        <w:gridCol w:w="211"/>
        <w:gridCol w:w="82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deferred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942,830 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that reflect unadjusted quoted prices in active markets that are accessible to the Company for identical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include quoted prices for similar assets and liabilities in active and inactive markets or that are observable for the asset or liability either directly or indirectly;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which are supported by little or no market activity.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cash equivalents, other current assets, Interest Rate Swaps and Contingent Consideration (defined below) measured at estimated fair value (all other assets and liabilities measured at fair value are immaterial) (in thousands).</w:t>
      </w:r>
    </w:p>
    <w:tbl>
      <w:tblPr>
        <w:tblW w:w="6819" w:type="dxa"/>
        <w:jc w:val="left"/>
        <w:tblInd w:w="0" w:type="dxa"/>
        <w:tblLayout w:type="fixed"/>
        <w:tblCellMar>
          <w:top w:w="28" w:type="dxa"/>
          <w:left w:w="28" w:type="dxa"/>
          <w:bottom w:w="28" w:type="dxa"/>
          <w:right w:w="28" w:type="dxa"/>
        </w:tblCellMar>
      </w:tblPr>
      <w:tblGrid>
        <w:gridCol w:w="833"/>
        <w:gridCol w:w="729"/>
        <w:gridCol w:w="733"/>
        <w:gridCol w:w="211"/>
        <w:gridCol w:w="826"/>
        <w:gridCol w:w="109"/>
        <w:gridCol w:w="211"/>
        <w:gridCol w:w="826"/>
        <w:gridCol w:w="109"/>
        <w:gridCol w:w="211"/>
        <w:gridCol w:w="826"/>
        <w:gridCol w:w="109"/>
        <w:gridCol w:w="211"/>
        <w:gridCol w:w="721"/>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July 31, 2023</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Description</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July 31, 2022</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Description</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other current assets and Interest Rate Swaps are measured utilizing quoted market prices or pricing models whereby all significant inputs are either observable or corroborated by observable market data. The Company is party to various interest rate swap agreements which hedge the cash flows associated with the SOFR-based variable interest rate component of $400.0 million in principal amount of its Vail Holdings Credit Agreement. Changes in the estimated fair value are recognized in change in estimated fair value of hedging instruments on the Company’s Consolidated Statements of Comprehensive Income. The estimated fair value of the Interest Rate Swaps was included as an asset within deferred charges and other assets as of July 31, 2023, and 2022 in the Company’s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Contingent Consideration during the years ended July 31, 2023 and 2022 were as follows (in thousands):</w:t>
      </w:r>
    </w:p>
    <w:tbl>
      <w:tblPr>
        <w:tblW w:w="4619" w:type="dxa"/>
        <w:jc w:val="center"/>
        <w:tblInd w:w="0" w:type="dxa"/>
        <w:tblLayout w:type="fixed"/>
        <w:tblCellMar>
          <w:top w:w="28" w:type="dxa"/>
          <w:left w:w="28" w:type="dxa"/>
          <w:bottom w:w="28" w:type="dxa"/>
          <w:right w:w="28" w:type="dxa"/>
        </w:tblCellMar>
      </w:tblPr>
      <w:tblGrid>
        <w:gridCol w:w="940"/>
        <w:gridCol w:w="824"/>
        <w:gridCol w:w="831"/>
        <w:gridCol w:w="392"/>
        <w:gridCol w:w="1344"/>
        <w:gridCol w:w="28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Consideration</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31,2022</w:t>
            </w:r>
          </w:p>
        </w:tc>
        <w:tc>
          <w:tcPr>
            <w:tcW w:w="1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3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Park City Lease provides for participating contingent payments (the “Contingent Consideration”) to the landlord of 42% of the amount by which EBITDA for the Park City resort operations, as calculated under the Park City Lease, exceeds approximately $35 million, as established upon the Company’s acquisition of the resort, with such threshold amount subsequently increased annually by an inflation linked index and a 10% adjustment for any capital improvements or investments made under the Park City Lease by the Company. Contingent Consideration is classified as a liability, which is remeasured to fair value at each reporting date until the contingency is resolved. 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Other significant assumptions included a discount rate of 11.1%, and volatility of 17.0%, which together with future period Park City EBITDA, are all unobservable inputs and thus are considered Level 3 inputs. During the year ended July 31, 2023, the Company made a payment to the landlord for Contingent Consideration of approximately $18.9 million which increased compared to the prior year, primarily due to improved Park City performance for the period ended July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July 31, 2023, the Company observed a continued trend of improved performance which led to a reassessment of the long-term EBITDA assumptions used to estimate the fair value of the liability. As a result, the Company recorded an increase in the liability of approximately $49.8 million which was primarily related to an increase in the expected long-term EBITDA performance for Park City as well as the expected payment to be made in October 2023 for the resort’s performance for the year ending July 31, 2023. The increased expectations for long-term EBITDA performance for Park City are based on an average of historical results observed for the resort, which include actual performance for the years ended July 31, 2023 and 2022. Future period actual EBITDA performance for Park City may differ significantly from these estimates, which could have a material impact on the estimated fair value of the Contingent Consideration liability. The estimated fair value of the Contingent Consideration liability is approximately $73.3 million, which is recorded in accounts payable and accrued liabilities and other long-term liabilities in the Company’s Consolidated Balance Sheet as of July 31, 2023.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$10.1 million to $13.6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U.S. federal, state and local jurisdictions and various non-U.S. jurisdictions, including Australia, Canada, the Netherlands and Switzerland.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and foreign components of income before provision for income taxes are as follows (in thousands):</w:t>
      </w:r>
    </w:p>
    <w:tbl>
      <w:tblPr>
        <w:tblW w:w="5867" w:type="dxa"/>
        <w:jc w:val="center"/>
        <w:tblInd w:w="0" w:type="dxa"/>
        <w:tblLayout w:type="fixed"/>
        <w:tblCellMar>
          <w:top w:w="28" w:type="dxa"/>
          <w:left w:w="28" w:type="dxa"/>
          <w:bottom w:w="28" w:type="dxa"/>
          <w:right w:w="28" w:type="dxa"/>
        </w:tblCellMar>
      </w:tblPr>
      <w:tblGrid>
        <w:gridCol w:w="860"/>
        <w:gridCol w:w="756"/>
        <w:gridCol w:w="768"/>
        <w:gridCol w:w="211"/>
        <w:gridCol w:w="826"/>
        <w:gridCol w:w="109"/>
        <w:gridCol w:w="211"/>
        <w:gridCol w:w="826"/>
        <w:gridCol w:w="109"/>
        <w:gridCol w:w="211"/>
        <w:gridCol w:w="826"/>
        <w:gridCol w:w="154"/>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tbl>
      <w:tblPr>
        <w:tblW w:w="6852" w:type="dxa"/>
        <w:jc w:val="center"/>
        <w:tblInd w:w="0" w:type="dxa"/>
        <w:tblLayout w:type="fixed"/>
        <w:tblCellMar>
          <w:top w:w="28" w:type="dxa"/>
          <w:left w:w="28" w:type="dxa"/>
          <w:bottom w:w="28" w:type="dxa"/>
          <w:right w:w="28" w:type="dxa"/>
        </w:tblCellMar>
      </w:tblPr>
      <w:tblGrid>
        <w:gridCol w:w="1633"/>
        <w:gridCol w:w="1438"/>
        <w:gridCol w:w="1444"/>
        <w:gridCol w:w="211"/>
        <w:gridCol w:w="826"/>
        <w:gridCol w:w="109"/>
        <w:gridCol w:w="211"/>
        <w:gridCol w:w="826"/>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Canyons obligation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and other accrued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 and other tax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liability</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272,270 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income taxes recognized in the accompanying Consolidated Balance Sheets are as follows (in thousands):</w:t>
      </w:r>
    </w:p>
    <w:tbl>
      <w:tblPr>
        <w:tblW w:w="5097" w:type="dxa"/>
        <w:jc w:val="center"/>
        <w:tblInd w:w="0" w:type="dxa"/>
        <w:tblLayout w:type="fixed"/>
        <w:tblCellMar>
          <w:top w:w="28" w:type="dxa"/>
          <w:left w:w="28" w:type="dxa"/>
          <w:bottom w:w="28" w:type="dxa"/>
          <w:right w:w="28" w:type="dxa"/>
        </w:tblCellMar>
      </w:tblPr>
      <w:tblGrid>
        <w:gridCol w:w="1001"/>
        <w:gridCol w:w="878"/>
        <w:gridCol w:w="881"/>
        <w:gridCol w:w="211"/>
        <w:gridCol w:w="826"/>
        <w:gridCol w:w="109"/>
        <w:gridCol w:w="211"/>
        <w:gridCol w:w="82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liability</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provision for income taxes are as follows (in thousands):</w:t>
      </w:r>
    </w:p>
    <w:tbl>
      <w:tblPr>
        <w:tblW w:w="5447" w:type="dxa"/>
        <w:jc w:val="center"/>
        <w:tblInd w:w="0" w:type="dxa"/>
        <w:tblLayout w:type="fixed"/>
        <w:tblCellMar>
          <w:top w:w="28" w:type="dxa"/>
          <w:left w:w="28" w:type="dxa"/>
          <w:bottom w:w="28" w:type="dxa"/>
          <w:right w:w="28" w:type="dxa"/>
        </w:tblCellMar>
      </w:tblPr>
      <w:tblGrid>
        <w:gridCol w:w="823"/>
        <w:gridCol w:w="725"/>
        <w:gridCol w:w="731"/>
        <w:gridCol w:w="211"/>
        <w:gridCol w:w="721"/>
        <w:gridCol w:w="109"/>
        <w:gridCol w:w="211"/>
        <w:gridCol w:w="721"/>
        <w:gridCol w:w="109"/>
        <w:gridCol w:w="211"/>
        <w:gridCol w:w="721"/>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income tax provision for continuing operations and the amount computed by applying the United States federal statutory income tax rate to income before income taxes is as follows:</w:t>
      </w:r>
    </w:p>
    <w:tbl>
      <w:tblPr>
        <w:tblW w:w="5774" w:type="dxa"/>
        <w:jc w:val="center"/>
        <w:tblInd w:w="0" w:type="dxa"/>
        <w:tblLayout w:type="fixed"/>
        <w:tblCellMar>
          <w:top w:w="28" w:type="dxa"/>
          <w:left w:w="28" w:type="dxa"/>
          <w:bottom w:w="28" w:type="dxa"/>
          <w:right w:w="28" w:type="dxa"/>
        </w:tblCellMar>
      </w:tblPr>
      <w:tblGrid>
        <w:gridCol w:w="1173"/>
        <w:gridCol w:w="1029"/>
        <w:gridCol w:w="1038"/>
        <w:gridCol w:w="255"/>
        <w:gridCol w:w="256"/>
        <w:gridCol w:w="293"/>
        <w:gridCol w:w="255"/>
        <w:gridCol w:w="256"/>
        <w:gridCol w:w="293"/>
        <w:gridCol w:w="291"/>
        <w:gridCol w:w="294"/>
        <w:gridCol w:w="34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U.S. federal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prior year filings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associated with uncertain tax positions, excluding associated deferred tax benefits and accrued interest and penalties, if applicable, is as follows (in thousands):</w:t>
      </w:r>
    </w:p>
    <w:tbl>
      <w:tblPr>
        <w:tblW w:w="6573" w:type="dxa"/>
        <w:jc w:val="center"/>
        <w:tblInd w:w="0" w:type="dxa"/>
        <w:tblLayout w:type="fixed"/>
        <w:tblCellMar>
          <w:top w:w="28" w:type="dxa"/>
          <w:left w:w="28" w:type="dxa"/>
          <w:bottom w:w="28" w:type="dxa"/>
          <w:right w:w="28" w:type="dxa"/>
        </w:tblCellMar>
      </w:tblPr>
      <w:tblGrid>
        <w:gridCol w:w="1233"/>
        <w:gridCol w:w="1084"/>
        <w:gridCol w:w="1088"/>
        <w:gridCol w:w="211"/>
        <w:gridCol w:w="721"/>
        <w:gridCol w:w="109"/>
        <w:gridCol w:w="211"/>
        <w:gridCol w:w="721"/>
        <w:gridCol w:w="109"/>
        <w:gridCol w:w="211"/>
        <w:gridCol w:w="72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had recorded $51.7 million of uncertain tax positions as well as $5.1 million of accrued interest and penalties. During the year ended July 31, 2023, the Company experienced a reduction in the uncertain tax positions due to the lapse of the statute of limitations of $22.3 million, which was partially offset with an increase to the uncertain tax position of $11.0 million. The Company also recognized a tax benefit of $0.7 million from a reduction in accrued interest and penalties during the year ended July 31, 2023.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2024, due to the lapse of the statute of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tax jurisdictions in which it files income tax returns are the U.S. federal jurisdiction, various state jurisdictions, Australia, Canada and Switzerland. The Company’s U.S. federal and state income tax returns are generally subject to tax examinations for the tax years 2019 through the current period. The Company’s Australian and Canadian income tax returns are generally subject to examination for the tax years 2018 through the current period, and Swiss income tax returns are generally subject to examination for the tax years 2017 through the current period. Additionally, to the extent the Company has NOLs that have been carried back or are available for carryforward, the tax years to which the NOL was carried back or in which the NOL was generated may still be adjusted by the taxing authorities to the extent the NOLs are utilized.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NOL carryforwards totaling $63.4 million, primarily comprised of $10.6 million of federal and state NOLs as a result of the acquisition of Peak Resorts in September 2019 that will expire beginning July 31, 2034 and non-U.S. NOLs of $52.8 million (for which a portion will begin expiring July 31, 2024, and a portion will carry forward indefinitely).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2023, the Company has recorded a valuation allowance of $4.4 million on the historical non-U.S. NOL carryforwards, as the Company has determined that it is more likely than not that the associated NOL carryforwards will not be realized. The Company has foreign tax credit carryforwards of $4.2 million, which expire by the year ending July 31, 2028. As of July 31, 2023, the Company has recorded a valuation allowance of $4.2 million on foreign tax credit carryforwards, as the Company has determined that it is more likely than not that these foreign tax credit carryforwards will not be realized. Additionally, the Company has $1.0 million of foreign deferred tax assets, for which a valuation allowance of $1.0 million has been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required to record additional valuation allowances if, among other things, adverse economic conditions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Canadian foreign subsidiaries. It is not practical at this time to determine the income tax liability related to any remaining undistributed earnings.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the Canadian and Australian governments each enacted legislation to assist companies in maintaining liquidity and retaining employees. As a result, the Company recognized benefits of approximately $7.0 million, and $30.8 million during the years ended July 31, 2022 and 2021, respectively, relating to the Canada Emergency Wage Subsidy and Australian JobKeeper legislation for its Canadian and Australian employees, which primarily offset Mountain and Lodging operating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Guarantees/Indemnifications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had various letters of credit outstanding totaling $83.0 million, consisting of $53.4 million to support the Employee Housing Bonds; $6.4 million to support bonds issued by Holland Creek Metropolitan District; and $23.2 million primarily for workers’ compensation, a wind energy purchase agreement and insurance-related deductibles. The Company also had surety bonds of $9.5 million as of July 31, 2023, primarily to provide collateral for its U.S. workers compensation self-insurance programs.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 makes certain indemnifications to licensees for their use of the Company’s trademarks and logos. The Company does not record any liabilities with respect to these indemnifications.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Commitments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Northstar are conducted on land and with operating assets owned by affiliates of EPR Properties, a real-estate investment trust, primarily under operating leases which were assumed in the acquisition of Northstar by the Company.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are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The operations of Laurel Mountain are conducted on land under a concessioner lease agreement with the Commonwealth of Pennsylvania, acting through the Department of Conservation and Natural Resources (“Department”), which initially commenced in 2018, which the Company assumed in its acquisition of the Seven Springs Resorts in December 2021. The agreement has a term that expires in the year ending July 31, 2052, and provides for the payment of an initial minimum annual base rent, with bi-annual CPI increases, and additional rent based on skier visits. The operations of Andermatt-Sedrun are conducted on (i) land owned by ASA as freehold or leasehold properties, including land owned by Usern Corporation, for which operations are conducted under a main framework concession agreement that expires in the year ending July 31, 2033 and provides for annual concession and administrative fee payments, and land owned by the Swiss Confederation, for which operations are conducted under leasehold agreements which expire in the years ending July 31, 2067 and 2068; (ii) land owned by the municipality of Tujetsch, for which operations are conducted under various building rights and rights of way which expire in the year ending July 31, 2033 and provide for annual concession fee payments; and (iii) land owned by private property owners. The transportation and ski infrastructure operations of Andermatt-Sedrun also operate under various concessions from the Federal Office of Transport, which have terms expiring in the years ending July 31, 2026 through 2042. Additionally, the Company has entered into strategic long-term season pass alliance agreements with third-party mountain resorts in which the Company has committed to pay minimum revenue guarantees over the remaining terms of these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2023, 2022 and 2021, the Company recorded lease expense (including for the lease obligations discussed above), excluding executory costs, related to these agreements of $71.3 million, $61.2 million and $58.7 million, respectively, which is included on the accompanying Consolidated Statements of Operations. See Note 4, Leases, for additional information regarding the Company’s leasing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Self-Insurance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lawsuits arising in the ordinary course of business. Management believes the Company has adequate insurance coverage and/or has accrued for all loss contingencies for asserted and unasserted matters deemed to be probable and reasonably estimable losses. As of July 31, 2023 and 2022, the accruals for such loss contingencies were not material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Segment and Geographic Area Information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Financial Statements as indicators of financial performance or 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financial information by reportable segment, which is used by management in evaluating performance and allocating resources (in thousands):</w:t>
      </w:r>
    </w:p>
    <w:tbl>
      <w:tblPr>
        <w:tblW w:w="10205" w:type="dxa"/>
        <w:jc w:val="center"/>
        <w:tblInd w:w="0" w:type="dxa"/>
        <w:tblLayout w:type="fixed"/>
        <w:tblCellMar>
          <w:top w:w="28" w:type="dxa"/>
          <w:left w:w="28" w:type="dxa"/>
          <w:bottom w:w="28" w:type="dxa"/>
          <w:right w:w="28" w:type="dxa"/>
        </w:tblCellMar>
      </w:tblPr>
      <w:tblGrid>
        <w:gridCol w:w="2333"/>
        <w:gridCol w:w="1968"/>
        <w:gridCol w:w="1969"/>
        <w:gridCol w:w="211"/>
        <w:gridCol w:w="976"/>
        <w:gridCol w:w="109"/>
        <w:gridCol w:w="211"/>
        <w:gridCol w:w="976"/>
        <w:gridCol w:w="109"/>
        <w:gridCol w:w="211"/>
        <w:gridCol w:w="976"/>
        <w:gridCol w:w="156"/>
      </w:tblGrid>
      <w:tr>
        <w:trPr/>
        <w:tc>
          <w:tcPr>
            <w:tcW w:w="233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operating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1,376,658 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EBITDA: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95,615 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attributable to Vail Resorts, Inc. to Total Reported EBITDA:</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(gain) on disposal of fixed assets and other, net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833,109 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832,987 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540,074 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During the year ended July 31, 2022, the Company recognized a gain of $32.2 million from the sale of a hotel property in Breckenridge.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Geographic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and property, plant and equipment, net by geographic region are as follows (in thousands):</w:t>
      </w:r>
    </w:p>
    <w:tbl>
      <w:tblPr>
        <w:tblW w:w="7338" w:type="dxa"/>
        <w:jc w:val="center"/>
        <w:tblInd w:w="0" w:type="dxa"/>
        <w:tblLayout w:type="fixed"/>
        <w:tblCellMar>
          <w:top w:w="28" w:type="dxa"/>
          <w:left w:w="28" w:type="dxa"/>
          <w:bottom w:w="28" w:type="dxa"/>
          <w:right w:w="28" w:type="dxa"/>
        </w:tblCellMar>
      </w:tblPr>
      <w:tblGrid>
        <w:gridCol w:w="1230"/>
        <w:gridCol w:w="1079"/>
        <w:gridCol w:w="1096"/>
        <w:gridCol w:w="211"/>
        <w:gridCol w:w="976"/>
        <w:gridCol w:w="109"/>
        <w:gridCol w:w="211"/>
        <w:gridCol w:w="976"/>
        <w:gridCol w:w="109"/>
        <w:gridCol w:w="211"/>
        <w:gridCol w:w="97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129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2,118,052 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only individual international country (i.e. except the U.S.) to account for more than 10% of the Company’s net revenue was Canada. Canada accounted for $321.7 million of net revenue for the year ended July 31, 2023. For the years ended July 31, 2022 and 2021 no individual international country accounted for more than 10% of the Company’s net revenue.</w:t>
      </w:r>
    </w:p>
    <w:p>
      <w:pPr>
        <w:pStyle w:val="TextBody"/>
        <w:bidi w:val="0"/>
        <w:spacing w:lineRule="auto" w:line="28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only individual international country to account for more than 10% of the Company’s property plant and equipment, net was Canada. Canada accounted for $324.4 million and $272.9 million of property, plant and equipment, net as of July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Share Repurchase Program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During the years ended July 31, 2023 and 2022, the Company repurchased 2,182,594 and 304,567 Vail Shares, respectively (at a total cost of $500.0 million and $75.0 million, respectively, excluding accrued excise tax, as discussed further below). The Company did not repurchase any Vail Shares during the year ended July 31, 2021. Since inception of this stock repurchase program through July 31, 2023, the Company has repurchased 8,648,302 shares at a cost of approximately $979.4 million. As of July 31, 2023, 1,351,698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government enacted the Inflation Reduction Act of 2022, which imposed a 1.0% excise tax on share repurchases (net of estimated share issuances) made after December 31, 2022. As a result, the Company accrued approximately $4.9 million of excise tax in connection with the share repurchases it completed during the year ended July 31, 2023, which was recorded as an adjustment to the cost basis of repurchased shares in treasury stock and accounts payable and accrued liabilities on the Company’s Consolidated Balance Sheet as of July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Stock Compensation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2023, approximately 2.1 million share-based awards were available to be granted under the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stock-settled stock appreciation rights (“SARs”) granted in the years ended July 31, 2023, 2022 and 2021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tbl>
      <w:tblPr>
        <w:tblW w:w="5323" w:type="dxa"/>
        <w:jc w:val="center"/>
        <w:tblInd w:w="0" w:type="dxa"/>
        <w:tblLayout w:type="fixed"/>
        <w:tblCellMar>
          <w:top w:w="28" w:type="dxa"/>
          <w:left w:w="28" w:type="dxa"/>
          <w:bottom w:w="28" w:type="dxa"/>
          <w:right w:w="28" w:type="dxa"/>
        </w:tblCellMar>
      </w:tblPr>
      <w:tblGrid>
        <w:gridCol w:w="1000"/>
        <w:gridCol w:w="878"/>
        <w:gridCol w:w="881"/>
        <w:gridCol w:w="280"/>
        <w:gridCol w:w="280"/>
        <w:gridCol w:w="280"/>
        <w:gridCol w:w="280"/>
        <w:gridCol w:w="280"/>
        <w:gridCol w:w="280"/>
        <w:gridCol w:w="258"/>
        <w:gridCol w:w="258"/>
        <w:gridCol w:w="3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July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(average in years)</w:t>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6.5-6.8</w:t>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6.4-6.8</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6.6-6.9</w:t>
            </w:r>
          </w:p>
        </w:tc>
      </w:tr>
      <w:tr>
        <w:trPr/>
        <w:tc>
          <w:tcPr>
            <w:tcW w:w="27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8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8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0.1-1.2%</w:t>
            </w:r>
          </w:p>
        </w:tc>
        <w:tc>
          <w:tcPr>
            <w:tcW w:w="8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0.1-0.6%</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actual forfeitures related to unvested awards upon employee terminations.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aggregate SARs award activity under the Plan as of July 31, 2023, 2022 and 2021, and changes during the years then ended is presented below (in thousands, except exercise price and contractual term):</w:t>
      </w:r>
    </w:p>
    <w:tbl>
      <w:tblPr>
        <w:tblW w:w="8600" w:type="dxa"/>
        <w:jc w:val="center"/>
        <w:tblInd w:w="0" w:type="dxa"/>
        <w:tblLayout w:type="fixed"/>
        <w:tblCellMar>
          <w:top w:w="28" w:type="dxa"/>
          <w:left w:w="28" w:type="dxa"/>
          <w:bottom w:w="28" w:type="dxa"/>
          <w:right w:w="28" w:type="dxa"/>
        </w:tblCellMar>
      </w:tblPr>
      <w:tblGrid>
        <w:gridCol w:w="1354"/>
        <w:gridCol w:w="1188"/>
        <w:gridCol w:w="1193"/>
        <w:gridCol w:w="308"/>
        <w:gridCol w:w="308"/>
        <w:gridCol w:w="221"/>
        <w:gridCol w:w="298"/>
        <w:gridCol w:w="1018"/>
        <w:gridCol w:w="155"/>
        <w:gridCol w:w="490"/>
        <w:gridCol w:w="490"/>
        <w:gridCol w:w="491"/>
        <w:gridCol w:w="211"/>
        <w:gridCol w:w="721"/>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 Term</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August 1, 2020</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July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July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July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 years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July 31, 2023</w:t>
            </w:r>
          </w:p>
        </w:tc>
        <w:tc>
          <w:tcPr>
            <w:tcW w:w="61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2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235.58 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 years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July 31, 2023</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estimated fair value of SARs granted during the years ended July 31, 2023, 2022 and 2021 was $55.37, $96.20 and $52.30, respectively. The total intrinsic value of SARs exercised during the years ended July 31, 2023, 2022 and 2021 was $3.0 million, $69.1 million and $82.0 million, respectively. The Company had 120,000, 160,000 and 96,000 SARs that vested during the years ended July 31, 2023, 2022 and 2021, respectively. These awards had total estimated fair values of $0.0 million (due to the exercise prices exceeding the market prices at the date of vesting), $16.2 million and $0.1 million at the date of vesting for the years ended July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SARs as of July 31, 2023 and changes during the year then ended is presented below (in thousands, except fair value amounts):</w:t>
      </w:r>
    </w:p>
    <w:tbl>
      <w:tblPr>
        <w:tblW w:w="4517" w:type="dxa"/>
        <w:jc w:val="center"/>
        <w:tblInd w:w="0" w:type="dxa"/>
        <w:tblLayout w:type="fixed"/>
        <w:tblCellMar>
          <w:top w:w="28" w:type="dxa"/>
          <w:left w:w="28" w:type="dxa"/>
          <w:bottom w:w="28" w:type="dxa"/>
          <w:right w:w="28" w:type="dxa"/>
        </w:tblCellMar>
      </w:tblPr>
      <w:tblGrid>
        <w:gridCol w:w="848"/>
        <w:gridCol w:w="744"/>
        <w:gridCol w:w="748"/>
        <w:gridCol w:w="220"/>
        <w:gridCol w:w="220"/>
        <w:gridCol w:w="221"/>
        <w:gridCol w:w="326"/>
        <w:gridCol w:w="951"/>
        <w:gridCol w:w="239"/>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Awards</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w:t>
              <w:br/>
              <w:t>Fair Value</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31, 2022</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31, 2023</w:t>
            </w:r>
          </w:p>
        </w:tc>
        <w:tc>
          <w:tcPr>
            <w:tcW w:w="66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62.96 </w:t>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share units as of July 31, 2023 and changes during the year then ended is presented below (in thousands, except fair value amounts):</w:t>
      </w:r>
    </w:p>
    <w:tbl>
      <w:tblPr>
        <w:tblW w:w="4517" w:type="dxa"/>
        <w:jc w:val="center"/>
        <w:tblInd w:w="0" w:type="dxa"/>
        <w:tblLayout w:type="fixed"/>
        <w:tblCellMar>
          <w:top w:w="28" w:type="dxa"/>
          <w:left w:w="28" w:type="dxa"/>
          <w:bottom w:w="28" w:type="dxa"/>
          <w:right w:w="28" w:type="dxa"/>
        </w:tblCellMar>
      </w:tblPr>
      <w:tblGrid>
        <w:gridCol w:w="848"/>
        <w:gridCol w:w="744"/>
        <w:gridCol w:w="748"/>
        <w:gridCol w:w="220"/>
        <w:gridCol w:w="220"/>
        <w:gridCol w:w="221"/>
        <w:gridCol w:w="294"/>
        <w:gridCol w:w="1006"/>
        <w:gridCol w:w="216"/>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Awards</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w:t>
              <w:br/>
              <w:t>Fair Value</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31, 2022</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31, 2023</w:t>
            </w:r>
          </w:p>
        </w:tc>
        <w:tc>
          <w:tcPr>
            <w:tcW w:w="66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227.87 </w:t>
            </w:r>
          </w:p>
        </w:tc>
        <w:tc>
          <w:tcPr>
            <w:tcW w:w="2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granted 127,000 restricted share units during the year ended July 31, 2023 with a weighted-average grant-date estimated fair value of $199.14. The Company granted 68,000 restricted share units during the year ended July 31, 2022 with a weighted-average grant-date estimated fair value of $336.57. The Company granted 94,000 restricted share units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year ended July 31, 2021 with a weighted-average grant-date estimated fair value of $222.17. The Company had 63,000, 68,000 and 66,000 restricted share units that vested during the years ended July 31, 2023, 2022 and 2021, respectively. These units had a total estimated fair value of $13.3 million, $23.7 million and $15.0 million at the date of vesting for the years ended July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there was $32.5 million of total unrecognized compensation expense related to nonvested share-based compensation arrangements granted under the Plan, of which $19.3 million, $11.4 million and $1.8 million of expense is expected to be recognized in the years ending July 31, 2024, 2025 and 2026, respectively, assuming no share-based awards are granted in the future or forfeited. The tax benefit realized or expected to be realized from SARs exercised and restricted stock units vested was $2.5 million, $23.0 million and $24.0 million for the years ended July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policy of using either authorized and unissued shares, including shares acquired by purchase in the open market, to satisfy equity award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Retirement and Profit Sharing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Retirement Plan expense recognized by the Company for the years ended July 31, 2023, 2022 and 2021 was $9.8 million, $8.5 million and $6.5 million, respectively.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of management required by this item is contained in Item 8. of this Form 10-K under the caption “Management’s Report on Internal Control over Financial Reporting.”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Attestation Report of the Independent Registered Public Accounting Firm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attestation report required by this item is contained in Item 8. of this Form 10-K under the caption “Report of Independent Registered Public Accounting Firm.”</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we completed our acquisition of Andermatt-Sedrun. Andermatt-Sedrun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July 31, 2023 did not include certain elements of the internal controls of Andermatt-Sedrun. This exclusion is in accordance with the Securities and Exchange Commission’s general guidance that an assessment of a recently acquired business may be omitted from our scope in the year of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2021, we completed our acquisition of the Seven Springs Resorts. In accordance with the SEC’s general guidance for recently acquired businesses, our assessment of and conclusion on the effectiveness of our internal control over financial reporting as of the fiscal year ended July 31, 2022 did not include certain elements of the internal controls of the Seven Springs Resorts. However, as of July 31, 2023, the Seven Springs Resorts are now included within our assessment of and conclusion on the effectiveness of our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Excluding Andermatt-Sedrun and the Seven Springs Resorts, there were no changes in the Company’s internal control over financial reporting during the year ended July 31, 2023 that have materially affected, or are reasonably likely to materially affect, the Company’s internal control over financial reporting.</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Director and Officer Rule 10b5-1 Trading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31, 2023, none of the Company’s directors or “officers” (as defined in Rule 16a-1(f) under the Exchange Act) adopted, modified or terminated “Rule 10b5-1 trading arrangements” or “non-Rule 10b5-1 trading arrangements” (each as defined in Item 408 of Regulation S-K).</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REPORTING REGARDING FOREIGN JURISDICTIONS THAT PREVENT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file with the SEC in October 2023 (and, in any event, not later than 120 days after the close of our last fiscal year), a definitive Proxy Statement, pursuant to SEC Regulation 14A in connection with our Annual Meeting of Shareholders to be held in December 2023.</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Company’s definitive Proxy Statement for the 2023 annual meeting of stockholders under the sections entitled “Information with Respect to Nominees,” “Management” and “Corporate Governance.”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Company’s definitive Proxy Statement for the 2023 annual meeting of stockholders under the section entitled “Executive Compensation.”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12.SECURITY OWNERSHIP OF CERTAIN BENEFICIAL OWNERS AND MANAGEMENT AND RELATED STOCKHOLDER MATTERS.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Company’s definitive Proxy Statement for the 2023 annual meeting of stockholders under the sections entitled “Security Ownership of Directors and Executive Officers,” “Information as to Certain Stockholders” and “Executive Compensation - Securities Authorized for Issuance under Equity Compensation Plans.”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350"/>
        <w:jc w:val="both"/>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Company’s definitive Proxy Statement for the 2023 annual meeting of stockholders under the sections entitled “Determinations Regarding Independence” and “Transactions with Related Persons.”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Company’s definitive Proxy Statement for the 2023 annual meeting of stockholders under the section entitled “Proposal 2. Ratification of the Selection of Independent Registered Public Accounting Firm.”</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rFonts w:ascii="Times New Roman;sans-serif" w:hAnsi="Times New Roman;sans-serif"/>
          <w:b/>
          <w:color w:val="000000"/>
          <w:sz w:val="20"/>
        </w:rPr>
        <w:t>EXHIBITS, FINANCIAL STATEMENT SCHEDULES.</w:t>
      </w:r>
    </w:p>
    <w:p>
      <w:pPr>
        <w:pStyle w:val="TextBody"/>
        <w:bidi w:val="0"/>
        <w:spacing w:lineRule="auto" w:line="288" w:before="0" w:after="0"/>
        <w:jc w:val="both"/>
        <w:rPr>
          <w:color w:val="000000"/>
        </w:rPr>
      </w:pPr>
      <w:r>
        <w:rPr>
          <w:color w:val="000000"/>
        </w:rPr>
        <w:t>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a)Index to Financial Statements.</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(1)See Item 8. “Financial Statements and Supplementary Data” for the index to the Financial Statements.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(2)Schedules have been omitted because they are not required or not applicable, or the required information is shown in the financial statements or notes to the financial statements.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(3)See the Index to Exhibits below.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968"/>
        <w:gridCol w:w="2957"/>
        <w:gridCol w:w="2986"/>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Posted</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Transaction Agreement, dated as of May 24, 2013, between VR CPC Holdings, Inc. and ASC Utah LLC, Talisker Land Holdings, LLC, Talisker Canyons Lands LLC, Talisker Canyons Leaseco LLC, American Skiing Company Resort Properties LLC, Talisker Canyons Propco LLC and Talisker Canyons Finance Co LLC. (Incorporated by reference to Exhibit 2.1 on Form 8-K of Vail Resorts, Inc. filed on May 30, 2013)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Purchase and Sale Agreement, dated as of September 11, 2014, between VR CPC Holdings, Inc. and Greater Park City Company, Powdr Corp., Greater Properties, Inc., Park Properties, Inc. and Powdr Development Company. (Incorporated by reference to Exhibit 2.1 on Form 10-Q of Vail Resorts, Inc. for the quarter ended October 31, 2014)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Arrangement Agreement, dated as of August 5, 2016, between Vail Resorts, Inc., 1068877 B.C. Ltd. and Whistler Blackcomb Holdings Inc. (Incorporated by reference to Exhibit 2.1 on Form 8-K of Vail Resorts, Inc. filed on August 8, 2016)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Agreement and Plan of Merger, dated as of July 20, 2019, by and among Vail Holdings, Inc., VRAD Holdings, Inc. and Peak Resorts, Inc., and solely with respect to Section 9.14, Vail Resorts, Inc. (Incorporated by reference to Exhibit 2.1 on Form 8-K of Vail Resorts, Inc. filed on July 22, 2019)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Amended and Restated Certificate of Incorporation of Vail Resorts, Inc., dated January 5, 2005. (Incorporated by reference to Exhibit 3.1 on Form 10-Q of Vail Resorts, Inc. for the quarter ended January 31, 2005)(File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Certificate of Amendment of Amended and Restated Certificate of Incorporation of Vail Resorts, Inc., dated December 7, 2011. (Incorporated by reference to Exhibit 3.1 on Form 8-K of Vail Resorts, Inc. filed on December 8, 2011)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Certificate of Designations of Special Voting Preferred Stock of Vail Resorts, Inc., dated October 17, 2016. (Incorporated by reference to Exhibit 3.1 on Form 8-K of Vail Resorts, Inc. filed on October 17, 2016)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Amended and Restated Bylaws of Vail Resorts, Inc., dated December 7, 2011. (Incorporated by reference to Exhibit 3.2 on Form 8-K of Vail Resorts, Inc. filed on December 8, 2011)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Indenture, dated May 4, 2020, by and among Vail Resorts, Inc., the Guarantors named therein and U.S. Bank National Association, as Trustee (Incorporated by reference to Exhibit 4.1 of Form 8-K of Vail Resorts, Inc. filed on May 4, 2020)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Indenture, dated December 18, 2020, by and between Vail Resorts, Inc. and U.S. Bank National Association, as Trustee (including the form of 0.00% Convertible Senior Note due 2026). (Incorporated by reference to Exhibit 4.1 on Form 8-K of Vail Resorts, Inc. filed on December 18, 2020)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Description of Securities (Incorporated by reference to Exhibit 4.1 on Form 10-Q of Vail Resorts, Inc. for the quarter ended October 31, 2020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Forest Service Unified Permit for Heavenly ski area, dated April 29,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Forest Service Unified Permit for Keystone ski area, dated December 30, 1996. (Incorporated by reference to Exhibit 99.2(a)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Amendment No. 2 to Forest Service Unified Permit for Keystone ski area. (Incorporated by reference to Exhibit 99.2(b)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Amendment No. 3 to Forest Service Unified Permit for Keystone ski area. (Incorporated by reference to Exhibit 10.3 (c)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Amendment No. 4 to Forest Service Unified Permit for Keystone ski area. (Incorporated by reference to Exhibit 10.3 (d)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Amendment No. 5 to Forest Service Unified Permit for Keystone ski area. (Incorporated by reference to Exhibit 10.3 (e)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Forest Service Unified Permit for Breckenridge ski area, dated December 31, 1996. (Incorporated by reference to Exhibit 99.3(a)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Amendment No. 1 to Forest Service Unified Permit for Breckenridge ski area. (Incorporated by reference to Exhibit 99.3(b)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Amendment No. 2 to Forest Service Unified Permit for Breckenridge ski area. (Incorporated by reference to Exhibit 10.4 (c)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Amendment No. 3 to Forest Service Unified Permit for Breckenridge ski area. (Incorporated by reference to Exhibit 10.4 (d)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Amendment No. 4 to Forest Service Unified Permit for Breckenridge ski area. (Incorporated by reference to Exhibit 10.4 (e)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Amendment No. 5 to Forest Service Unified Permit for Breckenridge ski area. (Incorporated by reference to Exhibit 10.4(f) on Form 10-Q of Vail Resorts, Inc. for the quarter ended January 31, 2006)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Forest Service Unified Permit for Beaver Creek ski area. (Incorporated by reference to Exhibit 99.4(a)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3073"/>
        <w:gridCol w:w="2905"/>
        <w:gridCol w:w="2933"/>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Posted</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Exhibits to Forest Service Unified Permit for Beaver Creek ski area. (Incorporated by reference to Exhibit 99.4(b)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Amendment No. 1 to Forest Service Unified Permit for Beaver Creek ski area. (Incorporated by reference to Exhibit 10.5(c)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Amendment No. 2 to Forest Service Unified Permit for Beaver Creek ski area. (Incorporated by reference to Exhibit 10.5(d)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Amendment to Forest Service Unified Permit for Beaver Creek ski area. (Incorporated by reference to Exhibit 10.5(e)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Amendment No. 3 to Forest Service Unified Permit for Beaver Creek ski area. (Incorporated by reference to Exhibit 10.4(f) on Form 10-K of Vail Resorts, Inc. for the year ended July 31, 2008)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Forest Service Unified Permit for Vail ski area, dated November 23, 1993. (Incorporated by reference to Exhibit 99.5(a)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Exhibits to Forest Service Unified Permit for Vail ski area. (Incorporated by reference to Exhibit 99.5(b)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Amendment No. 2 to Forest Service Unified Permit for Vail ski area. (Incorporated by reference to Exhibit 99.5(c) on Form 10-Q of Vail Resorts, Inc. for the quarter ended October 31, 2002)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Amendment No. 3 to Forest Service Unified Permit for Vail ski area. (Incorporated by reference to Exhibit 10.6 (d)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Amendment No. 4 to Forest Service Unified Permit for Vail ski area. (Incorporated by reference to Exhibit 10.6 (e) on Form 10-K of Vail Resorts, Inc. for the year ended July 31, 2005)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Vail Resorts, Inc. Amended and Restated 2002 Long Term Incentive and Share Award Plan. (Incorporated by reference to Exhibit 99.1 on Form 8-K of Vail Resorts, Inc. filed on December 10, 2009)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Form of Restricted Share Unit Agreement. (Incorporated by reference to Exhibit 10.2 on Form 8-K of Vail Resorts, Inc. filed on December 7, 2015) (File Number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Form of Share Appreciation Rights Agreement. (Incorporated by reference to Exhibit 10.3 on Form 8-K of Vail Resorts, Inc. filed on December 7, 2015) (File Number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Vail Resorts Deferred Compensation Plan, effective as of January 1, 2005. (Incorporated by reference to Exhibit 10.22 on Form 10-K of Vail Resorts, Inc. for the year ended July 31, 2009)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Executive Employment Agreement, between Vail Resorts, Inc. and Kirsten A. Lynch effective November 1, 2021. (Incorporated by reference to Exhibit 10.1 of the report on Form 8-K of Vail Resorts, Inc. filed on November 1, 2021)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Form of Indemnification Agreement. (Incorporated by reference to Exhibit 10.1 of the report on Form 8-K of Vail Resorts, Inc. filed on October 13, 2021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Master Agreement of Lease, dated May 29, 2013, between VR CPC Holdings, Inc. and Talisker Canyons Leaseco LLC. (Incorporated by reference to Exhibit 10.1 on Form 8-K of Vail Resorts, Inc. filed on May 30, 2013)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Guaranty of Vail Resorts, Inc., dated May 29, 2013, in connection with the Master Agreement of Lease between VR CPC Holdings, Inc. and Talisker Canyons Leaseco LLC. (Incorporated by reference to Exhibit 10.2 on Form 8-K of Vail Resorts, Inc. filed on May 30, 2013)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Vail Resorts, Inc. Management Incentive Plan (Incorporated by reference to Exhibit 10.1 on Form 10-Q of Vail Resorts, Inc. for the quarter ended October 31, 2021)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Vail Resorts, Inc. 2015 Omnibus Incentive Plan (Incorporated by reference to Exhibit 10.1 on Form 8-K of Vail Resorts, Inc. filed on December 7, 2015) (File Number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Form of Restricted Share Unit Agreement (effective September 23, 2020) (Incorporated by reference to Exhibit 10.17 on Form 10-K of Vail Resorts, Inc. for the year ended July 31, 2020) (File Number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Form of Share Appreciation Rights Agreement (effective September 23, 2020) (Incorporated by reference to Exhibit 10.18 on Form 10-K of Vail Resorts, Inc. for the year ended July 31, 2020) (File Number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Eighth Amended and Restated Credit Agreement, Annex A to that certain Amendment Agreement, dated as of August 15, 2018, among Vail Holdings, Inc., as borrower, Bank of America, N.A., as administrative agent, U.S. Bank National Association and Wells Fargo, National Association, as co-syndication Agents, and the Lenders party thereto (Incorporated by reference to Exhibit 10.1 on Form 10-Q of Vail Resorts, Inc. for the quarter ended October 31, 2018)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First Amendment to the Eighth Amended and Restated Credit Agreement, dated as of April 15, 2019, among Vail Holdings, Inc., as borrower, and Bank of America, N.A., as administrative agent, on its own behalf and on behalf of the Lenders party thereto (Incorporated by reference to Exhibit 10.1 on Form 10-Q of Vail Resorts, Inc. for the quarter ended April 30, 2019) (File No. 001-09614).</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7"/>
        <w:gridCol w:w="261"/>
        <w:gridCol w:w="262"/>
        <w:gridCol w:w="109"/>
        <w:gridCol w:w="109"/>
        <w:gridCol w:w="109"/>
        <w:gridCol w:w="3162"/>
        <w:gridCol w:w="2856"/>
        <w:gridCol w:w="2883"/>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Posted</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Second Amendment to the Eighth Amended and Restated Credit Agreement, dated as of September 23, 2019, among Vail Holdings, Inc., as borrower, and Bank of America, N.A., as administrative agent, on its own behalf and on behalf of the Lenders party thereto. (Incorporated by reference to Exhibit 10.1 on Form 10-Q of Vail Resorts, Inc. for the quarter ended October 31, 2019)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20"/>
                  <w:u w:val="single"/>
                </w:rPr>
                <w:t>Third Amendment to the Eighth Amended and Restated Credit Agreement, dated as of April 28, 2020, among Vail Holdings, Inc., as borrower, and Bank of America, N.A., as administrative agent, on its own behalf and on behalf of the Lenders party thereto (Incorporated by reference to Exhibit 10.1 on Form 10-Q of Vail Resorts, Inc. for the quarter ended April 30, 2020)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20"/>
                  <w:u w:val="single"/>
                </w:rPr>
                <w:t>Fourth Amendment to the Eighth Amended and Restated Credit Agreement, dated as of December 18, 2020, between Vail Holdings, Inc., as borrower, Vail Resorts, Inc. and certain subsidiaries of Vail Resorts, Inc., as guarantors, and Bank of America, N.A., as administrative agent, on its own behalf and on the behalf of the Lenders party thereto. (Incorporated by reference to Exhibit 10.1 on Form 8-K of Vail Resorts, Inc. filed on December 18, 2020)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20"/>
                  <w:u w:val="single"/>
                </w:rPr>
                <w:t>Fifth Amendment to the Eighth Amended and Restated Credit Agreement, dated as of August 31, 2022, between Vail Holdings, Inc., as borrower, Vail Resorts, Inc. and certain subsidiaries of Vail Resorts, Inc., as guarantors, and Bank of America, N.A., as administrative agent, on its own behalf and on the behalf of the Lenders party thereto. (Incorporated by reference to Exhibit 10.19(f) on Form 10-K of Vail Resorts, Inc. filed on September 28, 2022)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Second Amended and Restated Credit Agreement, dated as of April 14, 2023, among Whistler Mountain Resort Limited Partnership and Blackcomb Skiing Enterprises Limited Partnership, as borrowers, the Guarantors Party hereto, the Financial Institutions named herein, The Toronto-Dominion Bank, as administrative agent, on its own behalf and on behalf of the Lenders (Incorporated by reference to Exhibit 10.1 on Form 10-Q of Vail Resorts, Inc. for the quarter ended April 30, 2023)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20"/>
                  <w:u w:val="single"/>
                </w:rPr>
                <w:t>Whistler Mountain Master Development Agreement, dated as of February 23, 2017, between Her Majesty the Queen in Right of the Province of British Columbia and Whistler Mountain Resort Limited Partnership (Incorporated by reference to Exhibit 10.1 on Form 8-K of Vail Resorts, Inc. filed on February 27, 2017)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Blackcomb Mountain Master Development Agreement, dated as of February 23, 2017, between Her Majesty the Queen in Right of the Province of British Columbia and Blackcomb Skiing Enterprises Limited Partnership (Incorporated by reference to Exhibit 10.2 on Form 8-K of Vail Resorts, Inc. filed on February 27, 2017)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20"/>
                  <w:u w:val="single"/>
                </w:rPr>
                <w:t>Form of Separation Agreement and General Release (Incorporated by reference to Exhibit 10.1 on Form 8-K of Vail Resorts, Inc. filed on March 2, 2023) (File No. 001-09614).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212023-q4.htm">
              <w:r>
                <w:rPr>
                  <w:rStyle w:val="InternetLink"/>
                  <w:rFonts w:ascii="Times New Roman;sans-serif" w:hAnsi="Times New Roman;sans-serif"/>
                  <w:b w:val="false"/>
                  <w:color w:val="0000FF"/>
                  <w:sz w:val="20"/>
                  <w:u w:val="single"/>
                </w:rPr>
                <w:t>Subsidiaries of Vail Resorts, Inc.</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32023-q4.htm">
              <w:r>
                <w:rPr>
                  <w:rStyle w:val="InternetLink"/>
                  <w:rFonts w:ascii="Times New Roman;sans-serif" w:hAnsi="Times New Roman;sans-serif"/>
                  <w:b w:val="false"/>
                  <w:color w:val="0000FF"/>
                  <w:sz w:val="20"/>
                  <w:u w:val="single"/>
                </w:rPr>
                <w:t>Consent of Independent Registered Public Accounting Firm.</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pages hereto.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12023-q4.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22023-q4.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2023-q4.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as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Annual Report on Form 10-K, formatted in inline XBRL.</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263" w:type="dxa"/>
        <w:jc w:val="center"/>
        <w:tblInd w:w="0" w:type="dxa"/>
        <w:tblLayout w:type="fixed"/>
        <w:tblCellMar>
          <w:top w:w="28" w:type="dxa"/>
          <w:left w:w="28" w:type="dxa"/>
          <w:bottom w:w="28" w:type="dxa"/>
          <w:right w:w="28" w:type="dxa"/>
        </w:tblCellMar>
      </w:tblPr>
      <w:tblGrid>
        <w:gridCol w:w="802"/>
        <w:gridCol w:w="707"/>
        <w:gridCol w:w="711"/>
        <w:gridCol w:w="134"/>
        <w:gridCol w:w="134"/>
        <w:gridCol w:w="136"/>
        <w:gridCol w:w="772"/>
        <w:gridCol w:w="772"/>
        <w:gridCol w:w="109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Vail Resorts,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w:t>
              <w:br/>
              <w:t>Chief Financial Officer</w:t>
              <w:br/>
              <w:t>(Principal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Vail Resorts,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 Gronberg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 Gronberg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Controller and </w:t>
              <w:br/>
              <w:t>Chief Accounting Officer</w:t>
              <w:br/>
              <w:t>(Principal Accounting Officer)</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hereby constitutes and appoints Angela A. Korch or Nathan Gronberg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September 28,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tbl>
      <w:tblPr>
        <w:tblW w:w="6644" w:type="dxa"/>
        <w:jc w:val="center"/>
        <w:tblInd w:w="0" w:type="dxa"/>
        <w:tblLayout w:type="fixed"/>
        <w:tblCellMar>
          <w:top w:w="28" w:type="dxa"/>
          <w:left w:w="28" w:type="dxa"/>
          <w:bottom w:w="28" w:type="dxa"/>
          <w:right w:w="28" w:type="dxa"/>
        </w:tblCellMar>
      </w:tblPr>
      <w:tblGrid>
        <w:gridCol w:w="707"/>
        <w:gridCol w:w="618"/>
        <w:gridCol w:w="625"/>
        <w:gridCol w:w="1370"/>
        <w:gridCol w:w="1370"/>
        <w:gridCol w:w="1954"/>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c>
          <w:tcPr>
            <w:tcW w:w="469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 Gronberg</w:t>
            </w:r>
          </w:p>
        </w:tc>
        <w:tc>
          <w:tcPr>
            <w:tcW w:w="469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and Chief Accounting Officer</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 Gronberg</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A. Katz</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Chairperson of the Board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A. Katz</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L. Decker</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L. Decker</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Nadia Rawlinson</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Nadia Rawlinson</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T. Redmond</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T. Redmond</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Michele Romanow</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Michele Romanow</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Hilary A. Schneider</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Hilary A. Schneider</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 Bruce Sewell</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 Bruce Sewell</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F. Sorte</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F. Sorte</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 Vaughn</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 Vaughn</w:t>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4"/>
        </w:rPr>
      </w:pPr>
      <w:r>
        <w:rPr>
          <w:rFonts w:ascii="Times New Roman;sans-serif" w:hAnsi="Times New Roman;sans-serif"/>
          <w:b/>
          <w:color w:val="000000"/>
          <w:sz w:val="24"/>
        </w:rPr>
        <w:t>Exhibit 21</w:t>
      </w:r>
    </w:p>
    <w:p>
      <w:pPr>
        <w:pStyle w:val="TextBody"/>
        <w:bidi w:val="0"/>
        <w:spacing w:lineRule="auto" w:line="417" w:before="0" w:after="0"/>
        <w:jc w:val="center"/>
        <w:rPr/>
      </w:pPr>
      <w:r>
        <w:rPr>
          <w:rFonts w:ascii="Times New Roman;sans-serif" w:hAnsi="Times New Roman;sans-serif"/>
          <w:b/>
          <w:color w:val="000000"/>
          <w:sz w:val="24"/>
        </w:rPr>
        <w:t xml:space="preserve">SUBSIDIARIES </w:t>
      </w:r>
      <w:r>
        <w:rPr>
          <w:rFonts w:ascii="Times New Roman;sans-serif" w:hAnsi="Times New Roman;sans-serif"/>
          <w:b/>
          <w:color w:val="000000"/>
          <w:sz w:val="13"/>
        </w:rPr>
        <w:t>1</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68" w:before="0" w:after="120"/>
        <w:jc w:val="center"/>
        <w:rPr/>
      </w:pPr>
      <w:r>
        <w:rPr>
          <w:rFonts w:ascii="Times New Roman;sans-serif" w:hAnsi="Times New Roman;sans-serif"/>
          <w:b/>
          <w:color w:val="000000"/>
          <w:sz w:val="24"/>
        </w:rPr>
        <w:t>VAIL RESORTS, INC</w:t>
      </w:r>
      <w:r>
        <w:rPr>
          <w:rFonts w:ascii="Times New Roman;sans-serif" w:hAnsi="Times New Roman;sans-serif"/>
          <w:b w:val="false"/>
          <w:color w:val="000000"/>
          <w:sz w:val="24"/>
        </w:rPr>
        <w:t>.</w:t>
      </w:r>
    </w:p>
    <w:tbl>
      <w:tblPr>
        <w:tblW w:w="10205" w:type="dxa"/>
        <w:jc w:val="left"/>
        <w:tblInd w:w="0" w:type="dxa"/>
        <w:tblLayout w:type="fixed"/>
        <w:tblCellMar>
          <w:top w:w="28" w:type="dxa"/>
          <w:left w:w="28" w:type="dxa"/>
          <w:bottom w:w="28" w:type="dxa"/>
          <w:right w:w="28" w:type="dxa"/>
        </w:tblCellMar>
      </w:tblPr>
      <w:tblGrid>
        <w:gridCol w:w="1503"/>
        <w:gridCol w:w="1050"/>
        <w:gridCol w:w="1060"/>
        <w:gridCol w:w="1045"/>
        <w:gridCol w:w="1045"/>
        <w:gridCol w:w="1047"/>
        <w:gridCol w:w="994"/>
        <w:gridCol w:w="916"/>
        <w:gridCol w:w="1545"/>
      </w:tblGrid>
      <w:tr>
        <w:trPr/>
        <w:tc>
          <w:tcPr>
            <w:tcW w:w="150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STATE OF INCORPORATION/ FORMATION</w:t>
            </w:r>
          </w:p>
        </w:tc>
        <w:tc>
          <w:tcPr>
            <w:tcW w:w="3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DOING BUSINESS AS</w:t>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1016563 B.C.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1089881 B.C.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17402 HIDDEN VALLEY, LLC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2006 CIMARRON, LLC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AFFINITY SNOWSPORTS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ALL MEDIA ASSOCIATES,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ALL MEDIA HOLDINGS,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ANDERMATT SEDRUN SPORT</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AQUIA PTY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ARRABELLE AT VAIL SQUARE, LLC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ALPINE ENTERPRISES HOLDINGS PTY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ALPINE ENTERPRISES PTY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ALPINE RESERVATION CENTRES PTY LTD</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BBJFLQ,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BCRP,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4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ASSOCIATES, INC.</w:t>
            </w:r>
          </w:p>
        </w:tc>
        <w:tc>
          <w:tcPr>
            <w:tcW w:w="3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BEANO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BEAR TRAP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BUCKBOARD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DALLY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FLATTOPS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 DUST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GOSHAWK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GOSHAWK GLADE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TRAVERSE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HAY MEADOW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LATIGO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MCCOY PARK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PINEY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BUFFALO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TAIL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SALT LICK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SHEEPHORN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SADDLE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 ONE,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STONE CREEK SWITCHBACK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STRAWBERRY PARK AT BEAVER CREEK</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STUMP PARK AT BEAVER CREEK, INC.</w:t>
            </w:r>
          </w:p>
        </w:tc>
      </w:tr>
      <w:tr>
        <w:trPr/>
        <w:tc>
          <w:tcPr>
            <w:tcW w:w="36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CONSULTANTS, INC.</w:t>
            </w:r>
          </w:p>
        </w:tc>
        <w:tc>
          <w:tcPr>
            <w:tcW w:w="31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45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0"/>
        <w:gridCol w:w="1566"/>
        <w:gridCol w:w="1573"/>
        <w:gridCol w:w="504"/>
        <w:gridCol w:w="486"/>
        <w:gridCol w:w="477"/>
        <w:gridCol w:w="1075"/>
        <w:gridCol w:w="973"/>
        <w:gridCol w:w="1691"/>
      </w:tblGrid>
      <w:tr>
        <w:trPr/>
        <w:tc>
          <w:tcPr>
            <w:tcW w:w="186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FOOD SERVICES,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BACHELOR GULCH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BEANO’S CABIN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CREPES AND COOKIES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CANDY CABIN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GUNDER’S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TALONS</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WHITE CARPET CLUB</w:t>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BLACK DIAMOND INSURANCE,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BLACKCOMB MOUNTAIN DEVELOPMENT LTD.</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BLACKCOMB SKIING ENTERPRISES LIMITED PARTNERSHIP</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BLACKCOMB SKIING ENTERPRISES LTD.</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BLC OPERATORS,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BOOTH CREEK SKI HOLDINGS,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BOSTON MILLS SKI RESORT,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BOSTON MILLS SKI RESORT</w:t>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BOULDER VIEW TAVERN,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BRANDYWINE SKI RESORT,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HOTEL MANAGEMENT COMPANY, LLC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RESORT PROPERTIES,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RESORT PROPERTIES</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PROPERTY MANAGEMENT</w:t>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TERRACE, LLC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CARINTHIA GROUP 1, LP</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CARINTHIA GROUP 2, LP</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CARINTHIA RESIDENTIAL PHASE 1, LP</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CARINTHIA SKI LODGE LLC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CB COMMERCIAL PROPERTIES, LLC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COLORADO MOUNTAIN EXPRESS, INC.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CME </w:t>
              <w:br/>
              <w:t xml:space="preserve">CMECOUPONS </w:t>
              <w:br/>
              <w:t xml:space="preserve">CMECOUPONS.COM </w:t>
              <w:br/>
              <w:t xml:space="preserve">CME DESTINATIONS WEST </w:t>
              <w:br/>
              <w:t xml:space="preserve">CME PARTNERS </w:t>
              <w:br/>
              <w:t xml:space="preserve">CME PREMIER </w:t>
              <w:br/>
              <w:t xml:space="preserve">COLORADO MOUNTAIN EXPRESS </w:t>
              <w:br/>
              <w:t xml:space="preserve">DESTINATIONS WEST </w:t>
              <w:br/>
              <w:t xml:space="preserve">EPIC MOUNTAIN EXPRESS </w:t>
              <w:br/>
              <w:t xml:space="preserve">GO CME </w:t>
              <w:br/>
              <w:t>GO COLORADO MOUNTAIN EXPRESS</w:t>
              <w:br/>
              <w:t xml:space="preserve">PREMIER VIP TRANSPORTATION </w:t>
              <w:br/>
              <w:t xml:space="preserve">RESORT EXPRESS </w:t>
              <w:br/>
              <w:t xml:space="preserve">ROCKY MOUNTAIN ART GUIDE </w:t>
              <w:br/>
              <w:t xml:space="preserve">ROCKY MOUNTAIN DINING GUIDE </w:t>
              <w:br/>
              <w:t xml:space="preserve">SKIER'S CONNECTION </w:t>
              <w:br/>
              <w:t> TRANSPORTATION MANAGEMENT</w:t>
              <w:br/>
              <w:t xml:space="preserve">    SYSTEMS </w:t>
              <w:br/>
              <w:t xml:space="preserve">WHEELS OF FORTUNE </w:t>
            </w:r>
          </w:p>
        </w:tc>
      </w:tr>
      <w:tr>
        <w:trPr/>
        <w:tc>
          <w:tcPr>
            <w:tcW w:w="4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COLTER BAY CONVENIENCE STORE, LLC</w:t>
            </w:r>
          </w:p>
        </w:tc>
        <w:tc>
          <w:tcPr>
            <w:tcW w:w="14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37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COLTER BAY GENERAL STORE, LLC</w:t>
            </w:r>
          </w:p>
        </w:tc>
        <w:tc>
          <w:tcPr>
            <w:tcW w:w="14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3739"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62"/>
        <w:gridCol w:w="1270"/>
        <w:gridCol w:w="1277"/>
        <w:gridCol w:w="435"/>
        <w:gridCol w:w="435"/>
        <w:gridCol w:w="441"/>
        <w:gridCol w:w="1271"/>
        <w:gridCol w:w="1271"/>
        <w:gridCol w:w="2243"/>
      </w:tblGrid>
      <w:tr>
        <w:trPr/>
        <w:tc>
          <w:tcPr>
            <w:tcW w:w="15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LLC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ATMOSPHERE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BUTTE 66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BUTTE 66 BBQ ROADHOUSE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CAMP CB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 CONFERENCE SERVICES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 MOUNTAIN SCHOOL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CBMR LIFT TICKETS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CBMR PROPERTIES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CBMR SKI AND RIDE SCHOOL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CBMR WHOLESALE DEPARTMENT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COAL BREAKERS – CRESTED BUTTE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DEVELOPMENT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MOUNTAIN BIKE PARK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SKI AREA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SKI RENTAL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TRAVEL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VACATIONS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CRESTED BUTTE WHOLESALE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ELEVATION RETAIL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STORE – CBMR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LODGE HOTEL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LODGE RETAIL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HALL OF FAME BAR &amp; GRILL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ICE BAR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JEFE’S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KIDS WORLD – CBMR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LODGE AT MOUNTAINEER SQUARE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LOGO’D AT CB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ADVENTURES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OUTPOST CBMR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PARADISE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RESORT COMMUNICATIONS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RUSTICA CBMR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TRACKERS – CBMR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TEN PEAKS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THIN AIR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CENTER RENTALS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ULEY’S CABIN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 ROOM</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WOODSTONE GRILLE</w:t>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CROTCHED MOUNTAIN PROPERTIES, LLC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47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CRYSTAL PEAK LODGE OF BRECKENRIDGE, INC.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CRYSTAL PEAK LODGE</w:t>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DELTRECS, INC.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47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DTPC, LLC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DT PARK CITY HOTEL</w:t>
              <w:br/>
              <w:t>INTELLIGENTSIA</w:t>
              <w:br/>
              <w:t>ROOTS GRILL</w:t>
              <w:br/>
              <w:t>VERTICAL LOUNGE</w:t>
              <w:br/>
              <w:t>YARROW HOTEL</w:t>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EPICSKI, INC.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47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EVER VAIL, LLC</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7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FALLS CREEK SKI LIFTS PTY LTD</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7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FIRST CHAIR HOUSING TRUSTEE LLC</w:t>
            </w:r>
          </w:p>
        </w:tc>
        <w:tc>
          <w:tcPr>
            <w:tcW w:w="13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78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68"/>
        <w:gridCol w:w="1377"/>
        <w:gridCol w:w="1385"/>
        <w:gridCol w:w="502"/>
        <w:gridCol w:w="502"/>
        <w:gridCol w:w="508"/>
        <w:gridCol w:w="1161"/>
        <w:gridCol w:w="1161"/>
        <w:gridCol w:w="2041"/>
      </w:tblGrid>
      <w:tr>
        <w:trPr/>
        <w:tc>
          <w:tcPr>
            <w:tcW w:w="15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FLAGG RANCH COMPANY</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FOREST RIDGE HOLDINGS,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FROSTY LAND,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GARIBALDI LIFTS LTD.</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GILLETT BROADCASTING,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GORE CREEK PLACE, LLC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GRAND TETON LODGE COMPANY</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GREAT NORTH REGIONAL CENTER, LLC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GREATER PARK CITY COMPANY</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4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ALPINE SLIDE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APRES SKI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 AREA CAFETERIA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 PARK CITY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KINDERSCHULE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LOGO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MOUNTAIN RESORT RENTAL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SKI AREA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SKI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RUSTY NAIL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SILVER PUTT PARK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STEEPS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SNOW HUT</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SUMMIT HOUSE</w:t>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GREATER PROPERTIES,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GROS VENTRE UTILITY COMPANY</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HEAVENLY VALLEY, LIMITED PARTNERSHIP</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4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EXPEDITION KIRKWOOD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HEAVENLY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CENTRAL RESERVATIONS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GENERAL STORE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INN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MOUNTAIN OUTFITTERS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SERVICE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SKI AND SUMMER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KIRKWOOD SKI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MONTE WOLFS MOUNTAIN KITCHEN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 THE WALL BAR AND GRILL</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TIMBER CREEK</w:t>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HIDDEN VALLEY GOLF AND SKI,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HIDDEN VALLEY SKI AREA</w:t>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HPK, LLC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HUNKIDORI LAND COMPANY, LLC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MOUNTAIN ACQUISITION,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MOUNTAIN BASE LODGE,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MOUNTAIN FESTIVALS, LTD.</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MOUNTAIN RENTALS, LTD.</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MOUNTAIN SKI BOWL,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HUNTER RESORT VACATIONS,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HVLP KIRKWOOD SERVICES, LLC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JACKSON HOLE GOLF AND TENNIS CLUB, INC.</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JACKSON LAKE LODGE CORPORATION</w:t>
            </w:r>
          </w:p>
        </w:tc>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3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3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JENNY LAKE LODGE, INC.</w:t>
            </w:r>
          </w:p>
        </w:tc>
        <w:tc>
          <w:tcPr>
            <w:tcW w:w="15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36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36"/>
        <w:gridCol w:w="1506"/>
        <w:gridCol w:w="1507"/>
        <w:gridCol w:w="399"/>
        <w:gridCol w:w="399"/>
        <w:gridCol w:w="403"/>
        <w:gridCol w:w="1145"/>
        <w:gridCol w:w="1056"/>
        <w:gridCol w:w="1854"/>
      </w:tblGrid>
      <w:tr>
        <w:trPr/>
        <w:tc>
          <w:tcPr>
            <w:tcW w:w="19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JENNY LAKE STORE,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JFBB LQ,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JFBB SKI AREAS,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JHL&amp;S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CONFERENCE SERVICES,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DEVELOPMENT SALES,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FOOD AND BEVERAGE COMPANY</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9280'</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ALPENTOP DELI</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DERCUM SQUARE ICE RINK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CONFERENCE CENTER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CORPORATE CENTER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LODGE &amp; SPA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MINER’S CART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SKI HILL PLACE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PIONEER CROSSING</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SEVENS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SNOW DRIFTER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CROW'S NEST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LOBBY BAR AT RIVER MOUNTAIN LODGE</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OVERLOOK</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RANCH WATER COMPANY</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RESORT PROPERTY MANAGEMENT COMPANY</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CENTRAL RESERVATIONS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MOUNTAIN RESERVATIONS</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PROPERTY MANAGEMENT</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KEYSTONE/INTRAWEST,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 REAL ESTATE DEVELOPMENTS</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KEYSTONE/INTRAWEST REAL ESTATE,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 POSADA BEVERAGE SERVICE,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LAKE TAHOE LODGING COMPANY</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STATION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TAHOE LODGING</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ZALANTA</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LBO HOLDING,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ATTITASH BEAR PEAK RESORT </w:t>
              <w:br/>
              <w:t>ATTITASH GRAND SUMMIT HOTEL</w:t>
              <w:br/>
              <w:t>ATTITASH MOUNTAIN RESORT</w:t>
              <w:br/>
              <w:t>ATTITASH RESORT</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LODGE PROPERTIES,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LODGE AT VAIL</w:t>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LODGE REALTY,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MAD RIVER MOUNTAIN,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MHSC DP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MHSC HOTELS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MHSC PROPERTIES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MHSC TRANSPORTATION SERVICES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 HOTHAM MANAGEMENT AND RESERVATION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 HOTHAM SKIING COMPANY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 SNOW DEVELOP AND BUILD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405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 SNOW GP SERVICES, LLC</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405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25"/>
        <w:gridCol w:w="1599"/>
        <w:gridCol w:w="1607"/>
        <w:gridCol w:w="289"/>
        <w:gridCol w:w="289"/>
        <w:gridCol w:w="293"/>
        <w:gridCol w:w="1146"/>
        <w:gridCol w:w="1145"/>
        <w:gridCol w:w="2012"/>
      </w:tblGrid>
      <w:tr>
        <w:trPr/>
        <w:tc>
          <w:tcPr>
            <w:tcW w:w="182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 SNOW LTD.</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4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1900' BURGER</w:t>
              <w:br/>
              <w:t>BLUEBIRD EXPRESS</w:t>
              <w:br/>
              <w:t>CARINTHIA</w:t>
              <w:br/>
              <w:t xml:space="preserve">CARINTHIA LODGE </w:t>
              <w:br/>
              <w:t>CARINTHIA MOUNT SNOW</w:t>
              <w:br/>
              <w:t>CARINTHIA PARKS</w:t>
              <w:br/>
              <w:t>MOUNT SNOW BIKE PARK</w:t>
              <w:br/>
              <w:t>MOUNT SNOW BLUEBIRD EXPRESS</w:t>
              <w:br/>
              <w:t>MOUNT SNOW CHILD CARE</w:t>
              <w:br/>
              <w:t>MOUNT SNOW REALTY</w:t>
              <w:br/>
              <w:t>MOUNT SNOW SKI AREA</w:t>
              <w:br/>
              <w:t>MOUNT SNOW SKI RESORT</w:t>
              <w:br/>
              <w:t>MOUNT SNOW SKI SHOP</w:t>
              <w:br/>
              <w:t>NATURESPA</w:t>
              <w:br/>
              <w:t>STATION TAP ROOM</w:t>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MOUNTAIN THUNDER, INC.</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0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MT CB REAL ESTATE, LLC</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0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NATIONAL PARK HOSPITALITY COMPANY</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30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NORTHSTAR GROUP COMMERCIAL PROPERTIES, LLC</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30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NORTHSTAR GROUP RESTAURANT PROPERTIES, LLC</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30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OKEMO LIMITED LIABILITY COMPANY</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430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 GOKEMO</w:t>
              <w:br/>
              <w:t>CUTTING EDGE SKI SCHOOL</w:t>
              <w:br/>
              <w:t>JACKSON COUNTRY CLUB</w:t>
              <w:br/>
              <w:t>JACKSON COUNTRY CLUB AT OKEMO</w:t>
              <w:br/>
              <w:t>   MOUNTAIN RESORT</w:t>
              <w:br/>
              <w:t>JACKSON GORE</w:t>
              <w:br/>
              <w:t>JACKSON GORE AT OKEMO</w:t>
              <w:br/>
              <w:t>NEW ENGLAND’S SKI RESORT</w:t>
              <w:br/>
              <w:t>OKEMO CUTTING EDGE</w:t>
              <w:br/>
              <w:t>OKEMO CUTTING EDGE SKI SCHOOL</w:t>
              <w:br/>
              <w:t>OKEMO HEALTH CENTER</w:t>
              <w:br/>
              <w:t>OKEMO MOUNTAIN LODGE</w:t>
              <w:br/>
              <w:t>OKEMO MOUNTAIN LODGING BUREAU</w:t>
              <w:br/>
              <w:t>OKEMO MOUNTAIN LODGING SERVICE</w:t>
              <w:br/>
              <w:t>OKEMO MOUNTAIN RENTAL SHOP</w:t>
              <w:br/>
              <w:t>OKEMO MOUNTAIN RESERVATION SERVICE</w:t>
              <w:br/>
              <w:t>OKEMO MOUNTAIN RESORT</w:t>
              <w:br/>
              <w:t>OKEMO MOUNTAIN RESORT PROPERTIES</w:t>
              <w:br/>
              <w:t xml:space="preserve">OKEMO MOUNTAIN SKI RENTAL AND REPAIR </w:t>
              <w:br/>
              <w:t>   SHOP</w:t>
              <w:br/>
              <w:t>OKEMO RENTAL SERVICE</w:t>
              <w:br/>
              <w:t>OKEMO SKI AND RIDE SCHOOL</w:t>
              <w:br/>
              <w:t>OKEMO SPA</w:t>
              <w:br/>
              <w:t>OKEMO SPORTS CENTER</w:t>
              <w:br/>
              <w:t>OKEMO VALLEY GOLF ACADEMY</w:t>
              <w:br/>
              <w:t>OKEMO VALLEY GOLF CLUB</w:t>
              <w:br/>
              <w:t>OKEMO VALLEY GOLF COURSE</w:t>
              <w:br/>
              <w:t>OKEMO VALLEY NORDIC CENTER</w:t>
              <w:br/>
              <w:t>SNOW STARS</w:t>
              <w:br/>
              <w:t>SNOW TRACKS LEARNING CENTER</w:t>
              <w:br/>
              <w:t>SOLITUDE VILLAGE SPORTS CENTER</w:t>
              <w:br/>
              <w:t>THE GOLF ACADEMY AT OKEMO</w:t>
              <w:br/>
              <w:t>THE ICE HOUSE</w:t>
              <w:br/>
              <w:t>THE MEETING HOUSE</w:t>
              <w:br/>
              <w:t>THE OKEMO DIFFERENCE</w:t>
              <w:br/>
              <w:t>THE OKEMO VALLEY GOLF SCHOOL</w:t>
              <w:br/>
              <w:t>THE SPA AT OKEMO</w:t>
              <w:br/>
              <w:t>THE SPORTS CENTER AT OKEMO</w:t>
              <w:br/>
              <w:t>THE SPRING HOUSE</w:t>
              <w:br/>
              <w:t>THE TOLL GATE GARDEN</w:t>
              <w:br/>
              <w:t>THE VILLAGE AT JACKSON GORE</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4"/>
        <w:gridCol w:w="1546"/>
        <w:gridCol w:w="1554"/>
        <w:gridCol w:w="645"/>
        <w:gridCol w:w="597"/>
        <w:gridCol w:w="605"/>
        <w:gridCol w:w="934"/>
        <w:gridCol w:w="891"/>
        <w:gridCol w:w="1569"/>
      </w:tblGrid>
      <w:tr>
        <w:trPr/>
        <w:tc>
          <w:tcPr>
            <w:tcW w:w="18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OKEMO LIMITED LIABILITY COMPANY (Continued)</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VILLAGE CLUB AT JACKSON GORE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VILLAGE AT OKEMO</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WOMEN’S SKI SPREE</w:t>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OKEMO MOUNTAIN FOOD AND BEVERAGE,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 NORTH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EPIC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INN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OKEMO TAP HOUSE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ROBIN'S ROOST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SIENA AT JACKSON GORE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SKY BAR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SMOKEY JOE’S GRILL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SUGAR HOUSE AT OKEMO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COLEMAN BROOK TAVERN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CORNER STORE AT JACKSON GORE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INN AT JACKSON GORE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SITTING BULL LOUNGE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PIZZA AT OKEMO</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WILLIE DUNN’S GRILLE</w:t>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ONE RIVER RUN,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ONE SKI HILL PLACE,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PAOLI PEAKS,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PARK PROPERTIES,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PEAK TO CREEK HOLDINGS CORP.</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PEAK TO CREEK LODGING COMPANY LTD.</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LODGING OVATIONS</w:t>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PEAK RESORTS,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PERISHER BLUE PTY LIMITED</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PROPERTY MANAGEMENT ACQUISITION CORP.,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RESORT LODGING</w:t>
            </w:r>
          </w:p>
          <w:p>
            <w:pPr>
              <w:pStyle w:val="TableContents"/>
              <w:bidi w:val="0"/>
              <w:spacing w:lineRule="auto" w:line="288" w:before="0" w:after="0"/>
              <w:ind w:left="0" w:right="0" w:firstLine="60"/>
              <w:jc w:val="left"/>
              <w:rPr>
                <w:color w:val="000000"/>
              </w:rPr>
            </w:pPr>
            <w:r>
              <w:rPr>
                <w:color w:val="000000"/>
              </w:rPr>
              <w:t>   </w:t>
            </w:r>
            <w:r>
              <w:rPr>
                <w:rFonts w:ascii="Times New Roman;sans-serif" w:hAnsi="Times New Roman;sans-serif"/>
                <w:b w:val="false"/>
                <w:color w:val="000000"/>
                <w:sz w:val="20"/>
              </w:rPr>
              <w:t>COMPANY</w:t>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RCR VAIL,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RESIDENCES LLC</w:t>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ARRABELLE,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CORDILLERA LODGE COMPANY,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COSTA RICA S.R.L.</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DR,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EQUINOX,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HOTEL JEROME,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INTERNATIONAL,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INTERNATIONAL MANAGEMENT COMPANY</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JAMAICA LIMITED</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Jamaica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SKI TIP,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(ST. LUCIA) INC.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 Lucia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THIRD TURTLE, LTD.</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Turks &amp; Caicos Islands</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WYOMING,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ROCKRESORTS, LLC</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SKI LIBERTY OPERATING CORP.</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SKI ROUNDTOP OPERATING CORP.</w:t>
            </w:r>
          </w:p>
        </w:tc>
        <w:tc>
          <w:tcPr>
            <w:tcW w:w="1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3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SKIINFO AS</w:t>
            </w:r>
          </w:p>
        </w:tc>
        <w:tc>
          <w:tcPr>
            <w:tcW w:w="18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339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49"/>
        <w:gridCol w:w="1587"/>
        <w:gridCol w:w="1594"/>
        <w:gridCol w:w="310"/>
        <w:gridCol w:w="310"/>
        <w:gridCol w:w="311"/>
        <w:gridCol w:w="1129"/>
        <w:gridCol w:w="1129"/>
        <w:gridCol w:w="1986"/>
      </w:tblGrid>
      <w:tr>
        <w:trPr/>
        <w:tc>
          <w:tcPr>
            <w:tcW w:w="184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SLIFER SMITH &amp; FRAMPTON/VAIL ASSOCIATES REAL ESTATE, LLC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2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COLORADO LANDMARK REALTORS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COLORADO LANDMARK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COLORADO LANDMARK, REALTORS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COLORADO LANDMARK-MULTIPROP REALTY,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PIQUET REALTY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LIFE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SLIFER, SMITH &amp; FRAMPTON REAL ESTATE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SLIFER, SMITH &amp; FRAMPTON/VAIL ASSOCIATES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SLIFER, SMITH &amp; FRAMPTON/VAIL ASSOCIATES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LIONSHEAD REAL ESTATE BROKERS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VAIL-LIONSHEAD REAL ESTATE BROKERS</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VAIL-LIONSHEAD REAL ESTATE CO.</w:t>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SNH DEVELOPMENT,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2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CROTCHED MOUNTAIN SKI AND RIDE AREA</w:t>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SNOW CREEK,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2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SNOW TIME ACQUISITION,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42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SNOW TIME,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2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SNOW TRUST</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2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SOHO DEVELOPMENT, LLC.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2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0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SSI VENTURE, INC.</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42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MOUNTAIN SPORTS </w:t>
              <w:br/>
              <w:t xml:space="preserve">ALTERNATIVE EDGE </w:t>
              <w:br/>
              <w:t xml:space="preserve">ASPEN SPORTS AT SNOWMASS </w:t>
              <w:br/>
              <w:t>ASPEN SPORTS LLC</w:t>
              <w:br/>
              <w:t xml:space="preserve">BEAVER CREEK FLY FISHER </w:t>
              <w:br/>
              <w:t xml:space="preserve">BEAVER CREEK SIGNATURE SHOP </w:t>
              <w:br/>
              <w:t xml:space="preserve">BICYCLE VILLAGE OF COLORADO </w:t>
              <w:br/>
              <w:t xml:space="preserve">BOARDER CROSS </w:t>
              <w:br/>
              <w:t xml:space="preserve">BOARDER CROSSING </w:t>
              <w:br/>
              <w:t xml:space="preserve">BOARDER X-ING </w:t>
              <w:br/>
              <w:t xml:space="preserve">BOOTSIE LACY B LLC </w:t>
              <w:br/>
              <w:t xml:space="preserve">BOULDER SKI AND BIKE </w:t>
              <w:br/>
              <w:t xml:space="preserve">BOULDER SKI AND BIKE DEALS </w:t>
              <w:br/>
              <w:t>BOULDER SKI DEALS</w:t>
              <w:br/>
              <w:t xml:space="preserve">BRECK SPORTS </w:t>
              <w:br/>
              <w:t xml:space="preserve">BRECKENRIDGE SPORTS </w:t>
              <w:br/>
              <w:t>BREEZE</w:t>
              <w:br/>
              <w:t xml:space="preserve">BREEZE SKI &amp; SPORT </w:t>
              <w:br/>
              <w:t xml:space="preserve">BREEZE SKI RENTALS </w:t>
              <w:br/>
              <w:t xml:space="preserve">BUYSKIS.COM </w:t>
              <w:br/>
              <w:t xml:space="preserve">CB MOUNTAIN OUTFITTERS </w:t>
              <w:br/>
              <w:t xml:space="preserve">COLORADO SKI &amp; GOLF </w:t>
              <w:br/>
              <w:t xml:space="preserve">COLORADO SKI AND BIKE </w:t>
              <w:br/>
              <w:t xml:space="preserve">COLORADO SNOWBOARDS </w:t>
              <w:br/>
              <w:t xml:space="preserve">COPPER MOUNTAIN SPORTS </w:t>
              <w:br/>
              <w:t xml:space="preserve">COPPER VILLAGE SPORTS </w:t>
              <w:br/>
              <w:t xml:space="preserve">CRESTED BUTTE RENTAL &amp; DEMO CENTER </w:t>
              <w:br/>
              <w:t xml:space="preserve">DEPOT </w:t>
              <w:br/>
              <w:t xml:space="preserve">DEPOT SKI RENTALS </w:t>
              <w:br/>
              <w:t xml:space="preserve">EFLIN SPORTS </w:t>
              <w:br/>
              <w:t xml:space="preserve">EPIC MOUNTAIN GEAR </w:t>
              <w:br/>
              <w:t xml:space="preserve">EPIC MOUNTAIN RENTALS </w:t>
              <w:br/>
              <w:t xml:space="preserve">FRISCO SPORTS </w:t>
              <w:br/>
              <w:t>GORE CREEK FLY FISHERMAN</w:t>
              <w:br/>
              <w:t xml:space="preserve">GRAND WEST OUTFITTERS </w:t>
              <w:br/>
              <w:t>HAPPY THOUGHTS</w:t>
              <w:br/>
              <w:t>KEYSTONE SPORTS</w:t>
              <w:br/>
              <w:t>LIONSHEAD SPORTS</w:t>
              <w:br/>
              <w:t>LOGO'D AT GRAND LODGE</w:t>
              <w:br/>
              <w:t>MAIN STREET OUTLET</w:t>
              <w:br/>
              <w:t>MAX SNOWBOARD</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43"/>
        <w:gridCol w:w="1135"/>
        <w:gridCol w:w="1141"/>
        <w:gridCol w:w="485"/>
        <w:gridCol w:w="485"/>
        <w:gridCol w:w="496"/>
        <w:gridCol w:w="1360"/>
        <w:gridCol w:w="1360"/>
        <w:gridCol w:w="2400"/>
      </w:tblGrid>
      <w:tr>
        <w:trPr/>
        <w:tc>
          <w:tcPr>
            <w:tcW w:w="134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SSI VENTURE, INC. (Continued)</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51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ADVENTURE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BASICS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SPORTS OUTLET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MOUNTAINSPORT TELLURIDE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TRACK MIND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MOUNTAIN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PEAK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RENTBOARDS.COM</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RENTSKIS GOLD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RENTSKIS.COM</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RIVER RUN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EYES AND TEES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EYES AND 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EYEWEAR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EYEWEAR LTD. "A SHADEY BUSINESS"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MIGUEL ANGLERS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SKI DEPOT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SKI DEPOT RENTALS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SKI DEPOT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SNOWMASS SPORT STALKER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SPECIALTY SPORTS NETWORK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SPECIALTY SPORTS VENTURE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STEAMBOAT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TAYLOR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TAYLOR CREEK ANGLING SERVICES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TAYLOR CREEK FLY SHOPS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TAYLOR CREEK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TELLURIDE ADVENTURES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TELLURIDE MOUNTAIN BIKE HEADQUARTERS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TELLURIDE MOUNTAINCRAFT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TELLURIDE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TEN MILE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DEPOT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SKI DOCTOR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FISHING GUIDES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FLY-FISHING</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FLY-FISHING OUTFITTERS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RETAIL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SPORTS KIDS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WINTER PARK SKI RENTALS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WINTER PARK SKI SWAP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WINTER PARK SPORTS</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WINTER PARK SWAP SHOP</w:t>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SSV HOLDINGS, INC.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NEVE SPORTS</w:t>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SSV ONLINE LLC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c>
          <w:tcPr>
            <w:tcW w:w="51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OUTDOOR OUTLET</w:t>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SSV ONLINE HOLDINGS, INC.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STAGECOACH DEVELOPMENT, LLC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STAMPEDE CANTEEN, LLC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SUMMIT SKI LIMITED</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SYCAMORE LAKE, INC.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51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ALPINE VALLEY</w:t>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TCRM COMPANY</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TENDERFOOT SEASONAL HOUSING, LLC</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TETON HOSPITALITY SERVICES, INC.</w:t>
            </w:r>
          </w:p>
        </w:tc>
        <w:tc>
          <w:tcPr>
            <w:tcW w:w="14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512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99" w:type="dxa"/>
        <w:jc w:val="left"/>
        <w:tblInd w:w="0" w:type="dxa"/>
        <w:tblLayout w:type="fixed"/>
        <w:tblCellMar>
          <w:top w:w="28" w:type="dxa"/>
          <w:left w:w="28" w:type="dxa"/>
          <w:bottom w:w="28" w:type="dxa"/>
          <w:right w:w="28" w:type="dxa"/>
        </w:tblCellMar>
      </w:tblPr>
      <w:tblGrid>
        <w:gridCol w:w="1499"/>
        <w:gridCol w:w="1318"/>
        <w:gridCol w:w="1322"/>
        <w:gridCol w:w="477"/>
        <w:gridCol w:w="477"/>
        <w:gridCol w:w="486"/>
        <w:gridCol w:w="1071"/>
        <w:gridCol w:w="1071"/>
        <w:gridCol w:w="1878"/>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CANYONS GOLF CLUB, LLC</w:t>
            </w:r>
          </w:p>
        </w:tc>
        <w:tc>
          <w:tcPr>
            <w:tcW w:w="14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40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CHALETS AT THE LODGE AT VAIL, LLC</w:t>
            </w:r>
          </w:p>
        </w:tc>
        <w:tc>
          <w:tcPr>
            <w:tcW w:w="14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LODGE AT VAIL CHALETS</w:t>
            </w:r>
          </w:p>
        </w:tc>
      </w:tr>
      <w:tr>
        <w:trPr/>
        <w:tc>
          <w:tcPr>
            <w:tcW w:w="4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SUNAPEE DIFFERENCE LLC</w:t>
            </w:r>
          </w:p>
        </w:tc>
        <w:tc>
          <w:tcPr>
            <w:tcW w:w="14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4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MOUNT SUNAPEE CUTTING EDGE SKI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SCHOOL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LODGING BUREAU</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LODGING SERVICE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NEW HAMPSHIRE’S</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RENTAL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MOUNT SUNAPEE RESERVATION BUREAU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RESERVATION SERVICE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SKI AND SNOWBOARD</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SKI AREA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SKI RENTALS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SKI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SUNAPEE SNOWSPORTS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HAMPSHIRE’S BEST CORDUROY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SNOW PROS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VILLAGE AT MOUNT SUNAPEE</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WHISK AROUND THE MOUNTAIN</w:t>
            </w:r>
          </w:p>
        </w:tc>
      </w:tr>
      <w:tr>
        <w:trPr/>
        <w:tc>
          <w:tcPr>
            <w:tcW w:w="41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VAIL CORPORATION</w:t>
            </w:r>
          </w:p>
        </w:tc>
        <w:tc>
          <w:tcPr>
            <w:tcW w:w="14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0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ARROWHEAD ALPINE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ASPEN GROVE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AVAIL ADVENTURE OUTFITTERS, LTD.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BACHELOR GULCH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BACHELOR GULCH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GORE CREEK MINI GOLF</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PASSPORT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PRATER LANE PLAY SCHOOL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SKY GOLF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SKY GOLF CLUB GUEST CLUBHOUSE</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PRO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SKY GOLF CLUB MEMBER PRO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ARRABELLE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OSPREY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PASSPORT CLUBHOUSE AT GOLDEN</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PEAK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YOUNGER GENERATION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TV8</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CONSULTANTS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 HIKING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MANAGEMENT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SNOWBOARD SUPPLY</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0"/>
        <w:gridCol w:w="1449"/>
        <w:gridCol w:w="1455"/>
        <w:gridCol w:w="359"/>
        <w:gridCol w:w="359"/>
        <w:gridCol w:w="363"/>
        <w:gridCol w:w="1214"/>
        <w:gridCol w:w="1214"/>
        <w:gridCol w:w="2142"/>
      </w:tblGrid>
      <w:tr>
        <w:trPr/>
        <w:tc>
          <w:tcPr>
            <w:tcW w:w="165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VILLAGE AT BRECKENRIDGE ACQUISITION CORP., INC.</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45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CATTLE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MOUNTAIN LODGE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CAFÉ BRECKENRIDGE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 STRIKE SALOON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JAKE T. POUNDERS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MAGGIE CAFETERIA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THUNDER PROPERTY MANAGEMENT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PASTA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RESORT LODGING</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VILLAGE AT BRECKENRIDGE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VILLAGE AT BRECKENRIDGE RESORT</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VILLAGE PUB</w:t>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TRIMONT LAND COMPANY</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5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NORTHSTAR AT TAHOE RESORT</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NORTHSTAR CALIFORNIA</w:t>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TRIPLE PEAKS, LLC</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HOLDINGS, LTD.</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INVESTMENTS, INC.</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WARREN LAKES VENTURE, LTD.</w:t>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REAL ESTATE, INC.</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FOOD SERVICES, INC.</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BISTRO 14</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BUFFALOS ROADHOUSE GRILL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CAMP 1,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EXTRA EXTRA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FOX HOLLOW GOLF COURSE CLUBHOUSE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GAME CREEK CLUB VILLAGE CLUBHOUSE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GOLDEN PEAK GRILL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GOLDEN PEAK RESTAURANT AND CANTINA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DOG HAUS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ELK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RIPPEROO’S CORNER CAFÉ</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SALSA’S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10TH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LIONS DEN BAR &amp; GRILL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ELK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 DINING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WAFFLE WAY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WILDWOOD EXPRESS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WILDWOOD SMOKEHOUSE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WOK ‘N ROLL ‘N RICE,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WOK’N ROLL, INC.</w:t>
            </w:r>
          </w:p>
        </w:tc>
      </w:tr>
      <w:tr>
        <w:trPr/>
        <w:tc>
          <w:tcPr>
            <w:tcW w:w="4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FINANCE B.V.</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45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INC.</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5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 BROKERAGE, A DIVISION OF VAIL ASSOCIATES,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APRES LOUNGE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AVON AT BEAVER CREEK</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AVON-VAIL COMPANY</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ADVERTISING AGENCY</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ANTIQUES,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APARTMENTS,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ART,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AT AVON,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AT VAIL,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BACKPACKING,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BAKERY,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BAR,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BARBERS,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BICYCLES,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BOOK AND POSTER SHOP,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BOOK STORE, INC.</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0"/>
        <w:gridCol w:w="964"/>
        <w:gridCol w:w="970"/>
        <w:gridCol w:w="290"/>
        <w:gridCol w:w="290"/>
        <w:gridCol w:w="291"/>
        <w:gridCol w:w="1844"/>
        <w:gridCol w:w="1844"/>
        <w:gridCol w:w="2612"/>
      </w:tblGrid>
      <w:tr>
        <w:trPr/>
        <w:tc>
          <w:tcPr>
            <w:tcW w:w="110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INC. (Continued)</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63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BOOKING AGENCY,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BOOKING AND TICKET AGENCY,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BOOKSTORE AND OFFICE SUPPLY,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BUILDERS,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BUS SERVICE,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CAB,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CABLE T V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CAFÉ &amp; LOUNGE,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CAMERA,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CHEESE SHOP,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CINEMA,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CLEANERS,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CLOTHING,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TRAVEL AGENCY,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TRAVEL SERVICE,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VACATION RESORT</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VALLEY ASSOCIATION,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VILLAGER,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VISITORS SERVICE,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CREEKSIDE</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CREEK-VAIL COMPANY</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BEAVER-VAIL DEVELOPMENT CORPORATION</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CONDOMINIUM MANAGEMENT RENTAL,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CONDOMINIUM RENTAL,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CONDOMINIUMS AND LODGE,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CONDOMINIUMS,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CONDOTEL,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CONFERENCE CENTER,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CONSTRUCTION AND DEVELOPMENT,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CONSTRUCTION COMPANY,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CONSTRUCTION MANAGEMENT CONSULTANTS,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CYCLE SHOP,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DAIRY,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DECORATING,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DEPARTMENT STORE,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DEVELOPMENT COMPANY,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DISTRIBUTING,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DRUGS,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DRUGSTORE,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DRY CLEANERS,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ELECTRIC,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ENGINEERS,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EQUESTRIAN CENTER</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FILLING STATION,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FIREWOOD,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FLORISTS,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FLYING SERVICE,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FOOD STORE,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GALLERIES,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GAS STATION, INC.</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90" w:type="dxa"/>
        <w:jc w:val="left"/>
        <w:tblInd w:w="0" w:type="dxa"/>
        <w:tblLayout w:type="fixed"/>
        <w:tblCellMar>
          <w:top w:w="28" w:type="dxa"/>
          <w:left w:w="28" w:type="dxa"/>
          <w:bottom w:w="28" w:type="dxa"/>
          <w:right w:w="28" w:type="dxa"/>
        </w:tblCellMar>
      </w:tblPr>
      <w:tblGrid>
        <w:gridCol w:w="1136"/>
        <w:gridCol w:w="996"/>
        <w:gridCol w:w="1002"/>
        <w:gridCol w:w="290"/>
        <w:gridCol w:w="290"/>
        <w:gridCol w:w="291"/>
        <w:gridCol w:w="1665"/>
        <w:gridCol w:w="1665"/>
        <w:gridCol w:w="2355"/>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INC. (Continued)</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6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GENERAL CONTRACTORS,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GIFT SHOP,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GOLF AND TENNIS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GOLF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GOLF CLUB BAR &amp; GRILL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GROCERY,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GUIDES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HARDWARE,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HEALTH SPA,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HEATING &amp; PLUMBING,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HOSTESSES,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HOTEL COMPANY,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INTERIOR DESIGN,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JEEP GUIDES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JEWELERS,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JOURNAL,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LANDSCAPING AND SNOWPLOWING,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LAUNDROMAT,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LIMOUSINE SERVICE,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LIQUOR AND WINE SHOP,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LIQUOR STORE,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LIQUORS,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LODGE AND CONFERENCE CENTER,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MAINTENANCE AND REPAIR,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MARKET,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MARKETING ASSOCIATION,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MEADOWS,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MERCHANTS ASSOCIATION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MOBILE COURT,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MOBILE HOME PARK,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MOTEL,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MOTOR LODGE,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MOUNTAIN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MOUNTAINEERING,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NEWS AGENCY,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NEWS,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OUTDOOR CLUB,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PAINTING,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PHARMACY,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PHOTOGRAPHY,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PIZZA,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PLANTERS,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PRINTERY,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PRINTING AND SECRETARIAL SERVICE,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PUB,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RANCH,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REAL ESTATE,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REALTY AND MANAGEMENT,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RECREATION AREA,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RENTALS,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RESERVATION SERVICE</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65" w:type="dxa"/>
        <w:jc w:val="left"/>
        <w:tblInd w:w="0" w:type="dxa"/>
        <w:tblLayout w:type="fixed"/>
        <w:tblCellMar>
          <w:top w:w="28" w:type="dxa"/>
          <w:left w:w="28" w:type="dxa"/>
          <w:bottom w:w="28" w:type="dxa"/>
          <w:right w:w="28" w:type="dxa"/>
        </w:tblCellMar>
      </w:tblPr>
      <w:tblGrid>
        <w:gridCol w:w="1136"/>
        <w:gridCol w:w="996"/>
        <w:gridCol w:w="1002"/>
        <w:gridCol w:w="290"/>
        <w:gridCol w:w="290"/>
        <w:gridCol w:w="291"/>
        <w:gridCol w:w="1599"/>
        <w:gridCol w:w="1599"/>
        <w:gridCol w:w="2262"/>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INC. (Continued)</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4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RESORT AND CONFERENCE CENTER,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RESORT AND TENNIS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RESORT ASSOCIATION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RESTAURANT,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SALES,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SALOON,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SECURITY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SERVICE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SERVICE STATION,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AND MOUNTAINEERING,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AND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AREA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CLUB,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PATROL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RENTAL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REPAIR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SCHOOL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SERVICE,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SHOPS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 TOURING,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SKIING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SNOWPLOWING,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SPIRITS,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SPORT SHOP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SPORTING GOODS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STEAK HOUSE,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SYSTEMS,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 V,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TAXI SERVICE,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TENNIS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TOWING,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TRADING POST,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TRADING,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TRAILER PARK,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TRANSPORTATION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EAGLE RESIDENCES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EXTREMELY VAIL,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FOOD STORE AT BEAVER CREEK,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GAME CREEK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LODGE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MERIDIAN GROUP JOINT VENTURE, LTD.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PLAZA LODGE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ADVENTURE COMPANY,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BEAVER TAIL,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ENCLAVE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INN AT BEAVER CREEK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TRAIL’S END BAR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DEVELOPMENT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VENTURES,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BEAVER CREEK REAL ESTATE</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1"/>
        <w:gridCol w:w="1345"/>
        <w:gridCol w:w="1354"/>
        <w:gridCol w:w="309"/>
        <w:gridCol w:w="309"/>
        <w:gridCol w:w="313"/>
        <w:gridCol w:w="1473"/>
        <w:gridCol w:w="1457"/>
        <w:gridCol w:w="2064"/>
      </w:tblGrid>
      <w:tr>
        <w:trPr/>
        <w:tc>
          <w:tcPr>
            <w:tcW w:w="158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HOLDINGS, INC. (Continued)</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BOBSLED ADVENTURES,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 CLUB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MOUNTAIN RESORT AND CONFERENCE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 PRODUCTIONS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CENTRAL RESERVATIONS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VAIL/BROADMOOR,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VAIL/JAPAN ENTERPRISES,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VAIL-AVON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COMPANY</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WILDWOOD SHELTER</w:t>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HOTEL MANAGEMENT COMPANY, LLC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DEVELOPMENT COMPANY</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ASSOCIATES REAL ESTATE GROUP</w:t>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LODGING COMPANY</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RENTAL MANAGEMENT</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COMPANY</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HOSPITALITY</w:t>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RR,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SUMMIT RESORTS,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VILLAGE TRAVEL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HOSPITALITY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LODGING &amp; HOSPITALITY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PROPERTY MANAGEMENT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SKI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BRECKENRIDGE SKI RESORT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COLORADO VACATIONS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CONFERENCE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LODGE &amp; SPA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LODGING &amp; HOSPITALITY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RESORT,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STABLES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KEYSTONE TRAVEL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RALSTON RESORTS,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RESERVATIONS FOR THE SUMMIT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RESORT VACATIONS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SKI CONSOLIDATORS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CENTRAL RESERVATIONS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RESERVATIONS, INC.</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TRAVEL</w:t>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TRADEMARKS,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RESORTS TRADEMARKS, INC.</w:t>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VAIL/ARROWHEAD,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4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VAIL/BEAVER CREEK RESORT PROPERTIES, INC.</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ARROWHEAD PROPERTY MANAGEMENT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BACHELOR GULCH PROPERTY MANAGEMENT COMPANY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RESORT PROPERTIES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BEAVER CREEK TENNIS CENTER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PLAZA RENTAL RESERVATIONS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PLAZA RESERVATIONS,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TRAPPER'S CABIN</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VAIL PROPERTY MANAGEMENT</w:t>
            </w:r>
          </w:p>
        </w:tc>
      </w:tr>
      <w:tr>
        <w:trPr/>
        <w:tc>
          <w:tcPr>
            <w:tcW w:w="4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VAMHC, INC.</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99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750" w:type="dxa"/>
        <w:jc w:val="left"/>
        <w:tblInd w:w="0" w:type="dxa"/>
        <w:tblLayout w:type="fixed"/>
        <w:tblCellMar>
          <w:top w:w="28" w:type="dxa"/>
          <w:left w:w="28" w:type="dxa"/>
          <w:bottom w:w="28" w:type="dxa"/>
          <w:right w:w="28" w:type="dxa"/>
        </w:tblCellMar>
      </w:tblPr>
      <w:tblGrid>
        <w:gridCol w:w="1233"/>
        <w:gridCol w:w="1085"/>
        <w:gridCol w:w="1086"/>
        <w:gridCol w:w="399"/>
        <w:gridCol w:w="399"/>
        <w:gridCol w:w="403"/>
        <w:gridCol w:w="1371"/>
        <w:gridCol w:w="1371"/>
        <w:gridCol w:w="2403"/>
      </w:tblGrid>
      <w:tr>
        <w:trPr/>
        <w:tc>
          <w:tcPr>
            <w:tcW w:w="123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ACQUISITION,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AUSTRALIA HOLDINGS PTY LTD</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CPC HOLDINGS,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CANYONS GOLF COURSE BEVERAGE CARTS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COBRA DOG SHACK</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JUPITER JAVA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KRISTI’S COFFEE CAFÉ</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LEGACY LODGE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LEGACY SPORTS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LEGENDS AT THE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 MOUNTAIN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MINER’S CAMP RESTAURANT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MOUNTAIN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MOUNTAIN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PARK CITY RESORT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SNOW HUT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HOUSE</w:t>
            </w:r>
          </w:p>
          <w:p>
            <w:pPr>
              <w:pStyle w:val="TableContents"/>
              <w:bidi w:val="0"/>
              <w:spacing w:lineRule="auto" w:line="28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THE CANYONS</w:t>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CPC SERVICES,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HEAVENLY CONCESSIONS,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HEAVENLY I,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HEAVENLY II,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HOLDINGS,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NE HOLDINGS, LLC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AT OKEMO MOUNTAIN RESORT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COUNTRY CLUB</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REAL ESTATE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REAL ESTATE OFFICE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REAL ESTATE SALES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RENTALS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RESERVATIONS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VACATION CLUB</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VACATIONS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VILLAGE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VILLAGE LODGING SERVICE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VILLAGE RENTALS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GORE VILLAGE SPORT AND FITNESS CENTER</w:t>
            </w:r>
          </w:p>
          <w:p>
            <w:pPr>
              <w:pStyle w:val="TableContents"/>
              <w:bidi w:val="0"/>
              <w:spacing w:lineRule="auto" w:line="26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TATER HILL GOLF CLUB</w:t>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NW HOLDINGS,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PA HOLDINGS, INC.</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514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US HOLDINGS, INC.</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1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AFTON ALPS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AFTON ALPS RESORT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BRUHN’S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BRIGHTON</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BRIGHTON RESORT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CREEK MOUNTAIN GRILL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SKI HILL GRILL</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96" w:type="dxa"/>
        <w:jc w:val="left"/>
        <w:tblInd w:w="0" w:type="dxa"/>
        <w:tblLayout w:type="fixed"/>
        <w:tblCellMar>
          <w:top w:w="28" w:type="dxa"/>
          <w:left w:w="28" w:type="dxa"/>
          <w:bottom w:w="28" w:type="dxa"/>
          <w:right w:w="28" w:type="dxa"/>
        </w:tblCellMar>
      </w:tblPr>
      <w:tblGrid>
        <w:gridCol w:w="858"/>
        <w:gridCol w:w="754"/>
        <w:gridCol w:w="758"/>
        <w:gridCol w:w="285"/>
        <w:gridCol w:w="285"/>
        <w:gridCol w:w="286"/>
        <w:gridCol w:w="1109"/>
        <w:gridCol w:w="1109"/>
        <w:gridCol w:w="1952"/>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ind w:left="0" w:right="0" w:firstLine="60"/>
              <w:jc w:val="left"/>
              <w:rPr>
                <w:sz w:val="4"/>
                <w:szCs w:val="4"/>
              </w:rPr>
            </w:pPr>
            <w:r>
              <w:rPr>
                <w:sz w:val="4"/>
                <w:szCs w:val="4"/>
              </w:rPr>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US HOLDINGS II, LLC</w:t>
            </w:r>
          </w:p>
        </w:tc>
        <w:tc>
          <w:tcPr>
            <w:tcW w:w="8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41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ADVENTURE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ADVENTURE OUTFITTERS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MOUNTAIN PROGRAM (AMP)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CHILDREN’S ADVENTURE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CLIFF HOUSE RESTAURANT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CHAIR ALPINE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FRONT FOUR DEMO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FRONT FOUR RENTALS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FRONT FOUR SPORTS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GEAR ZONE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GONDOLA CAFÉ</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 ROOM GRILL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INSIDER’S GUIDE TO STOWE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LODGE AT MT. MANSFIELD</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LODGE AT STOWE MOUNTAIN RESORT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MANSFIELD CROSS-COUNTRY SKI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MANSFIELD SPORT SHOPS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MIDWAY CAFÉ</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MIDWAY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MIGHTYBUSTERS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MINIBUSTERS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 MANSFIELD LODGE AT LONG TRAIL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 CLINIC</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MANSFIELD BASE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MANSFIELD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MANSFIELD SKI PATROL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 MANSFIELD SPORTS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OCTAGON CAFETERIA</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SLOPESIDE MARKET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BASE CAMP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CAMP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CAMP BAR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CAMP BASE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LODGE AT MOUNT MANSFIELD</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SPRUCE PEAK SPORTS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STAY TUNED</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ADVENTURE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BASE CAMP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BYPASS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FOR STARTERS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INSIDER GUIDE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ROCKS!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SPRUCE BASE LODGE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TOYS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 NATURALLY VERMONT’S BEST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STOWEBUSTERS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STOWE’S MIDWAY CAFÉ</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STOWKED</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SUMMER ADVENTURE CAMP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CANTEEN RESTAURANT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INN AT THE MOUNTAIN</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MANSFIELD CLUB</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SMUGGLER’S DEN</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STOWE MOUNTAIN RESORT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STOWE SHOP</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WAFFLE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TOLL HOUSE CONFERENCE CENTER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TRAILBLAZERS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TREETOP ADVENTURE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ZIPTOUR ADVENTURE</w:t>
            </w:r>
          </w:p>
        </w:tc>
      </w:tr>
    </w:tbl>
    <w:p>
      <w:pPr>
        <w:pStyle w:val="TextBody"/>
        <w:bidi w:val="0"/>
        <w:spacing w:before="0" w:after="0"/>
        <w:ind w:left="0" w:right="0" w:firstLine="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56"/>
        <w:gridCol w:w="1777"/>
        <w:gridCol w:w="1787"/>
        <w:gridCol w:w="504"/>
        <w:gridCol w:w="496"/>
        <w:gridCol w:w="492"/>
        <w:gridCol w:w="823"/>
        <w:gridCol w:w="823"/>
        <w:gridCol w:w="1447"/>
      </w:tblGrid>
      <w:tr>
        <w:trPr/>
        <w:tc>
          <w:tcPr>
            <w:tcW w:w="205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 WM HOLDINGS, LLC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WILMOT MOUNTAIN</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WILMOT MOUNTAIN RESORT</w:t>
            </w:r>
          </w:p>
          <w:p>
            <w:pPr>
              <w:pStyle w:val="TableContents"/>
              <w:bidi w:val="0"/>
              <w:spacing w:lineRule="auto" w:line="268"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WILMOT MOUNTAIN SKI RESORT</w:t>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VRSS HOLDINGS, LLC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VRV AUSTRALIA PTY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WB LAND INC.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WB LAND (CREEKSIDE SNOW SCHOOL) INC.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WB/T DEVELOPMENT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WC ACQUISITION CORP.</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WEST LAKE WATER PROJECT, LLC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WHISTLER &amp; BLACKCOMB MOUNTAIN RESORTS LIMITED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60"/>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WHISTLER ALPINE CLUB INC.</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BLACKCOMB EMPLOYMENT CORP.</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BLACKCOMB GENERAL PARTNER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BLACKCOMB HOLDINGS INC. (f/k/a 1068877 BC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HELI-SKIING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MOUNTAIN RESORT LIMITED PARTNERSHIP</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SKI SCHOOL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WHISTLER/BLACKCOMB MOUNTAIN EMPLOYEE HOUSING LTD.</w:t>
            </w:r>
          </w:p>
        </w:tc>
        <w:tc>
          <w:tcPr>
            <w:tcW w:w="14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c>
          <w:tcPr>
            <w:tcW w:w="309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WHITETAIL MOUNTAIN OPERATING CORP.</w:t>
            </w:r>
          </w:p>
        </w:tc>
        <w:tc>
          <w:tcPr>
            <w:tcW w:w="14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09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left"/>
        <w:rPr/>
      </w:pPr>
      <w:r>
        <w:rPr/>
      </w:r>
    </w:p>
    <w:p>
      <w:pPr>
        <w:pStyle w:val="TextBody"/>
        <w:bidi w:val="0"/>
        <w:spacing w:before="0" w:after="0"/>
        <w:jc w:val="left"/>
        <w:rPr/>
      </w:pPr>
      <w:r>
        <w:rPr/>
      </w:r>
    </w:p>
    <w:p>
      <w:pPr>
        <w:pStyle w:val="TextBody"/>
        <w:bidi w:val="0"/>
        <w:spacing w:lineRule="auto" w:line="417"/>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only those entities owned 50% or greater.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right"/>
        <w:rPr/>
      </w:pPr>
      <w:r>
        <w:rPr/>
      </w:r>
    </w:p>
    <w:p>
      <w:pPr>
        <w:pStyle w:val="TextBody"/>
        <w:bidi w:val="0"/>
        <w:spacing w:lineRule="auto" w:line="288" w:before="480" w:after="48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lineRule="auto" w:line="288" w:before="0" w:after="120"/>
        <w:jc w:val="both"/>
        <w:rPr/>
      </w:pPr>
      <w:r>
        <w:rPr>
          <w:rFonts w:ascii="Times New Roman;sans-serif" w:hAnsi="Times New Roman;sans-serif"/>
          <w:b w:val="false"/>
          <w:color w:val="000000"/>
          <w:sz w:val="20"/>
        </w:rPr>
        <w:t>We hereby consent to the incorporation by reference in the Registration Statements on Form S-8 (Nos. 333-145934, 333-169552, and 333-208357) of Vail Resorts, Inc. of our report</w:t>
      </w:r>
      <w:r>
        <w:rPr>
          <w:color w:val="FF0000"/>
        </w:rPr>
        <w:t xml:space="preserve"> </w:t>
      </w:r>
      <w:r>
        <w:rPr>
          <w:rFonts w:ascii="Times New Roman;sans-serif" w:hAnsi="Times New Roman;sans-serif"/>
          <w:b w:val="false"/>
          <w:color w:val="000000"/>
          <w:sz w:val="20"/>
        </w:rPr>
        <w:t>dated September 28, 2023 relating to the financial statements and the effectiveness of internal control over financial reporting, which appears in this Form 10-K.</w:t>
      </w:r>
      <w:r>
        <w:rPr>
          <w:color w:val="FF0000"/>
        </w:rPr>
        <w:t xml:space="preserv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/s/PricewaterhouseCoopers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28,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Kirsten A. Lynch,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349" w:type="dxa"/>
        <w:jc w:val="left"/>
        <w:tblInd w:w="0" w:type="dxa"/>
        <w:tblLayout w:type="fixed"/>
        <w:tblCellMar>
          <w:top w:w="28" w:type="dxa"/>
          <w:left w:w="28" w:type="dxa"/>
          <w:bottom w:w="28" w:type="dxa"/>
          <w:right w:w="28" w:type="dxa"/>
        </w:tblCellMar>
      </w:tblPr>
      <w:tblGrid>
        <w:gridCol w:w="802"/>
        <w:gridCol w:w="707"/>
        <w:gridCol w:w="711"/>
        <w:gridCol w:w="622"/>
        <w:gridCol w:w="622"/>
        <w:gridCol w:w="88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Angela A. Korch,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6660" w:type="dxa"/>
        <w:jc w:val="left"/>
        <w:tblInd w:w="0" w:type="dxa"/>
        <w:tblLayout w:type="fixed"/>
        <w:tblCellMar>
          <w:top w:w="28" w:type="dxa"/>
          <w:left w:w="28" w:type="dxa"/>
          <w:bottom w:w="28" w:type="dxa"/>
          <w:right w:w="28" w:type="dxa"/>
        </w:tblCellMar>
      </w:tblPr>
      <w:tblGrid>
        <w:gridCol w:w="802"/>
        <w:gridCol w:w="707"/>
        <w:gridCol w:w="711"/>
        <w:gridCol w:w="1300"/>
        <w:gridCol w:w="1300"/>
        <w:gridCol w:w="184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906 of the Sarbanes-Oxley Act of 2002, each of the undersigned hereby certifies in their capacity as an officer of Vail Resorts, Inc. (the “Company”) that the Company's Annual Report on Form 10-K for the year ended July 31, 2023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 </w:t>
      </w:r>
    </w:p>
    <w:p>
      <w:pPr>
        <w:pStyle w:val="TextBody"/>
        <w:bidi w:val="0"/>
        <w:spacing w:lineRule="auto" w:line="288" w:before="0" w:after="0"/>
        <w:jc w:val="left"/>
        <w:rPr>
          <w:color w:val="000000"/>
        </w:rPr>
      </w:pPr>
      <w:r>
        <w:rPr>
          <w:color w:val="000000"/>
        </w:rPr>
        <w:t> </w:t>
      </w:r>
    </w:p>
    <w:tbl>
      <w:tblPr>
        <w:tblW w:w="4349" w:type="dxa"/>
        <w:jc w:val="left"/>
        <w:tblInd w:w="0" w:type="dxa"/>
        <w:tblLayout w:type="fixed"/>
        <w:tblCellMar>
          <w:top w:w="28" w:type="dxa"/>
          <w:left w:w="28" w:type="dxa"/>
          <w:bottom w:w="28" w:type="dxa"/>
          <w:right w:w="28" w:type="dxa"/>
        </w:tblCellMar>
      </w:tblPr>
      <w:tblGrid>
        <w:gridCol w:w="802"/>
        <w:gridCol w:w="707"/>
        <w:gridCol w:w="711"/>
        <w:gridCol w:w="622"/>
        <w:gridCol w:w="622"/>
        <w:gridCol w:w="88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tbl>
      <w:tblPr>
        <w:tblW w:w="6660" w:type="dxa"/>
        <w:jc w:val="left"/>
        <w:tblInd w:w="0" w:type="dxa"/>
        <w:tblLayout w:type="fixed"/>
        <w:tblCellMar>
          <w:top w:w="28" w:type="dxa"/>
          <w:left w:w="28" w:type="dxa"/>
          <w:bottom w:w="28" w:type="dxa"/>
          <w:right w:w="28" w:type="dxa"/>
        </w:tblCellMar>
      </w:tblPr>
      <w:tblGrid>
        <w:gridCol w:w="802"/>
        <w:gridCol w:w="707"/>
        <w:gridCol w:w="711"/>
        <w:gridCol w:w="1300"/>
        <w:gridCol w:w="1300"/>
        <w:gridCol w:w="184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28, 2023</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hyperlink" Target="http://www.sec.gov/Archives/edgar/data/812011/000110465913045415/a13-13329_1ex2d1.htm" TargetMode="External"/><Relationship Id="rId9" Type="http://schemas.openxmlformats.org/officeDocument/2006/relationships/hyperlink" Target="http://www.sec.gov/Archives/edgar/data/812011/000081201114000028/exhibit212015-q1.htm" TargetMode="External"/><Relationship Id="rId10" Type="http://schemas.openxmlformats.org/officeDocument/2006/relationships/hyperlink" Target="http://www.sec.gov/Archives/edgar/data/812011/000081201116000098/exhibit21-arrangementagree.htm" TargetMode="External"/><Relationship Id="rId11" Type="http://schemas.openxmlformats.org/officeDocument/2006/relationships/hyperlink" Target="http://www.sec.gov/Archives/edgar/data/812011/000081201119000043/mergeragreement.htm" TargetMode="External"/><Relationship Id="rId12" Type="http://schemas.openxmlformats.org/officeDocument/2006/relationships/hyperlink" Target="http://www.sec.gov/Archives/edgar/data/812011/000081201105000010/exhibit3.htm" TargetMode="External"/><Relationship Id="rId13" Type="http://schemas.openxmlformats.org/officeDocument/2006/relationships/hyperlink" Target="http://www.sec.gov/Archives/edgar/data/812011/000110465911068271/a11-31184_1ex3d1.htm" TargetMode="External"/><Relationship Id="rId14" Type="http://schemas.openxmlformats.org/officeDocument/2006/relationships/hyperlink" Target="http://www.sec.gov/Archives/edgar/data/812011/000110465916150413/a16-20037_1ex3d1.htm" TargetMode="External"/><Relationship Id="rId15" Type="http://schemas.openxmlformats.org/officeDocument/2006/relationships/hyperlink" Target="http://www.sec.gov/Archives/edgar/data/812011/000110465911068271/a11-31184_1ex3d2.htm" TargetMode="External"/><Relationship Id="rId16" Type="http://schemas.openxmlformats.org/officeDocument/2006/relationships/hyperlink" Target="http://www.sec.gov/Archives/edgar/data/812011/000081201120000034/vail-indenture2020conf.htm" TargetMode="External"/><Relationship Id="rId17" Type="http://schemas.openxmlformats.org/officeDocument/2006/relationships/hyperlink" Target="http://www.sec.gov/Archives/edgar/data/812011/000081201120000134/exhibit41-convertinden.htm" TargetMode="External"/><Relationship Id="rId18" Type="http://schemas.openxmlformats.org/officeDocument/2006/relationships/hyperlink" Target="http://www.sec.gov/Archives/edgar/data/812011/000081201120000123/exhibit41descriptionof.htm" TargetMode="External"/><Relationship Id="rId19" Type="http://schemas.openxmlformats.org/officeDocument/2006/relationships/hyperlink" Target="http://www.sec.gov/Archives/edgar/data/812011/000081201117000079/ex1012017-q4.htm" TargetMode="External"/><Relationship Id="rId20" Type="http://schemas.openxmlformats.org/officeDocument/2006/relationships/hyperlink" Target="http://www.sec.gov/Archives/edgar/data/812011/000081201102000023/exhibit992a.htm" TargetMode="External"/><Relationship Id="rId21" Type="http://schemas.openxmlformats.org/officeDocument/2006/relationships/hyperlink" Target="http://www.sec.gov/Archives/edgar/data/812011/000081201102000023/exhibit992b.htm" TargetMode="External"/><Relationship Id="rId22" Type="http://schemas.openxmlformats.org/officeDocument/2006/relationships/hyperlink" Target="http://www.sec.gov/Archives/edgar/data/812011/000081201105000035/exhibit103c.htm" TargetMode="External"/><Relationship Id="rId23" Type="http://schemas.openxmlformats.org/officeDocument/2006/relationships/hyperlink" Target="http://www.sec.gov/Archives/edgar/data/812011/000081201105000035/exhibit103d.htm" TargetMode="External"/><Relationship Id="rId24" Type="http://schemas.openxmlformats.org/officeDocument/2006/relationships/hyperlink" Target="http://www.sec.gov/Archives/edgar/data/812011/000081201105000035/exhibit103e.htm" TargetMode="External"/><Relationship Id="rId25" Type="http://schemas.openxmlformats.org/officeDocument/2006/relationships/hyperlink" Target="http://www.sec.gov/Archives/edgar/data/812011/000081201102000023/exhibit993a.htm" TargetMode="External"/><Relationship Id="rId26" Type="http://schemas.openxmlformats.org/officeDocument/2006/relationships/hyperlink" Target="http://www.sec.gov/Archives/edgar/data/812011/000081201102000023/exhibit993b.htm" TargetMode="External"/><Relationship Id="rId27" Type="http://schemas.openxmlformats.org/officeDocument/2006/relationships/hyperlink" Target="http://www.sec.gov/Archives/edgar/data/812011/000081201105000035/exhibit104c.htm" TargetMode="External"/><Relationship Id="rId28" Type="http://schemas.openxmlformats.org/officeDocument/2006/relationships/hyperlink" Target="http://www.sec.gov/Archives/edgar/data/812011/000081201105000035/exhibit104d.htm" TargetMode="External"/><Relationship Id="rId29" Type="http://schemas.openxmlformats.org/officeDocument/2006/relationships/hyperlink" Target="http://www.sec.gov/Archives/edgar/data/812011/000081201105000035/exhibit104e.htm" TargetMode="External"/><Relationship Id="rId30" Type="http://schemas.openxmlformats.org/officeDocument/2006/relationships/hyperlink" Target="http://www.sec.gov/Archives/edgar/data/812011/000081201106000008/exhibit104f.htm" TargetMode="External"/><Relationship Id="rId31" Type="http://schemas.openxmlformats.org/officeDocument/2006/relationships/hyperlink" Target="http://www.sec.gov/Archives/edgar/data/812011/000081201102000023/exhibit994a.htm" TargetMode="External"/><Relationship Id="rId32" Type="http://schemas.openxmlformats.org/officeDocument/2006/relationships/hyperlink" Target="http://www.sec.gov/Archives/edgar/data/812011/000081201102000023/exhibit994b.htm" TargetMode="External"/><Relationship Id="rId33" Type="http://schemas.openxmlformats.org/officeDocument/2006/relationships/hyperlink" Target="http://www.sec.gov/Archives/edgar/data/812011/000081201105000035/exhibit105c.htm" TargetMode="External"/><Relationship Id="rId34" Type="http://schemas.openxmlformats.org/officeDocument/2006/relationships/hyperlink" Target="http://www.sec.gov/Archives/edgar/data/812011/000081201105000035/exhibit105d.htm" TargetMode="External"/><Relationship Id="rId35" Type="http://schemas.openxmlformats.org/officeDocument/2006/relationships/hyperlink" Target="http://www.sec.gov/Archives/edgar/data/812011/000081201105000035/exhibit105e.htm" TargetMode="External"/><Relationship Id="rId36" Type="http://schemas.openxmlformats.org/officeDocument/2006/relationships/hyperlink" Target="http://www.sec.gov/Archives/edgar/data/812011/000081201108000026/exhibit10_4f.htm" TargetMode="External"/><Relationship Id="rId37" Type="http://schemas.openxmlformats.org/officeDocument/2006/relationships/hyperlink" Target="http://www.sec.gov/Archives/edgar/data/812011/000081201102000023/exhibit995a.htm" TargetMode="External"/><Relationship Id="rId38" Type="http://schemas.openxmlformats.org/officeDocument/2006/relationships/hyperlink" Target="http://www.sec.gov/Archives/edgar/data/812011/000081201102000023/exhibit995b.htm" TargetMode="External"/><Relationship Id="rId39" Type="http://schemas.openxmlformats.org/officeDocument/2006/relationships/hyperlink" Target="http://www.sec.gov/Archives/edgar/data/812011/000081201102000023/exhibit995c.htm" TargetMode="External"/><Relationship Id="rId40" Type="http://schemas.openxmlformats.org/officeDocument/2006/relationships/hyperlink" Target="http://www.sec.gov/Archives/edgar/data/812011/000081201105000035/exhibit106d.htm" TargetMode="External"/><Relationship Id="rId41" Type="http://schemas.openxmlformats.org/officeDocument/2006/relationships/hyperlink" Target="http://www.sec.gov/Archives/edgar/data/812011/000081201105000035/exhibit106e.htm" TargetMode="External"/><Relationship Id="rId42" Type="http://schemas.openxmlformats.org/officeDocument/2006/relationships/hyperlink" Target="http://www.sec.gov/Archives/edgar/data/812011/000081201109000036/exhibit99_1.htm" TargetMode="External"/><Relationship Id="rId43" Type="http://schemas.openxmlformats.org/officeDocument/2006/relationships/hyperlink" Target="http://www.sec.gov/Archives/edgar/data/812011/000110465915083185/a15-24404_2ex10d2.htm" TargetMode="External"/><Relationship Id="rId44" Type="http://schemas.openxmlformats.org/officeDocument/2006/relationships/hyperlink" Target="http://www.sec.gov/Archives/edgar/data/812011/000110465915083185/a15-24404_2ex10d3.htm" TargetMode="External"/><Relationship Id="rId45" Type="http://schemas.openxmlformats.org/officeDocument/2006/relationships/hyperlink" Target="http://www.sec.gov/Archives/edgar/data/812011/000081201109000030/exhibit10_22.htm" TargetMode="External"/><Relationship Id="rId46" Type="http://schemas.openxmlformats.org/officeDocument/2006/relationships/hyperlink" Target="https://www.sec.gov/Archives/edgar/data/0000812011/000081201121000128/lynchemploymentagreement.htm" TargetMode="External"/><Relationship Id="rId47" Type="http://schemas.openxmlformats.org/officeDocument/2006/relationships/hyperlink" Target="https://www.sec.gov/Archives/edgar/data/812011/000081201121000118/formofindemnificationagree.htm" TargetMode="External"/><Relationship Id="rId48" Type="http://schemas.openxmlformats.org/officeDocument/2006/relationships/hyperlink" Target="http://www.sec.gov/Archives/edgar/data/812011/000110465913045415/a13-13329_1ex10d1.htm" TargetMode="External"/><Relationship Id="rId49" Type="http://schemas.openxmlformats.org/officeDocument/2006/relationships/hyperlink" Target="http://www.sec.gov/Archives/edgar/data/812011/000110465913045415/a13-13329_1ex10d2.htm" TargetMode="External"/><Relationship Id="rId50" Type="http://schemas.openxmlformats.org/officeDocument/2006/relationships/hyperlink" Target="https://www.sec.gov/Archives/edgar/data/812011/000081201121000140/exhibit101mipgrade33final.htm" TargetMode="External"/><Relationship Id="rId51" Type="http://schemas.openxmlformats.org/officeDocument/2006/relationships/hyperlink" Target="http://www.sec.gov/Archives/edgar/data/812011/000110465915083185/a15-24404_2ex10d1.htm" TargetMode="External"/><Relationship Id="rId52" Type="http://schemas.openxmlformats.org/officeDocument/2006/relationships/hyperlink" Target="http://www.sec.gov/Archives/edgar/data/812011/000081201120000059/exhibit1017.htm" TargetMode="External"/><Relationship Id="rId53" Type="http://schemas.openxmlformats.org/officeDocument/2006/relationships/hyperlink" Target="http://www.sec.gov/Archives/edgar/data/812011/000081201120000059/exhibit1018.htm" TargetMode="External"/><Relationship Id="rId54" Type="http://schemas.openxmlformats.org/officeDocument/2006/relationships/hyperlink" Target="http://www.sec.gov/Archives/edgar/data/812011/000081201118000134/exhibit1018thamendedcredit.htm" TargetMode="External"/><Relationship Id="rId55" Type="http://schemas.openxmlformats.org/officeDocument/2006/relationships/hyperlink" Target="http://www.sec.gov/Archives/edgar/data/812011/000081201119000035/exhibit1011stamendmentto8t.htm" TargetMode="External"/><Relationship Id="rId56" Type="http://schemas.openxmlformats.org/officeDocument/2006/relationships/hyperlink" Target="http://www.sec.gov/Archives/edgar/data/812011/000081201119000144/vail-secondamendmentto.htm" TargetMode="External"/><Relationship Id="rId57" Type="http://schemas.openxmlformats.org/officeDocument/2006/relationships/hyperlink" Target="http://www.sec.gov/Archives/edgar/data/812011/000081201120000041/exhibit101-thirdvhiame.htm" TargetMode="External"/><Relationship Id="rId58" Type="http://schemas.openxmlformats.org/officeDocument/2006/relationships/hyperlink" Target="http://www.sec.gov/Archives/edgar/data/812011/000081201120000134/exhibit101-fourthamend.htm" TargetMode="External"/><Relationship Id="rId59" Type="http://schemas.openxmlformats.org/officeDocument/2006/relationships/hyperlink" Target="https://www.sec.gov/Archives/edgar/data/812011/000081201122000040/exhibit1019f-5thamendmentv.htm" TargetMode="External"/><Relationship Id="rId60" Type="http://schemas.openxmlformats.org/officeDocument/2006/relationships/hyperlink" Target="https://www.sec.gov/Archives/edgar/data/812011/000081201123000036/whistler-secondamendedandr.htm" TargetMode="External"/><Relationship Id="rId61" Type="http://schemas.openxmlformats.org/officeDocument/2006/relationships/hyperlink" Target="http://www.sec.gov/Archives/edgar/data/812011/000081201117000006/exhibit101whistlermda.htm" TargetMode="External"/><Relationship Id="rId62" Type="http://schemas.openxmlformats.org/officeDocument/2006/relationships/hyperlink" Target="http://www.sec.gov/Archives/edgar/data/812011/000081201117000006/exhibit102blackcombmda.htm" TargetMode="External"/><Relationship Id="rId63" Type="http://schemas.openxmlformats.org/officeDocument/2006/relationships/hyperlink" Target="https://www.sec.gov/Archives/edgar/data/812011/000081201123000008/separationagreement.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72147</Words>
  <Characters>404950</Characters>
  <CharactersWithSpaces>473283</CharactersWithSpaces>
  <Paragraphs>6015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