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April 30, 2022</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45" w:lineRule="exact"/>
        <w:rPr>
          <w:sz w:val="24"/>
          <w:szCs w:val="24"/>
          <w:color w:val="auto"/>
        </w:rPr>
      </w:pPr>
    </w:p>
    <w:p>
      <w:pPr>
        <w:ind w:left="388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85725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Times New Roman" w:cs="Times New Roman" w:eastAsia="Times New Roman" w:hAnsi="Times New Roman"/>
                <w:sz w:val="18"/>
                <w:szCs w:val="18"/>
                <w:b w:val="1"/>
                <w:bCs w:val="1"/>
                <w:color w:val="auto"/>
              </w:rPr>
              <w:t>51-0291762</w:t>
            </w:r>
          </w:p>
        </w:tc>
        <w:tc>
          <w:tcPr>
            <w:tcW w:w="860" w:type="dxa"/>
            <w:vAlign w:val="bottom"/>
          </w:tcPr>
          <w:p>
            <w:pPr>
              <w:spacing w:after="0"/>
              <w:rPr>
                <w:sz w:val="20"/>
                <w:szCs w:val="20"/>
                <w:color w:val="auto"/>
              </w:rPr>
            </w:pPr>
          </w:p>
        </w:tc>
      </w:tr>
      <w:tr>
        <w:trPr>
          <w:trHeight w:val="128"/>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Times New Roman" w:cs="Times New Roman" w:eastAsia="Times New Roman" w:hAnsi="Times New Roman"/>
                <w:sz w:val="14"/>
                <w:szCs w:val="14"/>
                <w:color w:val="auto"/>
              </w:rPr>
              <w:t>(I.R.S. Employer</w:t>
            </w:r>
          </w:p>
        </w:tc>
        <w:tc>
          <w:tcPr>
            <w:tcW w:w="860" w:type="dxa"/>
            <w:vAlign w:val="bottom"/>
          </w:tcPr>
          <w:p>
            <w:pPr>
              <w:spacing w:after="0"/>
              <w:rPr>
                <w:sz w:val="11"/>
                <w:szCs w:val="11"/>
                <w:color w:val="auto"/>
              </w:rPr>
            </w:pPr>
          </w:p>
        </w:tc>
      </w:tr>
      <w:tr>
        <w:trPr>
          <w:trHeight w:val="188"/>
        </w:trPr>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51"/>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9"/>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Times New Roman" w:cs="Times New Roman" w:eastAsia="Times New Roman" w:hAnsi="Times New Roman"/>
                <w:sz w:val="18"/>
                <w:szCs w:val="18"/>
                <w:b w:val="1"/>
                <w:bCs w:val="1"/>
                <w:color w:val="auto"/>
              </w:rPr>
              <w:t>80021</w:t>
            </w:r>
          </w:p>
        </w:tc>
        <w:tc>
          <w:tcPr>
            <w:tcW w:w="860" w:type="dxa"/>
            <w:vAlign w:val="bottom"/>
          </w:tcPr>
          <w:p>
            <w:pPr>
              <w:spacing w:after="0"/>
              <w:rPr>
                <w:sz w:val="20"/>
                <w:szCs w:val="20"/>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Times New Roman" w:cs="Times New Roman" w:eastAsia="Times New Roman" w:hAnsi="Times New Roman"/>
                <w:sz w:val="14"/>
                <w:szCs w:val="14"/>
                <w:color w:val="auto"/>
              </w:rPr>
              <w:t>(Zip Code)</w:t>
            </w:r>
          </w:p>
        </w:tc>
        <w:tc>
          <w:tcPr>
            <w:tcW w:w="860" w:type="dxa"/>
            <w:vAlign w:val="bottom"/>
          </w:tcPr>
          <w:p>
            <w:pPr>
              <w:spacing w:after="0"/>
              <w:rPr>
                <w:sz w:val="15"/>
                <w:szCs w:val="15"/>
                <w:color w:val="auto"/>
              </w:rPr>
            </w:pPr>
          </w:p>
        </w:tc>
      </w:tr>
      <w:tr>
        <w:trPr>
          <w:trHeight w:val="554"/>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06"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56"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56"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5" w:lineRule="exact"/>
        <w:rPr>
          <w:sz w:val="24"/>
          <w:szCs w:val="24"/>
          <w:color w:val="auto"/>
        </w:rPr>
      </w:pPr>
    </w:p>
    <w:p>
      <w:pPr>
        <w:ind w:right="168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June 6, 2022, 40,250,896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75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0"/>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80" w:type="dxa"/>
            <w:vAlign w:val="bottom"/>
            <w:gridSpan w:val="17"/>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r>
      <w:tr>
        <w:trPr>
          <w:trHeight w:val="250"/>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17"/>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820" w:type="dxa"/>
            <w:vAlign w:val="bottom"/>
          </w:tcPr>
          <w:p>
            <w:pPr>
              <w:spacing w:after="0"/>
              <w:rPr>
                <w:sz w:val="16"/>
                <w:szCs w:val="16"/>
                <w:color w:val="auto"/>
              </w:rPr>
            </w:pPr>
          </w:p>
        </w:tc>
        <w:tc>
          <w:tcPr>
            <w:tcW w:w="988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Balance Sheets as of April 30, 2022, July 31, 2021 and April 30, 2021</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7"/>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Operations for the Three and Nine Months Ended April 30, 2022 and 2021</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Comprehensive Income for the Three and Nine Months Ended April 30, 2022 and 2021</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7"/>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 for the Three and Nine Months Ended April 30, 2022 and 2021</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Nine Months Ended April 30, 2022 and 2021</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7"/>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Notes to Consolidated Condensed Financial Statements</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17"/>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80" w:type="dxa"/>
            <w:vAlign w:val="bottom"/>
            <w:gridSpan w:val="17"/>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880" w:type="dxa"/>
            <w:vAlign w:val="bottom"/>
            <w:gridSpan w:val="17"/>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17"/>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80" w:type="dxa"/>
            <w:vAlign w:val="bottom"/>
            <w:gridSpan w:val="17"/>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shd w:val="clear" w:color="auto" w:fill="CCEEFF"/>
          </w:tcPr>
          <w:p>
            <w:pPr>
              <w:spacing w:after="0"/>
              <w:rPr>
                <w:sz w:val="16"/>
                <w:szCs w:val="16"/>
                <w:color w:val="auto"/>
              </w:rPr>
            </w:pP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88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r>
      <w:tr>
        <w:trPr>
          <w:trHeight w:val="1128"/>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40" w:type="dxa"/>
            <w:vAlign w:val="bottom"/>
            <w:gridSpan w:val="9"/>
          </w:tcPr>
          <w:p>
            <w:pPr>
              <w:jc w:val="right"/>
              <w:ind w:right="17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320" w:type="dxa"/>
            <w:vAlign w:val="bottom"/>
          </w:tcPr>
          <w:p>
            <w:pPr>
              <w:spacing w:after="0"/>
              <w:rPr>
                <w:sz w:val="16"/>
                <w:szCs w:val="16"/>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300" w:type="dxa"/>
            <w:vAlign w:val="bottom"/>
          </w:tcPr>
          <w:p>
            <w:pPr>
              <w:spacing w:after="0"/>
              <w:rPr>
                <w:sz w:val="16"/>
                <w:szCs w:val="16"/>
                <w:color w:val="auto"/>
              </w:rPr>
            </w:pPr>
          </w:p>
        </w:tc>
        <w:tc>
          <w:tcPr>
            <w:tcW w:w="14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April 30, 2021</w:t>
            </w:r>
          </w:p>
        </w:tc>
      </w:tr>
      <w:tr>
        <w:trPr>
          <w:trHeight w:val="23"/>
        </w:trPr>
        <w:tc>
          <w:tcPr>
            <w:tcW w:w="5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1,401,168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1,243,962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1,344,702</w:t>
            </w: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20,795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14,612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w:t>
            </w: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receivables, net</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267,111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345,408</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208,132</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92,608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80,316</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73,044</w:t>
            </w: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63,719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61,288</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47,253</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1,845,401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1,745,586</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1,684,815</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(Note 7)</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2,143,285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2,067,876</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2,116,795</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95,519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95,615</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96,259</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net (Note 7)</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1,752,533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1,781,047</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1,801,296</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315,025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319,110</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323,521</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196,919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204,716</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211,497</w:t>
            </w:r>
          </w:p>
        </w:tc>
      </w:tr>
      <w:tr>
        <w:trPr>
          <w:trHeight w:val="229"/>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48,612</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37,106</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42,454</w:t>
            </w:r>
          </w:p>
        </w:tc>
      </w:tr>
      <w:tr>
        <w:trPr>
          <w:trHeight w:val="248"/>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6,397,294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6,251,056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6,276,637</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 (Note 7)</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742,245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815,472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567,264</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23,891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48,812</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w:t>
            </w:r>
          </w:p>
        </w:tc>
      </w:tr>
      <w:tr>
        <w:trPr>
          <w:trHeight w:val="229"/>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63,736</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114,117</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113,454</w:t>
            </w:r>
          </w:p>
        </w:tc>
      </w:tr>
      <w:tr>
        <w:trPr>
          <w:trHeight w:val="223"/>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829,872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978,401</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717,062</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(Note 5)</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2,687,488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2,736,175</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2,739,981</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176,970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190,561</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196,256</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233,689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264,034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252,451</w:t>
            </w:r>
          </w:p>
        </w:tc>
      </w:tr>
      <w:tr>
        <w:trPr>
          <w:trHeight w:val="230"/>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404,095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252,817</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344,190</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4,332,114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4,421,988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4,249,940</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25,000 shares authorized, no shares issued</w:t>
            </w: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outstanding</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9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 shares authorized, 46,715, 46,552</w:t>
            </w: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46,429 shares issued, respectively</w:t>
            </w:r>
          </w:p>
        </w:tc>
        <w:tc>
          <w:tcPr>
            <w:tcW w:w="40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467</w:t>
            </w: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Exchangeable shares, $0.01 par value, 31, 34 and 34 shares issued and</w:t>
            </w: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respectively (Note 4)</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1,178,495</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1,196,993</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1,220,942</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10,759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27,799</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50,643</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1,081,510</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773,752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914,563</w:t>
            </w: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6,306, 6,161 and 6,161 shares, respectively (Note 11)</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(441,914)</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(404,411)</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(404,411)</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1,829,317</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1,594,599</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1,782,202</w:t>
            </w:r>
          </w:p>
        </w:tc>
      </w:tr>
      <w:tr>
        <w:trPr>
          <w:trHeight w:val="230"/>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235,863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234,469</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244,495</w:t>
            </w:r>
          </w:p>
        </w:tc>
      </w:tr>
      <w:tr>
        <w:trPr>
          <w:trHeight w:val="223"/>
        </w:trPr>
        <w:tc>
          <w:tcPr>
            <w:tcW w:w="5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2,065,180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1,829,068</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2,026,697</w:t>
            </w:r>
          </w:p>
        </w:tc>
      </w:tr>
      <w:tr>
        <w:trPr>
          <w:trHeight w:val="248"/>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6,397,294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6,251,056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6,276,637</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8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1,020,544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794,393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1,912,704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1,495,777</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155,992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345,448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208,362</w:t>
            </w: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Resort net revenue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1,176,536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2,258,152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1,704,139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3"/>
        </w:trPr>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1,176,665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2,258,776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1,705,508</w:t>
            </w:r>
          </w:p>
        </w:tc>
        <w:tc>
          <w:tcPr>
            <w:tcW w:w="0" w:type="dxa"/>
            <w:vAlign w:val="bottom"/>
          </w:tcPr>
          <w:p>
            <w:pPr>
              <w:spacing w:after="0"/>
              <w:rPr>
                <w:sz w:val="1"/>
                <w:szCs w:val="1"/>
                <w:color w:val="auto"/>
              </w:rPr>
            </w:pPr>
          </w:p>
        </w:tc>
      </w:tr>
      <w:tr>
        <w:trPr>
          <w:trHeight w:val="184"/>
        </w:trPr>
        <w:tc>
          <w:tcPr>
            <w:tcW w:w="53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expense (exclusive of depreciation and amortization shown</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417,422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965,483</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765,944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57,174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135,118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90,435</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91,764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260,259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210,444</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Resort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566,360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1,360,860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1,066,823</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4,590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567,969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1,365,450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1,071,911</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(189,214)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(189,362)</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8)</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16,163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540,379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699,846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431,460</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184"/>
        </w:trPr>
        <w:tc>
          <w:tcPr>
            <w:tcW w:w="53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3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3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0" w:type="dxa"/>
            <w:vAlign w:val="bottom"/>
          </w:tcPr>
          <w:p>
            <w:pPr>
              <w:spacing w:after="0"/>
              <w:rPr>
                <w:sz w:val="1"/>
                <w:szCs w:val="1"/>
                <w:color w:val="auto"/>
              </w:rPr>
            </w:pPr>
          </w:p>
        </w:tc>
      </w:tr>
      <w:tr>
        <w:trPr>
          <w:trHeight w:val="140"/>
        </w:trPr>
        <w:tc>
          <w:tcPr>
            <w:tcW w:w="5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(Note 5)</w:t>
            </w:r>
          </w:p>
        </w:tc>
        <w:tc>
          <w:tcPr>
            <w:tcW w:w="3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3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(112,287)</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504,794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588,399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(66,640)</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386,583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477,992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269,399</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372,550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274,629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456,609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268,661</w:t>
            </w:r>
          </w:p>
        </w:tc>
        <w:tc>
          <w:tcPr>
            <w:tcW w:w="0" w:type="dxa"/>
            <w:vAlign w:val="bottom"/>
          </w:tcPr>
          <w:p>
            <w:pPr>
              <w:spacing w:after="0"/>
              <w:rPr>
                <w:sz w:val="1"/>
                <w:szCs w:val="1"/>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amounts (Note 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34"/>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6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386,583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477,992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269,399</w:t>
            </w: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132,167</w:t>
            </w:r>
          </w:p>
        </w:tc>
      </w:tr>
      <w:tr>
        <w:trPr>
          <w:trHeight w:val="229"/>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10,764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19,592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382,148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448,665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411,138</w:t>
            </w:r>
          </w:p>
        </w:tc>
      </w:tr>
      <w:tr>
        <w:trPr>
          <w:trHeight w:val="229"/>
        </w:trPr>
        <w:tc>
          <w:tcPr>
            <w:tcW w:w="54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(34,997)</w:t>
            </w:r>
          </w:p>
        </w:tc>
      </w:tr>
      <w:tr>
        <w:trPr>
          <w:trHeight w:val="223"/>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372,891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317,046</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439,569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376,141</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22"/>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4"/>
              </w:rPr>
              <w:t>Resorts, Inc.</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760" w:type="dxa"/>
            <w:vAlign w:val="bottom"/>
          </w:tcPr>
          <w:p>
            <w:pPr>
              <w:jc w:val="right"/>
              <w:ind w:right="14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w w:val="96"/>
              </w:rPr>
              <w:t>Vail Resorts</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5"/>
              </w:rPr>
              <w:t>Exchangeable</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1,216,489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639,934</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1,460,703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1,686,446</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274,629</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274,629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277,290</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38,807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54,910</w:t>
            </w: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3,610</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317,046</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18,764</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335,810</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6,184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0" w:type="dxa"/>
            <w:vAlign w:val="bottom"/>
          </w:tcPr>
          <w:p>
            <w:pPr>
              <w:spacing w:after="0"/>
              <w:rPr>
                <w:sz w:val="1"/>
                <w:szCs w:val="1"/>
                <w:color w:val="auto"/>
              </w:rPr>
            </w:pPr>
          </w:p>
        </w:tc>
      </w:tr>
      <w:tr>
        <w:trPr>
          <w:trHeight w:val="162"/>
        </w:trPr>
        <w:tc>
          <w:tcPr>
            <w:tcW w:w="2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shares withheld for employee taxes</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April 30, 2021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1,220,942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914,563</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(404,411)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1,782,202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244,495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2,026,697</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January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1,172,595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786,473</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1,565,542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228,142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1,793,684</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372,550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372,550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386,583</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(15,199)</w:t>
            </w:r>
          </w:p>
        </w:tc>
        <w:tc>
          <w:tcPr>
            <w:tcW w:w="0" w:type="dxa"/>
            <w:vAlign w:val="bottom"/>
          </w:tcPr>
          <w:p>
            <w:pPr>
              <w:spacing w:after="0"/>
              <w:rPr>
                <w:sz w:val="1"/>
                <w:szCs w:val="1"/>
                <w:color w:val="auto"/>
              </w:rPr>
            </w:pPr>
          </w:p>
        </w:tc>
      </w:tr>
      <w:tr>
        <w:trPr>
          <w:trHeight w:val="162"/>
        </w:trPr>
        <w:tc>
          <w:tcPr>
            <w:tcW w:w="29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10,764</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372,891</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9,257</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382,148</w:t>
            </w:r>
          </w:p>
        </w:tc>
        <w:tc>
          <w:tcPr>
            <w:tcW w:w="0" w:type="dxa"/>
            <w:vAlign w:val="bottom"/>
          </w:tcPr>
          <w:p>
            <w:pPr>
              <w:spacing w:after="0"/>
              <w:rPr>
                <w:sz w:val="1"/>
                <w:szCs w:val="1"/>
                <w:color w:val="auto"/>
              </w:rPr>
            </w:pPr>
          </w:p>
        </w:tc>
      </w:tr>
      <w:tr>
        <w:trPr>
          <w:trHeight w:val="207"/>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6,029</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6,029</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6,029</w:t>
            </w: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under share award plans,</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shares withheld for employee taxes</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 (Note 11)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(37,503)</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(77,513)</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(77,513)</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April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1,178,495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1,081,510</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1,829,317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2,065,180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10"/>
                <w:szCs w:val="10"/>
                <w:color w:val="auto"/>
              </w:rPr>
            </w:pPr>
          </w:p>
        </w:tc>
        <w:tc>
          <w:tcPr>
            <w:tcW w:w="820" w:type="dxa"/>
            <w:vAlign w:val="bottom"/>
          </w:tcPr>
          <w:p>
            <w:pPr>
              <w:jc w:val="center"/>
              <w:ind w:right="21"/>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0"/>
                <w:szCs w:val="10"/>
                <w:color w:val="auto"/>
              </w:rPr>
            </w:pPr>
          </w:p>
        </w:tc>
        <w:tc>
          <w:tcPr>
            <w:tcW w:w="760" w:type="dxa"/>
            <w:vAlign w:val="bottom"/>
            <w:vMerge w:val="restart"/>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4"/>
              </w:rPr>
              <w:t>Resorts, Inc.</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20" w:type="dxa"/>
            <w:vAlign w:val="bottom"/>
            <w:gridSpan w:val="2"/>
            <w:vMerge w:val="continue"/>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71"/>
        </w:trPr>
        <w:tc>
          <w:tcPr>
            <w:tcW w:w="2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w w:val="96"/>
              </w:rPr>
              <w:t>Vail Resorts</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5"/>
              </w:rPr>
              <w:t>Exchangeable</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645,902</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1,316,742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1,531,667</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268,661</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268,661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269,399</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97,908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97,908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132,167</w:t>
            </w: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9,572</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376,141</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34,997</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411,138</w:t>
            </w:r>
          </w:p>
        </w:tc>
        <w:tc>
          <w:tcPr>
            <w:tcW w:w="0" w:type="dxa"/>
            <w:vAlign w:val="bottom"/>
          </w:tcPr>
          <w:p>
            <w:pPr>
              <w:spacing w:after="0"/>
              <w:rPr>
                <w:sz w:val="1"/>
                <w:szCs w:val="1"/>
                <w:color w:val="auto"/>
              </w:rPr>
            </w:pPr>
          </w:p>
        </w:tc>
      </w:tr>
      <w:tr>
        <w:trPr>
          <w:trHeight w:val="145"/>
        </w:trPr>
        <w:tc>
          <w:tcPr>
            <w:tcW w:w="29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Equity component of 0.0% Convertible</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80,066</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80,066</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80,066</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net (Note 5)</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18,517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18,517</w:t>
            </w: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under share award plans,</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(9,264)</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(9,264)</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shares withheld for employee taxes</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(5,427)</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April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1,220,942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914,563</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1,782,202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2,026,697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773,752</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1,594,599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1,829,068</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456,609</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456,609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21,383</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477,992</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(48,919)</w:t>
            </w:r>
          </w:p>
        </w:tc>
        <w:tc>
          <w:tcPr>
            <w:tcW w:w="0" w:type="dxa"/>
            <w:vAlign w:val="bottom"/>
          </w:tcPr>
          <w:p>
            <w:pPr>
              <w:spacing w:after="0"/>
              <w:rPr>
                <w:sz w:val="1"/>
                <w:szCs w:val="1"/>
                <w:color w:val="auto"/>
              </w:rPr>
            </w:pPr>
          </w:p>
        </w:tc>
      </w:tr>
      <w:tr>
        <w:trPr>
          <w:trHeight w:val="165"/>
        </w:trPr>
        <w:tc>
          <w:tcPr>
            <w:tcW w:w="29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19,592</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19,592</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439,569</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9,096</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448,665</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18,933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18,933</w:t>
            </w:r>
          </w:p>
        </w:tc>
        <w:tc>
          <w:tcPr>
            <w:tcW w:w="0" w:type="dxa"/>
            <w:vAlign w:val="bottom"/>
          </w:tcPr>
          <w:p>
            <w:pPr>
              <w:spacing w:after="0"/>
              <w:rPr>
                <w:sz w:val="1"/>
                <w:szCs w:val="1"/>
                <w:color w:val="auto"/>
              </w:rPr>
            </w:pPr>
          </w:p>
        </w:tc>
      </w:tr>
      <w:tr>
        <w:trPr>
          <w:trHeight w:val="162"/>
        </w:trPr>
        <w:tc>
          <w:tcPr>
            <w:tcW w:w="2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(37,431)</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(37,430)</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(37,430)</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shares withheld for employee taxes</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 (Note 11)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(37,503)</w:t>
            </w: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(148,851)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(148,851)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(148,851)</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April 30,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1,178,495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1,081,510</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(441,914)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1,829,317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235,863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2,065,180</w:t>
            </w:r>
          </w:p>
        </w:tc>
        <w:tc>
          <w:tcPr>
            <w:tcW w:w="0" w:type="dxa"/>
            <w:vAlign w:val="bottom"/>
          </w:tcPr>
          <w:p>
            <w:pPr>
              <w:spacing w:after="0"/>
              <w:rPr>
                <w:sz w:val="1"/>
                <w:szCs w:val="1"/>
                <w:color w:val="auto"/>
              </w:rPr>
            </w:pPr>
          </w:p>
        </w:tc>
      </w:tr>
      <w:tr>
        <w:trPr>
          <w:trHeight w:val="23"/>
        </w:trPr>
        <w:tc>
          <w:tcPr>
            <w:tcW w:w="2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477,992</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269,399</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189,214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189,362</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18,933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18,517</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127,449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69,063</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21,580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12,202</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non-cash income,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(11,622)</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receivables,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77,226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(99,727)</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30,680</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46,046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86,278</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(137,355)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(22,434)</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 - excess tax benefit from share award exercises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(17,042)</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 - other</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14,915</w:t>
            </w:r>
          </w:p>
        </w:tc>
      </w:tr>
      <w:tr>
        <w:trPr>
          <w:trHeight w:val="212"/>
        </w:trPr>
        <w:tc>
          <w:tcPr>
            <w:tcW w:w="7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772,984</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551,137</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(161,842)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(85,595)</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(116,337)</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22,614</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10,579</w:t>
            </w:r>
          </w:p>
        </w:tc>
      </w:tr>
      <w:tr>
        <w:trPr>
          <w:trHeight w:val="210"/>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(255,565)</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(75,016)</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borrowings under Whistler Credit Agreement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21,144</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borrowings under 0.0% Convertible Notes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575,000</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(46,875)</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(46,875)</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borrowings under Whistler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(44,050)</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EB-5 Development Notes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(37,431)</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(148,851)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(21,638)</w:t>
            </w:r>
          </w:p>
        </w:tc>
      </w:tr>
      <w:tr>
        <w:trPr>
          <w:trHeight w:val="210"/>
        </w:trPr>
        <w:tc>
          <w:tcPr>
            <w:tcW w:w="78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(352,653)</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474,316</w:t>
            </w:r>
          </w:p>
        </w:tc>
      </w:tr>
      <w:tr>
        <w:trPr>
          <w:trHeight w:val="209"/>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163,389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954,300</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1,258,574</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402,086</w:t>
            </w:r>
          </w:p>
        </w:tc>
      </w:tr>
      <w:tr>
        <w:trPr>
          <w:trHeight w:val="210"/>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1,421,963</w:t>
            </w: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1,356,386</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8"/>
        </w:trPr>
        <w:tc>
          <w:tcPr>
            <w:tcW w:w="78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13,090</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7,299</w:t>
            </w: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refers to “Resort” as the combination of the Mountain and Lodging segments. In the Mountain segment, the Company operates the following 40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863590" cy="3291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which operates destination resorts in Grand Teton National Park; a Colorado resort ground transportation company and mountain resort golf courses.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Vail Resorts Development Company, a wholly-owned subsidiary, conducts the operations of the Company’s Real Estate segment, which owns, develops and sells real estate in and around the Company’s resort communities.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with peak operating seasons primarily from mid-November through mid-April in North America. The peak operating season at the Company’s Australian resorts, NPS concessionaire properties and golf courses generally occurs from June to early October.</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Expected Acquisition of Andermatt-Sedrun Sport AG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28, 2022, the Company announced that it had entered into an agreement to acquire a 55% ownership stake in Andermatt-Sedrun Sport AG (“Andermatt-Sedrun”) from Andermatt Swiss Alps AG ("ASA"), which controls and operates all of Andermatt-Sedrun's mountain and ski-related assets, including lifts, most of the restaurants and a ski school operation. Pursuant to the terms of the agreement, the Company plans to invest CHF149 million, comprised of a CHF110 million investment into Andermatt-Sedrun for use in capital investments to enhance the guest experience on the mountain and CHF39 million which will be paid to ASA and fully reinvested into the real estate developments in the base area. ASA will retain a 40% ownership stake, with a group of existing shareholders comprising the remaining 5% ownership. The transaction is expected to close later in calendar year 2022, subject to certain third-party consents.</w:t>
      </w:r>
    </w:p>
    <w:p>
      <w:pPr>
        <w:spacing w:after="0" w:line="21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Consolidated Condensed Financial Statements — </w:t>
      </w:r>
      <w:r>
        <w:rPr>
          <w:rFonts w:ascii="Times New Roman" w:cs="Times New Roman" w:eastAsia="Times New Roman" w:hAnsi="Times New Roman"/>
          <w:sz w:val="18"/>
          <w:szCs w:val="18"/>
          <w:color w:val="auto"/>
        </w:rPr>
        <w:t>In the opinion of the Company, the accompanying Consolidated Condensed Financial Statements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2021.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2021 was derived from audited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recorded amounts for cash and cash equivalents, restricted cash, trade receivables, other current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payable and accrued liabilities approximate fair value due to their short-term nature. The fair value of amounts outstanding under the Company’s credit agreements and the Employee Housing Bonds (as defined in Note 5, Long-Term Debt) approximate book value due to the variable nature of the interest rate associated with the debt. The estimated fair values of the 6.25% Notes and the 0.0% Convertible Notes (each as defined in Note 5, Long-Term Debt) are based on quoted market prices (a Level 2 input). The estimated fair value of the EPR Secured Notes (as defined in Note 5, Long-Term Debt) has been estimated using analyses based on current borrowing rates for debt with similar remaining maturities and ratings (a Level 2 input). The carrying values, including any unamortized premium or discount, and estimated fair values of the 6.25% Notes, 0.0% Convertible Notes and EPR Secured Notes as of April 30, 2022 are presented below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3"/>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April 30, 2022</w:t>
            </w:r>
          </w:p>
        </w:tc>
      </w:tr>
      <w:tr>
        <w:trPr>
          <w:trHeight w:val="23"/>
        </w:trPr>
        <w:tc>
          <w:tcPr>
            <w:tcW w:w="36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36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4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616,212</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 Convertible Notes</w:t>
            </w:r>
          </w:p>
        </w:tc>
        <w:tc>
          <w:tcPr>
            <w:tcW w:w="4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493,038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546,969</w:t>
            </w:r>
          </w:p>
        </w:tc>
      </w:tr>
      <w:tr>
        <w:trPr>
          <w:trHeight w:val="230"/>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44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134,508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181,454</w:t>
            </w:r>
          </w:p>
        </w:tc>
      </w:tr>
      <w:tr>
        <w:trPr>
          <w:trHeight w:val="844"/>
        </w:trPr>
        <w:tc>
          <w:tcPr>
            <w:tcW w:w="3660" w:type="dxa"/>
            <w:vAlign w:val="bottom"/>
          </w:tcPr>
          <w:p>
            <w:pPr>
              <w:spacing w:after="0"/>
              <w:rPr>
                <w:sz w:val="24"/>
                <w:szCs w:val="24"/>
                <w:color w:val="auto"/>
              </w:rPr>
            </w:pPr>
          </w:p>
        </w:tc>
        <w:tc>
          <w:tcPr>
            <w:tcW w:w="41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 interim period that includes or is subsequent to March 12, 2020, up to the date that the financial statements are available to be issued. All other amendments should be applied on a prospective basis. The Company is in the process of evaluating the effect that the adoption of this standard will have on its Consolidated Condensed Financial Statements, but does not expect it will have a material effect.</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2020-06, “Accounting for Convertible Instruments and Contracts in an Entity’s Own Equity” which simplifies the guidance in Accounting Standards Codifications (“ASC”) 470-20, “Debt – Debt with Conversion and Other Options” by reducing the number of accounting separation models for convertible instruments, amending the guidance in ASC 815-40, “Derivatives and Hedging – Contracts in Entity’s Own Equity” for certain contracts in an entity’s own equity that are currently accounted for as derivatives, and requiring entities to use the if-converted method for all convertible instruments in the diluted earnings per share (“EPS”) calculation. This standard will be effective for fiscal years beginning after December 15, 2021, including interim periods within those fiscal years (the Company’s first quarter of the fiscal year ending July 31, 2023). This standard allows for a modified retrospective or fully retrospective method of transition. The Company will adopt ASU 2020-06 on August 1, 2022 and expects to use the modified retrospective method, and therefore financial information for periods before August 1, 2022 will remain unchanged. As a result of the adoption of ASU 2020-06, the Company expects that it will reclassify the equity component of its 0.0% Convertible Notes (as defined in Note 5, Long-Term Debt) to long-term debt, net and it will no longer record interest expense related to the amortization of the debt discount.</w:t>
      </w:r>
    </w:p>
    <w:p>
      <w:pPr>
        <w:spacing w:after="0" w:line="217"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the sale of pass products is recognized as lift revenue throughout the ski season, as the Company's performance obligations are satisfied as control of the service (e.g., access to ski areas throughout the ski season) is transferred to customers. In accordance with Topic 606, the Company estimates progress towards satisfaction of its performance obligations using an output method that best depicts the transfer of control of the service to its customers.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the output method measured progress toward satisfaction of the Company’s performance obligations based on the estimated number of pass product holder visits relative to total expected visits, based on historical data, which the Company believed to provide a faithful depiction of its customers’ pass product usage. When sufficient historical data to determine usage patterns was not available, such as in the case of new product offerings, progress was measured on a straight-line basis throughout the ski season until sufficient historical usage patterns were available. Beginning August 1, 2021, progress towards satisfaction of the Company’s performance obligations for all passes is measured using an output method based on the skiable days of the season to date relative to the total estimated skiable days of the season, which effectively results in revenue being recorded on a straight-line basis throughout the ski season. Total estimated skiable days is based on actual resort opening and estimated closing dates. The Company believes this method best estimates the value transferred to the customer to date relative to the remaining services promised under the contract. Due to the strong correlation between historical pass product usage and skiable days, the change in the Company’s method of estimating progress toward satisfaction of the performance obligation alone does not have a material effect on the recognition pattern of pass product revenue.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three and nine months ended April 30, 2022 and 2021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40" w:type="dxa"/>
            <w:vAlign w:val="bottom"/>
          </w:tcPr>
          <w:p>
            <w:pPr>
              <w:spacing w:after="0"/>
              <w:rPr>
                <w:sz w:val="16"/>
                <w:szCs w:val="16"/>
                <w:color w:val="auto"/>
              </w:rPr>
            </w:pPr>
          </w:p>
        </w:tc>
        <w:tc>
          <w:tcPr>
            <w:tcW w:w="25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4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4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r>
              <w:rPr>
                <w:rFonts w:ascii="Times New Roman" w:cs="Times New Roman" w:eastAsia="Times New Roman" w:hAnsi="Times New Roman"/>
                <w:sz w:val="18"/>
                <w:szCs w:val="18"/>
                <w:b w:val="1"/>
                <w:bCs w:val="1"/>
                <w:color w:val="auto"/>
                <w:vertAlign w:val="superscript"/>
              </w:rPr>
              <w:t>(1)</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714,708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1,250,619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1,041,546</w:t>
            </w:r>
          </w:p>
        </w:tc>
      </w:tr>
      <w:tr>
        <w:trPr>
          <w:trHeight w:val="22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120,897</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214,442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138,824</w:t>
            </w:r>
          </w:p>
        </w:tc>
      </w:tr>
      <w:tr>
        <w:trPr>
          <w:trHeight w:val="230"/>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79,826</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146,395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81,276</w:t>
            </w:r>
          </w:p>
        </w:tc>
      </w:tr>
      <w:tr>
        <w:trPr>
          <w:trHeight w:val="22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126,497</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281,704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203,718</w:t>
            </w:r>
          </w:p>
        </w:tc>
      </w:tr>
      <w:tr>
        <w:trPr>
          <w:trHeight w:val="229"/>
        </w:trPr>
        <w:tc>
          <w:tcPr>
            <w:tcW w:w="4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42,707</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135,150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106,005</w:t>
            </w:r>
          </w:p>
        </w:tc>
      </w:tr>
      <w:tr>
        <w:trPr>
          <w:trHeight w:val="223"/>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1,084,635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829,912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2,028,310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1,571,369</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Owned hotel rooms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18,295</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53,362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37,494</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83,703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58,391</w:t>
            </w: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Dining</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14,646</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33,296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Transportation</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6,862</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14,421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Golf</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230"/>
        </w:trPr>
        <w:tc>
          <w:tcPr>
            <w:tcW w:w="4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9,925</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31,641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25,834</w:t>
            </w:r>
          </w:p>
        </w:tc>
      </w:tr>
      <w:tr>
        <w:trPr>
          <w:trHeight w:val="223"/>
        </w:trPr>
        <w:tc>
          <w:tcPr>
            <w:tcW w:w="4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87,222</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221,561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127,596</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4,679</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8,281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r>
      <w:tr>
        <w:trPr>
          <w:trHeight w:val="223"/>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91,901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58,366</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229,842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132,770</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1,176,536</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2,258,152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1,704,139</w:t>
            </w:r>
          </w:p>
        </w:tc>
      </w:tr>
      <w:tr>
        <w:trPr>
          <w:trHeight w:val="229"/>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624</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23"/>
        </w:trPr>
        <w:tc>
          <w:tcPr>
            <w:tcW w:w="4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1,176,665</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889,078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2,258,776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1,705,508</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60" w:hanging="9"/>
        <w:spacing w:after="0" w:line="242" w:lineRule="auto"/>
        <w:tabs>
          <w:tab w:leader="none" w:pos="425"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results for the three and nine months ended April 30, 2021 have been retrospectively adjusted to reflect current period presentation. See Note 10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balances of a short-term nature were $326.0 million and $456.5 million as of April 30, 2022 and July 31, 2021, respectively. Deferred revenue balances of a long-term nature, comprised primarily of long-term private club initiation fee revenue, was $119.2 million and $121.0 million as of April 30, 2022 and July 31, 2021, respectively. For the three and nine months ended April 30, 2022, the Company recognized approximately $200.9 million and $423.9 million, respectively, of revenue that was included in the deferred revenue balance as of July 31, 2021. As of April 30, 2022, the weighted average remaining period over which revenue for unsatisfied performance obligations on long-term private club contracts will be recognized was approximately 16 years. Trade receivables, net were $267.1 million and $345.4 million as of April 30, 2022 and July 31, 2021,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2022, $1.3 million of costs to obtain contracts with customers were recorded within other current assets on the Company’s Consolidated Condensed Balance Sheet. The amounts capitalized are subject to amortization commensurate with the revenue recognized for related pass products. The Company recorded amortization of $11.8 million and $21.9 million, respectively, for these costs during the three and nine months ended April 30, 2022, which was recorded within Mountain and Lodging operating expenses on the Company’s Consolidated Condensed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three months ended April 30, 2022 and 2021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r>
      <w:tr>
        <w:trPr>
          <w:trHeight w:val="196"/>
        </w:trPr>
        <w:tc>
          <w:tcPr>
            <w:tcW w:w="5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372,550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372,550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274,629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274,629</w:t>
            </w: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40,537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40,537</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40,262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40,262</w:t>
            </w:r>
          </w:p>
        </w:tc>
      </w:tr>
      <w:tr>
        <w:trPr>
          <w:trHeight w:val="230"/>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40,568</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40,568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40,296</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40,296</w:t>
            </w: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40,568</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40,678</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40,296</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40,896</w:t>
            </w:r>
          </w:p>
        </w:tc>
      </w:tr>
      <w:tr>
        <w:trPr>
          <w:trHeight w:val="223"/>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9.18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9.16</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6.82</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8,000 and 1,000 for the three months ended April 30,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nine months ended April 30, 2022 and 2021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r>
      <w:tr>
        <w:trPr>
          <w:trHeight w:val="196"/>
        </w:trPr>
        <w:tc>
          <w:tcPr>
            <w:tcW w:w="5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456,609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456,609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268,661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268,661</w:t>
            </w: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40,485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40,485</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40,242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40,242</w:t>
            </w:r>
          </w:p>
        </w:tc>
      </w:tr>
      <w:tr>
        <w:trPr>
          <w:trHeight w:val="230"/>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5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40,518</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40,518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40,277</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40,277</w:t>
            </w: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40,518</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40,784</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40,277</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40,807</w:t>
            </w:r>
          </w:p>
        </w:tc>
      </w:tr>
      <w:tr>
        <w:trPr>
          <w:trHeight w:val="223"/>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issuable upon the exercise of share-based awards excluded from the calculation of diluted EPS because the effect of their inclusion would have been anti-dilutive totaled approximately 3,000 and 2,000 for the nine months ended April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18,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treasury method to calculate diluted EPS, and if the conversion value of the 0.0% Convertible Notes exceeds their conversion price, then the Company will calculate its diluted EPS as if all the notes were converted and the Company issued shares of its common stock to settle the excess value over the conversion price.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three and nine months ended April 30, 2022 and April 30, 2021, the average price of Vail Shares did not exceed the conversion price and therefore there was no impact to diluted EPS during those periods.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April 30, 2022, the Company paid cash dividends of $1.91 and $3.67 per share, respectively ($77.5 million and $148.9 million, respectively, including cash dividends paid to Exchangeco shareholders). The Company did not pay cash dividends during the three and nine months ended April 30, 2021. On June 8, 2022, the Company’s Board of Directors approved a cash dividend of $1.91 per share payable on July 12, 2022 to stockholders of record as of June 27, 2022. Additionally, a Canadian dollar equivalent dividend on the Exchangeco Shares will be payable on July 12, 2022 to shareholders of record on June 27, 2022.</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as of April 30, 2022, July 31, 2021 and April 30, 2021 is summarized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80" w:type="dxa"/>
            <w:vAlign w:val="bottom"/>
          </w:tcPr>
          <w:p>
            <w:pPr>
              <w:spacing w:after="0"/>
              <w:rPr>
                <w:sz w:val="16"/>
                <w:szCs w:val="16"/>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280" w:type="dxa"/>
            <w:vAlign w:val="bottom"/>
          </w:tcPr>
          <w:p>
            <w:pPr>
              <w:spacing w:after="0"/>
              <w:rPr>
                <w:sz w:val="16"/>
                <w:szCs w:val="16"/>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260" w:type="dxa"/>
            <w:vAlign w:val="bottom"/>
          </w:tcPr>
          <w:p>
            <w:pPr>
              <w:spacing w:after="0"/>
              <w:rPr>
                <w:sz w:val="16"/>
                <w:szCs w:val="16"/>
                <w:color w:val="auto"/>
              </w:rPr>
            </w:pPr>
          </w:p>
        </w:tc>
        <w:tc>
          <w:tcPr>
            <w:tcW w:w="12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April 30, 2021</w:t>
            </w:r>
          </w:p>
        </w:tc>
      </w:tr>
      <w:tr>
        <w:trPr>
          <w:trHeight w:val="23"/>
        </w:trPr>
        <w:tc>
          <w:tcPr>
            <w:tcW w:w="5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Vail Holdings Credit Agreement term loan (a)</w:t>
            </w:r>
          </w:p>
        </w:tc>
        <w:tc>
          <w:tcPr>
            <w:tcW w:w="148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1,093,750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1,140,625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1,156,250</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Vail Holdings Credit Agreement revolver (a)</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2024</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148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2025</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 Convertible Notes (b)</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2026</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575,000</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575,000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Whistler Credit Agreement revolver (c)</w:t>
            </w:r>
          </w:p>
        </w:tc>
        <w:tc>
          <w:tcPr>
            <w:tcW w:w="148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2026</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21,012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44,891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40,681</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EPR Secured Notes (d)</w:t>
            </w:r>
          </w:p>
        </w:tc>
        <w:tc>
          <w:tcPr>
            <w:tcW w:w="14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2034-2036</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114,162</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114,162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114,162</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EB-5 Development Notes</w:t>
            </w:r>
          </w:p>
        </w:tc>
        <w:tc>
          <w:tcPr>
            <w:tcW w:w="148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2021</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51,500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housing bonds</w:t>
            </w:r>
          </w:p>
        </w:tc>
        <w:tc>
          <w:tcPr>
            <w:tcW w:w="1480" w:type="dxa"/>
            <w:vAlign w:val="bottom"/>
          </w:tcPr>
          <w:p>
            <w:pPr>
              <w:jc w:val="center"/>
              <w:ind w:left="172"/>
              <w:spacing w:after="0"/>
              <w:rPr>
                <w:sz w:val="20"/>
                <w:szCs w:val="20"/>
                <w:color w:val="auto"/>
              </w:rPr>
            </w:pPr>
            <w:r>
              <w:rPr>
                <w:rFonts w:ascii="Times New Roman" w:cs="Times New Roman" w:eastAsia="Times New Roman" w:hAnsi="Times New Roman"/>
                <w:sz w:val="18"/>
                <w:szCs w:val="18"/>
                <w:color w:val="auto"/>
                <w:w w:val="99"/>
              </w:rPr>
              <w:t>2027-2039</w:t>
            </w: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52,575</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52,575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48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2063</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356,160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351,820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350,373</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tcPr>
          <w:p>
            <w:pPr>
              <w:jc w:val="center"/>
              <w:ind w:left="172"/>
              <w:spacing w:after="0"/>
              <w:rPr>
                <w:sz w:val="20"/>
                <w:szCs w:val="20"/>
                <w:color w:val="auto"/>
              </w:rPr>
            </w:pPr>
            <w:r>
              <w:rPr>
                <w:rFonts w:ascii="Times New Roman" w:cs="Times New Roman" w:eastAsia="Times New Roman" w:hAnsi="Times New Roman"/>
                <w:sz w:val="18"/>
                <w:szCs w:val="18"/>
                <w:color w:val="auto"/>
                <w:w w:val="99"/>
              </w:rPr>
              <w:t>2022-2034</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17,707</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17,941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w:t>
            </w:r>
          </w:p>
        </w:tc>
      </w:tr>
      <w:tr>
        <w:trPr>
          <w:trHeight w:val="22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2,830,366</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2,948,514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2,958,188</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premiums, discounts and debt issuance costs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79,142</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98,222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104,753</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(e)</w:t>
            </w:r>
          </w:p>
        </w:tc>
        <w:tc>
          <w:tcPr>
            <w:tcW w:w="14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63,736</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114,117</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113,454</w:t>
            </w:r>
          </w:p>
        </w:tc>
      </w:tr>
      <w:tr>
        <w:trPr>
          <w:trHeight w:val="223"/>
        </w:trPr>
        <w:tc>
          <w:tcPr>
            <w:tcW w:w="5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2,687,488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2,736,175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2,739,981</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left="580" w:hanging="329"/>
        <w:spacing w:after="0" w:line="254" w:lineRule="auto"/>
        <w:tabs>
          <w:tab w:leader="none" w:pos="5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18, 2020, Vail Holdings, Inc. (“VHI”), certain subsidiaries of the Company, as guarantors, Bank of America, N.A. (“Bank of America”), as administrative agent, and certain Lenders entered into a Fourth Amendment to the Vail Holdings Credit Agreement (the “Fourth Amendment”). Pursuant to the Fourth Amendment, among other terms, VHI was exempted from complying with certain financial maintenance covenants for fiscal quarters ending through January 31, 2022 (unless VHI made a one-time irrevocable election to terminate such exemption period prior to such date) (such period, the “Financial Covenants Temporary Waiver Period”), and the Company was prohibited from undertaking certain activities during such period. On October 31, 2021, VHI exited the Financial Covenants Temporary Waiver Period. As a result, the Company was required to comply with the financial maintenance covenants in the Vail Holdings Credit Agreement starting with the fiscal quarter ended October 31, 2021, and the Company is no longer subject to the covenant modifications that were applicable during the Financial Covenants Temporary Waiver Period.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ind w:left="329"/>
        <w:spacing w:after="0" w:line="253" w:lineRule="auto"/>
        <w:rPr>
          <w:sz w:val="20"/>
          <w:szCs w:val="20"/>
          <w:color w:val="auto"/>
        </w:rPr>
      </w:pPr>
      <w:r>
        <w:rPr>
          <w:rFonts w:ascii="Times New Roman" w:cs="Times New Roman" w:eastAsia="Times New Roman" w:hAnsi="Times New Roman"/>
          <w:sz w:val="18"/>
          <w:szCs w:val="18"/>
          <w:color w:val="auto"/>
        </w:rPr>
        <w:t>As of April 30, 2022, the Vail Holdings Credit Agreement consists of a $500.0 million revolving credit facility and a term loan facility with $1.1 billion outstanding. The term loan facility is subject to quarterly amortization of principal of approximately $15.6 million, in equal installments, for a total of 5%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1.25% as of April 30, 2022 (2.01% as of April 30, 2022). The Vail Holdings Credit Agreement, as amended by the Fourth Amendment, contains customary LIBOR replacement language, including, but not limited to, the use of rates based on the secured overnight financing rate (“SOFR”). SOFR is a broad measure of the cost of borrowing cash in the overnight U.S. Treasury repo market and is administered by the Federal Reserve Bank of New York.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(0.25% as of April 30, 2022).</w:t>
      </w:r>
    </w:p>
    <w:p>
      <w:pPr>
        <w:spacing w:after="0" w:line="214" w:lineRule="exact"/>
        <w:rPr>
          <w:sz w:val="20"/>
          <w:szCs w:val="20"/>
          <w:color w:val="auto"/>
        </w:rPr>
      </w:pPr>
    </w:p>
    <w:p>
      <w:pPr>
        <w:jc w:val="both"/>
        <w:ind w:left="329" w:hanging="329"/>
        <w:spacing w:after="0" w:line="245"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separately accounts for the liability and equity components of the 0.0% Convertible Notes. The liability component at issuance was recognized at estimated fair value based on the fair value of a similar debt instrument that does not have an embedded convertible feature. As of the issuance date, the estimated liability was determined to be $465.3 million and was recorded within long-term debt, net on the Company’s Consolidated Condensed Balance Sheet. The excess of the principal amount of the 0.0% Convertible Notes over the initial fair value of the liability component represented a debt discount of $109.7 million as of the issuance date and is being amortized to interest expense, net over the term. The balance of the unamortized debt discount was $82.0 million as of April 30, 2022. As of April 30, 2022, the conversion price of the 0.0% Convertible Notes, adjusted for cash dividends paid since the issuance date, was $402.08.</w:t>
      </w:r>
    </w:p>
    <w:p>
      <w:pPr>
        <w:spacing w:after="0" w:line="208" w:lineRule="exact"/>
        <w:rPr>
          <w:rFonts w:ascii="Times New Roman" w:cs="Times New Roman" w:eastAsia="Times New Roman" w:hAnsi="Times New Roman"/>
          <w:sz w:val="18"/>
          <w:szCs w:val="18"/>
          <w:color w:val="auto"/>
        </w:rPr>
      </w:pPr>
    </w:p>
    <w:p>
      <w:pPr>
        <w:jc w:val="both"/>
        <w:ind w:left="329" w:hanging="329"/>
        <w:spacing w:after="0" w:line="253" w:lineRule="auto"/>
        <w:tabs>
          <w:tab w:leader="none" w:pos="3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During the three months ended January 31, 2022, the Company entered into an amendment of the Whistler Credit Agreement which extended the maturity date of the revolving credit facility to December 15, 2026. No other material terms of the Whistler Credit Agreement were amended. As of April 30, 2022, all borrowings under the Whistler Credit Agreement were made in Canadian dollars and by way of the issuance of bankers’ acceptances plus 1.75% (approximately 3.03% as of April 30, 2022). The Whistler Credit Agreement also includes a quarterly unused commitment fee based on the Consolidated Total Leverage Ratio, which as of April 30, 2022 is equal to 0.4% per annum.</w:t>
      </w:r>
    </w:p>
    <w:p>
      <w:pPr>
        <w:spacing w:after="0" w:line="221" w:lineRule="exact"/>
        <w:rPr>
          <w:rFonts w:ascii="Times New Roman" w:cs="Times New Roman" w:eastAsia="Times New Roman" w:hAnsi="Times New Roman"/>
          <w:sz w:val="18"/>
          <w:szCs w:val="18"/>
          <w:color w:val="auto"/>
        </w:rPr>
      </w:pPr>
    </w:p>
    <w:p>
      <w:pPr>
        <w:jc w:val="both"/>
        <w:ind w:left="329" w:hanging="329"/>
        <w:spacing w:after="0" w:line="266"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6" w:lineRule="exact"/>
        <w:rPr>
          <w:sz w:val="20"/>
          <w:szCs w:val="20"/>
          <w:color w:val="auto"/>
        </w:rPr>
      </w:pPr>
    </w:p>
    <w:p>
      <w:pPr>
        <w:ind w:left="969" w:hanging="416"/>
        <w:spacing w:after="0" w:line="284" w:lineRule="auto"/>
        <w:tabs>
          <w:tab w:leader="none" w:pos="9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April 30, 2022, interest on this note accrued at a rate of 11.55%.</w:t>
      </w:r>
    </w:p>
    <w:p>
      <w:pPr>
        <w:spacing w:after="0" w:line="50" w:lineRule="exact"/>
        <w:rPr>
          <w:sz w:val="20"/>
          <w:szCs w:val="20"/>
          <w:color w:val="auto"/>
        </w:rPr>
      </w:pPr>
    </w:p>
    <w:p>
      <w:pPr>
        <w:ind w:left="969" w:hanging="440"/>
        <w:spacing w:after="0" w:line="284"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April 30, 2022, interest on this note accrued at a rate of 11.07%.</w:t>
      </w:r>
    </w:p>
    <w:p>
      <w:pPr>
        <w:spacing w:after="0" w:line="50" w:lineRule="exact"/>
        <w:rPr>
          <w:rFonts w:ascii="Times New Roman" w:cs="Times New Roman" w:eastAsia="Times New Roman" w:hAnsi="Times New Roman"/>
          <w:sz w:val="18"/>
          <w:szCs w:val="18"/>
          <w:color w:val="auto"/>
        </w:rPr>
      </w:pPr>
    </w:p>
    <w:p>
      <w:pPr>
        <w:ind w:left="969" w:right="20" w:hanging="490"/>
        <w:spacing w:after="0" w:line="284" w:lineRule="auto"/>
        <w:tabs>
          <w:tab w:leader="none" w:pos="9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April 30, 2022, interest on this note accrued at a rate of 11.07%.</w:t>
      </w:r>
    </w:p>
    <w:p>
      <w:pPr>
        <w:spacing w:after="0" w:line="50" w:lineRule="exact"/>
        <w:rPr>
          <w:rFonts w:ascii="Times New Roman" w:cs="Times New Roman" w:eastAsia="Times New Roman" w:hAnsi="Times New Roman"/>
          <w:sz w:val="18"/>
          <w:szCs w:val="18"/>
          <w:color w:val="auto"/>
        </w:rPr>
      </w:pPr>
    </w:p>
    <w:p>
      <w:pPr>
        <w:ind w:left="969" w:hanging="415"/>
        <w:spacing w:after="0" w:line="284" w:lineRule="auto"/>
        <w:tabs>
          <w:tab w:leader="none" w:pos="9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April 30, 2022, interest on this note accrued at a rate of 12.14%.</w:t>
      </w:r>
    </w:p>
    <w:p>
      <w:pPr>
        <w:spacing w:after="0" w:line="200" w:lineRule="exact"/>
        <w:rPr>
          <w:sz w:val="20"/>
          <w:szCs w:val="20"/>
          <w:color w:val="auto"/>
        </w:rPr>
      </w:pPr>
    </w:p>
    <w:p>
      <w:pPr>
        <w:spacing w:after="0" w:line="298"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1" w:right="339" w:bottom="1440" w:gutter="0" w:footer="0" w:header="0"/>
        </w:sectPr>
      </w:pPr>
    </w:p>
    <w:bookmarkStart w:id="15" w:name="page16"/>
    <w:bookmarkEnd w:id="15"/>
    <w:p>
      <w:pPr>
        <w:ind w:left="1220" w:right="20" w:hanging="365"/>
        <w:spacing w:after="0" w:line="284" w:lineRule="auto"/>
        <w:tabs>
          <w:tab w:leader="none" w:pos="12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April 30, 2022, interest on this note accrued at a rate of 8.88%.</w:t>
      </w:r>
    </w:p>
    <w:p>
      <w:pPr>
        <w:spacing w:after="0" w:line="52" w:lineRule="exact"/>
        <w:rPr>
          <w:sz w:val="20"/>
          <w:szCs w:val="20"/>
          <w:color w:val="auto"/>
        </w:rPr>
      </w:pPr>
    </w:p>
    <w:p>
      <w:pPr>
        <w:jc w:val="both"/>
        <w:ind w:left="580" w:right="20"/>
        <w:spacing w:after="0" w:line="266" w:lineRule="auto"/>
        <w:rPr>
          <w:sz w:val="20"/>
          <w:szCs w:val="20"/>
          <w:color w:val="auto"/>
        </w:rPr>
      </w:pPr>
      <w:r>
        <w:rPr>
          <w:rFonts w:ascii="Times New Roman" w:cs="Times New Roman" w:eastAsia="Times New Roman" w:hAnsi="Times New Roman"/>
          <w:sz w:val="18"/>
          <w:szCs w:val="18"/>
          <w:color w:val="auto"/>
        </w:rPr>
        <w:t>In addition, Peak Resorts is required to maintain a debt service reserve account which amounts are applied to fund interest payments and other amounts due and payable to EPR. As of April 30, 2022, the Company had funded the EPR debt service reserve account in an amount equal to approximately $8.5 million, which was included in other current assets in the Company’s Consolidated Condensed Balance Sheet.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  Current maturities represent principal payments due in the next 12 months.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debt outstanding as of April 30, 2022 reflected by fiscal year (August 1 through July 31)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1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(May 2022 through July 2022)</w:t>
            </w:r>
          </w:p>
        </w:tc>
        <w:tc>
          <w:tcPr>
            <w:tcW w:w="3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69,890</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63,801</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1,553,883</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575,415</w:t>
            </w:r>
          </w:p>
        </w:tc>
      </w:tr>
      <w:tr>
        <w:trPr>
          <w:trHeight w:val="229"/>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551,532</w:t>
            </w:r>
          </w:p>
        </w:tc>
      </w:tr>
      <w:tr>
        <w:trPr>
          <w:trHeight w:val="248"/>
        </w:trPr>
        <w:tc>
          <w:tcPr>
            <w:tcW w:w="61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8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2,830,366</w:t>
            </w:r>
          </w:p>
        </w:tc>
      </w:tr>
      <w:tr>
        <w:trPr>
          <w:trHeight w:val="20"/>
        </w:trPr>
        <w:tc>
          <w:tcPr>
            <w:tcW w:w="6120" w:type="dxa"/>
            <w:vAlign w:val="bottom"/>
            <w:tcBorders>
              <w:top w:val="single" w:sz="8" w:color="CCEEFF"/>
              <w:bottom w:val="single" w:sz="8" w:color="auto"/>
            </w:tcBorders>
          </w:tcPr>
          <w:p>
            <w:pPr>
              <w:spacing w:after="0" w:line="20" w:lineRule="exact"/>
              <w:rPr>
                <w:sz w:val="1"/>
                <w:szCs w:val="1"/>
                <w:color w:val="auto"/>
              </w:rPr>
            </w:pPr>
          </w:p>
        </w:tc>
        <w:tc>
          <w:tcPr>
            <w:tcW w:w="38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interest expense of $35.1 million and $39.0 million for the three months ended April 30, 2022 and 2021, respectively, of which $1.6 million and $1.5 million, respectively, was amortization of deferred financing costs. The Company recorded interest expense of $112.0 million and $112.3 million for the nine months ended April 30, 2022 and 2021, respectively, of which $4.4 million and $3.4 million, respectively, was amortization of deferred financing costs. The Company was in compliance with all of its financial and operating covenants required to be maintained under its debt instruments for all periods presented.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Company’s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$1.0 million and $3.1 million, respectively, of non-cash foreign currency losses on the intercompany loan to Whistler Blackcomb for the three and nine months ended April 30, 2022 on the Company’s Consolidated Condensed Statements of Operations. The Company recognized approximately $4.2 million and $9.8 million, respectively, of non-cash foreign currency gains on the intercompany loan to Whistler Blackcomb for the three and nine months ended April 30, 2021 on the Company’s Consolidated Condensed Statements of Operations.</w:t>
      </w: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Seven Springs Mountain Resort, Hidden Valley Resort &amp; Laurel Mountain Ski Area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2021, the Company, through a wholly-owned subsidiary, acquired Seven Springs Mountain Resort, Hidden Valley Resort and Laurel Mountain Ski Area in Pennsylvania from Seven Springs Mountain Resort, Inc. and its affiliates for a cash purchase price of approximately $116.5 million, after adjustments for certain agreed-upon terms, which the Company funded with cash on hand. The acquisition included the mountain operations of the resorts, including base area skier services (food and beverage, retail and rental, lift ticket offices and ski and snowboard school facilities), as well as a hotel, conference center and other related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5"/>
        </w:trPr>
        <w:tc>
          <w:tcPr>
            <w:tcW w:w="64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r>
      <w:tr>
        <w:trPr>
          <w:trHeight w:val="229"/>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w:t>
            </w:r>
          </w:p>
        </w:tc>
      </w:tr>
      <w:tr>
        <w:trPr>
          <w:trHeight w:val="223"/>
        </w:trPr>
        <w:tc>
          <w:tcPr>
            <w:tcW w:w="6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116,501</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advanced lodging bookings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recognized $2.8 million of acquisition related expenses associated with the transaction within Mountain and Lodging operating expense in its Consolidated Condensed Statement of Operations for the nine months ended April 30, 2022. The operating results of the acquired resorts are reported within the Mountain and Lodging segments prospectively from the date of acquisition.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are preliminary and are based on the information that was available as of the acquisition date.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320" w:type="dxa"/>
            <w:vAlign w:val="bottom"/>
          </w:tcPr>
          <w:p>
            <w:pPr>
              <w:spacing w:after="0"/>
              <w:rPr>
                <w:sz w:val="16"/>
                <w:szCs w:val="16"/>
                <w:color w:val="auto"/>
              </w:rPr>
            </w:pPr>
          </w:p>
        </w:tc>
        <w:tc>
          <w:tcPr>
            <w:tcW w:w="14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300" w:type="dxa"/>
            <w:vAlign w:val="bottom"/>
          </w:tcPr>
          <w:p>
            <w:pPr>
              <w:spacing w:after="0"/>
              <w:rPr>
                <w:sz w:val="16"/>
                <w:szCs w:val="16"/>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April 30, 2021</w:t>
            </w:r>
          </w:p>
        </w:tc>
      </w:tr>
      <w:tr>
        <w:trPr>
          <w:trHeight w:val="23"/>
        </w:trPr>
        <w:tc>
          <w:tcPr>
            <w:tcW w:w="4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766,415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756,517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761,367</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8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1,563,603</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1,496,402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1,502,828</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1,524,191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1,417,705</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1,432,137</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320,695</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308,432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330,530</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8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137,589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122,778</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122,586</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8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83,148</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80,328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82,375</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97,813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67,710</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46,703</w:t>
            </w:r>
          </w:p>
        </w:tc>
      </w:tr>
      <w:tr>
        <w:trPr>
          <w:trHeight w:val="223"/>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18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4,493,454</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4,249,872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4,278,526</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(2,350,169)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(2,181,996)</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(2,161,731)</w:t>
            </w:r>
          </w:p>
        </w:tc>
      </w:tr>
      <w:tr>
        <w:trPr>
          <w:trHeight w:val="223"/>
        </w:trPr>
        <w:tc>
          <w:tcPr>
            <w:tcW w:w="4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2,143,285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2,067,876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2,116,795</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340" w:type="dxa"/>
            <w:vAlign w:val="bottom"/>
          </w:tcPr>
          <w:p>
            <w:pPr>
              <w:spacing w:after="0"/>
              <w:rPr>
                <w:sz w:val="16"/>
                <w:szCs w:val="16"/>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320" w:type="dxa"/>
            <w:vAlign w:val="bottom"/>
          </w:tcPr>
          <w:p>
            <w:pPr>
              <w:spacing w:after="0"/>
              <w:rPr>
                <w:sz w:val="16"/>
                <w:szCs w:val="16"/>
                <w:color w:val="auto"/>
              </w:rPr>
            </w:pP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April 30, 2021</w:t>
            </w:r>
          </w:p>
        </w:tc>
      </w:tr>
      <w:tr>
        <w:trPr>
          <w:trHeight w:val="23"/>
        </w:trPr>
        <w:tc>
          <w:tcPr>
            <w:tcW w:w="49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104,101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98,261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64,412</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326,008</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456,457</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238,075</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1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69,793</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54,286</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69,821</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14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55,453</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47,368</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49,958</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45,820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35,263</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35,263</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39,526</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34,668</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37,687</w:t>
            </w: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101,544</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89,169</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72,048</w:t>
            </w:r>
          </w:p>
        </w:tc>
      </w:tr>
      <w:tr>
        <w:trPr>
          <w:trHeight w:val="223"/>
        </w:trPr>
        <w:tc>
          <w:tcPr>
            <w:tcW w:w="4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742,245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815,472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567,264</w:t>
            </w: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net carrying amount of goodwill allocated between the Company’s segments for the nine months ended April 30, 2022 are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400" w:type="dxa"/>
            <w:vAlign w:val="bottom"/>
          </w:tcPr>
          <w:p>
            <w:pPr>
              <w:spacing w:after="0"/>
              <w:rPr>
                <w:sz w:val="16"/>
                <w:szCs w:val="16"/>
                <w:color w:val="auto"/>
              </w:rPr>
            </w:pPr>
          </w:p>
        </w:tc>
        <w:tc>
          <w:tcPr>
            <w:tcW w:w="13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4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Goodwill, net</w:t>
            </w:r>
          </w:p>
        </w:tc>
      </w:tr>
      <w:tr>
        <w:trPr>
          <w:trHeight w:val="23"/>
        </w:trPr>
        <w:tc>
          <w:tcPr>
            <w:tcW w:w="5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2021</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1,738,836</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42,211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1,781,047</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(including measurement period adjustments)</w:t>
            </w:r>
          </w:p>
        </w:tc>
        <w:tc>
          <w:tcPr>
            <w:tcW w:w="128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2,196</w:t>
            </w:r>
          </w:p>
        </w:tc>
        <w:tc>
          <w:tcPr>
            <w:tcW w:w="40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2,795</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(33,505)</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(33,505)</w:t>
            </w:r>
          </w:p>
        </w:tc>
      </w:tr>
      <w:tr>
        <w:trPr>
          <w:trHeight w:val="223"/>
        </w:trPr>
        <w:tc>
          <w:tcPr>
            <w:tcW w:w="5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Balance at April 30, 2022</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1,707,527</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45,006</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1,752,533</w:t>
            </w:r>
          </w:p>
        </w:tc>
      </w:tr>
      <w:tr>
        <w:trPr>
          <w:trHeight w:val="21"/>
        </w:trPr>
        <w:tc>
          <w:tcPr>
            <w:tcW w:w="5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other current assets, interest rate swaps and Contingent Consideration (defined below) measured at estimated fair value (all other assets and liabilities measured at fair value are immaterial)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April 30, 2022</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504,612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504,612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9,556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9,556</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13,216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13,216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43,700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0" w:type="dxa"/>
            <w:vAlign w:val="bottom"/>
          </w:tcPr>
          <w:p>
            <w:pPr>
              <w:spacing w:after="0"/>
              <w:rPr>
                <w:sz w:val="1"/>
                <w:szCs w:val="1"/>
                <w:color w:val="auto"/>
              </w:rPr>
            </w:pPr>
          </w:p>
        </w:tc>
      </w:tr>
      <w:tr>
        <w:trPr>
          <w:trHeight w:val="39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253,782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253,782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259,945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259,945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12,942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12,942</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29,600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April 30, 2021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253,809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253,809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259,111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259,111</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12,938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12,938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27,400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equivalents,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assets and other long-term liabilities on the Company’s Consolidated Condensed Balance Sheet as of April 30,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nine months ended April 30, 2022 and 2021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2021 and 2020, respectively</w:t>
            </w:r>
          </w:p>
        </w:tc>
        <w:tc>
          <w:tcPr>
            <w:tcW w:w="274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29,600</w:t>
            </w:r>
          </w:p>
        </w:tc>
        <w:tc>
          <w:tcPr>
            <w:tcW w:w="5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17,800</w:t>
            </w:r>
          </w:p>
        </w:tc>
      </w:tr>
      <w:tr>
        <w:trPr>
          <w:trHeight w:val="23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2740" w:type="dxa"/>
            <w:vAlign w:val="bottom"/>
          </w:tcPr>
          <w:p>
            <w:pPr>
              <w:spacing w:after="0"/>
              <w:rPr>
                <w:sz w:val="19"/>
                <w:szCs w:val="19"/>
                <w:color w:val="auto"/>
              </w:rPr>
            </w:pP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(7,480)</w:t>
            </w:r>
          </w:p>
        </w:tc>
        <w:tc>
          <w:tcPr>
            <w:tcW w:w="52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(2,602)</w:t>
            </w:r>
          </w:p>
        </w:tc>
      </w:tr>
      <w:tr>
        <w:trPr>
          <w:trHeight w:val="229"/>
        </w:trPr>
        <w:tc>
          <w:tcPr>
            <w:tcW w:w="60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7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21,580</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12,202</w:t>
            </w:r>
          </w:p>
        </w:tc>
      </w:tr>
      <w:tr>
        <w:trPr>
          <w:trHeight w:val="223"/>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April 30, 2022 and 2021, respectively</w:t>
            </w:r>
          </w:p>
        </w:tc>
        <w:tc>
          <w:tcPr>
            <w:tcW w:w="2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43,700</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27,400</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11.1%,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$4.7 million to $7.7 million.</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Contingent Consideration is classified as a liability, which is remeasured to fair value at each reporting date until the contingency is resolved. During the nine months ended April 30, 2022, the Company made a payment to the landlord for Contingent Consideration of approximately $7.5 million and recorded an increase of approximately $21.6 million which was primarily associated with the estimated Contingent Consideration payment for the fiscal year ending July 31, 2022. These changes resulted in an estimated fair value of the Contingent Consideration of approximately $43.7 million, which is reflected in accounts payable and accrued liabilities and other long-term liabilities in the Company’s Consolidated Condensed Balance Sheet.</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Metropolitan Districts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$1.8 million, $2.0 million and $2.0 million primarily within other long-term liabilities in the accompanying Consolidated Condensed Balance Sheets, as of April 30, 2022, July 31, 2021 and April 30, 2021, respectively, with respect to the estimated present value of future RSRMD capital improvement fees. The Company estimates it will make capital improvement fee payments under this arrangement through the fiscal year ending July 31, 2031.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2022, the Company had various letters of credit outstanding totaling $77.4 million, consisting of $53.4 million to support the Employee Housing Bonds and $24.0 million primarily for workers’ compensation, a wind energy purchase agreement and insurance-related deductibles. The Company also had surety bonds of $13.2 million as of April 30, 2022, primarily to provide collateral for its U.S. workers compensation self-insurance programs.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April 30, 2022, July 31, 2021 and April 30, 2021, the accruals for the above loss contingencies were not material individually or in the aggregate.</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1, 2021, the Company revised its segment reporting to move certain dining and golf operations from the Lodging segment to the Mountain segment. Segment reporting results for the prior year periods have been adjusted retrospectively to conform to the current period presentation.</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Condensed Financial Statements as indicators of financial performance or liquidity.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information by reportable segment, which is used by management in evaluating performance and allocating resources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20" w:type="dxa"/>
            <w:vAlign w:val="bottom"/>
          </w:tcPr>
          <w:p>
            <w:pPr>
              <w:spacing w:after="0"/>
              <w:rPr>
                <w:sz w:val="16"/>
                <w:szCs w:val="16"/>
                <w:color w:val="auto"/>
              </w:rPr>
            </w:pPr>
          </w:p>
        </w:tc>
        <w:tc>
          <w:tcPr>
            <w:tcW w:w="256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1"/>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1"/>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Mountain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1,084,635</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2,028,310</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1,571,369</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91,901</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229,842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4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1,176,536</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2,258,152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1,704,139</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1,176,665</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889,078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2,258,776</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1,705,508</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488,998</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1,157,476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923,279</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77,362</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53,042</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203,384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143,544</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operating expense</w:t>
            </w:r>
          </w:p>
        </w:tc>
        <w:tc>
          <w:tcPr>
            <w:tcW w:w="4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566,360</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1,360,860</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1,066,823</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1,609</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4,590</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segment operating expense</w:t>
            </w: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567,969</w:t>
            </w:r>
          </w:p>
        </w:tc>
        <w:tc>
          <w:tcPr>
            <w:tcW w:w="42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429,090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1,365,450</w:t>
            </w:r>
          </w:p>
        </w:tc>
        <w:tc>
          <w:tcPr>
            <w:tcW w:w="34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1,071,911</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EBITDA:</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596,000</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873,529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654,267</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14,539</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26,458</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w:t>
            </w:r>
          </w:p>
        </w:tc>
        <w:tc>
          <w:tcPr>
            <w:tcW w:w="4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610,539</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899,987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643,493</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Reported EBITDA</w:t>
            </w: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609,248</w:t>
            </w:r>
          </w:p>
        </w:tc>
        <w:tc>
          <w:tcPr>
            <w:tcW w:w="42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461,188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897,172</w:t>
            </w:r>
          </w:p>
        </w:tc>
        <w:tc>
          <w:tcPr>
            <w:tcW w:w="34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639,963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95,519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95,519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96,259</w:t>
            </w:r>
          </w:p>
        </w:tc>
        <w:tc>
          <w:tcPr>
            <w:tcW w:w="0" w:type="dxa"/>
            <w:vAlign w:val="bottom"/>
          </w:tcPr>
          <w:p>
            <w:pPr>
              <w:spacing w:after="0"/>
              <w:rPr>
                <w:sz w:val="1"/>
                <w:szCs w:val="1"/>
                <w:color w:val="auto"/>
              </w:rPr>
            </w:pPr>
          </w:p>
        </w:tc>
      </w:tr>
      <w:tr>
        <w:trPr>
          <w:trHeight w:val="175"/>
        </w:trPr>
        <w:tc>
          <w:tcPr>
            <w:tcW w:w="4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Reconciliation from net income attributable to Vail Resorts, Inc. to</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Reported EBITDA:</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372,550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274,629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456,609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14,033</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21,383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386,583</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477,992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269,399</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from income taxes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118,211</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110,407</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66,640</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from income taxes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504,794</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588,399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336,039</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65,655</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189,214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189,362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2,800</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21,580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4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40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1,040</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35,132</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39,033</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112,043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609,248</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461,188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897,172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639,963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540" w:right="940" w:hanging="5532"/>
        <w:spacing w:after="0" w:line="476" w:lineRule="auto"/>
        <w:tabs>
          <w:tab w:leader="none" w:pos="179"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results for the three and nine months ended April 30, 2021 have been retrospectively adjusted to reflect current period presentation.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left="440" w:hanging="432"/>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repurchased 144,875 Vail Shares during the three and nine months ended April 30, 2022 (at a total cost of approximately $37.5 million). The Company did not repurchase any Vail Shares during the three and nine months ended April 30, 2021. Since inception of its share repurchase program through April 30, 2022, the Company has repurchased 6,306,016 Vail Shares for approximately $441.9 million. As of April 30, 2022, 1,193,984 Vail Shares remained available to repurchase under the existing share repurchase program, which has no expiration date.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April 30, 2022, the Company repurchased 158,268 Vail Shares (at a total cost of approximately $37.2 million), resulting in availability of 1,035,716 Vail Shares for repurchase as of June 8, 2022. Vail Shares purchased pursuant to the repurchase program will be held as treasury shares and may be used for the issuance of Vail Shares under the Company’s employee share award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Quarterly Report on Form 10-Q for the period ended April 30, 2022 (“Form 10-Q”) as “we,” “us,” “our” or the “Company.”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fiscal year ended July 31, 2021 (“Form 10-K”) and the Consolidated Condensed Financial Statements as of April 30, 2022 and 2021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23, 2021 and Item 1A “Risk Factors” of Part II of our Form 10-Q for the fiscal quarter ended January 31, 2022, which was filed on March 14, 2022.</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long-term debt, net to Net Debt.</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40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63590" cy="3291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ski operations occurring in our second and third fiscal quarters and the majority of revenue earned from our Australian ski operations occurring in our first and fourth fiscal quarters. Our North American destination mountain resorts and regional ski areas (collectively, “Resorts”) are typically open for business from mid-November through mid-April, which is the peak operating season for the Mountain segment, and our Australian ski areas are typically open for business from June to early October. Consequently, our first fiscal quarter is a seasonally low period as our North American ski operations are generally not open for business until our second fiscal quarter, while the activity of our Australian ski areas’ peak season and our North American summer operating results are not sufficient to offset the losses incurred during the seasonally low periods at our North American Resorts. Revenue of the Mountain segment during the first and fourth fiscal quarters is primarily generated from summer and group related visitation at our North American destination mountain resorts, retail/rental operations and peak season Australian ski operations. Our largest source of Mountain segment revenue comes from the sale of lift tickets (including pass products), which represented approximately 66% and 70% of Mountain segment net revenue for the three months ended April 30, 2022 and 2021, respectively, and approximately 62% and 66% of Mountain net revenue for the nine months ended April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both absolute pricing, as well as the mix of resort visitation of guests, which impacts the price points at which various products are purchased. The demographic mix of guests that visit our North American destination mountain resorts is divided into two primary categories: (i) out-of-state and international (“Destination”) guests and (ii) in-state and local (“Local”) guests. For the 2021/2022 North American ski season, Destination guests comprised approximately 58% of our North American destination mountain resort skier visits (excluding complimentary access), while Local guests comprised approximately 42% of our North American destination mountain resort skier visits (excluding complimentary access), which compares to 52% and 48%, respectively, for the 2020/2021 North American ski season. Destination guests generally purchase our higher-priced lift tickets (including pass products) and utilize more ancillary services such as ski school, dining and retail/rental, as well as lodging at or around our mountain resorts. The impacts of COVID-19, including travel restrictions, continue to have an adverse impact on Destination visitation, particularly for international guests, as demand for long-distance travel continues to be lower than normal. Additionally, Destination guest visitation is less likely to be impacted by changes in the weather during the current season, but may be more impacted by adverse economic conditions, the global geopolitical climate or weather conditions in the immediately preceding ski season. Local guests tend to be more value-oriented and weather sensitive.</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pass alliance agreements with third-party mountain resorts, which further increase the value proposition of our pass products. For the 2022/2023 ski season, our pass alliances include Telluride Ski Resort in Colorado, Hakuba Valley and Rusutsu Resort in Japan, Resorts of the Canadian Rockies in Canada, Les 3 Vallées in France, Verbier 4 Vallées in Switzerland, Skirama Dolomiti in Italy and Ski Arlberg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skiable days of the season to date relative to the total estimated skiable days of the season.</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Lift revenue consists of pass product lift revenue (“pass revenue”) and non-pass lift product revenue (“non-pass revenue”). For the nine months ended April 30, 2022 and 2021, respectively, approximately 62% and 61% of our total lift revenue recognized was comprised of pass revenue.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be impacted negatively by COVID-19, and we believe that the increase in COVID-19 cases associated with the Omicron variant through the holiday period of the 2021/2022 North American ski season negatively impacted our results. However, our results for the 2021/2022 North American ski season significantly improved following the holiday period, and have significantly outperformed results from the prior year, primarily due to the greater impact of COVID-19 and related limitations and restrictions on results for the prior year. In addition, the ongoing impacts of COVID-19 resulted in restrictions, limitations or closures of our Australian ski area operations during the three months ended October 31, 2021 and 2020. These actions, trends and the COVID-19 pandemic in general had a significant adverse impact on our results of operations for the three and nine months ended April 30, 2022 and 2021, and could continue to have an adverse impact for the remainder of the year ending July 31, 2022 (“Fiscal 2022”) and beyond.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 the Grand Teton Lodge Company (“GTLC”); (iv) a Colorado resort ground transportation company; and (v) mountain resort golf courses.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rooms) proximate to our mountain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96% and 94% of Lodging segment net revenue (excluding Lodging segment revenue associated with the reimbursement of payroll costs) for the three months ended April 30, 2022 and 2021, respectively, and 82% and 79% of Lodging segment net revenue (excluding Lodging segment revenue associated with the reimbursement of payroll costs) for the nine months ended April 30, 2022 and 2021.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concessionaire properties (as their peak operating season generally occurs during the months of June to October); mountain resort golf operations and seasonally lower volume from our other owned and managed properties and businesses.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ongoing impacts of the COVID-19 pandemic have resulted in reduced occupancy at our lodging properties during the 2021/2022 and 2020/2021 North American ski seasons, although we have seen significantly improved results compared to the prior year. In addition, the ongoing impacts of COVID-19 resulted in restrictions, limitations, or closures of our North American summer operations for both the three months ended October 31, 2021 and 2020. These actions, trends and the COVID-19 pandemic in general, had an adverse impact on our results of operations for the three and nine months ended April 30, 2022 and 2021, and could continue to have an adverse impact for the remainder of Fiscal 2022 and beyond.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Together with those risk factors we have identified in our Form 10-K and in this Form 10-Q, we have identified the following important factors (as well as risks and uncertainties associated with such factors) that could impact our future financial performance or condition:</w:t>
      </w:r>
    </w:p>
    <w:p>
      <w:pPr>
        <w:spacing w:after="0" w:line="189" w:lineRule="exact"/>
        <w:rPr>
          <w:sz w:val="20"/>
          <w:szCs w:val="20"/>
          <w:color w:val="auto"/>
        </w:rPr>
      </w:pPr>
    </w:p>
    <w:p>
      <w:pPr>
        <w:jc w:val="both"/>
        <w:ind w:left="660" w:hanging="328"/>
        <w:spacing w:after="0" w:line="25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has led to travel restrictions and other adverse economic impacts in global and local economies. Our operations continue to be negatively impacted by COVID-19 and associated government-mandated restrictions, including vaccination requirements, travel restrictions, and mask and social distancing requirements. Additionally, we may impose our own COVID-19 related restrictions in addition to what is required by state and local governments in the interest of the safety of our guests, employees and resort communities. The ongoing impacts of COVID-19 and associated regional shutdowns resulted in periodic closures of our Australian ski areas during their 2021 ski seasons. Although conditions have improved relative to the prior year, we are uncertain as to the ultimate severity and duration of the COVID-19 pandemic as well as the related global or other travel restrictions and other adverse impacts, we have experienced a negative change in performance and our future performance could also be negatively impacted. In addition, the North American economy may be impacted by economic challenges in North America or declining or slowing growth in economies outside of North America, accompanied by devaluation of currencies, rising inflation, trade tariffs and fluctuating commodity prices. We cannot predict the ultimate impact that the global economic uncertainty as a result of COVID-19 will have on overall travel and leisure spending or more specifically, on our guest visitation, guest spending or other related trends for the remainder of Fiscal 2022 and beyond.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ind w:left="328" w:hanging="328"/>
        <w:spacing w:after="0" w:line="253"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2022, we began our season pass sales program for the 2022/2023 North American ski season. Pass product sales through May 31, 2022 for the upcoming 2022/2023 North American ski season increased approximately 9% in units and approximately 11% in sales dollars as compared to the prior year through June 1, 2021. Pass product sales are adjusted to include pass sales for the Seven Springs Resorts in both periods and to eliminate the impact of foreign currency by applying an exchange rate of $0.79 between the Canadian dollar and U.S. dollar in both periods for Whistler Blackcomb pass sales. We cannot predict if this favorable trend will continue through the 2022 North American pass sales campaign or the overall impact that pass sales will have on lift revenue for the 2022/2023 North American ski season.</w:t>
      </w:r>
    </w:p>
    <w:p>
      <w:pPr>
        <w:spacing w:after="0" w:line="221"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2021/2022 North American ski season got off to a slow start with challenging early season conditions which persisted through the holiday period, but results were strong from January through the remainder of the season. We had particularly strong Destination visitation this year, which was further supported by lift ticket sales at our Colorado and Utah resorts that exceeded our expectations through the spring. Our recent results at Whistler Blackcomb were also stronger than expected due to the easing of travel restrictions in Canada in late February. Recent performance at our eastern U.S. ski areas was in-line with our expectations while our Tahoe resorts were impacted by challenging spring conditions, resulting in performance below our expectations. Throughout the season, our ancillary businesses continued to be capacity constrained by staffing, and in the case of dining, by operational restrictions associated with COVID-19. We cannot predict the impact that COVID-19 limitations and restrictions, future weather conditions or continued staffing challenges will have on our skier visitation and results of operations for the remainder of Fiscal 2022 and beyond.</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2022, we had $1.4 billion of cash and cash equivalents, as well as $417.3 million available under the revolver component of our Eighth Amended and Restated Credit Agreement, dated as of August 15, 2018 and as amended most recently on December 18, 2020 (the “Vail Holdings Credit Agreement”), which represents the total commitment of $500.0 million less certain letters of credit outstanding of $82.7 million. Additionally, we have a credit facility which supports the liquidity needs of Whistler Blackcomb (the “Whistler Credit Agreement”). As of April 30, 2022, we had C$272.1 million ($211.8 million) available under the revolver component of the Whistler Credit Agreement (which represents the total commitment of C$300.0 million ($233.5 million) less outstanding borrowings of C$27.0 million ($21.0 million) and a letter of credit outstanding of C$0.9 million ($0.7 million).</w:t>
      </w:r>
    </w:p>
    <w:p>
      <w:pPr>
        <w:spacing w:after="0" w:line="215"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exited the Financial Covenants Temporary Waiver Period under the Vail Holdings Credit Agreement effective October 31, 2021. As a result, we are required to comply with the financial maintenance covenants in the Vail Holdings Credit Agreement and we are no longer subject to the covenant modifications that were applicable during the temporary waiver period.</w:t>
      </w:r>
    </w:p>
    <w:p>
      <w:pPr>
        <w:spacing w:after="0" w:line="202"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existing cash and cash equivalents, availability under our credit agreements and the expected positive cash flow from operating activities of our Mountain and Lodging segments will continue to provide us with sufficient liquidity to fund our operations.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3"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December 31, 2021, through a wholly-owned subsidiary, we acquired Seven Springs Mountain Resort, Hidden Valley Resort and Laurel Mountain Ski Area in Pennsylvania (collectively, the “Seven Springs Resorts”) from Seven Springs Mountain Resort, Inc. and its affiliates for a purchase price of approximately $116.5 million, after adjustments for certain agreed-upon terms, which we funded with cash on hand. The acquisition included the mountain operations of the Seven Springs Resorts, including base area skier services (food and beverage, retail and rental, lift ticket offices and ski and snowboard school facilities), as well as hotel, conference center and other related operations. We expect that the acquisition of the Seven Springs Resorts will positively contribute to our annual results of operations, however we cannot predict the ultimate impact the new resorts will have on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1" w:right="339" w:bottom="1440" w:gutter="0" w:footer="0" w:header="0"/>
        </w:sectPr>
      </w:pPr>
    </w:p>
    <w:bookmarkStart w:id="27" w:name="page28"/>
    <w:bookmarkEnd w:id="27"/>
    <w:p>
      <w:pPr>
        <w:jc w:val="both"/>
        <w:ind w:left="660" w:hanging="328"/>
        <w:spacing w:after="0" w:line="25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2022, we announced that we had entered into an agreement to acquire a 55% ownership stake in Andermatt-Sedrun Sport AG (“Andermatt-Sedrun”) from Andermatt Swiss Alps AG ("ASA"), which controls and operates all of Andermatt-Sedrun's mountain and ski-related assets, including lifts, most of the restaurants and a ski school operation. Pursuant to the terms of the agreement, we plan to invest CHF 149 million, comprised of a CHF 110 million investment into Andermatt-Sedrun for use in capital investments to enhance the guest experience on the mountain and CHF 39 million which will be paid to ASA and fully reinvested into the real estate developments in the base area. ASA will retain a 40% ownership stake, with a group of existing shareholders comprising the remaining 5% ownership. The transaction is expected to close later in calendar year 2022, subject to certain third-party consents. Subject to the timing of closing, we plan to include unlimited and unrestricted access to Andermatt-Sedrun on the Epic Pass for the 2022/2023 ski season.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Below is a summary of operating results for the three and nine months ended April 30, 2022, compared to the three and nine months ended April 30, 2021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4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9"/>
                <w:szCs w:val="9"/>
                <w:b w:val="1"/>
                <w:bCs w:val="1"/>
                <w:color w:val="auto"/>
              </w:rPr>
              <w:t>(1)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372,550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456,609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268,661</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504,794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354,187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588,399</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336,039</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596,000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873,529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654,267</w:t>
            </w:r>
          </w:p>
        </w:tc>
      </w:tr>
      <w:tr>
        <w:trPr>
          <w:trHeight w:val="229"/>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14,539</w:t>
            </w: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26,458</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r>
      <w:tr>
        <w:trPr>
          <w:trHeight w:val="223"/>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610,539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899,987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643,493</w:t>
            </w:r>
          </w:p>
        </w:tc>
      </w:tr>
      <w:tr>
        <w:trPr>
          <w:trHeight w:val="229"/>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r>
    </w:tbl>
    <w:p>
      <w:pPr>
        <w:spacing w:after="0" w:line="76" w:lineRule="exact"/>
        <w:rPr>
          <w:sz w:val="20"/>
          <w:szCs w:val="20"/>
          <w:color w:val="auto"/>
        </w:rPr>
      </w:pPr>
    </w:p>
    <w:p>
      <w:pPr>
        <w:ind w:left="260" w:hanging="9"/>
        <w:spacing w:after="0" w:line="229" w:lineRule="auto"/>
        <w:tabs>
          <w:tab w:leader="none" w:pos="439"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results for the three and nine months ended April 30, 2021 have been retrospectively adjusted to reflect current period presentation. See Notes to the Consolidated Condensed Financial Statements for additional information.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consolidated condensed results of operations, including any consolidated financial metrics pertaining thereto, include the operations of the Seven Springs Resorts (acquired December 31, 2021) prospectively from the date of acquisition.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COVID-19 in general had an adverse impact on our results of operations for both the three and nine months ended April 30, 2022 and 2021, as further described below in our segment results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2022 compared to the three months ended April 30, 2021</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Mountain segment operating results for the three months ended April 30, 2022 and 2021 are presented by category as follows (in thousands, except effective ticket price (“ETP”)). ETP is calculated as lift revenue divided by total skier visits for each applicable period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6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3"/>
                <w:szCs w:val="3"/>
                <w:color w:val="auto"/>
              </w:rPr>
            </w:pPr>
          </w:p>
        </w:tc>
        <w:tc>
          <w:tcPr>
            <w:tcW w:w="126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6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714,708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577,680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120,897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79,826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126,497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42,707</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1,084,635</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829,912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209,729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34,940</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49,426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77,000</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117,903</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488,998</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596,000</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456,898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8,702</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82.13</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results for the three months ended April 30, 2021 have been retrospectively adjusted to reflect current period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Reported EBITDA includes $5.1 million of stock-based compensation expense for both the three months ended April 30, 2022 and 2021.</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Mountain Reported EBITDA increased $139.1 million, or 30.4%, primarily due to strong North American pass sales growth for the 2021/2022 North American ski season and fewer COVID-19 related limitations and restrictions on our North American operations as compared to the prior year. Visitation across our North American Resorts increased significantly relative to prior year levels, particularly among pass product holders. These increases were partially offset by an increase in variable expenses associated with the increase in revenue and visitation, one-time expense associated with our previously announced end of season bonus program for hourly workers, and an increase in general and administrative expenses primarily due to cost discipline efforts in the prior year associated with lower levels of operations. Mountain segment results for the three months ended April 30, 2022 also include acquisition and integration related expenses, as well as expenses associated with the expected acquisition of Andermatt-Sedrun, of $1.0 million, compared to $0.1 million of acquisition and integration related expenses for the three months ended April 30, 2021.</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Lift revenue increased $137.0 million, or 23.7%, primarily due to increases in both pass revenue and non-pass lift ticket purchases. Pass revenue increased 30.2%, which was primarily driven by increased pass product sales for the 2021/2022 North American ski season compared to the 2020/2021 North American ski season, which were favorably impacted by increased pass product sales to new pass holders and Destination guests. Non-pass revenue increased 16.1% primarily due to an increase in visitation, which was significantly impacted by COVID-19 related capacity limitations in the prior year, as well as an increase in non-pass ETP of 6.0%.</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increased $40.5 million, or 50.4%, dining revenue increased $33.8 million, or 73.6% and retail/rental revenue increased $35.2 million, or 38.6%, each primarily due to fewer COVID-19 related limitations and restrictions on our North American winter operations as compared to the prior year, as well as an increase in demand over the prior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increased $8.1 million, or 23.5%, primarily due to increased municipal services and other ski area administrative revenue, guest services revenue, other mountain activities revenue, marketing revenue, private club revenue and employee housing revenue, each as a result of increased visitation and fewer COVID-19 related limitations and restrictions on our North American winter operations as compared to the prior year.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increased $115.0 million, or 30.7%, which was primarily attributable to increased variable expenses associated with increases in revenue, and the impact of cost discipline efforts in the prior year associated with lower levels of operations, including limitations, restrictions and closures resulting from COVID-19. Additionally, operating expense for the three months ended April 30, 2022 includes acquisition and integration related expenses, as well as expenses associated with the expected acquisition of Andermatt-Sedrun, of $1.0 million, compared to $0.1 million of acquisition and integration related expenses for the three months ended April 30, 2021.</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Labor and labor-related benefits increased 29.3%, primarily due to increased staffing associated with an increase in visitation and the impact of COVID-19 related cost actions in the prior year, as well as $12.7 million of incremental expense associated with our end of season bonus program for employees not eligible for our management incentive plan and a decrease of $7.8 million in tax credits from COVID-19 related legislation in Canada. Retail cost of sales increased 37.7%, compared to an increase in retail sales of 41.8%, reflecting increased margins on a higher mix of newer, higher-margin retail products. Resort related fees increased 29.5%, primarily due to increases in revenue on which those fees are based. General and administrative expense increased 24.4%, primarily due to an increase in allocated corporate overhead costs across nearly all corporate functions, which were impacted in the prior year by COVID-19 related cost management. Other expense increased 36.4%, primarily due to increases in variable operating expenses associated with increased revenues and visitation, as well as an increase in acquisition and integration related expenses and expenses associated with the expected acquisition of Andermatt-Sedrun of $0.9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2022 compared to the nine months ended April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segment operating results for the nine months ended April 30, 2022 and 2021 are presented by category as follows (in thousands, except ETP):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3"/>
                <w:szCs w:val="3"/>
                <w:color w:val="auto"/>
              </w:rPr>
            </w:pPr>
          </w:p>
        </w:tc>
        <w:tc>
          <w:tcPr>
            <w:tcW w:w="128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6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1,250,619</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1,041,546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214,442</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146,395</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281,704</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203,718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135,150</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2,028,310</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1,571,369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468,848</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374,556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85,851</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89,419</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219,262</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294,096</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237,582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1,157,476</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923,279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873,529</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654,267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results for the nine months ended April 30, 2021 have been retrospectively adjusted to reflect current period presentation.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$15.9 million and $15.4 million of stock-based compensation expense for the nine months ended April 30, 2022 and 2021, respectively.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Mountain Reported EBITDA increased $219.3 million, or 33.5%, primarily due to strong North American pass sales growth for the 2021/2022 North American ski season and fewer COVID-19 related limitations and restrictions on our North American operations compared to the prior year. Visitation across our North American Resorts increased relative to prior year levels, but was partially offset by the negative impact of delayed Resort openings due to challenging early season conditions. These increases were partially offset by an increase in variable expenses associated with the increase in revenue and visitation, and an increase in general and administrative expenses primarily due to cost discipline efforts in the prior year associated with lower levels of operations. Additionally, our operations during both the three months ended October 31, 2021 and 2020 were negatively impacted by periodic resort closures at our Australian ski areas due to regional lockdowns as a result of COVID-19. Mountain segment results for the nine months ended April 30, 2022 also include acquisition and integration related expenses, as well as expenses associated with the expected acquisition of Andermatt-Sedrun, of $5.0 million, compared to $0.9 million of acquisition and integration related expenses for the nine months ended April 30, 2021.</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Lift revenue increased $209.1 million, or 20.1%, primarily due to an increase in pass revenue and an increase in non-pass lift ticket purchases. Pass revenue increased 20.8%, which was primarily driven by increased pass product sales for the 2021/2022 North American ski season compared to the 2020/2021 North American ski season, which were favorably impacted by increased pass product sales to new pass holders and Destination guests. Non-pass revenue increased 18.8% primarily due to an increase in visitation, which was significantly impacted by COVID-19 related capacity limitations in the prior year, as well as an increase in non-pass ETP of 8.6%. The increase in lift revenue for non-pass revenue was partially offset by delayed Resort openings as a result of challenging early season conditions, which negatively impacted visitation.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increased $75.6 million, or 54.5%, dining revenue increased $65.1 million, or 80.1%, and retail/rental revenue increased $78.0 million, or 38.3%, each primarily due to fewer COVID-19 related limitations and restrictions on our North American winter operations as compared to the prior year, as well as an increase in demand over the prior year.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also includes Australian resort lodging and transportation revenue. Other revenue increased $29.1 million, 27.5%, primarily due to increased summer activities, municipal services and other ski area administrative revenue, guest services, employee housing revenue, marketing revenue, private club revenue and other mountain activities as a result of increased visitation and fewer COVID-19 related limitations and restrictions on our North American operations as compared to the prior year.</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increased $234.2 million, 25.4%, which was primarily attributable to increased variable expenses associated with increases in revenue, and the impact of cost discipline efforts in the prior year associated with lower levels of operations, including limitations, restrictions and closures resulting from COVID-19. Additionally, operating expense for the nine months ended April 30, 2022 includes acquisition and integration related expenses, as well as expenses associated with the expected acquisition of Andermatt-Sedrun, of $5.0 million, compared to $0.9 million of acquisition and integration related expenses for the nine months ended April 30, 2021.</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Labor and labor-related benefits increased 25.2%, primarily due to increased staffing associated with an increase in visitation and the impact of COVID-19 related cost actions in the prior year, including salary reductions, as well as $17.1 million of incremental expense associated with our end of season bonus program for employees not eligible for our management incentive plan and a decrease of $17.7 million in tax credits from COVID-19 related legislation in Canada. Retail cost of sales increased 29.4%, compared to an increase in retail sales of 38.7%, reflecting increased margins on a higher mix of newer, higher-margin retail products. Resort related fees increased 33.2%, primarily due to increases in revenue on which those fees are based. General and administrative expense increased 23.4%, primarily due to an increase in allocated corporate overhead costs across all corporate functions, which were impacted in the prior year by COVID-19 related cost management, as well as a decrease in tax credits of approximately $5.1 million associated with COVID-19 related legislation in Canada and Australia. Other expense increased 23.8%, primarily due to increases in variable operating expenses associated with increased revenues and visitation, as well as an increase in acquisition and integration related expenses and expenses associated with the expected acquisition of Andermatt-Sedrun of $4.1 million.</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 Mountain equity investment income from the real estate brokerage company decreased $3.5 million, or 56.4%, for the nine months ended April 30, 2022 compared to the same period in the prior year due to a lower number of real estate sales.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2022 compared to the three months ended April 30, 2021</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the three months ended April 30, 2022 and 2021 are presented by category as follows (in thousands, except average daily rates (“ADR”) and revenue per available room (“RevPAR”)):</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880" w:type="dxa"/>
            <w:vAlign w:val="bottom"/>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880" w:type="dxa"/>
            <w:vAlign w:val="bottom"/>
          </w:tcPr>
          <w:p>
            <w:pPr>
              <w:jc w:val="center"/>
              <w:ind w:left="34"/>
              <w:spacing w:after="0" w:line="68" w:lineRule="exact"/>
              <w:rPr>
                <w:sz w:val="20"/>
                <w:szCs w:val="20"/>
                <w:color w:val="auto"/>
              </w:rPr>
            </w:pPr>
            <w:r>
              <w:rPr>
                <w:rFonts w:ascii="Times New Roman" w:cs="Times New Roman" w:eastAsia="Times New Roman" w:hAnsi="Times New Roman"/>
                <w:sz w:val="7"/>
                <w:szCs w:val="7"/>
                <w:b w:val="1"/>
                <w:bCs w:val="1"/>
                <w:color w:val="auto"/>
              </w:rPr>
              <w:t>Increase</w:t>
            </w:r>
          </w:p>
        </w:tc>
      </w:tr>
      <w:tr>
        <w:trPr>
          <w:trHeight w:val="223"/>
        </w:trPr>
        <w:tc>
          <w:tcPr>
            <w:tcW w:w="6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188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18,295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78.5 %</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37,494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14,646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251.9 %</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6,862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47.2 %</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9,925</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87,222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4,679</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139.6 %</w:t>
            </w: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91,901</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35,187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14,764</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22,732</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72,683</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4,679</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139.6 %</w:t>
            </w: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77,362</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53,042</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45.9 %</w:t>
            </w: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14,539</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173.1 %</w:t>
            </w: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330.52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173.30</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508.24</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215.48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475.21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214.40</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r>
    </w:tbl>
    <w:p>
      <w:pPr>
        <w:spacing w:after="0" w:line="98"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results for the three months ended April 30, 2021 have been retrospectively adjusted to reflect current period presentation.</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Lodging Reported EBITDA includes $0.9 million and $1.0 million of stock-based compensation expense for the three months ended April 30, 2022 and 2021, respectively. Lodging Reported EBITDA increased $9.2 million, or 173.1%, primarily as a result of fewer COVID-19 capacity-related restrictions and limitations on our North American operations compared to the prior year, which resulted in increased occupancy at our lodging properties compared to the prior year, as well as an increase in ADR of 26.9% driven by increased pricing at our owned hotels and managed condominiums due to an increase in demand.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owned hotel rooms, managed condominium rooms, dining, transportation, and other revenue each increased primarily as a result of fewer COVID-19 related limitations and restrictions as compared to the prior year, as well as an increase in demand over the prior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 (excluding reimbursed payroll costs) increased 42.3%. Labor and labor related benefits increased 35.9%, primarily due to increased staffing associated with improved North American operations in the current year as a result of fewer COVID-19 related limitations and restrictions as compared to the prior year, as well as an increase in demand over the prior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year, and expense associated with our previously announced end of season bonus program for hourly workers. General and administrative expense increased 29.8% primarily due to an increase in allocated corporate overhead costs for nearly all corporate functions, which were impacted in the prior year by COVID-19 related cost management. Other expense increased 64.5%, primarily related to higher variable expenses associated with increased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2022 compared to the nine months ended April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Lodging segment operating results for the nine months ended April 30, 2022 and 2021 are presented by category as follows (in thousands, except ADR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RevPAR):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880" w:type="dxa"/>
            <w:vAlign w:val="bottom"/>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880" w:type="dxa"/>
            <w:vAlign w:val="bottom"/>
          </w:tcPr>
          <w:p>
            <w:pPr>
              <w:jc w:val="center"/>
              <w:ind w:left="34"/>
              <w:spacing w:after="0" w:line="68" w:lineRule="exact"/>
              <w:rPr>
                <w:sz w:val="20"/>
                <w:szCs w:val="20"/>
                <w:color w:val="auto"/>
              </w:rPr>
            </w:pPr>
            <w:r>
              <w:rPr>
                <w:rFonts w:ascii="Times New Roman" w:cs="Times New Roman" w:eastAsia="Times New Roman" w:hAnsi="Times New Roman"/>
                <w:sz w:val="7"/>
                <w:szCs w:val="7"/>
                <w:b w:val="1"/>
                <w:bCs w:val="1"/>
                <w:color w:val="auto"/>
              </w:rPr>
              <w:t>Increase</w:t>
            </w:r>
          </w:p>
        </w:tc>
      </w:tr>
      <w:tr>
        <w:trPr>
          <w:trHeight w:val="223"/>
        </w:trPr>
        <w:tc>
          <w:tcPr>
            <w:tcW w:w="6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8"/>
                <w:szCs w:val="18"/>
                <w:b w:val="1"/>
                <w:bCs w:val="1"/>
                <w:color w:val="auto"/>
                <w:vertAlign w:val="superscript"/>
              </w:rPr>
              <w:t>(1)</w:t>
            </w:r>
          </w:p>
        </w:tc>
        <w:tc>
          <w:tcPr>
            <w:tcW w:w="188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53,362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119.4 %</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83,703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33,296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332.2 %</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14,421</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5,138</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31,641</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221,561</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127,596</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8,281</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229,842</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73.1 %</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92,925</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40,997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61,181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38,796</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57.7 %</w:t>
            </w: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195,103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138,370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41.0 %</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8,281</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60.1 %</w:t>
            </w: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203,384</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26,458</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345.6 %</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307.80</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167.90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82.0 %</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443.10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142.55</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403.31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234"/>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149.20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72.2 %</w:t>
            </w:r>
          </w:p>
        </w:tc>
      </w:tr>
    </w:tbl>
    <w:p>
      <w:pPr>
        <w:spacing w:after="0" w:line="112" w:lineRule="exact"/>
        <w:rPr>
          <w:sz w:val="20"/>
          <w:szCs w:val="20"/>
          <w:color w:val="auto"/>
        </w:rPr>
      </w:pPr>
    </w:p>
    <w:p>
      <w:pPr>
        <w:ind w:left="5540" w:right="1660" w:hanging="5532"/>
        <w:spacing w:after="0" w:line="476" w:lineRule="auto"/>
        <w:tabs>
          <w:tab w:leader="none" w:pos="179"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results for the nine months ended April 30, 2021 have been retrospectively adjusted to reflect current period presentation.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Lodging Reported EBITDA includes $2.9 million of stock-based compensation expense for both the nine months ended April 30, 2022 and 2021. Lodging Reported EBITDA increased $37.2 million, or 345.6%, primarily as a result of fewer COVID-19 capacity-related restrictions and limitations on our North American operations compared to the prior year, which resulted in increased occupancy at our lodging properties as compared to the prior year, as well as an increase in ADR of 17.0% driven by increased pricing at our owned hotels and managed condominiums due to an increase in demand, partially offset by increased general and administrative expenses primarily due to COVID-19 related cost management in the prior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owned hotel rooms, managed condominium rooms, dining, transportation, golf and other revenue each increased primarily as a result of fewer COVID-19 related limitations and restrictions as compared to the prior year, as well as an increase in demand over the prior year.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 (excluding reimbursed payroll costs) increased 41.0%. Labor and labor related benefits increased 39.2%, primarily due to increased staffing associated with improved North American operations in the current year as a result of fewer COVID-19 related limitations and restrictions and increased demand, as well as the impact of salary reductions in the prior year and expense associated with our previously announced end of season bonus program for hourly workers. General and administrative expense increased 25.0% primarily due to an increase in allocated corporate overhead costs for nearly all functions, which were impacted in the prior year by COVID-19 related cost management. Other expense increased 57.7%, primarily related to higher variable expenses associated with increased revenue.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5" w:name="page36"/>
    <w:bookmarkEnd w:id="3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2022 compared to the three months ended April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three months ended April 30, 2022 and 2021 are presented by category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74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00" w:type="dxa"/>
            <w:vAlign w:val="bottom"/>
          </w:tcPr>
          <w:p>
            <w:pPr>
              <w:spacing w:after="0"/>
              <w:rPr>
                <w:sz w:val="13"/>
                <w:szCs w:val="13"/>
                <w:color w:val="auto"/>
              </w:rPr>
            </w:pPr>
          </w:p>
        </w:tc>
        <w:tc>
          <w:tcPr>
            <w:tcW w:w="18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6"/>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20" w:type="dxa"/>
            <w:vAlign w:val="bottom"/>
          </w:tcPr>
          <w:p>
            <w:pPr>
              <w:spacing w:after="0"/>
              <w:rPr>
                <w:sz w:val="3"/>
                <w:szCs w:val="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3"/>
                <w:szCs w:val="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8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 (including sales commission)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1,609</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1,609</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8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close on any significant real estate transactions during the three months ended April 30, 2022 and 2021. Other operating expense for both the three months ended April 30, 2022 and 2021 was primarily comprised of general and administrative costs, such as labor and labor-related benefits, professional services and allocated corporate overhead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2022 compared to the nine months ended April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nine months ended April 30, 2022 and 2021 are presented by category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74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600" w:type="dxa"/>
            <w:vAlign w:val="bottom"/>
          </w:tcPr>
          <w:p>
            <w:pPr>
              <w:spacing w:after="0"/>
              <w:rPr>
                <w:sz w:val="13"/>
                <w:szCs w:val="13"/>
                <w:color w:val="auto"/>
              </w:rPr>
            </w:pPr>
          </w:p>
        </w:tc>
        <w:tc>
          <w:tcPr>
            <w:tcW w:w="190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900" w:type="dxa"/>
            <w:vAlign w:val="bottom"/>
            <w:vMerge w:val="restart"/>
          </w:tcPr>
          <w:p>
            <w:pPr>
              <w:jc w:val="center"/>
              <w:ind w:left="36"/>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48"/>
        </w:trPr>
        <w:tc>
          <w:tcPr>
            <w:tcW w:w="6000" w:type="dxa"/>
            <w:vAlign w:val="bottom"/>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4"/>
                <w:szCs w:val="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w:t>
            </w:r>
          </w:p>
        </w:tc>
        <w:tc>
          <w:tcPr>
            <w:tcW w:w="10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 (including sales commission)</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4,346</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4,590</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1,151</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509.0 %</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close on any significant real estate transactions during the nine months ended April 30, 2022 and 2021. Other operating expense for both the nine months ended April 30, 2022 and 2021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material items contributed to our overall financial results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2022 and 2021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5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00" w:type="dxa"/>
            <w:vAlign w:val="bottom"/>
          </w:tcPr>
          <w:p>
            <w:pPr>
              <w:spacing w:after="0"/>
              <w:rPr>
                <w:sz w:val="16"/>
                <w:szCs w:val="16"/>
                <w:color w:val="auto"/>
              </w:rPr>
            </w:pPr>
          </w:p>
        </w:tc>
        <w:tc>
          <w:tcPr>
            <w:tcW w:w="2540" w:type="dxa"/>
            <w:vAlign w:val="bottom"/>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c>
          <w:tcPr>
            <w:tcW w:w="14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2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4"/>
                <w:szCs w:val="4"/>
                <w:color w:val="auto"/>
              </w:rPr>
            </w:pPr>
          </w:p>
        </w:tc>
        <w:tc>
          <w:tcPr>
            <w:tcW w:w="10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4"/>
                <w:szCs w:val="4"/>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estimated fair value of</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(2,800)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(10,400)</w:t>
            </w: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(73.1)%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(21,580)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(12,202)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0" w:type="dxa"/>
            <w:vAlign w:val="bottom"/>
          </w:tcPr>
          <w:p>
            <w:pPr>
              <w:spacing w:after="0"/>
              <w:rPr>
                <w:sz w:val="1"/>
                <w:szCs w:val="1"/>
                <w:color w:val="auto"/>
              </w:rPr>
            </w:pPr>
          </w:p>
        </w:tc>
      </w:tr>
      <w:tr>
        <w:trPr>
          <w:trHeight w:val="175"/>
        </w:trPr>
        <w:tc>
          <w:tcPr>
            <w:tcW w:w="2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(loss) gain on</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loans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(1,040)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4,157</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(3,079)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9,832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gain on disposal of fixed</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and other,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1,999</w:t>
            </w:r>
          </w:p>
        </w:tc>
        <w:tc>
          <w:tcPr>
            <w:tcW w:w="15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16,163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(762)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2,221.1 %</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(118,211)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(76,897)</w:t>
            </w: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(110,407)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(66,640)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 pts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pts</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Change in estimated fair value of contingent consideration. </w:t>
      </w:r>
      <w:r>
        <w:rPr>
          <w:rFonts w:ascii="Times New Roman" w:cs="Times New Roman" w:eastAsia="Times New Roman" w:hAnsi="Times New Roman"/>
          <w:sz w:val="18"/>
          <w:szCs w:val="18"/>
          <w:color w:val="auto"/>
        </w:rPr>
        <w:t>We recorded losses of $2.8 million and $21.6 million, respectively,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April 30, 2022, primarily related to an increase in the estimated contingent consideration payment for Fiscal 2022. We recorded losses of $10.4 million and $12.2 million, respectively, for the three and nine months ended April 30, 2021, primarily related to an increase in the estimated contingent consideration payment for Fiscal 2021. See Notes to the Consolidated Condensed Financial Statements for additional information.</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Foreign currency (loss) gain on intercompany loans. </w:t>
      </w:r>
      <w:r>
        <w:rPr>
          <w:rFonts w:ascii="Times New Roman" w:cs="Times New Roman" w:eastAsia="Times New Roman" w:hAnsi="Times New Roman"/>
          <w:sz w:val="18"/>
          <w:szCs w:val="18"/>
          <w:color w:val="auto"/>
        </w:rPr>
        <w:t>Foreign currency (loss) gain on intercompany loans for the three and nine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decreased $5.2 million and $12.9 million, respectively, as a result of the Canadian dollar decreasing relative to the U.S. dollar compared to the same respective periods in the prior year. This activity is associated with an intercompany loan from Vail Holdings, Inc. to Whistler Blackcomb in the original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(Loss) gain on disposal of fixed assets and other, net. </w:t>
      </w:r>
      <w:r>
        <w:rPr>
          <w:rFonts w:ascii="Times New Roman" w:cs="Times New Roman" w:eastAsia="Times New Roman" w:hAnsi="Times New Roman"/>
          <w:sz w:val="18"/>
          <w:szCs w:val="18"/>
          <w:color w:val="auto"/>
        </w:rPr>
        <w:t>Gain on disposal of fixed assets and other, net for the nine months ended April 30, 2022 included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 million from the sale of an administrative building in Avon, CO and (ii) proceeds from the NPS related to a partial payment for leasehold surrender interest at GTLC associated with assets that have been fully depreciated by the Company. This payment was made at the request of the NPS.</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At the end of each interim period, the Company estimates the annual effective tax rate and applies that rate to its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provision for the three and nine months ended April 30, 2022 was 23.4% and 18.8%, respectively, compared to 21.7% and 19.8%, respectively, for the three and nine months ended April 30, 2021.</w:t>
      </w: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the effective tax rate provision for the three months ended April 30, 2022 compared to the three months ended April 30, 2021 was primarily due to an increase in expected full fiscal year pre-tax book income in the current period, which lessens the tax impact from favorable permanent items and discrete items, as well as a shift in income to higher tax rate jurisdictions. The decrease in the effective tax rate provision for the nine months ended April 30, 2022 compared to the nine months ended April 30, 2021 was primarily due to an increase in favorable discrete items, including excess tax benefits of employee share award exercises and the statute closing on our uncertain tax positions, partially offset by an increase in expected full fiscal year pre-tax book income and a shift in income to higher tax rate jurisdictions.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and Net Debt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attributable to Vail Resorts, Inc. to Total Reported EBITDA for the three and nine months ended April 30, 2022 and 2021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40" w:type="dxa"/>
            <w:vAlign w:val="bottom"/>
          </w:tcPr>
          <w:p>
            <w:pPr>
              <w:spacing w:after="0"/>
              <w:rPr>
                <w:sz w:val="16"/>
                <w:szCs w:val="16"/>
                <w:color w:val="auto"/>
              </w:rPr>
            </w:pPr>
          </w:p>
        </w:tc>
        <w:tc>
          <w:tcPr>
            <w:tcW w:w="25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9"/>
                <w:szCs w:val="9"/>
                <w:b w:val="1"/>
                <w:bCs w:val="1"/>
                <w:color w:val="auto"/>
              </w:rPr>
              <w:t>(1)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9"/>
                <w:szCs w:val="9"/>
                <w:b w:val="1"/>
                <w:bCs w:val="1"/>
                <w:color w:val="auto"/>
              </w:rPr>
              <w:t>(1)</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372,550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456,609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268,661</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14,033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21,383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3"/>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386,583</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477,992</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269,399</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118,211</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110,407</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66,640</w:t>
            </w:r>
          </w:p>
        </w:tc>
      </w:tr>
      <w:tr>
        <w:trPr>
          <w:trHeight w:val="223"/>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504,794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588,399</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336,039</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65,655</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189,214</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189,362</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21,580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35,132</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39,033</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112,043</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112,287</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609,248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461,188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897,172</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639,963</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596,000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873,529</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654,267</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14,539</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26,458</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610,539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899,987</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643,493</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23"/>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609,248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461,188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897,172</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639,963</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firstLine="8"/>
        <w:spacing w:after="0" w:line="287" w:lineRule="auto"/>
        <w:tabs>
          <w:tab w:leader="none" w:pos="165"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Segment results for the three and nine months ended April 30, 2021 have been retrospectively adjusted to reflect current period presentation. See Notes to the Consolidated Condensed Financial Statements for additional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long-term debt, net to Net Debt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20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2,687,488</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2,739,981</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63,736</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113,454</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2,751,224</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2,853,435</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1,401,168</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1,344,702</w:t>
            </w:r>
          </w:p>
        </w:tc>
      </w:tr>
      <w:tr>
        <w:trPr>
          <w:trHeight w:val="248"/>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1,350,056</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1,508,733</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the nine months ended April 30, 2022 and 2021 are presented by categories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772,984</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551,137</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w w:val="99"/>
              </w:rPr>
              <w:t>(255,565)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(75,016)</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(352,653)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474,316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April 30, 2022 compared to the nine months ended April 30, 2021</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generated $773.0 million of cash from operating activities during the nine months ended April 30, 2022, an increase of $221.9 million compared to $551.1 million generated during the nine months ended April 30, 2021. The increase in operating cash flows was primarily a result of (i) increased Mountain and Lodging segment operating results during the nine months ended April 30, 2022 compared to the prior year and (ii) an increase in pass product sales and associated accounts receivable collections, net of refunds, during the nine months ended April 30, 2022 compared to the prior year, which was impacted by the credits offered to 2019/2020 North American pass product holders who purchased 2020/2021 pass products. This increase was partially offset by (i) a decrease in cash flows from accounts payable and accrued liabilities, primarily associated with the lower level of operations as of the beginning of the prior fiscal year resulting from COVID-19 and (ii) an increase in inventory purchases during the nine months ended April 30, 2022 compared to the prior year.</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April 30, 2022 increased by $180.5 million primarily due to cash payments of $116.3 million, net of cash acquired of $0.2 million, related to the acquisition of the Seven Springs Resorts during the nine months ended April 30, 2022. Additionally, capital expenditures increased by approximately $76.2 million as a result of the deferral of discretionary capital projects in the prior year related to the Company’s decision to prioritize near-term liquidity. These increases were partially offset by proceeds from the NPS related to a partial payment for leasehold surrender interest at GTLC associated with assets that have been fully depreciated by the Company, as well as the sale of an administrative building in Avon, CO for approximately $11.3 million.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increased by $827.0 million during the nine months ended April 30, 2022 compared to the nine months ended April 30, 2021, primarily due to (i) prior year proceeds of $575.0 million from the issuance of our 0.0% Convertible Notes during the nine months ended April 30, 2021; (ii) an increase in dividends paid of $148.9 million; (iii) a $51.5 million repayment of debt associated with the maturity of the EB-5 Development Notes; (iv) an increase in repurchases of common stock of $37.5 million; and (v) an increase in employee taxes paid for equity award exercises of $28.2 million. These increases in cash used in financing activities were partially offset by a decrease in financing costs primarily associated with the issuance of the 0.0% Convertible Notes in the prior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$1.4 billion of cash and cash equivalents as of April 30, 2022, compared to $1.3 billion as of April 30, 2021, and the increase was primarily associated with Mountain and Lodging segment operating cash flows. Although we cannot predict the future impact associated with COVID-19 on our business, we currently anticipate that our Mountain and Lodging segment operating results will continue to provide a significant source of future operating cash flows (primarily those generated in our second and third fiscal quarters).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$1.4 billion of cash and cash equivalents at April 30, 2022, we had $417.3 million available under the revolver component of our Vail Holdings Credit Agreement as of April 30, 2022 (which represents the total commitment of $500.0 million less certain letters of credit outstanding of $82.7 million). Additionally, we had C$272.1 million ($211.8 million) available under the revolver component of our Whistler Credit Agreement (which represents the total commitment of C$300.0 million ($233.5 million) less outstanding borrowings of C$27.0 million ($21.0 million) and a letter of credit outstanding of C$0.9 million ($0.7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LIBOR plus 1.25% and Bankers Acceptance Rate plus 1.75%, respectively. The Vail Holdings Credit Agreement, as amended by the Fourth Amendment, contains customary LIBOR replacement language, including, but not limited to, the use of rates based on the secured overnight financing rate (“SOFR”). SOFR is a broad measure of the cost of borrowing cash in the overnight U.S. Treasury repo market and is administered by the Federal Reserve Bank of New York.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jc w:val="both"/>
        <w:spacing w:after="0" w:line="242" w:lineRule="auto"/>
        <w:rPr>
          <w:sz w:val="20"/>
          <w:szCs w:val="20"/>
          <w:color w:val="auto"/>
        </w:rPr>
      </w:pPr>
      <w:r>
        <w:rPr>
          <w:rFonts w:ascii="Times New Roman" w:cs="Times New Roman" w:eastAsia="Times New Roman" w:hAnsi="Times New Roman"/>
          <w:sz w:val="18"/>
          <w:szCs w:val="18"/>
          <w:color w:val="auto"/>
        </w:rPr>
        <w:t>We currently anticipate we will spend approximately $315 million to $325 million on resort capital expenditures during calendar year 2022, excluding one-time items associated with integration activities, employee housing development projects and real estate related projects. This plan includes approximately $180 million for the installation of 21 new or replacement lifts across 14 of our resorts and a transformational lift-served terrain expansion at Keystone. The core capital plan is approximately $150 million above our typical annual capital plan, based on inflation and previous additions for acquisitions, and includes approximately $20 million of incremental spending to complete the one-time capital plans associated with the Peak Resorts and Triple Peaks acquisitions and $3 million for the addition of annual capital expenditures associated with the Seven Springs Resorts. In addition, we have announced a $4 million capital investment plan in Vail Resorts’ Commitment to Zero initiative, which includes targeted investments in high efficiency snowmaking, heating and cooling infrastructure and lighting to further improve our energy efficiency. We plan to spend approximately $9 million on integration activities related to the recently acquired Seven Springs Resorts. Including one-time investments related to integration activities and $3 million associated with real estate related projects, our total capital plan is expected to be approximately $327 million to $337 million. Included in these estimated capital expenditures are approximately $105 million to $115 million of maintenance capital expenditures, which are necessary to maintain appearance and level of service appropriate to our resort operations. We currently plan to utilize cash on hand, borrowings available under our credit agreements and/or cash flow generated from future operations to provide the cash necessary to complete our capital plans.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2021, we acquired the assets of the Seven Springs Resorts for a purchase price of approximately $116.5 million, after adjustments for certain agreed-upon terms, which was funded with cash on hand.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2022, we announced that we had entered into an agreement to purchase a majority stake in Andermatt-Sedrun Sport AG, for a planned purchase price of CHF 149 million. The transaction is expected to close later in calendar year 2022, subject to certain third-party consents, and we expect to fund the acquisition with cash on hand.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April 30, 2022, principal payments on the majority of our long-term debt ($2.7 billion of the total $2.8 billion debt outstanding as of April 30, 2022) are not due until fiscal year 2025 and beyond. As of April 30, 2022 and 2021, total long-term debt, net (including long-term debt due within one year) was $2.8 billion and $2.9 billion, respectively. Net Debt (defined as long-term debt, net plus long-term debt due within one year less cash and cash equivalents) decreased from $1.5 billion as of April 30, 2021 to $1.4 billion as of April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2022, the Vail Holdings Credit Agreement provides for (i) a revolving loan facility in an aggregate principal amount of $500.0 million and</w:t>
      </w:r>
    </w:p>
    <w:p>
      <w:pPr>
        <w:spacing w:after="0" w:line="27" w:lineRule="exact"/>
        <w:rPr>
          <w:sz w:val="20"/>
          <w:szCs w:val="20"/>
          <w:color w:val="auto"/>
        </w:rPr>
      </w:pPr>
    </w:p>
    <w:p>
      <w:pPr>
        <w:ind w:firstLine="8"/>
        <w:spacing w:after="0" w:line="260" w:lineRule="auto"/>
        <w:tabs>
          <w:tab w:leader="none" w:pos="2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loan facility of $1.1 billion. We expect that our liquidity needs in the near term will be met by continued use of cash on hand, operating cash flows and borrowings under the 6.25% Notes, the 0.0% Convertible Notes, the Vail Holdings Credit Agreement and the Whistler Credit Agreement.</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exited the Financial Covenants Temporary Waiver Period under the Vail Holdings Credit Agreement effective October 31, 2021. As a result, we are required to comply with the financial maintenance covenants in the Vail Holdings Credit Agreement and we are no longer subject to the covenant modifications that were applicable during the temporary waiver period.</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$0.8 billion of variable-rate debt outstanding as of April 30, 2022. A 100-basis point change in our borrowing rates would cause our annual interest payments to change by approximately $7.7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continue to respond to liquidity impacts of changes in the business and economic environment, including the effects of COVID-19, by managing our capital expenditures, variable operating expenses, the timing of new real estate development activity and the payment of cash dividends on our common stock.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8, 2022, the Company’s Board of Directors approved a cash dividend of $1.91 per share payable on July 12, 2022 to stockholders of record as of June 27, 2022. Additionally, a Canadian dollar equivalent dividend on the Exchangeco Shares will be payable on July 12, 2022 to stockholders of record as of June 27, 2022. For the nine months ended April 30, 2022, we paid cash dividends of $3.67 per share ($148.9 million in the aggregate, including cash dividends paid to Exchangeco shareholders). We funded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We repurchased 144,875 shares during the nine months ended April 30, 2022 (at a total cost of approximately $37.5 million). We did not repurchase any Vail Shares during the nine months ended April 30, 2021. Since inception of this stock repurchase program through April 30, 2022, we have repurchased 6,306,016 Vail Shares at a cost of approximately $441.9 million. As of April 30, 2022, 1,193,984 Vail Shares remained available to repurchase under the existing repurchase authorization. Subsequent to April 30, 2022, we repurchased 158,268 Vail Shares (at a total cost of approximately $37.2 million), resulting in availability of 1,035,716 Vail Shares for repurchase as of June 8, 2022.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April 30, 2022.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08" w:lineRule="exact"/>
        <w:rPr>
          <w:sz w:val="20"/>
          <w:szCs w:val="20"/>
          <w:color w:val="auto"/>
        </w:rPr>
      </w:pPr>
    </w:p>
    <w:p>
      <w:pPr>
        <w:jc w:val="both"/>
        <w:ind w:left="820" w:hanging="650"/>
        <w:spacing w:after="0" w:line="258" w:lineRule="auto"/>
        <w:tabs>
          <w:tab w:leader="none" w:pos="8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duration of COVID-19 and its short-term and long-term impacts on consumer behaviors, the economy generally, and our business and results of operations, including the ultimate amount of refunds that we would be required to refund to our pass product holders for qualifying circumstances under our Epic Coverage program;</w:t>
      </w:r>
    </w:p>
    <w:p>
      <w:pPr>
        <w:ind w:left="820" w:hanging="650"/>
        <w:spacing w:after="0" w:line="250" w:lineRule="auto"/>
        <w:tabs>
          <w:tab w:leader="none" w:pos="8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of our guests to travel due to terrorism, the uncertainty of military conflicts or outbreaks of contagious diseases (such as the ongoing COVID-19 pandemic), and the cost and availability of travel options and changing consumer preferences or willingness to travel;</w:t>
      </w: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natural disasters;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line="250" w:lineRule="auto"/>
        <w:tabs>
          <w:tab w:leader="none" w:pos="8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line="250" w:lineRule="auto"/>
        <w:tabs>
          <w:tab w:leader="none" w:pos="8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line="250" w:lineRule="auto"/>
        <w:tabs>
          <w:tab w:leader="none" w:pos="8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or that acquired businesses may fail to perform in accordance with expectations, including the Seven Springs Resorts;</w:t>
      </w: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satisfy the requirements of Section 404 of the Sarbanes-Oxley Act of 2002 with respect to acquired businesses;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foreign currency exchange rates where the Company has foreign currency exposure, primarily the Canadian and Australian dollars, as compared to the U.S. dollar;</w:t>
      </w: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9" w:lineRule="exact"/>
        <w:rPr>
          <w:rFonts w:ascii="Times New Roman" w:cs="Times New Roman" w:eastAsia="Times New Roman" w:hAnsi="Times New Roman"/>
          <w:sz w:val="18"/>
          <w:szCs w:val="18"/>
          <w:i w:val="1"/>
          <w:iCs w:val="1"/>
          <w:color w:val="auto"/>
        </w:rPr>
      </w:pPr>
    </w:p>
    <w:p>
      <w:pPr>
        <w:jc w:val="both"/>
        <w:ind w:left="820" w:hanging="650"/>
        <w:spacing w:after="0" w:line="250" w:lineRule="auto"/>
        <w:tabs>
          <w:tab w:leader="none" w:pos="81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legal claims;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and Part II, Item 1A “Risk Factors” of our Form 10-Q for the quarter ended January 31, 2022.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April 30, 2022, we had approximately $0.8 billion of variable rate indebtedness (after taking into consideration $400.0 million in interest rate swaps which converts variable-rate debt to fixed-rate debt), representing approximately 27% of our total debt outstanding, at an average interest rate during the three and nine months ended April 30, 2022 of approximately 2.4% and 2.5%, respectively. Based on variable-rate borrowings outstanding as of April 30, 2022, a 100-basis point (or 1.0%) change in our borrowing rates would result in our annual interest payments changing by approximately $7.7 million. Our market risk exposure fluctuates based on changes in underlying interest rates.</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and our Australian resorts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(losses) gains, and foreign currency (loss) gain on intercompany loans recognized in comprehensive income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3"/>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Nine Months Ended April 30,</w:t>
            </w:r>
          </w:p>
        </w:tc>
      </w:tr>
      <w:tr>
        <w:trPr>
          <w:trHeight w:val="23"/>
        </w:trPr>
        <w:tc>
          <w:tcPr>
            <w:tcW w:w="78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132,167</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2021, we completed our acquisition of the Seven Springs Resorts. The Seven Springs Resorts were not previously subject to the rules and regulations promulgated under Sarbanes-Oxley and accordingly were not required to establish and maintain an internal control infrastructure meeting the standards promulgated under Sarbanes-Oxley. Our assessment of and conclusion on the effectiveness of our internal control over financial reporting as of April 30, 2022 did not include certain elements of the internal controls of the Seven Springs Resorts.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Excluding the Seven Springs Resorts, there were no changes in the Company’s internal control over financial reporting that occurred during the three and nine months ended April 30, 2022 that have materially affected, or are reasonably likely to materially affect, the Company’s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Form 10-K, which was filed on September 23, 2021 and our Form 10-Q for the quarter ended January 31, 2022, which was filed on March 14,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Exchangeable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April 30, 2022, 31,294 Exchangeco Shares had not yet been exchanged into Vail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p>
      <w:pPr>
        <w:spacing w:after="0" w:line="196" w:lineRule="auto"/>
        <w:framePr w:w="2000" w:h="160" w:wrap="auto" w:vAnchor="page" w:hAnchor="page" w:x="1620" w:y="10118"/>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Schema Document.</w:t>
      </w:r>
    </w:p>
    <w:p>
      <w:pPr>
        <w:spacing w:after="0" w:line="196" w:lineRule="auto"/>
        <w:framePr w:w="2980" w:h="160" w:wrap="auto" w:vAnchor="page" w:hAnchor="page" w:x="1620" w:y="1040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Calculation Linkbase Document.</w:t>
      </w:r>
    </w:p>
    <w:p>
      <w:pPr>
        <w:spacing w:after="0" w:line="272" w:lineRule="auto"/>
        <w:framePr w:w="2880" w:h="444" w:wrap="auto" w:vAnchor="page" w:hAnchor="page" w:x="1620" w:y="10685"/>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Definition Linkbase Document. XBRL Label Linkbase Document.</w:t>
      </w:r>
    </w:p>
    <w:p>
      <w:pPr>
        <w:spacing w:after="0" w:line="196" w:lineRule="auto"/>
        <w:framePr w:w="4620" w:h="160" w:wrap="auto" w:vAnchor="page" w:hAnchor="page" w:x="1620" w:y="11252"/>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Taxonomy Extension Presentation Linkbase Document.</w:t>
      </w:r>
    </w:p>
    <w:p>
      <w:pPr>
        <w:spacing w:after="0" w:line="196" w:lineRule="auto"/>
        <w:framePr w:w="6220" w:h="160" w:wrap="auto" w:vAnchor="page" w:hAnchor="page" w:x="1620" w:y="1153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this Quarterly Report on Form 10-Q, formatted in inline XBRL.</w:t>
      </w:r>
    </w:p>
    <w:p>
      <w:pPr>
        <w:spacing w:after="0" w:line="185" w:lineRule="auto"/>
        <w:framePr w:w="260" w:h="160" w:wrap="auto" w:vAnchor="page" w:hAnchor="page" w:x="5820" w:y="1288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185" w:lineRule="auto"/>
        <w:framePr w:w="760" w:h="160" w:wrap="auto" w:vAnchor="page" w:hAnchor="page" w:x="300" w:y="1011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w:t>
      </w:r>
    </w:p>
    <w:p>
      <w:pPr>
        <w:spacing w:after="0" w:line="185" w:lineRule="auto"/>
        <w:framePr w:w="760" w:h="160" w:wrap="auto" w:vAnchor="page" w:hAnchor="page" w:x="300" w:y="1040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w:t>
      </w:r>
    </w:p>
    <w:p>
      <w:pPr>
        <w:spacing w:after="0" w:line="185" w:lineRule="auto"/>
        <w:framePr w:w="740" w:h="160" w:wrap="auto" w:vAnchor="page" w:hAnchor="page" w:x="300" w:y="106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w:t>
      </w:r>
    </w:p>
    <w:p>
      <w:pPr>
        <w:spacing w:after="0" w:line="185" w:lineRule="auto"/>
        <w:framePr w:w="760" w:h="160" w:wrap="auto" w:vAnchor="page" w:hAnchor="page" w:x="300" w:y="1096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w:t>
      </w:r>
    </w:p>
    <w:p>
      <w:pPr>
        <w:spacing w:after="0" w:line="185" w:lineRule="auto"/>
        <w:framePr w:w="740" w:h="160" w:wrap="auto" w:vAnchor="page" w:hAnchor="page" w:x="300" w:y="1125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w:t>
      </w:r>
    </w:p>
    <w:p>
      <w:pPr>
        <w:spacing w:after="0" w:line="185" w:lineRule="auto"/>
        <w:framePr w:w="360" w:h="160" w:wrap="auto" w:vAnchor="page" w:hAnchor="page" w:x="300" w:y="1153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p>
    <w:p>
      <w:pPr>
        <w:spacing w:after="0" w:line="202" w:lineRule="auto"/>
        <w:framePr w:w="9960" w:h="349" w:wrap="auto" w:vAnchor="page" w:hAnchor="page" w:x="1620" w:y="964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 inline XBRL document.</w:t>
      </w:r>
    </w:p>
    <w:p>
      <w:pPr>
        <w:spacing w:after="0" w:line="185" w:lineRule="auto"/>
        <w:framePr w:w="700" w:h="160" w:wrap="auto" w:vAnchor="page" w:hAnchor="page" w:x="300" w:y="964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w:t>
      </w:r>
    </w:p>
    <w:p>
      <w:pPr>
        <w:spacing w:after="0" w:line="196" w:lineRule="auto"/>
        <w:framePr w:w="400" w:h="160" w:wrap="auto" w:vAnchor="page" w:hAnchor="page" w:x="300" w:y="860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w:t>
      </w:r>
    </w:p>
    <w:p>
      <w:pPr>
        <w:spacing w:after="0" w:line="196" w:lineRule="auto"/>
        <w:framePr w:w="7300" w:h="160" w:wrap="auto" w:vAnchor="page" w:hAnchor="page" w:x="1620" w:y="8606"/>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Certification of Chief Executive Officer pursuant to Section 302 of the Sarbanes-Oxley Act of 2002.</w:t>
      </w:r>
    </w:p>
    <w:p>
      <w:pPr>
        <w:spacing w:after="0" w:line="196" w:lineRule="auto"/>
        <w:framePr w:w="400" w:h="160" w:wrap="auto" w:vAnchor="page" w:hAnchor="page" w:x="300" w:y="889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31.2</w:t>
      </w:r>
    </w:p>
    <w:p>
      <w:pPr>
        <w:spacing w:after="0" w:line="196" w:lineRule="auto"/>
        <w:framePr w:w="7260" w:h="160" w:wrap="auto" w:vAnchor="page" w:hAnchor="page" w:x="1620" w:y="8890"/>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Certification of Chief Financial Officer pursuant to Section 302 of the Sarbanes-Oxley Act of 2002.</w:t>
      </w:r>
    </w:p>
    <w:p>
      <w:pPr>
        <w:spacing w:after="0" w:line="202" w:lineRule="auto"/>
        <w:framePr w:w="260" w:h="160" w:wrap="auto" w:vAnchor="page" w:hAnchor="page" w:x="300" w:y="9173"/>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32</w:t>
      </w:r>
    </w:p>
    <w:p>
      <w:pPr>
        <w:spacing w:after="0" w:line="202" w:lineRule="auto"/>
        <w:framePr w:w="9960" w:h="349" w:wrap="auto" w:vAnchor="page" w:hAnchor="page" w:x="1620" w:y="9173"/>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 906 of the Sarbanes-Oxley Act of 2002.</w:t>
      </w:r>
    </w:p>
    <w:p>
      <w:pPr>
        <w:spacing w:after="0" w:line="191" w:lineRule="auto"/>
        <w:framePr w:w="800" w:h="128" w:wrap="auto" w:vAnchor="page" w:hAnchor="page" w:x="6200" w:y="8341"/>
        <w:rPr>
          <w:rFonts w:ascii="Times New Roman" w:cs="Times New Roman" w:eastAsia="Times New Roman" w:hAnsi="Times New Roman"/>
          <w:sz w:val="14"/>
          <w:szCs w:val="14"/>
          <w:b w:val="1"/>
          <w:bCs w:val="1"/>
          <w:color w:val="0000FF"/>
        </w:rPr>
      </w:pPr>
      <w:r>
        <w:rPr>
          <w:rFonts w:ascii="Times New Roman" w:cs="Times New Roman" w:eastAsia="Times New Roman" w:hAnsi="Times New Roman"/>
          <w:sz w:val="14"/>
          <w:szCs w:val="14"/>
          <w:b w:val="1"/>
          <w:bCs w:val="1"/>
          <w:color w:val="0000FF"/>
        </w:rPr>
        <w:t>Description</w:t>
      </w:r>
    </w:p>
    <w:p>
      <w:pPr>
        <w:spacing w:after="0" w:line="206" w:lineRule="auto"/>
        <w:framePr w:w="600" w:h="277" w:wrap="auto" w:vAnchor="page" w:hAnchor="page" w:x="300" w:y="8206"/>
        <w:rPr>
          <w:rFonts w:ascii="Times New Roman" w:cs="Times New Roman" w:eastAsia="Times New Roman" w:hAnsi="Times New Roman"/>
          <w:sz w:val="14"/>
          <w:szCs w:val="14"/>
          <w:b w:val="1"/>
          <w:bCs w:val="1"/>
          <w:color w:val="0000FF"/>
        </w:rPr>
      </w:pPr>
      <w:r>
        <w:rPr>
          <w:rFonts w:ascii="Times New Roman" w:cs="Times New Roman" w:eastAsia="Times New Roman" w:hAnsi="Times New Roman"/>
          <w:sz w:val="14"/>
          <w:szCs w:val="14"/>
          <w:b w:val="1"/>
          <w:bCs w:val="1"/>
          <w:color w:val="0000FF"/>
        </w:rPr>
        <w:t>Exhibit Number</w:t>
      </w:r>
    </w:p>
    <w:p>
      <w:pPr>
        <w:spacing w:after="0" w:line="185" w:lineRule="auto"/>
        <w:framePr w:w="11080" w:h="160" w:wrap="auto" w:vAnchor="page" w:hAnchor="page" w:x="400" w:y="3706"/>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(1)  The share repurchase program is conducted under authorizations made from time to time by our Board of Directors. The Board of Directors</w:t>
      </w:r>
    </w:p>
    <w:p>
      <w:pPr>
        <w:jc w:val="both"/>
        <w:spacing w:after="0" w:line="197" w:lineRule="auto"/>
        <w:framePr w:w="10700" w:h="511" w:wrap="auto" w:vAnchor="page" w:hAnchor="page" w:x="800" w:y="3895"/>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initially authorized the repurchase of up to 3,000,000 Vail Shares (March 9, 2006), and later authorized additional repurchases of up to 3,000,000 Vail Shares (July 16, 2008) and 1,500,000 Vail Shares (December 4, 2015), for a total authorization to repurchase up to 7,500,000 Vail Shares. As of April 30, 2022, 1,193,984 Vail Shares remained available to repurchase under the existing repurchase authorization. Repurchases under these</w:t>
      </w:r>
    </w:p>
    <w:p>
      <w:pPr>
        <w:spacing w:after="0" w:line="194" w:lineRule="auto"/>
        <w:framePr w:w="10680" w:h="336" w:wrap="auto" w:vAnchor="page" w:hAnchor="page" w:x="800" w:y="4435"/>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authorizations may be made from time to time at prevailing prices as permitted by applicable laws, and subject to market conditions and other factors. These authorizations have no expiration date.</w:t>
      </w:r>
    </w:p>
    <w:p>
      <w:pPr>
        <w:spacing w:after="0" w:line="249" w:lineRule="auto"/>
        <w:framePr w:w="4140" w:h="430" w:wrap="auto" w:vAnchor="page" w:hAnchor="page" w:x="280" w:y="5164"/>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b w:val="1"/>
          <w:bCs w:val="1"/>
          <w:color w:val="0000FF"/>
        </w:rPr>
        <w:t xml:space="preserve">ITEM 3. DEFAULTS UPON SENIOR SECURITIES </w:t>
      </w:r>
      <w:r>
        <w:rPr>
          <w:rFonts w:ascii="Times New Roman" w:cs="Times New Roman" w:eastAsia="Times New Roman" w:hAnsi="Times New Roman"/>
          <w:sz w:val="18"/>
          <w:szCs w:val="18"/>
          <w:color w:val="0000FF"/>
        </w:rPr>
        <w:t>None.</w:t>
      </w:r>
    </w:p>
    <w:p>
      <w:pPr>
        <w:spacing w:after="0" w:line="249" w:lineRule="auto"/>
        <w:framePr w:w="3360" w:h="430" w:wrap="auto" w:vAnchor="page" w:hAnchor="page" w:x="280" w:y="5893"/>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b w:val="1"/>
          <w:bCs w:val="1"/>
          <w:color w:val="0000FF"/>
        </w:rPr>
        <w:t xml:space="preserve">ITEM 4. MINE SAFETY DISCLOSURES </w:t>
      </w:r>
      <w:r>
        <w:rPr>
          <w:rFonts w:ascii="Times New Roman" w:cs="Times New Roman" w:eastAsia="Times New Roman" w:hAnsi="Times New Roman"/>
          <w:sz w:val="18"/>
          <w:szCs w:val="18"/>
          <w:color w:val="0000FF"/>
        </w:rPr>
        <w:t>Not applicable.</w:t>
      </w:r>
    </w:p>
    <w:p>
      <w:pPr>
        <w:spacing w:after="0" w:line="249" w:lineRule="auto"/>
        <w:framePr w:w="2820" w:h="430" w:wrap="auto" w:vAnchor="page" w:hAnchor="page" w:x="280" w:y="6622"/>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b w:val="1"/>
          <w:bCs w:val="1"/>
          <w:color w:val="0000FF"/>
        </w:rPr>
        <w:t xml:space="preserve">ITEM 5. OTHER INFORMATION </w:t>
      </w:r>
      <w:r>
        <w:rPr>
          <w:rFonts w:ascii="Times New Roman" w:cs="Times New Roman" w:eastAsia="Times New Roman" w:hAnsi="Times New Roman"/>
          <w:sz w:val="18"/>
          <w:szCs w:val="18"/>
          <w:color w:val="0000FF"/>
        </w:rPr>
        <w:t>None.</w:t>
      </w:r>
    </w:p>
    <w:p>
      <w:pPr>
        <w:spacing w:after="0" w:line="185" w:lineRule="auto"/>
        <w:framePr w:w="1660" w:h="160" w:wrap="auto" w:vAnchor="page" w:hAnchor="page" w:x="280" w:y="7351"/>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ITEM 6. EXHIBITS</w:t>
      </w:r>
    </w:p>
    <w:p>
      <w:pPr>
        <w:spacing w:after="0" w:line="218" w:lineRule="auto"/>
        <w:framePr w:w="11300" w:h="376" w:wrap="auto" w:vAnchor="page" w:hAnchor="page" w:x="280" w:y="7661"/>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08" w:lineRule="exact"/>
        <w:rPr>
          <w:rFonts w:ascii="Times New Roman" w:cs="Times New Roman" w:eastAsia="Times New Roman" w:hAnsi="Times New Roman"/>
          <w:sz w:val="18"/>
          <w:szCs w:val="18"/>
          <w:b w:val="1"/>
          <w:bCs w:val="1"/>
          <w:color w:val="0000FF"/>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purchases of Vail Shares during the third quarter of fiscal 2022:</w:t>
      </w:r>
    </w:p>
    <w:p>
      <w:pPr>
        <w:spacing w:after="0" w:line="206" w:lineRule="exact"/>
        <w:rPr>
          <w:rFonts w:ascii="Times New Roman" w:cs="Times New Roman" w:eastAsia="Times New Roman" w:hAnsi="Times New Roman"/>
          <w:sz w:val="18"/>
          <w:szCs w:val="18"/>
          <w:b w:val="1"/>
          <w:bCs w:val="1"/>
          <w:color w:val="0000FF"/>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2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2022 - February 28, 2022</w:t>
            </w:r>
          </w:p>
        </w:tc>
        <w:tc>
          <w:tcPr>
            <w:tcW w:w="2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 2022 - March 31, 2022</w:t>
            </w:r>
          </w:p>
        </w:tc>
        <w:tc>
          <w:tcPr>
            <w:tcW w:w="2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0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20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144,875</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258.86</w:t>
            </w:r>
          </w:p>
        </w:tc>
        <w:tc>
          <w:tcPr>
            <w:tcW w:w="1660" w:type="dxa"/>
            <w:vAlign w:val="bottom"/>
            <w:tcBorders>
              <w:bottom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144,875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0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144,875</w:t>
            </w:r>
          </w:p>
        </w:tc>
        <w:tc>
          <w:tcPr>
            <w:tcW w:w="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258.86</w:t>
            </w: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144,875</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5"/>
        </w:trPr>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60" w:type="dxa"/>
            <w:vAlign w:val="bottom"/>
            <w:tcBorders>
              <w:bottom w:val="single" w:sz="8" w:color="0000FF"/>
            </w:tcBorders>
          </w:tcPr>
          <w:p>
            <w:pPr>
              <w:spacing w:after="0"/>
              <w:rPr>
                <w:sz w:val="24"/>
                <w:szCs w:val="24"/>
                <w:color w:val="auto"/>
              </w:rPr>
            </w:pPr>
          </w:p>
        </w:tc>
        <w:tc>
          <w:tcPr>
            <w:tcW w:w="2020" w:type="dxa"/>
            <w:vAlign w:val="bottom"/>
            <w:tcBorders>
              <w:bottom w:val="single" w:sz="8" w:color="0000FF"/>
            </w:tcBorders>
          </w:tcPr>
          <w:p>
            <w:pPr>
              <w:spacing w:after="0"/>
              <w:rPr>
                <w:sz w:val="24"/>
                <w:szCs w:val="24"/>
                <w:color w:val="auto"/>
              </w:rPr>
            </w:pPr>
          </w:p>
        </w:tc>
        <w:tc>
          <w:tcPr>
            <w:tcW w:w="420" w:type="dxa"/>
            <w:vAlign w:val="bottom"/>
            <w:tcBorders>
              <w:bottom w:val="single" w:sz="8" w:color="0000FF"/>
            </w:tcBorders>
          </w:tcPr>
          <w:p>
            <w:pPr>
              <w:spacing w:after="0"/>
              <w:rPr>
                <w:sz w:val="24"/>
                <w:szCs w:val="24"/>
                <w:color w:val="auto"/>
              </w:rPr>
            </w:pPr>
          </w:p>
        </w:tc>
        <w:tc>
          <w:tcPr>
            <w:tcW w:w="1220" w:type="dxa"/>
            <w:vAlign w:val="bottom"/>
            <w:tcBorders>
              <w:bottom w:val="single" w:sz="8" w:color="0000FF"/>
            </w:tcBorders>
          </w:tcPr>
          <w:p>
            <w:pPr>
              <w:spacing w:after="0"/>
              <w:rPr>
                <w:sz w:val="24"/>
                <w:szCs w:val="24"/>
                <w:color w:val="auto"/>
              </w:rPr>
            </w:pPr>
          </w:p>
        </w:tc>
        <w:tc>
          <w:tcPr>
            <w:tcW w:w="660" w:type="dxa"/>
            <w:vAlign w:val="bottom"/>
            <w:tcBorders>
              <w:bottom w:val="single" w:sz="8" w:color="0000FF"/>
            </w:tcBorders>
          </w:tcPr>
          <w:p>
            <w:pPr>
              <w:spacing w:after="0"/>
              <w:rPr>
                <w:sz w:val="24"/>
                <w:szCs w:val="24"/>
                <w:color w:val="auto"/>
              </w:rPr>
            </w:pPr>
          </w:p>
        </w:tc>
        <w:tc>
          <w:tcPr>
            <w:tcW w:w="40" w:type="dxa"/>
            <w:vAlign w:val="bottom"/>
            <w:tcBorders>
              <w:bottom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60" w:type="dxa"/>
            <w:vAlign w:val="bottom"/>
            <w:tcBorders>
              <w:bottom w:val="single" w:sz="8" w:color="0000FF"/>
            </w:tcBorders>
          </w:tcPr>
          <w:p>
            <w:pPr>
              <w:spacing w:after="0"/>
              <w:rPr>
                <w:sz w:val="22"/>
                <w:szCs w:val="22"/>
                <w:color w:val="auto"/>
              </w:rPr>
            </w:pPr>
          </w:p>
        </w:tc>
        <w:tc>
          <w:tcPr>
            <w:tcW w:w="2020" w:type="dxa"/>
            <w:vAlign w:val="bottom"/>
            <w:tcBorders>
              <w:bottom w:val="single" w:sz="8" w:color="0000FF"/>
            </w:tcBorders>
          </w:tcPr>
          <w:p>
            <w:pPr>
              <w:spacing w:after="0"/>
              <w:rPr>
                <w:sz w:val="22"/>
                <w:szCs w:val="22"/>
                <w:color w:val="auto"/>
              </w:rPr>
            </w:pPr>
          </w:p>
        </w:tc>
        <w:tc>
          <w:tcPr>
            <w:tcW w:w="420" w:type="dxa"/>
            <w:vAlign w:val="bottom"/>
            <w:tcBorders>
              <w:bottom w:val="single" w:sz="8" w:color="0000FF"/>
            </w:tcBorders>
          </w:tcPr>
          <w:p>
            <w:pPr>
              <w:spacing w:after="0"/>
              <w:rPr>
                <w:sz w:val="22"/>
                <w:szCs w:val="22"/>
                <w:color w:val="auto"/>
              </w:rPr>
            </w:pPr>
          </w:p>
        </w:tc>
        <w:tc>
          <w:tcPr>
            <w:tcW w:w="1220" w:type="dxa"/>
            <w:vAlign w:val="bottom"/>
            <w:tcBorders>
              <w:bottom w:val="single" w:sz="8" w:color="0000FF"/>
            </w:tcBorders>
          </w:tcPr>
          <w:p>
            <w:pPr>
              <w:spacing w:after="0"/>
              <w:rPr>
                <w:sz w:val="22"/>
                <w:szCs w:val="22"/>
                <w:color w:val="auto"/>
              </w:rPr>
            </w:pPr>
          </w:p>
        </w:tc>
        <w:tc>
          <w:tcPr>
            <w:tcW w:w="660" w:type="dxa"/>
            <w:vAlign w:val="bottom"/>
            <w:tcBorders>
              <w:bottom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60" w:type="dxa"/>
            <w:vAlign w:val="bottom"/>
            <w:tcBorders>
              <w:bottom w:val="single" w:sz="8" w:color="0000FF"/>
            </w:tcBorders>
          </w:tcPr>
          <w:p>
            <w:pPr>
              <w:spacing w:after="0"/>
              <w:rPr>
                <w:sz w:val="22"/>
                <w:szCs w:val="22"/>
                <w:color w:val="auto"/>
              </w:rPr>
            </w:pPr>
          </w:p>
        </w:tc>
        <w:tc>
          <w:tcPr>
            <w:tcW w:w="2020" w:type="dxa"/>
            <w:vAlign w:val="bottom"/>
            <w:tcBorders>
              <w:bottom w:val="single" w:sz="8" w:color="0000FF"/>
            </w:tcBorders>
          </w:tcPr>
          <w:p>
            <w:pPr>
              <w:spacing w:after="0"/>
              <w:rPr>
                <w:sz w:val="22"/>
                <w:szCs w:val="22"/>
                <w:color w:val="auto"/>
              </w:rPr>
            </w:pPr>
          </w:p>
        </w:tc>
        <w:tc>
          <w:tcPr>
            <w:tcW w:w="420" w:type="dxa"/>
            <w:vAlign w:val="bottom"/>
            <w:tcBorders>
              <w:bottom w:val="single" w:sz="8" w:color="0000FF"/>
            </w:tcBorders>
          </w:tcPr>
          <w:p>
            <w:pPr>
              <w:spacing w:after="0"/>
              <w:rPr>
                <w:sz w:val="22"/>
                <w:szCs w:val="22"/>
                <w:color w:val="auto"/>
              </w:rPr>
            </w:pPr>
          </w:p>
        </w:tc>
        <w:tc>
          <w:tcPr>
            <w:tcW w:w="1220" w:type="dxa"/>
            <w:vAlign w:val="bottom"/>
            <w:tcBorders>
              <w:bottom w:val="single" w:sz="8" w:color="0000FF"/>
            </w:tcBorders>
          </w:tcPr>
          <w:p>
            <w:pPr>
              <w:spacing w:after="0"/>
              <w:rPr>
                <w:sz w:val="22"/>
                <w:szCs w:val="22"/>
                <w:color w:val="auto"/>
              </w:rPr>
            </w:pPr>
          </w:p>
        </w:tc>
        <w:tc>
          <w:tcPr>
            <w:tcW w:w="660" w:type="dxa"/>
            <w:vAlign w:val="bottom"/>
            <w:tcBorders>
              <w:bottom w:val="single" w:sz="8" w:color="0000FF"/>
            </w:tcBorders>
          </w:tcPr>
          <w:p>
            <w:pPr>
              <w:spacing w:after="0"/>
              <w:rPr>
                <w:sz w:val="22"/>
                <w:szCs w:val="22"/>
                <w:color w:val="auto"/>
              </w:rPr>
            </w:pPr>
          </w:p>
        </w:tc>
        <w:tc>
          <w:tcPr>
            <w:tcW w:w="40" w:type="dxa"/>
            <w:vAlign w:val="bottom"/>
            <w:tcBorders>
              <w:bottom w:val="single" w:sz="8" w:color="0000FF"/>
            </w:tcBorders>
          </w:tcPr>
          <w:p>
            <w:pPr>
              <w:spacing w:after="0"/>
              <w:rPr>
                <w:sz w:val="22"/>
                <w:szCs w:val="22"/>
                <w:color w:val="auto"/>
              </w:rPr>
            </w:pPr>
          </w:p>
        </w:tc>
        <w:tc>
          <w:tcPr>
            <w:tcW w:w="960" w:type="dxa"/>
            <w:vAlign w:val="bottom"/>
            <w:tcBorders>
              <w:bottom w:val="single" w:sz="8" w:color="0000FF"/>
            </w:tcBorders>
          </w:tcPr>
          <w:p>
            <w:pPr>
              <w:spacing w:after="0"/>
              <w:rPr>
                <w:sz w:val="22"/>
                <w:szCs w:val="22"/>
                <w:color w:val="auto"/>
              </w:rPr>
            </w:pPr>
          </w:p>
        </w:tc>
        <w:tc>
          <w:tcPr>
            <w:tcW w:w="1600" w:type="dxa"/>
            <w:vAlign w:val="bottom"/>
            <w:tcBorders>
              <w:bottom w:val="single" w:sz="8" w:color="0000FF"/>
            </w:tcBorders>
          </w:tcPr>
          <w:p>
            <w:pPr>
              <w:spacing w:after="0"/>
              <w:rPr>
                <w:sz w:val="22"/>
                <w:szCs w:val="22"/>
                <w:color w:val="auto"/>
              </w:rPr>
            </w:pPr>
          </w:p>
        </w:tc>
        <w:tc>
          <w:tcPr>
            <w:tcW w:w="100" w:type="dxa"/>
            <w:vAlign w:val="bottom"/>
            <w:tcBorders>
              <w:bottom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60" w:type="dxa"/>
            <w:vAlign w:val="bottom"/>
            <w:tcBorders>
              <w:bottom w:val="single" w:sz="8" w:color="0000FF"/>
            </w:tcBorders>
          </w:tcPr>
          <w:p>
            <w:pPr>
              <w:spacing w:after="0"/>
              <w:rPr>
                <w:sz w:val="14"/>
                <w:szCs w:val="14"/>
                <w:color w:val="auto"/>
              </w:rPr>
            </w:pPr>
          </w:p>
        </w:tc>
        <w:tc>
          <w:tcPr>
            <w:tcW w:w="2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9"/>
        </w:trPr>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b w:val="1"/>
          <w:bCs w:val="1"/>
          <w:color w:val="0000FF"/>
        </w:rPr>
      </w:pPr>
      <w:r>
        <w:rPr>
          <w:rFonts w:ascii="Times New Roman" w:cs="Times New Roman" w:eastAsia="Times New Roman" w:hAnsi="Times New Roman"/>
          <w:sz w:val="18"/>
          <w:szCs w:val="18"/>
          <w:b w:val="1"/>
          <w:bCs w:val="1"/>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2022</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Z. Barkin</w:t>
            </w:r>
          </w:p>
        </w:tc>
      </w:tr>
      <w:tr>
        <w:trPr>
          <w:trHeight w:val="218"/>
        </w:trPr>
        <w:tc>
          <w:tcPr>
            <w:tcW w:w="3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Z. Barkin</w:t>
            </w:r>
          </w:p>
        </w:tc>
      </w:tr>
      <w:tr>
        <w:trPr>
          <w:trHeight w:val="229"/>
        </w:trPr>
        <w:tc>
          <w:tcPr>
            <w:tcW w:w="34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9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2022</w:t>
            </w:r>
          </w:p>
        </w:tc>
        <w:tc>
          <w:tcPr>
            <w:tcW w:w="26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Nathan Gronberg</w:t>
            </w:r>
          </w:p>
        </w:tc>
      </w:tr>
      <w:tr>
        <w:trPr>
          <w:trHeight w:val="218"/>
        </w:trPr>
        <w:tc>
          <w:tcPr>
            <w:tcW w:w="34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Nathan Gronberg</w:t>
            </w:r>
          </w:p>
        </w:tc>
      </w:tr>
      <w:tr>
        <w:trPr>
          <w:trHeight w:val="180"/>
        </w:trPr>
        <w:tc>
          <w:tcPr>
            <w:tcW w:w="34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820" w:type="dxa"/>
            <w:vAlign w:val="bottom"/>
          </w:tcPr>
          <w:p>
            <w:pPr>
              <w:ind w:left="1300"/>
              <w:spacing w:after="0" w:line="181" w:lineRule="exact"/>
              <w:rPr>
                <w:sz w:val="20"/>
                <w:szCs w:val="20"/>
                <w:color w:val="auto"/>
              </w:rPr>
            </w:pPr>
            <w:r>
              <w:rPr>
                <w:rFonts w:ascii="Times New Roman" w:cs="Times New Roman" w:eastAsia="Times New Roman" w:hAnsi="Times New Roman"/>
                <w:sz w:val="18"/>
                <w:szCs w:val="18"/>
                <w:color w:val="auto"/>
              </w:rPr>
              <w:t>Vice President, Controller and</w:t>
            </w:r>
          </w:p>
        </w:tc>
      </w:tr>
      <w:tr>
        <w:trPr>
          <w:trHeight w:val="234"/>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8"/>
        </w:trPr>
        <w:tc>
          <w:tcPr>
            <w:tcW w:w="34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00"/>
          </w:cols>
          <w:pgMar w:left="320" w:top="117" w:right="3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A. Lynch, certify that:</w:t>
      </w:r>
    </w:p>
    <w:p>
      <w:pPr>
        <w:spacing w:after="0" w:line="387" w:lineRule="exact"/>
        <w:rPr>
          <w:sz w:val="20"/>
          <w:szCs w:val="20"/>
          <w:color w:val="auto"/>
        </w:rPr>
      </w:pPr>
    </w:p>
    <w:p>
      <w:pPr>
        <w:ind w:left="520" w:hanging="17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4"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520" w:right="40" w:hanging="172"/>
        <w:spacing w:after="0" w:line="22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1200" w:right="40" w:hanging="681"/>
        <w:spacing w:after="0" w:line="237" w:lineRule="auto"/>
        <w:tabs>
          <w:tab w:leader="none" w:pos="12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9, 2022</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Z. Barkin, certify that:</w:t>
      </w:r>
    </w:p>
    <w:p>
      <w:pPr>
        <w:spacing w:after="0" w:line="387" w:lineRule="exact"/>
        <w:rPr>
          <w:sz w:val="20"/>
          <w:szCs w:val="20"/>
          <w:color w:val="auto"/>
        </w:rPr>
      </w:pPr>
    </w:p>
    <w:p>
      <w:pPr>
        <w:ind w:left="520" w:hanging="17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9"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jc w:val="both"/>
        <w:ind w:left="520" w:right="40" w:hanging="172"/>
        <w:spacing w:after="0" w:line="23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00" w:right="40" w:hanging="681"/>
        <w:spacing w:after="0" w:line="234" w:lineRule="auto"/>
        <w:tabs>
          <w:tab w:leader="none" w:pos="12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jc w:val="both"/>
        <w:ind w:left="1200" w:right="40" w:hanging="681"/>
        <w:spacing w:after="0" w:line="231" w:lineRule="auto"/>
        <w:tabs>
          <w:tab w:leader="none" w:pos="12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9, 2022</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5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Quarterly Report on Form 10-Q for the quarter ended April 30, 2022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9, 2022</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9, 2022</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2"/>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lowerRoman"/>
      <w:start w:val="2"/>
    </w:lvl>
    <w:lvl w:ilvl="1">
      <w:lvlJc w:val="left"/>
      <w:lvlText w:val="%2."/>
      <w:numFmt w:val="lowerRoman"/>
      <w:start w:val="4"/>
    </w:lvl>
  </w:abstractNum>
  <w:abstractNum w:abstractNumId="10">
    <w:nsid w:val="3F2DBA31"/>
    <w:multiLevelType w:val="hybridMultilevel"/>
    <w:lvl w:ilvl="0">
      <w:lvlJc w:val="left"/>
      <w:lvlText w:val="%1."/>
      <w:numFmt w:val="lowerRoman"/>
      <w:start w:val="5"/>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Roman"/>
      <w:start w:val="2"/>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2022-06-09T15:12:16Z</dcterms:created>
  <dcterms:modified xsi:type="dcterms:W3CDTF">2022-06-09T15:12:16Z</dcterms:modified>
</cp:coreProperties>
</file>