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October 31, 2017</w:t>
      </w:r>
    </w:p>
    <w:p>
      <w:pPr>
        <w:spacing w:after="0" w:line="266"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41" w:lineRule="exact"/>
        <w:rPr>
          <w:sz w:val="24"/>
          <w:szCs w:val="24"/>
          <w:color w:val="auto"/>
        </w:rPr>
      </w:pPr>
    </w:p>
    <w:p>
      <w:pPr>
        <w:ind w:left="396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83185</wp:posOffset>
            </wp:positionV>
            <wp:extent cx="312991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991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Vail Resorts,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520" w:type="dxa"/>
        <w:tblCellMar>
          <w:top w:w="0" w:type="dxa"/>
          <w:left w:w="0" w:type="dxa"/>
          <w:bottom w:w="0" w:type="dxa"/>
          <w:right w:w="0" w:type="dxa"/>
        </w:tblCellMar>
      </w:tblP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380" w:type="dxa"/>
            <w:vAlign w:val="bottom"/>
          </w:tcPr>
          <w:p>
            <w:pPr>
              <w:jc w:val="right"/>
              <w:ind w:right="40"/>
              <w:spacing w:after="0"/>
              <w:rPr>
                <w:sz w:val="20"/>
                <w:szCs w:val="20"/>
                <w:color w:val="auto"/>
              </w:rPr>
            </w:pPr>
            <w:r>
              <w:rPr>
                <w:rFonts w:ascii="Arial" w:cs="Arial" w:eastAsia="Arial" w:hAnsi="Arial"/>
                <w:sz w:val="18"/>
                <w:szCs w:val="18"/>
                <w:b w:val="1"/>
                <w:bCs w:val="1"/>
                <w:color w:val="auto"/>
              </w:rPr>
              <w:t>51-0291762</w:t>
            </w:r>
          </w:p>
        </w:tc>
      </w:tr>
      <w:tr>
        <w:trPr>
          <w:trHeight w:val="180"/>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4"/>
              </w:rPr>
              <w:t>Identification No.)</w:t>
            </w:r>
          </w:p>
        </w:tc>
      </w:tr>
      <w:tr>
        <w:trPr>
          <w:trHeight w:val="372"/>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1"/>
              </w:rPr>
              <w:t>390 Interlocken Crescent</w:t>
            </w:r>
          </w:p>
        </w:tc>
        <w:tc>
          <w:tcPr>
            <w:tcW w:w="5380" w:type="dxa"/>
            <w:vAlign w:val="bottom"/>
          </w:tcPr>
          <w:p>
            <w:pPr>
              <w:spacing w:after="0"/>
              <w:rPr>
                <w:sz w:val="24"/>
                <w:szCs w:val="24"/>
                <w:color w:val="auto"/>
              </w:rPr>
            </w:pPr>
          </w:p>
        </w:tc>
      </w:tr>
      <w:tr>
        <w:trPr>
          <w:trHeight w:val="234"/>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Broomfield, Colorado</w:t>
            </w:r>
          </w:p>
        </w:tc>
        <w:tc>
          <w:tcPr>
            <w:tcW w:w="5380" w:type="dxa"/>
            <w:vAlign w:val="bottom"/>
          </w:tcPr>
          <w:p>
            <w:pPr>
              <w:jc w:val="right"/>
              <w:ind w:right="260"/>
              <w:spacing w:after="0"/>
              <w:rPr>
                <w:sz w:val="20"/>
                <w:szCs w:val="20"/>
                <w:color w:val="auto"/>
              </w:rPr>
            </w:pPr>
            <w:r>
              <w:rPr>
                <w:rFonts w:ascii="Arial" w:cs="Arial" w:eastAsia="Arial" w:hAnsi="Arial"/>
                <w:sz w:val="18"/>
                <w:szCs w:val="18"/>
                <w:b w:val="1"/>
                <w:bCs w:val="1"/>
                <w:color w:val="auto"/>
              </w:rPr>
              <w:t>80021</w:t>
            </w:r>
          </w:p>
        </w:tc>
      </w:tr>
      <w:tr>
        <w:trPr>
          <w:trHeight w:val="218"/>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380" w:type="dxa"/>
            <w:vAlign w:val="bottom"/>
          </w:tcPr>
          <w:p>
            <w:pPr>
              <w:jc w:val="center"/>
              <w:ind w:left="4180"/>
              <w:spacing w:after="0"/>
              <w:rPr>
                <w:sz w:val="20"/>
                <w:szCs w:val="20"/>
                <w:color w:val="auto"/>
              </w:rPr>
            </w:pPr>
            <w:r>
              <w:rPr>
                <w:rFonts w:ascii="Arial" w:cs="Arial" w:eastAsia="Arial" w:hAnsi="Arial"/>
                <w:sz w:val="14"/>
                <w:szCs w:val="14"/>
                <w:b w:val="1"/>
                <w:bCs w:val="1"/>
                <w:color w:val="auto"/>
                <w:w w:val="98"/>
              </w:rPr>
              <w:t>(Zip Code)</w:t>
            </w:r>
          </w:p>
        </w:tc>
      </w:tr>
      <w:tr>
        <w:trPr>
          <w:trHeight w:val="390"/>
        </w:trPr>
        <w:tc>
          <w:tcPr>
            <w:tcW w:w="2460" w:type="dxa"/>
            <w:vAlign w:val="bottom"/>
          </w:tcPr>
          <w:p>
            <w:pPr>
              <w:spacing w:after="0"/>
              <w:rPr>
                <w:sz w:val="24"/>
                <w:szCs w:val="24"/>
                <w:color w:val="auto"/>
              </w:rPr>
            </w:pPr>
          </w:p>
        </w:tc>
        <w:tc>
          <w:tcPr>
            <w:tcW w:w="5380" w:type="dxa"/>
            <w:vAlign w:val="bottom"/>
          </w:tcPr>
          <w:p>
            <w:pPr>
              <w:jc w:val="right"/>
              <w:ind w:right="3000"/>
              <w:spacing w:after="0"/>
              <w:rPr>
                <w:sz w:val="20"/>
                <w:szCs w:val="20"/>
                <w:color w:val="auto"/>
              </w:rPr>
            </w:pPr>
            <w:r>
              <w:rPr>
                <w:rFonts w:ascii="Arial" w:cs="Arial" w:eastAsia="Arial" w:hAnsi="Arial"/>
                <w:sz w:val="18"/>
                <w:szCs w:val="18"/>
                <w:b w:val="1"/>
                <w:bCs w:val="1"/>
                <w:color w:val="auto"/>
              </w:rPr>
              <w:t>(303) 404-1800</w:t>
            </w:r>
          </w:p>
        </w:tc>
      </w:tr>
      <w:tr>
        <w:trPr>
          <w:trHeight w:val="204"/>
        </w:trPr>
        <w:tc>
          <w:tcPr>
            <w:tcW w:w="2460" w:type="dxa"/>
            <w:vAlign w:val="bottom"/>
          </w:tcPr>
          <w:p>
            <w:pPr>
              <w:spacing w:after="0"/>
              <w:rPr>
                <w:sz w:val="17"/>
                <w:szCs w:val="17"/>
                <w:color w:val="auto"/>
              </w:rPr>
            </w:pPr>
          </w:p>
        </w:tc>
        <w:tc>
          <w:tcPr>
            <w:tcW w:w="5380" w:type="dxa"/>
            <w:vAlign w:val="bottom"/>
          </w:tcPr>
          <w:p>
            <w:pPr>
              <w:jc w:val="right"/>
              <w:ind w:right="1900"/>
              <w:spacing w:after="0"/>
              <w:rPr>
                <w:sz w:val="20"/>
                <w:szCs w:val="20"/>
                <w:color w:val="auto"/>
              </w:rPr>
            </w:pPr>
            <w:r>
              <w:rPr>
                <w:rFonts w:ascii="Arial" w:cs="Arial" w:eastAsia="Arial" w:hAnsi="Arial"/>
                <w:sz w:val="14"/>
                <w:szCs w:val="14"/>
                <w:b w:val="1"/>
                <w:bCs w:val="1"/>
                <w:color w:val="auto"/>
                <w:w w:val="92"/>
              </w:rPr>
              <w:t>(Registrant’s Telephone Number, Including Area Code)</w:t>
            </w:r>
          </w:p>
        </w:tc>
      </w:tr>
    </w:tbl>
    <w:p>
      <w:pPr>
        <w:spacing w:after="0" w:line="11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11"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0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90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05"/>
        </w:trPr>
        <w:tc>
          <w:tcPr>
            <w:tcW w:w="2040" w:type="dxa"/>
            <w:vAlign w:val="bottom"/>
          </w:tcPr>
          <w:p>
            <w:pPr>
              <w:spacing w:after="0"/>
              <w:rPr>
                <w:sz w:val="20"/>
                <w:szCs w:val="20"/>
                <w:color w:val="auto"/>
              </w:rPr>
            </w:pPr>
            <w:r>
              <w:rPr>
                <w:rFonts w:ascii="Arial" w:cs="Arial" w:eastAsia="Arial" w:hAnsi="Arial"/>
                <w:sz w:val="18"/>
                <w:szCs w:val="18"/>
                <w:color w:val="auto"/>
              </w:rPr>
              <w:t>Non-accelerated filer</w:t>
            </w:r>
          </w:p>
        </w:tc>
        <w:tc>
          <w:tcPr>
            <w:tcW w:w="4920" w:type="dxa"/>
            <w:vAlign w:val="bottom"/>
          </w:tcPr>
          <w:p>
            <w:pPr>
              <w:ind w:left="4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340" w:type="dxa"/>
            <w:vAlign w:val="bottom"/>
          </w:tcPr>
          <w:p>
            <w:pPr>
              <w:ind w:left="90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0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340" w:type="dxa"/>
            <w:vAlign w:val="bottom"/>
          </w:tcPr>
          <w:p>
            <w:pPr>
              <w:ind w:left="90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2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right="19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December 4, 2017, 40,407,160 shares of the registrant’s common stock were outstanding.</w:t>
      </w:r>
    </w:p>
    <w:p>
      <w:pPr>
        <w:sectPr>
          <w:pgSz w:w="11900" w:h="16838" w:orient="portrait"/>
          <w:cols w:equalWidth="0" w:num="1">
            <w:col w:w="11420"/>
          </w:cols>
          <w:pgMar w:left="240" w:top="73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PART I</w:t>
            </w:r>
          </w:p>
        </w:tc>
        <w:tc>
          <w:tcPr>
            <w:tcW w:w="966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FINANCIAL INFORMATION</w:t>
            </w:r>
          </w:p>
        </w:tc>
        <w:tc>
          <w:tcPr>
            <w:tcW w:w="680" w:type="dxa"/>
            <w:vAlign w:val="bottom"/>
            <w:tcBorders>
              <w:bottom w:val="single" w:sz="8" w:color="auto"/>
            </w:tcBorders>
            <w:gridSpan w:val="4"/>
            <w:shd w:val="clear" w:color="auto" w:fill="CCEEFF"/>
          </w:tcPr>
          <w:p>
            <w:pPr>
              <w:ind w:left="160"/>
              <w:spacing w:after="0"/>
              <w:rPr>
                <w:sz w:val="20"/>
                <w:szCs w:val="20"/>
                <w:color w:val="auto"/>
              </w:rPr>
            </w:pPr>
            <w:r>
              <w:rPr>
                <w:rFonts w:ascii="Arial" w:cs="Arial" w:eastAsia="Arial" w:hAnsi="Arial"/>
                <w:sz w:val="18"/>
                <w:szCs w:val="18"/>
                <w:color w:val="auto"/>
              </w:rPr>
              <w:t>Page</w:t>
            </w:r>
          </w:p>
        </w:tc>
      </w:tr>
      <w:tr>
        <w:trPr>
          <w:trHeight w:val="324"/>
        </w:trPr>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 1.</w:t>
            </w:r>
          </w:p>
        </w:tc>
        <w:tc>
          <w:tcPr>
            <w:tcW w:w="9660" w:type="dxa"/>
            <w:vAlign w:val="bottom"/>
            <w:tcBorders>
              <w:bottom w:val="single" w:sz="8" w:color="CCEEFF"/>
            </w:tcBorders>
            <w:gridSpan w:val="16"/>
            <w:shd w:val="clear" w:color="auto" w:fill="CCEEFF"/>
          </w:tcPr>
          <w:p>
            <w:pPr>
              <w:spacing w:after="0"/>
              <w:rPr>
                <w:sz w:val="20"/>
                <w:szCs w:val="20"/>
                <w:color w:val="auto"/>
              </w:rPr>
            </w:pPr>
            <w:r>
              <w:rPr>
                <w:rFonts w:ascii="Arial" w:cs="Arial" w:eastAsia="Arial" w:hAnsi="Arial"/>
                <w:sz w:val="18"/>
                <w:szCs w:val="18"/>
                <w:color w:val="auto"/>
              </w:rPr>
              <w:t>Financial Statements (unaudited).</w:t>
            </w:r>
          </w:p>
        </w:tc>
        <w:tc>
          <w:tcPr>
            <w:tcW w:w="4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080" w:type="dxa"/>
            <w:vAlign w:val="bottom"/>
          </w:tcPr>
          <w:p>
            <w:pPr>
              <w:spacing w:after="0"/>
              <w:rPr>
                <w:sz w:val="17"/>
                <w:szCs w:val="17"/>
                <w:color w:val="auto"/>
              </w:rPr>
            </w:pPr>
          </w:p>
        </w:tc>
        <w:tc>
          <w:tcPr>
            <w:tcW w:w="9660" w:type="dxa"/>
            <w:vAlign w:val="bottom"/>
            <w:gridSpan w:val="16"/>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Consolidated Condensed Balance Sheets as of October 31, 2017, July 31, 2017 and October 31, 2016</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spacing w:after="0"/>
              <w:rPr>
                <w:sz w:val="17"/>
                <w:szCs w:val="17"/>
                <w:color w:val="auto"/>
              </w:rPr>
            </w:pPr>
          </w:p>
        </w:tc>
        <w:tc>
          <w:tcPr>
            <w:tcW w:w="9660" w:type="dxa"/>
            <w:vAlign w:val="bottom"/>
            <w:gridSpan w:val="16"/>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Condensed Statements of Operations for the Three Months Ended October 31, 2017 and 2016</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84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spacing w:after="0"/>
              <w:rPr>
                <w:sz w:val="17"/>
                <w:szCs w:val="17"/>
                <w:color w:val="auto"/>
              </w:rPr>
            </w:pPr>
          </w:p>
        </w:tc>
        <w:tc>
          <w:tcPr>
            <w:tcW w:w="9660" w:type="dxa"/>
            <w:vAlign w:val="bottom"/>
            <w:gridSpan w:val="16"/>
          </w:tcPr>
          <w:p>
            <w:pPr>
              <w:spacing w:after="0" w:line="202"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Consolidated Condensed Statements of Comprehensive Income (Loss) for the Three Months Ended October 31, 2017 and 2016</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shd w:val="clear" w:color="auto" w:fill="CCEEFF"/>
          </w:tcPr>
          <w:p>
            <w:pPr>
              <w:spacing w:after="0"/>
              <w:rPr>
                <w:sz w:val="21"/>
                <w:szCs w:val="21"/>
                <w:color w:val="auto"/>
              </w:rPr>
            </w:pPr>
          </w:p>
        </w:tc>
        <w:tc>
          <w:tcPr>
            <w:tcW w:w="9660" w:type="dxa"/>
            <w:vAlign w:val="bottom"/>
            <w:gridSpan w:val="16"/>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Condensed Statements of Stockholders’ Equity for the Three Months Ended October 31, 2017 and 2016</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3"/>
        </w:trPr>
        <w:tc>
          <w:tcPr>
            <w:tcW w:w="1080" w:type="dxa"/>
            <w:vAlign w:val="bottom"/>
            <w:tcBorders>
              <w:top w:val="single" w:sz="8" w:color="CCEEFF"/>
            </w:tcBorders>
          </w:tcPr>
          <w:p>
            <w:pPr>
              <w:spacing w:after="0"/>
              <w:rPr>
                <w:sz w:val="17"/>
                <w:szCs w:val="17"/>
                <w:color w:val="auto"/>
              </w:rPr>
            </w:pPr>
          </w:p>
        </w:tc>
        <w:tc>
          <w:tcPr>
            <w:tcW w:w="8480" w:type="dxa"/>
            <w:vAlign w:val="bottom"/>
            <w:tcBorders>
              <w:top w:val="single" w:sz="8" w:color="0000EE"/>
            </w:tcBorders>
            <w:gridSpan w:val="14"/>
          </w:tcPr>
          <w:p>
            <w:pPr>
              <w:spacing w:after="0" w:line="202"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Consolidated Condensed Statements of Cash Flows for the Three Months Ended October 31, 2017 and 2016</w:t>
              </w:r>
            </w:hyperlink>
          </w:p>
        </w:tc>
        <w:tc>
          <w:tcPr>
            <w:tcW w:w="1180" w:type="dxa"/>
            <w:vAlign w:val="bottom"/>
            <w:tcBorders>
              <w:top w:val="single" w:sz="8" w:color="CCEEFF"/>
            </w:tcBorders>
            <w:gridSpan w:val="2"/>
          </w:tcPr>
          <w:p>
            <w:pPr>
              <w:spacing w:after="0"/>
              <w:rPr>
                <w:sz w:val="17"/>
                <w:szCs w:val="17"/>
                <w:color w:val="auto"/>
              </w:rPr>
            </w:pPr>
          </w:p>
        </w:tc>
        <w:tc>
          <w:tcPr>
            <w:tcW w:w="56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 w:type="dxa"/>
            <w:vAlign w:val="bottom"/>
            <w:tcBorders>
              <w:top w:val="single" w:sz="8" w:color="CCEEFF"/>
            </w:tcBorders>
          </w:tcPr>
          <w:p>
            <w:pPr>
              <w:spacing w:after="0"/>
              <w:rPr>
                <w:sz w:val="17"/>
                <w:szCs w:val="17"/>
                <w:color w:val="auto"/>
              </w:rPr>
            </w:pPr>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spacing w:after="0"/>
              <w:rPr>
                <w:sz w:val="17"/>
                <w:szCs w:val="17"/>
                <w:color w:val="auto"/>
              </w:rPr>
            </w:pPr>
          </w:p>
        </w:tc>
        <w:tc>
          <w:tcPr>
            <w:tcW w:w="9660" w:type="dxa"/>
            <w:vAlign w:val="bottom"/>
            <w:gridSpan w:val="16"/>
            <w:shd w:val="clear" w:color="auto" w:fill="CCEEFF"/>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Consolidated Condensed Financial Statements</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660" w:type="dxa"/>
            <w:vAlign w:val="bottom"/>
            <w:gridSpan w:val="16"/>
          </w:tcPr>
          <w:p>
            <w:pPr>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20</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gridSpan w:val="9"/>
            <w:shd w:val="clear" w:color="auto" w:fill="CCEEFF"/>
          </w:tcPr>
          <w:p>
            <w:pPr>
              <w:spacing w:after="0" w:line="202"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Quantitative and Qualitative Disclosures About Market Risk</w:t>
              </w:r>
            </w:hyperlink>
          </w:p>
        </w:tc>
        <w:tc>
          <w:tcPr>
            <w:tcW w:w="5300" w:type="dxa"/>
            <w:vAlign w:val="bottom"/>
            <w:gridSpan w:val="7"/>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4360" w:type="dxa"/>
            <w:vAlign w:val="bottom"/>
            <w:gridSpan w:val="9"/>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5300" w:type="dxa"/>
            <w:vAlign w:val="bottom"/>
            <w:gridSpan w:val="7"/>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38"/>
        </w:trPr>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PART II</w:t>
            </w:r>
          </w:p>
        </w:tc>
        <w:tc>
          <w:tcPr>
            <w:tcW w:w="9660" w:type="dxa"/>
            <w:vAlign w:val="bottom"/>
            <w:gridSpan w:val="16"/>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38"/>
        </w:trPr>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1.</w:t>
            </w:r>
          </w:p>
        </w:tc>
        <w:tc>
          <w:tcPr>
            <w:tcW w:w="9660" w:type="dxa"/>
            <w:vAlign w:val="bottom"/>
            <w:gridSpan w:val="16"/>
          </w:tcPr>
          <w:p>
            <w:pPr>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gridSpan w:val="2"/>
            <w:shd w:val="clear" w:color="auto" w:fill="CCEEFF"/>
          </w:tcPr>
          <w:p>
            <w:pPr>
              <w:spacing w:after="0" w:line="202" w:lineRule="exact"/>
              <w:rPr>
                <w:rFonts w:ascii="Arial" w:cs="Arial" w:eastAsia="Arial" w:hAnsi="Arial"/>
                <w:sz w:val="18"/>
                <w:szCs w:val="18"/>
                <w:color w:val="0000EE"/>
                <w:w w:val="87"/>
              </w:rPr>
            </w:pPr>
            <w:hyperlink w:anchor="page35">
              <w:r>
                <w:rPr>
                  <w:rFonts w:ascii="Arial" w:cs="Arial" w:eastAsia="Arial" w:hAnsi="Arial"/>
                  <w:sz w:val="18"/>
                  <w:szCs w:val="18"/>
                  <w:color w:val="0000EE"/>
                  <w:w w:val="87"/>
                </w:rPr>
                <w:t>Risk Factors</w:t>
              </w:r>
            </w:hyperlink>
          </w:p>
        </w:tc>
        <w:tc>
          <w:tcPr>
            <w:tcW w:w="8760" w:type="dxa"/>
            <w:vAlign w:val="bottom"/>
            <w:gridSpan w:val="14"/>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2.</w:t>
            </w:r>
          </w:p>
        </w:tc>
        <w:tc>
          <w:tcPr>
            <w:tcW w:w="9660" w:type="dxa"/>
            <w:vAlign w:val="bottom"/>
            <w:gridSpan w:val="16"/>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166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2320" w:type="dxa"/>
            <w:vAlign w:val="bottom"/>
            <w:gridSpan w:val="6"/>
            <w:shd w:val="clear" w:color="auto" w:fill="CCEEFF"/>
          </w:tcPr>
          <w:p>
            <w:pPr>
              <w:spacing w:after="0" w:line="202"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Defaults Upon Senior Securities</w:t>
              </w:r>
            </w:hyperlink>
          </w:p>
        </w:tc>
        <w:tc>
          <w:tcPr>
            <w:tcW w:w="7340" w:type="dxa"/>
            <w:vAlign w:val="bottom"/>
            <w:gridSpan w:val="10"/>
            <w:shd w:val="clear" w:color="auto" w:fill="CCEEFF"/>
          </w:tcPr>
          <w:p>
            <w:pPr>
              <w:spacing w:after="0"/>
              <w:rPr>
                <w:sz w:val="17"/>
                <w:szCs w:val="17"/>
                <w:color w:val="auto"/>
              </w:rPr>
            </w:pPr>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2320" w:type="dxa"/>
            <w:vAlign w:val="bottom"/>
            <w:gridSpan w:val="6"/>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7340" w:type="dxa"/>
            <w:vAlign w:val="bottom"/>
            <w:gridSpan w:val="10"/>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48"/>
        </w:trPr>
        <w:tc>
          <w:tcPr>
            <w:tcW w:w="108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5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0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5.</w:t>
            </w:r>
          </w:p>
        </w:tc>
        <w:tc>
          <w:tcPr>
            <w:tcW w:w="9660" w:type="dxa"/>
            <w:vAlign w:val="bottom"/>
            <w:gridSpan w:val="16"/>
            <w:shd w:val="clear" w:color="auto" w:fill="CCEEFF"/>
          </w:tcPr>
          <w:p>
            <w:pPr>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68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48"/>
        </w:trPr>
        <w:tc>
          <w:tcPr>
            <w:tcW w:w="10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600" w:type="dxa"/>
            <w:vAlign w:val="bottom"/>
          </w:tcPr>
          <w:p>
            <w:pPr>
              <w:spacing w:after="0" w:line="202" w:lineRule="exact"/>
              <w:rPr>
                <w:rFonts w:ascii="Arial" w:cs="Arial" w:eastAsia="Arial" w:hAnsi="Arial"/>
                <w:sz w:val="18"/>
                <w:szCs w:val="18"/>
                <w:color w:val="0000EE"/>
                <w:w w:val="91"/>
              </w:rPr>
            </w:pPr>
            <w:hyperlink w:anchor="page36">
              <w:r>
                <w:rPr>
                  <w:rFonts w:ascii="Arial" w:cs="Arial" w:eastAsia="Arial" w:hAnsi="Arial"/>
                  <w:sz w:val="18"/>
                  <w:szCs w:val="18"/>
                  <w:color w:val="0000EE"/>
                  <w:w w:val="91"/>
                </w:rPr>
                <w:t>Exhibits</w:t>
              </w:r>
            </w:hyperlink>
          </w:p>
        </w:tc>
        <w:tc>
          <w:tcPr>
            <w:tcW w:w="700" w:type="dxa"/>
            <w:vAlign w:val="bottom"/>
            <w:gridSpan w:val="2"/>
          </w:tcPr>
          <w:p>
            <w:pPr>
              <w:spacing w:after="0"/>
              <w:rPr>
                <w:sz w:val="17"/>
                <w:szCs w:val="17"/>
                <w:color w:val="auto"/>
              </w:rPr>
            </w:pPr>
          </w:p>
        </w:tc>
        <w:tc>
          <w:tcPr>
            <w:tcW w:w="8360" w:type="dxa"/>
            <w:vAlign w:val="bottom"/>
            <w:gridSpan w:val="13"/>
          </w:tcPr>
          <w:p>
            <w:pPr>
              <w:spacing w:after="0"/>
              <w:rPr>
                <w:sz w:val="17"/>
                <w:szCs w:val="17"/>
                <w:color w:val="auto"/>
              </w:rPr>
            </w:pPr>
          </w:p>
        </w:tc>
        <w:tc>
          <w:tcPr>
            <w:tcW w:w="680" w:type="dxa"/>
            <w:vAlign w:val="bottom"/>
            <w:gridSpan w:val="4"/>
          </w:tcPr>
          <w:p>
            <w:pPr>
              <w:jc w:val="right"/>
              <w:ind w:right="20"/>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10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October 31, 2017</w:t>
            </w: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July 31, 2017</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October 31, 2016</w:t>
            </w: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140,397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117,389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106,751</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16,609</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10,273</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13,203</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receivables, net</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84,571</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186,913</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59,445</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108,081</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84,814</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112,792</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46,045</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33,681</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40,172</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395,703</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433,070</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332,363</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 (Note 6)</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1,694,692</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1,714,154</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1,699,087</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102,697</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103,405</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116,852</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net</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1,484,335</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1,519,743</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1,454,943</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287,093</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294,932</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286,360</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44,096</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45,414</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34,514</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4,008,616</w:t>
            </w:r>
          </w:p>
        </w:tc>
        <w:tc>
          <w:tcPr>
            <w:tcW w:w="3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4,110,718</w:t>
            </w: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3,924,119</w:t>
            </w:r>
          </w:p>
        </w:tc>
      </w:tr>
      <w:tr>
        <w:trPr>
          <w:trHeight w:val="67"/>
        </w:trPr>
        <w:tc>
          <w:tcPr>
            <w:tcW w:w="59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r>
      <w:tr>
        <w:trPr>
          <w:trHeight w:val="231"/>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liabilities (Note 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630,467</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467,669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542,923</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40,707</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98,491</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73,739</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 (Note 4)</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38,422</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38,397</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38,374</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709,596</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604,557</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655,036</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 (Note 4)</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1,262,325</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1,234,024</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1,371,779</w:t>
            </w: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Other long-term liabilities (Note 6)</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290,420</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301,736</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272,309</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136,863</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171,442</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98,192</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2,399,204</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2,311,759</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2,397,316</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8)</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98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Preferred stock, $0.01 par value, 25,000 shares authorized, no shares issued</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7"/>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and outstanding</w:t>
            </w:r>
          </w:p>
        </w:tc>
        <w:tc>
          <w:tcPr>
            <w:tcW w:w="3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5980" w:type="dxa"/>
            <w:vAlign w:val="bottom"/>
          </w:tcPr>
          <w:p>
            <w:pPr>
              <w:ind w:left="280"/>
              <w:spacing w:after="0"/>
              <w:rPr>
                <w:sz w:val="20"/>
                <w:szCs w:val="20"/>
                <w:color w:val="auto"/>
              </w:rPr>
            </w:pPr>
            <w:r>
              <w:rPr>
                <w:rFonts w:ascii="Arial" w:cs="Arial" w:eastAsia="Arial" w:hAnsi="Arial"/>
                <w:sz w:val="18"/>
                <w:szCs w:val="18"/>
                <w:color w:val="auto"/>
                <w:w w:val="93"/>
              </w:rPr>
              <w:t>Common stock, $0.01 par value, 100,000 shares authorized, 45,842, 45,448</w:t>
            </w: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980" w:type="dxa"/>
            <w:vAlign w:val="bottom"/>
          </w:tcPr>
          <w:p>
            <w:pPr>
              <w:ind w:left="280"/>
              <w:spacing w:after="0"/>
              <w:rPr>
                <w:sz w:val="20"/>
                <w:szCs w:val="20"/>
                <w:color w:val="auto"/>
              </w:rPr>
            </w:pPr>
            <w:r>
              <w:rPr>
                <w:rFonts w:ascii="Arial" w:cs="Arial" w:eastAsia="Arial" w:hAnsi="Arial"/>
                <w:sz w:val="18"/>
                <w:szCs w:val="18"/>
                <w:color w:val="auto"/>
              </w:rPr>
              <w:t>and 45,061 shares issued, respectively</w:t>
            </w:r>
          </w:p>
        </w:tc>
        <w:tc>
          <w:tcPr>
            <w:tcW w:w="320" w:type="dxa"/>
            <w:vAlign w:val="bottom"/>
          </w:tcPr>
          <w:p>
            <w:pPr>
              <w:spacing w:after="0"/>
              <w:rPr>
                <w:sz w:val="20"/>
                <w:szCs w:val="20"/>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458</w:t>
            </w:r>
          </w:p>
        </w:tc>
        <w:tc>
          <w:tcPr>
            <w:tcW w:w="36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454</w:t>
            </w:r>
          </w:p>
        </w:tc>
        <w:tc>
          <w:tcPr>
            <w:tcW w:w="28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451</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9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Exchangeable shares, $0.01 par value, 61, 69 and 418 shares issued and</w:t>
            </w: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7"/>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outstanding, respectively (Note 5)</w:t>
            </w:r>
          </w:p>
        </w:tc>
        <w:tc>
          <w:tcPr>
            <w:tcW w:w="3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1,157,547</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1,222,510</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1,209,935</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10,591</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44,395</w:t>
            </w:r>
          </w:p>
        </w:tc>
        <w:tc>
          <w:tcPr>
            <w:tcW w:w="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(19,784)</w:t>
            </w:r>
          </w:p>
        </w:tc>
      </w:tr>
      <w:tr>
        <w:trPr>
          <w:trHeight w:val="243"/>
        </w:trPr>
        <w:tc>
          <w:tcPr>
            <w:tcW w:w="598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1"/>
                <w:szCs w:val="21"/>
                <w:color w:val="auto"/>
              </w:rPr>
            </w:pPr>
          </w:p>
        </w:tc>
        <w:tc>
          <w:tcPr>
            <w:tcW w:w="1540" w:type="dxa"/>
            <w:vAlign w:val="bottom"/>
          </w:tcPr>
          <w:p>
            <w:pPr>
              <w:jc w:val="right"/>
              <w:ind w:right="51"/>
              <w:spacing w:after="0"/>
              <w:rPr>
                <w:sz w:val="20"/>
                <w:szCs w:val="20"/>
                <w:color w:val="auto"/>
              </w:rPr>
            </w:pPr>
            <w:r>
              <w:rPr>
                <w:rFonts w:ascii="Arial" w:cs="Arial" w:eastAsia="Arial" w:hAnsi="Arial"/>
                <w:sz w:val="18"/>
                <w:szCs w:val="18"/>
                <w:color w:val="auto"/>
              </w:rPr>
              <w:t>479,997</w:t>
            </w:r>
          </w:p>
        </w:tc>
        <w:tc>
          <w:tcPr>
            <w:tcW w:w="360" w:type="dxa"/>
            <w:vAlign w:val="bottom"/>
          </w:tcPr>
          <w:p>
            <w:pPr>
              <w:spacing w:after="0"/>
              <w:rPr>
                <w:sz w:val="21"/>
                <w:szCs w:val="21"/>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550,985</w:t>
            </w:r>
          </w:p>
        </w:tc>
        <w:tc>
          <w:tcPr>
            <w:tcW w:w="2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394,690</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0"/>
              </w:rPr>
              <w:t>Treasury stock, at cost, 5,436, 5,436, and 5,435 shares, respectively (Note 10)</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(247,189)</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(247,189)</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(246,979)</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Vail Resorts, Inc. stockholders’ equity</w:t>
            </w: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1,401,405</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1,571,156</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1,338,317</w:t>
            </w:r>
          </w:p>
        </w:tc>
      </w:tr>
      <w:tr>
        <w:trPr>
          <w:trHeight w:val="27"/>
        </w:trPr>
        <w:tc>
          <w:tcPr>
            <w:tcW w:w="5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5"/>
        </w:trPr>
        <w:tc>
          <w:tcPr>
            <w:tcW w:w="5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208,007</w:t>
            </w:r>
          </w:p>
        </w:tc>
        <w:tc>
          <w:tcPr>
            <w:tcW w:w="3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227,803</w:t>
            </w:r>
          </w:p>
        </w:tc>
        <w:tc>
          <w:tcPr>
            <w:tcW w:w="2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188,486</w:t>
            </w:r>
          </w:p>
        </w:tc>
      </w:tr>
      <w:tr>
        <w:trPr>
          <w:trHeight w:val="237"/>
        </w:trPr>
        <w:tc>
          <w:tcPr>
            <w:tcW w:w="59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1,609,412</w:t>
            </w:r>
          </w:p>
        </w:tc>
        <w:tc>
          <w:tcPr>
            <w:tcW w:w="3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1,798,959</w:t>
            </w: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1,526,803</w:t>
            </w:r>
          </w:p>
        </w:tc>
      </w:tr>
      <w:tr>
        <w:trPr>
          <w:trHeight w:val="27"/>
        </w:trPr>
        <w:tc>
          <w:tcPr>
            <w:tcW w:w="5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4,008,616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4,110,718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3,924,119</w:t>
            </w:r>
          </w:p>
        </w:tc>
      </w:tr>
      <w:tr>
        <w:trPr>
          <w:trHeight w:val="20"/>
        </w:trPr>
        <w:tc>
          <w:tcPr>
            <w:tcW w:w="5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580"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2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rPr>
              <w:t>Three Months Ended October 31,</w:t>
            </w:r>
          </w:p>
        </w:tc>
        <w:tc>
          <w:tcPr>
            <w:tcW w:w="74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Mountain and Lodging services and other</w:t>
            </w:r>
          </w:p>
        </w:tc>
        <w:tc>
          <w:tcPr>
            <w:tcW w:w="1060" w:type="dxa"/>
            <w:vAlign w:val="bottom"/>
          </w:tcPr>
          <w:p>
            <w:pPr>
              <w:jc w:val="right"/>
              <w:ind w:right="855"/>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98"/>
              </w:rPr>
              <w:t>143,348</w:t>
            </w:r>
          </w:p>
        </w:tc>
        <w:tc>
          <w:tcPr>
            <w:tcW w:w="1140" w:type="dxa"/>
            <w:vAlign w:val="bottom"/>
          </w:tcPr>
          <w:p>
            <w:pPr>
              <w:jc w:val="right"/>
              <w:ind w:right="87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114,686</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 and Lodging retail and dining</w:t>
            </w:r>
          </w:p>
        </w:tc>
        <w:tc>
          <w:tcPr>
            <w:tcW w:w="10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76,866</w:t>
            </w:r>
          </w:p>
        </w:tc>
        <w:tc>
          <w:tcPr>
            <w:tcW w:w="1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63,483</w:t>
            </w:r>
          </w:p>
        </w:tc>
      </w:tr>
      <w:tr>
        <w:trPr>
          <w:trHeight w:val="237"/>
        </w:trPr>
        <w:tc>
          <w:tcPr>
            <w:tcW w:w="76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Resort net revenue</w:t>
            </w:r>
          </w:p>
        </w:tc>
        <w:tc>
          <w:tcPr>
            <w:tcW w:w="10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8"/>
              </w:rPr>
              <w:t>220,214</w:t>
            </w:r>
          </w:p>
        </w:tc>
        <w:tc>
          <w:tcPr>
            <w:tcW w:w="1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178,169</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w:t>
            </w:r>
          </w:p>
        </w:tc>
        <w:tc>
          <w:tcPr>
            <w:tcW w:w="10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636</w:t>
            </w:r>
          </w:p>
        </w:tc>
        <w:tc>
          <w:tcPr>
            <w:tcW w:w="1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r>
      <w:tr>
        <w:trPr>
          <w:trHeight w:val="237"/>
        </w:trPr>
        <w:tc>
          <w:tcPr>
            <w:tcW w:w="76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net revenue</w:t>
            </w:r>
          </w:p>
        </w:tc>
        <w:tc>
          <w:tcPr>
            <w:tcW w:w="10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8"/>
              </w:rPr>
              <w:t>220,850</w:t>
            </w:r>
          </w:p>
        </w:tc>
        <w:tc>
          <w:tcPr>
            <w:tcW w:w="1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178,265</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 (exclusive of depreciation and amortization shown separately below):</w:t>
            </w: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Mountain and Lodging operating expense</w:t>
            </w:r>
          </w:p>
        </w:tc>
        <w:tc>
          <w:tcPr>
            <w:tcW w:w="10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98"/>
              </w:rPr>
              <w:t>181,276</w:t>
            </w:r>
          </w:p>
        </w:tc>
        <w:tc>
          <w:tcPr>
            <w:tcW w:w="1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152,645</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 and Lodging retail and dining cost of products sold</w:t>
            </w: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35,679</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28,940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57,863</w:t>
            </w:r>
          </w:p>
        </w:tc>
        <w:tc>
          <w:tcPr>
            <w:tcW w:w="1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50,748</w:t>
            </w:r>
          </w:p>
        </w:tc>
      </w:tr>
      <w:tr>
        <w:trPr>
          <w:trHeight w:val="27"/>
        </w:trPr>
        <w:tc>
          <w:tcPr>
            <w:tcW w:w="7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Resort operating expense</w:t>
            </w: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274,818</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232,333</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10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1,691</w:t>
            </w:r>
          </w:p>
        </w:tc>
        <w:tc>
          <w:tcPr>
            <w:tcW w:w="1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1,485</w:t>
            </w:r>
          </w:p>
        </w:tc>
      </w:tr>
      <w:tr>
        <w:trPr>
          <w:trHeight w:val="27"/>
        </w:trPr>
        <w:tc>
          <w:tcPr>
            <w:tcW w:w="7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segment operating expense</w:t>
            </w: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276,509</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233,818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operating (expense) income:</w:t>
            </w: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(48,624)</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(40,581)</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Gain on sale of real property</w:t>
            </w:r>
          </w:p>
        </w:tc>
        <w:tc>
          <w:tcPr>
            <w:tcW w:w="10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6,466</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estimated fair value of contingent consideration (Note 7)</w:t>
            </w: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Gain (loss) on disposal of fixed assets, net</w:t>
            </w:r>
          </w:p>
        </w:tc>
        <w:tc>
          <w:tcPr>
            <w:tcW w:w="10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567</w:t>
            </w: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7"/>
        </w:trPr>
        <w:tc>
          <w:tcPr>
            <w:tcW w:w="7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(103,716)</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(90,518)</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Mountain equity investment income, net</w:t>
            </w:r>
          </w:p>
        </w:tc>
        <w:tc>
          <w:tcPr>
            <w:tcW w:w="10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522</w:t>
            </w:r>
          </w:p>
        </w:tc>
        <w:tc>
          <w:tcPr>
            <w:tcW w:w="1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832</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income and other, net</w:t>
            </w: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383</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4,523</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Foreign currency loss on intercompany loans (Note 4)</w:t>
            </w:r>
          </w:p>
        </w:tc>
        <w:tc>
          <w:tcPr>
            <w:tcW w:w="10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(7,346)</w:t>
            </w:r>
          </w:p>
        </w:tc>
        <w:tc>
          <w:tcPr>
            <w:tcW w:w="1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10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(15,174)</w:t>
            </w:r>
          </w:p>
        </w:tc>
        <w:tc>
          <w:tcPr>
            <w:tcW w:w="1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(11,964)</w:t>
            </w:r>
          </w:p>
        </w:tc>
      </w:tr>
      <w:tr>
        <w:trPr>
          <w:trHeight w:val="237"/>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Loss before benefit from income taxes</w:t>
            </w:r>
          </w:p>
        </w:tc>
        <w:tc>
          <w:tcPr>
            <w:tcW w:w="10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(125,331)</w:t>
            </w:r>
          </w:p>
        </w:tc>
        <w:tc>
          <w:tcPr>
            <w:tcW w:w="1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(97,127)</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from income taxes</w:t>
            </w:r>
          </w:p>
        </w:tc>
        <w:tc>
          <w:tcPr>
            <w:tcW w:w="10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93,404</w:t>
            </w:r>
          </w:p>
        </w:tc>
        <w:tc>
          <w:tcPr>
            <w:tcW w:w="1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33,509</w:t>
            </w:r>
          </w:p>
        </w:tc>
      </w:tr>
      <w:tr>
        <w:trPr>
          <w:trHeight w:val="237"/>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loss</w:t>
            </w:r>
          </w:p>
        </w:tc>
        <w:tc>
          <w:tcPr>
            <w:tcW w:w="10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(31,927)</w:t>
            </w:r>
          </w:p>
        </w:tc>
        <w:tc>
          <w:tcPr>
            <w:tcW w:w="1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(63,618)</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attributable to noncontrolling interests</w:t>
            </w:r>
          </w:p>
        </w:tc>
        <w:tc>
          <w:tcPr>
            <w:tcW w:w="10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3,542</w:t>
            </w:r>
          </w:p>
        </w:tc>
        <w:tc>
          <w:tcPr>
            <w:tcW w:w="1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w:t>
            </w:r>
          </w:p>
        </w:tc>
      </w:tr>
      <w:tr>
        <w:trPr>
          <w:trHeight w:val="237"/>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loss attributable to Vail Resorts, Inc.</w:t>
            </w:r>
          </w:p>
        </w:tc>
        <w:tc>
          <w:tcPr>
            <w:tcW w:w="1060" w:type="dxa"/>
            <w:vAlign w:val="bottom"/>
            <w:tcBorders>
              <w:top w:val="single" w:sz="8" w:color="auto"/>
            </w:tcBorders>
          </w:tcPr>
          <w:p>
            <w:pPr>
              <w:jc w:val="right"/>
              <w:ind w:right="855"/>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(28,385)</w:t>
            </w:r>
          </w:p>
        </w:tc>
        <w:tc>
          <w:tcPr>
            <w:tcW w:w="1140" w:type="dxa"/>
            <w:vAlign w:val="bottom"/>
            <w:tcBorders>
              <w:top w:val="single" w:sz="8" w:color="auto"/>
            </w:tcBorders>
          </w:tcPr>
          <w:p>
            <w:pPr>
              <w:jc w:val="right"/>
              <w:ind w:right="873"/>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(62,587)</w:t>
            </w:r>
          </w:p>
        </w:tc>
      </w:tr>
      <w:tr>
        <w:trPr>
          <w:trHeight w:val="67"/>
        </w:trPr>
        <w:tc>
          <w:tcPr>
            <w:tcW w:w="76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31"/>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amounts (Note 3):</w:t>
            </w:r>
          </w:p>
        </w:tc>
        <w:tc>
          <w:tcPr>
            <w:tcW w:w="10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Basic net loss per share attributable to Vail Resorts, Inc.</w:t>
            </w:r>
          </w:p>
        </w:tc>
        <w:tc>
          <w:tcPr>
            <w:tcW w:w="1060" w:type="dxa"/>
            <w:vAlign w:val="bottom"/>
          </w:tcPr>
          <w:p>
            <w:pPr>
              <w:jc w:val="right"/>
              <w:ind w:right="855"/>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(0.71)</w:t>
            </w:r>
          </w:p>
        </w:tc>
        <w:tc>
          <w:tcPr>
            <w:tcW w:w="1140" w:type="dxa"/>
            <w:vAlign w:val="bottom"/>
          </w:tcPr>
          <w:p>
            <w:pPr>
              <w:jc w:val="right"/>
              <w:ind w:right="87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net loss per share attributable to Vail Resorts, Inc.</w:t>
            </w:r>
          </w:p>
        </w:tc>
        <w:tc>
          <w:tcPr>
            <w:tcW w:w="106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(0.71)</w:t>
            </w:r>
          </w:p>
        </w:tc>
        <w:tc>
          <w:tcPr>
            <w:tcW w:w="1140" w:type="dxa"/>
            <w:vAlign w:val="bottom"/>
            <w:tcBorders>
              <w:bottom w:val="single" w:sz="8" w:color="CCEEFF"/>
            </w:tcBorders>
            <w:shd w:val="clear" w:color="auto" w:fill="CCEEFF"/>
          </w:tcPr>
          <w:p>
            <w:pPr>
              <w:jc w:val="right"/>
              <w:ind w:right="873"/>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Cash dividends declared per share</w:t>
            </w:r>
          </w:p>
        </w:tc>
        <w:tc>
          <w:tcPr>
            <w:tcW w:w="1060" w:type="dxa"/>
            <w:vAlign w:val="bottom"/>
          </w:tcPr>
          <w:p>
            <w:pPr>
              <w:jc w:val="right"/>
              <w:ind w:right="855"/>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1.053</w:t>
            </w:r>
          </w:p>
        </w:tc>
        <w:tc>
          <w:tcPr>
            <w:tcW w:w="1140" w:type="dxa"/>
            <w:vAlign w:val="bottom"/>
          </w:tcPr>
          <w:p>
            <w:pPr>
              <w:jc w:val="right"/>
              <w:ind w:right="873"/>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0.81</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3040" w:type="dxa"/>
            <w:vAlign w:val="bottom"/>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 October 31,</w:t>
            </w:r>
          </w:p>
        </w:tc>
        <w:tc>
          <w:tcPr>
            <w:tcW w:w="720" w:type="dxa"/>
            <w:vAlign w:val="bottom"/>
          </w:tcPr>
          <w:p>
            <w:pPr>
              <w:spacing w:after="0"/>
              <w:rPr>
                <w:sz w:val="16"/>
                <w:szCs w:val="16"/>
                <w:color w:val="auto"/>
              </w:rPr>
            </w:pPr>
          </w:p>
        </w:tc>
      </w:tr>
      <w:tr>
        <w:trPr>
          <w:trHeight w:val="80"/>
        </w:trPr>
        <w:tc>
          <w:tcPr>
            <w:tcW w:w="7660" w:type="dxa"/>
            <w:vAlign w:val="bottom"/>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r>
      <w:tr>
        <w:trPr>
          <w:trHeight w:val="258"/>
        </w:trPr>
        <w:tc>
          <w:tcPr>
            <w:tcW w:w="76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(31,927)</w:t>
            </w:r>
          </w:p>
        </w:tc>
        <w:tc>
          <w:tcPr>
            <w:tcW w:w="116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(63,618)</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 net of tax</w:t>
            </w:r>
          </w:p>
        </w:tc>
        <w:tc>
          <w:tcPr>
            <w:tcW w:w="1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5"/>
              </w:rPr>
              <w:t>(45,405)</w:t>
            </w:r>
          </w:p>
        </w:tc>
        <w:tc>
          <w:tcPr>
            <w:tcW w:w="1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(24,412)</w:t>
            </w:r>
          </w:p>
        </w:tc>
      </w:tr>
      <w:tr>
        <w:trPr>
          <w:trHeight w:val="27"/>
        </w:trPr>
        <w:tc>
          <w:tcPr>
            <w:tcW w:w="7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(77,332)</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(88,030)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Comprehensive loss attributable to noncontrolling interests</w:t>
            </w:r>
          </w:p>
        </w:tc>
        <w:tc>
          <w:tcPr>
            <w:tcW w:w="112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15,143</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7,209</w:t>
            </w:r>
          </w:p>
        </w:tc>
      </w:tr>
      <w:tr>
        <w:trPr>
          <w:trHeight w:val="27"/>
        </w:trPr>
        <w:tc>
          <w:tcPr>
            <w:tcW w:w="76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attributable to Vail Resorts, Inc.</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(62,189)</w:t>
            </w:r>
          </w:p>
        </w:tc>
        <w:tc>
          <w:tcPr>
            <w:tcW w:w="116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(80,821)</w:t>
            </w:r>
          </w:p>
        </w:tc>
      </w:tr>
      <w:tr>
        <w:trPr>
          <w:trHeight w:val="20"/>
        </w:trPr>
        <w:tc>
          <w:tcPr>
            <w:tcW w:w="76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2"/>
              <w:spacing w:after="0"/>
              <w:rPr>
                <w:sz w:val="20"/>
                <w:szCs w:val="20"/>
                <w:color w:val="auto"/>
              </w:rPr>
            </w:pPr>
            <w:r>
              <w:rPr>
                <w:rFonts w:ascii="Arial" w:cs="Arial" w:eastAsia="Arial" w:hAnsi="Arial"/>
                <w:sz w:val="13"/>
                <w:szCs w:val="13"/>
                <w:b w:val="1"/>
                <w:bCs w:val="1"/>
                <w:color w:val="auto"/>
                <w:w w:val="89"/>
              </w:rPr>
              <w:t>Total Vail</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35"/>
        </w:trPr>
        <w:tc>
          <w:tcPr>
            <w:tcW w:w="3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90"/>
              </w:rPr>
              <w:t>Accumulated Other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Arial" w:cs="Arial" w:eastAsia="Arial" w:hAnsi="Arial"/>
                <w:sz w:val="13"/>
                <w:szCs w:val="13"/>
                <w:b w:val="1"/>
                <w:bCs w:val="1"/>
                <w:color w:val="auto"/>
                <w:w w:val="84"/>
              </w:rPr>
              <w:t>Resorts, Inc.</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3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90"/>
              </w:rPr>
              <w:t>Additional Paid</w:t>
            </w:r>
          </w:p>
        </w:tc>
        <w:tc>
          <w:tcPr>
            <w:tcW w:w="140" w:type="dxa"/>
            <w:vAlign w:val="bottom"/>
          </w:tcPr>
          <w:p>
            <w:pPr>
              <w:spacing w:after="0"/>
              <w:rPr>
                <w:sz w:val="11"/>
                <w:szCs w:val="11"/>
                <w:color w:val="auto"/>
              </w:rPr>
            </w:pPr>
          </w:p>
        </w:tc>
        <w:tc>
          <w:tcPr>
            <w:tcW w:w="1020" w:type="dxa"/>
            <w:vAlign w:val="bottom"/>
          </w:tcPr>
          <w:p>
            <w:pPr>
              <w:jc w:val="right"/>
              <w:ind w:right="81"/>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780" w:type="dxa"/>
            <w:vAlign w:val="bottom"/>
          </w:tcPr>
          <w:p>
            <w:pPr>
              <w:jc w:val="right"/>
              <w:ind w:right="61"/>
              <w:spacing w:after="0" w:line="135" w:lineRule="exact"/>
              <w:rPr>
                <w:sz w:val="20"/>
                <w:szCs w:val="20"/>
                <w:color w:val="auto"/>
              </w:rPr>
            </w:pPr>
            <w:r>
              <w:rPr>
                <w:rFonts w:ascii="Arial" w:cs="Arial" w:eastAsia="Arial" w:hAnsi="Arial"/>
                <w:sz w:val="13"/>
                <w:szCs w:val="13"/>
                <w:b w:val="1"/>
                <w:bCs w:val="1"/>
                <w:color w:val="auto"/>
              </w:rPr>
              <w:t>Retained</w:t>
            </w:r>
          </w:p>
        </w:tc>
        <w:tc>
          <w:tcPr>
            <w:tcW w:w="800" w:type="dxa"/>
            <w:vAlign w:val="bottom"/>
          </w:tcPr>
          <w:p>
            <w:pPr>
              <w:jc w:val="right"/>
              <w:ind w:right="81"/>
              <w:spacing w:after="0" w:line="135" w:lineRule="exact"/>
              <w:rPr>
                <w:sz w:val="20"/>
                <w:szCs w:val="20"/>
                <w:color w:val="auto"/>
              </w:rPr>
            </w:pPr>
            <w:r>
              <w:rPr>
                <w:rFonts w:ascii="Arial" w:cs="Arial" w:eastAsia="Arial" w:hAnsi="Arial"/>
                <w:sz w:val="13"/>
                <w:szCs w:val="13"/>
                <w:b w:val="1"/>
                <w:bCs w:val="1"/>
                <w:color w:val="auto"/>
              </w:rPr>
              <w:t>Treasury</w:t>
            </w:r>
          </w:p>
        </w:tc>
        <w:tc>
          <w:tcPr>
            <w:tcW w:w="120" w:type="dxa"/>
            <w:vAlign w:val="bottom"/>
          </w:tcPr>
          <w:p>
            <w:pPr>
              <w:spacing w:after="0"/>
              <w:rPr>
                <w:sz w:val="11"/>
                <w:szCs w:val="11"/>
                <w:color w:val="auto"/>
              </w:rPr>
            </w:pPr>
          </w:p>
        </w:tc>
        <w:tc>
          <w:tcPr>
            <w:tcW w:w="880" w:type="dxa"/>
            <w:vAlign w:val="bottom"/>
          </w:tcPr>
          <w:p>
            <w:pPr>
              <w:jc w:val="center"/>
              <w:ind w:right="22"/>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90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9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74"/>
        </w:trPr>
        <w:tc>
          <w:tcPr>
            <w:tcW w:w="3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w w:val="88"/>
              </w:rPr>
              <w:t>Common Stock</w:t>
            </w: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9"/>
              </w:rPr>
              <w:t>in Capital</w:t>
            </w: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2"/>
              </w:rPr>
              <w:t>(Loss) Income</w:t>
            </w:r>
          </w:p>
        </w:tc>
        <w:tc>
          <w:tcPr>
            <w:tcW w:w="78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b w:val="1"/>
                <w:bCs w:val="1"/>
                <w:color w:val="auto"/>
              </w:rPr>
              <w:t>Earnings</w:t>
            </w:r>
          </w:p>
        </w:tc>
        <w:tc>
          <w:tcPr>
            <w:tcW w:w="800" w:type="dxa"/>
            <w:vAlign w:val="bottom"/>
            <w:tcBorders>
              <w:bottom w:val="single" w:sz="8" w:color="auto"/>
            </w:tcBorders>
          </w:tcPr>
          <w:p>
            <w:pPr>
              <w:jc w:val="right"/>
              <w:ind w:right="161"/>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w w:val="95"/>
              </w:rPr>
              <w:t>Equity</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2"/>
              </w:rPr>
              <w:t>Interests</w:t>
            </w: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w w:val="90"/>
              </w:rPr>
              <w:t>Equity</w:t>
            </w:r>
          </w:p>
        </w:tc>
      </w:tr>
      <w:tr>
        <w:trPr>
          <w:trHeight w:val="144"/>
        </w:trPr>
        <w:tc>
          <w:tcPr>
            <w:tcW w:w="3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21"/>
              <w:spacing w:after="0" w:line="144" w:lineRule="exact"/>
              <w:rPr>
                <w:sz w:val="20"/>
                <w:szCs w:val="20"/>
                <w:color w:val="auto"/>
              </w:rPr>
            </w:pPr>
            <w:r>
              <w:rPr>
                <w:rFonts w:ascii="Arial" w:cs="Arial" w:eastAsia="Arial" w:hAnsi="Arial"/>
                <w:sz w:val="13"/>
                <w:szCs w:val="13"/>
                <w:b w:val="1"/>
                <w:bCs w:val="1"/>
                <w:color w:val="auto"/>
              </w:rPr>
              <w:t>Vail</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74"/>
        </w:trPr>
        <w:tc>
          <w:tcPr>
            <w:tcW w:w="33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3"/>
                <w:szCs w:val="13"/>
                <w:b w:val="1"/>
                <w:bCs w:val="1"/>
                <w:color w:val="auto"/>
                <w:w w:val="86"/>
              </w:rPr>
              <w:t>Resorts</w:t>
            </w: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w w:val="86"/>
              </w:rPr>
              <w:t>Exchangeable</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416</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635,986</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(1,550)</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$ 486,667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$(246,979)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874,540</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13,926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888,466</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(62,587)</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(62,587)</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(1,031)</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(63,618)</w:t>
            </w:r>
          </w:p>
        </w:tc>
      </w:tr>
      <w:tr>
        <w:trPr>
          <w:trHeight w:val="220"/>
        </w:trPr>
        <w:tc>
          <w:tcPr>
            <w:tcW w:w="338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3380" w:type="dxa"/>
            <w:vAlign w:val="bottom"/>
          </w:tcPr>
          <w:p>
            <w:pPr>
              <w:ind w:left="180"/>
              <w:spacing w:after="0"/>
              <w:rPr>
                <w:sz w:val="20"/>
                <w:szCs w:val="20"/>
                <w:color w:val="auto"/>
              </w:rPr>
            </w:pPr>
            <w:r>
              <w:rPr>
                <w:rFonts w:ascii="Arial" w:cs="Arial" w:eastAsia="Arial" w:hAnsi="Arial"/>
                <w:sz w:val="16"/>
                <w:szCs w:val="16"/>
                <w:color w:val="auto"/>
              </w:rPr>
              <w:t>tax</w:t>
            </w:r>
          </w:p>
        </w:tc>
        <w:tc>
          <w:tcPr>
            <w:tcW w:w="18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(18,234)</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(18,234)</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(6,178)</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(24,412)</w:t>
            </w:r>
          </w:p>
        </w:tc>
      </w:tr>
      <w:tr>
        <w:trPr>
          <w:trHeight w:val="33"/>
        </w:trPr>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(80,821)</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(7,209)</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(88,030)</w:t>
            </w:r>
          </w:p>
        </w:tc>
      </w:tr>
      <w:tr>
        <w:trPr>
          <w:trHeight w:val="217"/>
        </w:trPr>
        <w:tc>
          <w:tcPr>
            <w:tcW w:w="338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8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4,577</w:t>
            </w:r>
          </w:p>
        </w:tc>
        <w:tc>
          <w:tcPr>
            <w:tcW w:w="14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4,577</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4,577</w:t>
            </w: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issued for acquisition (Note 5)</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33</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574,608</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574,645</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574,645</w:t>
            </w:r>
          </w:p>
        </w:tc>
      </w:tr>
      <w:tr>
        <w:trPr>
          <w:trHeight w:val="220"/>
        </w:trPr>
        <w:tc>
          <w:tcPr>
            <w:tcW w:w="3380" w:type="dxa"/>
            <w:vAlign w:val="bottom"/>
          </w:tcPr>
          <w:p>
            <w:pPr>
              <w:ind w:left="40"/>
              <w:spacing w:after="0"/>
              <w:rPr>
                <w:sz w:val="20"/>
                <w:szCs w:val="20"/>
                <w:color w:val="auto"/>
              </w:rPr>
            </w:pPr>
            <w:r>
              <w:rPr>
                <w:rFonts w:ascii="Arial" w:cs="Arial" w:eastAsia="Arial" w:hAnsi="Arial"/>
                <w:sz w:val="16"/>
                <w:szCs w:val="16"/>
                <w:color w:val="auto"/>
                <w:w w:val="91"/>
              </w:rPr>
              <w:t>Issuance of shares under share award plans, net of</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3380" w:type="dxa"/>
            <w:vAlign w:val="bottom"/>
          </w:tcPr>
          <w:p>
            <w:pPr>
              <w:ind w:left="40"/>
              <w:spacing w:after="0"/>
              <w:rPr>
                <w:sz w:val="20"/>
                <w:szCs w:val="20"/>
                <w:color w:val="auto"/>
              </w:rPr>
            </w:pPr>
            <w:r>
              <w:rPr>
                <w:rFonts w:ascii="Arial" w:cs="Arial" w:eastAsia="Arial" w:hAnsi="Arial"/>
                <w:sz w:val="16"/>
                <w:szCs w:val="16"/>
                <w:color w:val="auto"/>
              </w:rPr>
              <w:t>shares withheld for taxes</w:t>
            </w:r>
          </w:p>
        </w:tc>
        <w:tc>
          <w:tcPr>
            <w:tcW w:w="18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2</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(11,526)</w:t>
            </w:r>
          </w:p>
        </w:tc>
        <w:tc>
          <w:tcPr>
            <w:tcW w:w="14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(11,524)</w:t>
            </w: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(11,524)</w:t>
            </w: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benefit from share award plans</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6,290</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6,290</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6,290</w:t>
            </w:r>
          </w:p>
        </w:tc>
      </w:tr>
      <w:tr>
        <w:trPr>
          <w:trHeight w:val="224"/>
        </w:trPr>
        <w:tc>
          <w:tcPr>
            <w:tcW w:w="3380" w:type="dxa"/>
            <w:vAlign w:val="bottom"/>
          </w:tcPr>
          <w:p>
            <w:pPr>
              <w:ind w:left="40"/>
              <w:spacing w:after="0"/>
              <w:rPr>
                <w:sz w:val="20"/>
                <w:szCs w:val="20"/>
                <w:color w:val="auto"/>
              </w:rPr>
            </w:pPr>
            <w:r>
              <w:rPr>
                <w:rFonts w:ascii="Arial" w:cs="Arial" w:eastAsia="Arial" w:hAnsi="Arial"/>
                <w:sz w:val="16"/>
                <w:szCs w:val="16"/>
                <w:color w:val="auto"/>
              </w:rPr>
              <w:t>Dividends (Note 3)</w:t>
            </w:r>
          </w:p>
        </w:tc>
        <w:tc>
          <w:tcPr>
            <w:tcW w:w="18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(29,390)</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(29,390)</w:t>
            </w:r>
          </w:p>
        </w:tc>
        <w:tc>
          <w:tcPr>
            <w:tcW w:w="180" w:type="dxa"/>
            <w:vAlign w:val="bottom"/>
          </w:tcPr>
          <w:p>
            <w:pPr>
              <w:spacing w:after="0"/>
              <w:rPr>
                <w:sz w:val="19"/>
                <w:szCs w:val="19"/>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(29,390)</w:t>
            </w: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noncontrolling interest (Note 5)</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181,818</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181,818</w:t>
            </w:r>
          </w:p>
        </w:tc>
      </w:tr>
      <w:tr>
        <w:trPr>
          <w:trHeight w:val="224"/>
        </w:trPr>
        <w:tc>
          <w:tcPr>
            <w:tcW w:w="338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8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33"/>
        </w:trPr>
        <w:tc>
          <w:tcPr>
            <w:tcW w:w="3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October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451</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1,209,935</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(19,784)</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$ 394,690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$(246,979)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1,338,317</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188,486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1,526,803</w:t>
            </w:r>
          </w:p>
        </w:tc>
      </w:tr>
      <w:tr>
        <w:trPr>
          <w:trHeight w:val="20"/>
        </w:trPr>
        <w:tc>
          <w:tcPr>
            <w:tcW w:w="3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318"/>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July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454</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1,222,510</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44,395</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$ 550,985</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$(247,189)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1,571,156</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227,803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1,798,959</w:t>
            </w:r>
          </w:p>
        </w:tc>
      </w:tr>
      <w:tr>
        <w:trPr>
          <w:trHeight w:val="237"/>
        </w:trPr>
        <w:tc>
          <w:tcPr>
            <w:tcW w:w="3380" w:type="dxa"/>
            <w:vAlign w:val="bottom"/>
          </w:tcPr>
          <w:p>
            <w:pPr>
              <w:ind w:left="40"/>
              <w:spacing w:after="0"/>
              <w:rPr>
                <w:sz w:val="20"/>
                <w:szCs w:val="20"/>
                <w:color w:val="auto"/>
              </w:rPr>
            </w:pPr>
            <w:r>
              <w:rPr>
                <w:rFonts w:ascii="Arial" w:cs="Arial" w:eastAsia="Arial" w:hAnsi="Arial"/>
                <w:sz w:val="16"/>
                <w:szCs w:val="16"/>
                <w:color w:val="auto"/>
              </w:rPr>
              <w:t>Comprehensive loss:</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(28,385)</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(28,385)</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(3,542)</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(31,927)</w:t>
            </w:r>
          </w:p>
        </w:tc>
      </w:tr>
      <w:tr>
        <w:trPr>
          <w:trHeight w:val="220"/>
        </w:trPr>
        <w:tc>
          <w:tcPr>
            <w:tcW w:w="3380" w:type="dxa"/>
            <w:vAlign w:val="bottom"/>
          </w:tcPr>
          <w:p>
            <w:pPr>
              <w:ind w:left="180"/>
              <w:spacing w:after="0"/>
              <w:rPr>
                <w:sz w:val="20"/>
                <w:szCs w:val="20"/>
                <w:color w:val="auto"/>
              </w:rPr>
            </w:pPr>
            <w:r>
              <w:rPr>
                <w:rFonts w:ascii="Arial" w:cs="Arial" w:eastAsia="Arial" w:hAnsi="Arial"/>
                <w:sz w:val="16"/>
                <w:szCs w:val="16"/>
                <w:color w:val="auto"/>
                <w:w w:val="94"/>
              </w:rPr>
              <w:t>Foreign currency translation adjustments, net of</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3380" w:type="dxa"/>
            <w:vAlign w:val="bottom"/>
          </w:tcPr>
          <w:p>
            <w:pPr>
              <w:ind w:left="180"/>
              <w:spacing w:after="0"/>
              <w:rPr>
                <w:sz w:val="20"/>
                <w:szCs w:val="20"/>
                <w:color w:val="auto"/>
              </w:rPr>
            </w:pPr>
            <w:r>
              <w:rPr>
                <w:rFonts w:ascii="Arial" w:cs="Arial" w:eastAsia="Arial" w:hAnsi="Arial"/>
                <w:sz w:val="16"/>
                <w:szCs w:val="16"/>
                <w:color w:val="auto"/>
              </w:rPr>
              <w:t>tax</w:t>
            </w:r>
          </w:p>
        </w:tc>
        <w:tc>
          <w:tcPr>
            <w:tcW w:w="18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(33,804)</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(33,804)</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(11,601)</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(45,405)</w:t>
            </w:r>
          </w:p>
        </w:tc>
      </w:tr>
      <w:tr>
        <w:trPr>
          <w:trHeight w:val="33"/>
        </w:trPr>
        <w:tc>
          <w:tcPr>
            <w:tcW w:w="33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comprehensive loss</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(62,189)</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(15,143)</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(77,332)</w:t>
            </w:r>
          </w:p>
        </w:tc>
      </w:tr>
      <w:tr>
        <w:trPr>
          <w:trHeight w:val="217"/>
        </w:trPr>
        <w:tc>
          <w:tcPr>
            <w:tcW w:w="338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80" w:type="dxa"/>
            <w:vAlign w:val="bottom"/>
          </w:tcPr>
          <w:p>
            <w:pPr>
              <w:spacing w:after="0"/>
              <w:rPr>
                <w:sz w:val="18"/>
                <w:szCs w:val="18"/>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4,521</w:t>
            </w:r>
          </w:p>
        </w:tc>
        <w:tc>
          <w:tcPr>
            <w:tcW w:w="14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4,521</w:t>
            </w: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4,521</w:t>
            </w: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Measurement period adjustment (Note 5)</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(1,776)</w:t>
            </w:r>
          </w:p>
        </w:tc>
      </w:tr>
      <w:tr>
        <w:trPr>
          <w:trHeight w:val="220"/>
        </w:trPr>
        <w:tc>
          <w:tcPr>
            <w:tcW w:w="3380" w:type="dxa"/>
            <w:vAlign w:val="bottom"/>
          </w:tcPr>
          <w:p>
            <w:pPr>
              <w:ind w:left="40"/>
              <w:spacing w:after="0"/>
              <w:rPr>
                <w:sz w:val="20"/>
                <w:szCs w:val="20"/>
                <w:color w:val="auto"/>
              </w:rPr>
            </w:pPr>
            <w:r>
              <w:rPr>
                <w:rFonts w:ascii="Arial" w:cs="Arial" w:eastAsia="Arial" w:hAnsi="Arial"/>
                <w:sz w:val="16"/>
                <w:szCs w:val="16"/>
                <w:color w:val="auto"/>
                <w:w w:val="91"/>
              </w:rPr>
              <w:t>Issuance of shares under share award plans, net of</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06"/>
        </w:trPr>
        <w:tc>
          <w:tcPr>
            <w:tcW w:w="3380" w:type="dxa"/>
            <w:vAlign w:val="bottom"/>
          </w:tcPr>
          <w:p>
            <w:pPr>
              <w:ind w:left="40"/>
              <w:spacing w:after="0"/>
              <w:rPr>
                <w:sz w:val="20"/>
                <w:szCs w:val="20"/>
                <w:color w:val="auto"/>
              </w:rPr>
            </w:pPr>
            <w:r>
              <w:rPr>
                <w:rFonts w:ascii="Arial" w:cs="Arial" w:eastAsia="Arial" w:hAnsi="Arial"/>
                <w:sz w:val="16"/>
                <w:szCs w:val="16"/>
                <w:color w:val="auto"/>
              </w:rPr>
              <w:t>shares withheld for taxes</w:t>
            </w:r>
          </w:p>
        </w:tc>
        <w:tc>
          <w:tcPr>
            <w:tcW w:w="18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4</w:t>
            </w:r>
          </w:p>
        </w:tc>
        <w:tc>
          <w:tcPr>
            <w:tcW w:w="560" w:type="dxa"/>
            <w:vAlign w:val="bottom"/>
          </w:tcPr>
          <w:p>
            <w:pPr>
              <w:spacing w:after="0"/>
              <w:rPr>
                <w:sz w:val="17"/>
                <w:szCs w:val="17"/>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(69,484)</w:t>
            </w:r>
          </w:p>
        </w:tc>
        <w:tc>
          <w:tcPr>
            <w:tcW w:w="14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(69,480)</w:t>
            </w:r>
          </w:p>
        </w:tc>
        <w:tc>
          <w:tcPr>
            <w:tcW w:w="18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(69,480)</w:t>
            </w:r>
          </w:p>
        </w:tc>
      </w:tr>
      <w:tr>
        <w:trPr>
          <w:trHeight w:val="33"/>
        </w:trPr>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(Note 3)</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(42,603)</w:t>
            </w:r>
          </w:p>
        </w:tc>
        <w:tc>
          <w:tcPr>
            <w:tcW w:w="8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(42,603)</w:t>
            </w: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(42,603)</w:t>
            </w:r>
          </w:p>
        </w:tc>
      </w:tr>
      <w:tr>
        <w:trPr>
          <w:trHeight w:val="224"/>
        </w:trPr>
        <w:tc>
          <w:tcPr>
            <w:tcW w:w="3380" w:type="dxa"/>
            <w:vAlign w:val="bottom"/>
          </w:tcPr>
          <w:p>
            <w:pPr>
              <w:ind w:left="40"/>
              <w:spacing w:after="0"/>
              <w:rPr>
                <w:sz w:val="20"/>
                <w:szCs w:val="20"/>
                <w:color w:val="auto"/>
              </w:rPr>
            </w:pPr>
            <w:r>
              <w:rPr>
                <w:rFonts w:ascii="Arial" w:cs="Arial" w:eastAsia="Arial" w:hAnsi="Arial"/>
                <w:sz w:val="16"/>
                <w:szCs w:val="16"/>
                <w:color w:val="auto"/>
              </w:rPr>
              <w:t>Distributions to noncontrolling interests, net</w:t>
            </w:r>
          </w:p>
        </w:tc>
        <w:tc>
          <w:tcPr>
            <w:tcW w:w="180" w:type="dxa"/>
            <w:vAlign w:val="bottom"/>
          </w:tcPr>
          <w:p>
            <w:pPr>
              <w:spacing w:after="0"/>
              <w:rPr>
                <w:sz w:val="19"/>
                <w:szCs w:val="19"/>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9"/>
                <w:szCs w:val="19"/>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(2,877)</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(2,877)</w:t>
            </w:r>
          </w:p>
        </w:tc>
      </w:tr>
      <w:tr>
        <w:trPr>
          <w:trHeight w:val="33"/>
        </w:trPr>
        <w:tc>
          <w:tcPr>
            <w:tcW w:w="3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October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458</w:t>
            </w:r>
          </w:p>
        </w:tc>
        <w:tc>
          <w:tcPr>
            <w:tcW w:w="5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2"/>
              </w:rPr>
              <w:t>1,157,547</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10,591</w:t>
            </w:r>
          </w:p>
        </w:tc>
        <w:tc>
          <w:tcPr>
            <w:tcW w:w="7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92"/>
              </w:rPr>
              <w:t>$ 479,997</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$(247,189)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1,401,405</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208,007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1,609,412</w:t>
            </w:r>
          </w:p>
        </w:tc>
      </w:tr>
      <w:tr>
        <w:trPr>
          <w:trHeight w:val="20"/>
        </w:trPr>
        <w:tc>
          <w:tcPr>
            <w:tcW w:w="3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October 31,</w:t>
            </w:r>
          </w:p>
        </w:tc>
        <w:tc>
          <w:tcPr>
            <w:tcW w:w="760" w:type="dxa"/>
            <w:vAlign w:val="bottom"/>
            <w:tcBorders>
              <w:bottom w:val="single" w:sz="8" w:color="auto"/>
            </w:tcBorders>
          </w:tcPr>
          <w:p>
            <w:pPr>
              <w:spacing w:after="0"/>
              <w:rPr>
                <w:sz w:val="16"/>
                <w:szCs w:val="16"/>
                <w:color w:val="auto"/>
              </w:rPr>
            </w:pPr>
          </w:p>
        </w:tc>
      </w:tr>
      <w:tr>
        <w:trPr>
          <w:trHeight w:val="264"/>
        </w:trPr>
        <w:tc>
          <w:tcPr>
            <w:tcW w:w="77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auto"/>
            </w:tcBorders>
          </w:tcPr>
          <w:p>
            <w:pPr>
              <w:spacing w:after="0"/>
              <w:rPr>
                <w:sz w:val="22"/>
                <w:szCs w:val="2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799"/>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5"/>
              </w:rPr>
              <w:t>(31,927)</w:t>
            </w:r>
          </w:p>
        </w:tc>
        <w:tc>
          <w:tcPr>
            <w:tcW w:w="1120" w:type="dxa"/>
            <w:vAlign w:val="bottom"/>
          </w:tcPr>
          <w:p>
            <w:pPr>
              <w:jc w:val="right"/>
              <w:ind w:right="856"/>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(63,618)</w:t>
            </w:r>
          </w:p>
        </w:tc>
      </w:tr>
      <w:tr>
        <w:trPr>
          <w:trHeight w:val="27"/>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48,624</w:t>
            </w:r>
          </w:p>
        </w:tc>
        <w:tc>
          <w:tcPr>
            <w:tcW w:w="1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40,581</w:t>
            </w:r>
          </w:p>
        </w:tc>
      </w:tr>
      <w:tr>
        <w:trPr>
          <w:trHeight w:val="27"/>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Stock-based compensation expense</w:t>
            </w:r>
          </w:p>
        </w:tc>
        <w:tc>
          <w:tcPr>
            <w:tcW w:w="1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4,521</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4,577</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Deferred income taxes, net</w:t>
            </w:r>
          </w:p>
        </w:tc>
        <w:tc>
          <w:tcPr>
            <w:tcW w:w="10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5"/>
              </w:rPr>
              <w:t>(41,600)</w:t>
            </w:r>
          </w:p>
        </w:tc>
        <w:tc>
          <w:tcPr>
            <w:tcW w:w="1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(33,509)</w:t>
            </w:r>
          </w:p>
        </w:tc>
      </w:tr>
      <w:tr>
        <w:trPr>
          <w:trHeight w:val="27"/>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property</w:t>
            </w:r>
          </w:p>
        </w:tc>
        <w:tc>
          <w:tcPr>
            <w:tcW w:w="1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(6,466)</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non-cash income, net</w:t>
            </w:r>
          </w:p>
        </w:tc>
        <w:tc>
          <w:tcPr>
            <w:tcW w:w="10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4,885</w:t>
            </w:r>
          </w:p>
        </w:tc>
        <w:tc>
          <w:tcPr>
            <w:tcW w:w="1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(5,879)</w:t>
            </w:r>
          </w:p>
        </w:tc>
      </w:tr>
      <w:tr>
        <w:trPr>
          <w:trHeight w:val="27"/>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assets and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0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(6,654)</w:t>
            </w:r>
          </w:p>
        </w:tc>
        <w:tc>
          <w:tcPr>
            <w:tcW w:w="1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(1,111)</w:t>
            </w:r>
          </w:p>
        </w:tc>
      </w:tr>
      <w:tr>
        <w:trPr>
          <w:trHeight w:val="27"/>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 receivables, net</w:t>
            </w:r>
          </w:p>
        </w:tc>
        <w:tc>
          <w:tcPr>
            <w:tcW w:w="1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9"/>
              </w:rPr>
              <w:t>101,642</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90,431</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10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5"/>
              </w:rPr>
              <w:t>(23,208)</w:t>
            </w:r>
          </w:p>
        </w:tc>
        <w:tc>
          <w:tcPr>
            <w:tcW w:w="1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(22,490)</w:t>
            </w:r>
          </w:p>
        </w:tc>
      </w:tr>
      <w:tr>
        <w:trPr>
          <w:trHeight w:val="27"/>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(7,543)</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(25,925)</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10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w w:val="89"/>
              </w:rPr>
              <w:t>167,752</w:t>
            </w:r>
          </w:p>
        </w:tc>
        <w:tc>
          <w:tcPr>
            <w:tcW w:w="1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112,130</w:t>
            </w:r>
          </w:p>
        </w:tc>
      </w:tr>
      <w:tr>
        <w:trPr>
          <w:trHeight w:val="27"/>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payable - excess tax benefit from share award exercises</w:t>
            </w:r>
          </w:p>
        </w:tc>
        <w:tc>
          <w:tcPr>
            <w:tcW w:w="1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(51,804)</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Income taxes payable - other</w:t>
            </w:r>
          </w:p>
        </w:tc>
        <w:tc>
          <w:tcPr>
            <w:tcW w:w="10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(5,603)</w:t>
            </w:r>
          </w:p>
        </w:tc>
        <w:tc>
          <w:tcPr>
            <w:tcW w:w="1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(18,115)</w:t>
            </w:r>
          </w:p>
        </w:tc>
      </w:tr>
      <w:tr>
        <w:trPr>
          <w:trHeight w:val="27"/>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 and liabilities, net</w:t>
            </w:r>
          </w:p>
        </w:tc>
        <w:tc>
          <w:tcPr>
            <w:tcW w:w="10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(10,332)</w:t>
            </w:r>
          </w:p>
        </w:tc>
        <w:tc>
          <w:tcPr>
            <w:tcW w:w="1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(7,289)</w:t>
            </w:r>
          </w:p>
        </w:tc>
      </w:tr>
      <w:tr>
        <w:trPr>
          <w:trHeight w:val="237"/>
        </w:trPr>
        <w:tc>
          <w:tcPr>
            <w:tcW w:w="7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9"/>
              </w:rPr>
              <w:t>148,753</w:t>
            </w:r>
          </w:p>
        </w:tc>
        <w:tc>
          <w:tcPr>
            <w:tcW w:w="1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57,027</w:t>
            </w:r>
          </w:p>
        </w:tc>
      </w:tr>
      <w:tr>
        <w:trPr>
          <w:trHeight w:val="27"/>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Capital expenditures</w:t>
            </w:r>
          </w:p>
        </w:tc>
        <w:tc>
          <w:tcPr>
            <w:tcW w:w="10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5"/>
              </w:rPr>
              <w:t>(37,449)</w:t>
            </w:r>
          </w:p>
        </w:tc>
        <w:tc>
          <w:tcPr>
            <w:tcW w:w="1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(46,043)</w:t>
            </w:r>
          </w:p>
        </w:tc>
      </w:tr>
      <w:tr>
        <w:trPr>
          <w:trHeight w:val="27"/>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Acquisition of businesses, net of cash acquired</w:t>
            </w:r>
          </w:p>
        </w:tc>
        <w:tc>
          <w:tcPr>
            <w:tcW w:w="1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(1,356)</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(512,348)</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Cash received from the sale of real property</w:t>
            </w:r>
          </w:p>
        </w:tc>
        <w:tc>
          <w:tcPr>
            <w:tcW w:w="10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7,692</w:t>
            </w:r>
          </w:p>
        </w:tc>
      </w:tr>
      <w:tr>
        <w:trPr>
          <w:trHeight w:val="27"/>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investing activities, net</w:t>
            </w:r>
          </w:p>
        </w:tc>
        <w:tc>
          <w:tcPr>
            <w:tcW w:w="10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5,153</w:t>
            </w:r>
          </w:p>
        </w:tc>
        <w:tc>
          <w:tcPr>
            <w:tcW w:w="1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w:t>
            </w:r>
          </w:p>
        </w:tc>
      </w:tr>
      <w:tr>
        <w:trPr>
          <w:trHeight w:val="237"/>
        </w:trPr>
        <w:tc>
          <w:tcPr>
            <w:tcW w:w="77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(33,652)</w:t>
            </w:r>
          </w:p>
        </w:tc>
        <w:tc>
          <w:tcPr>
            <w:tcW w:w="1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(550,161)</w:t>
            </w:r>
          </w:p>
        </w:tc>
      </w:tr>
      <w:tr>
        <w:trPr>
          <w:trHeight w:val="27"/>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Proceeds from borrowings under Vail Holdings Credit Agreement</w:t>
            </w:r>
          </w:p>
        </w:tc>
        <w:tc>
          <w:tcPr>
            <w:tcW w:w="1000" w:type="dxa"/>
            <w:vAlign w:val="bottom"/>
          </w:tcPr>
          <w:p>
            <w:pPr>
              <w:spacing w:after="0"/>
              <w:rPr>
                <w:sz w:val="21"/>
                <w:szCs w:val="21"/>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95,000</w:t>
            </w:r>
          </w:p>
        </w:tc>
        <w:tc>
          <w:tcPr>
            <w:tcW w:w="1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619,375</w:t>
            </w:r>
          </w:p>
        </w:tc>
      </w:tr>
      <w:tr>
        <w:trPr>
          <w:trHeight w:val="27"/>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borrowings under Whistler Credit Agreement</w:t>
            </w:r>
          </w:p>
        </w:tc>
        <w:tc>
          <w:tcPr>
            <w:tcW w:w="1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11,920</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Repayments of borrowings under Vail Holdings Credit Agreement</w:t>
            </w:r>
          </w:p>
        </w:tc>
        <w:tc>
          <w:tcPr>
            <w:tcW w:w="10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5"/>
              </w:rPr>
              <w:t>(59,375)</w:t>
            </w:r>
          </w:p>
        </w:tc>
        <w:tc>
          <w:tcPr>
            <w:tcW w:w="1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7"/>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Repayments of borrowings under Whistler Credit Agreement</w:t>
            </w:r>
          </w:p>
        </w:tc>
        <w:tc>
          <w:tcPr>
            <w:tcW w:w="1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(17,081)</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Employee taxes paid for share award exercises</w:t>
            </w:r>
          </w:p>
        </w:tc>
        <w:tc>
          <w:tcPr>
            <w:tcW w:w="10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5"/>
              </w:rPr>
              <w:t>(69,480)</w:t>
            </w:r>
          </w:p>
        </w:tc>
        <w:tc>
          <w:tcPr>
            <w:tcW w:w="1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(11,524)</w:t>
            </w:r>
          </w:p>
        </w:tc>
      </w:tr>
      <w:tr>
        <w:trPr>
          <w:trHeight w:val="27"/>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paid</w:t>
            </w:r>
          </w:p>
        </w:tc>
        <w:tc>
          <w:tcPr>
            <w:tcW w:w="1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(42,603)</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(29,390)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financing activities, net</w:t>
            </w:r>
          </w:p>
        </w:tc>
        <w:tc>
          <w:tcPr>
            <w:tcW w:w="10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(6,989)</w:t>
            </w:r>
          </w:p>
        </w:tc>
        <w:tc>
          <w:tcPr>
            <w:tcW w:w="11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3,456</w:t>
            </w:r>
          </w:p>
        </w:tc>
      </w:tr>
      <w:tr>
        <w:trPr>
          <w:trHeight w:val="27"/>
        </w:trPr>
        <w:tc>
          <w:tcPr>
            <w:tcW w:w="7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provided by financing 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(88,608)</w:t>
            </w:r>
          </w:p>
        </w:tc>
        <w:tc>
          <w:tcPr>
            <w:tcW w:w="1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531,917</w:t>
            </w:r>
          </w:p>
        </w:tc>
      </w:tr>
      <w:tr>
        <w:trPr>
          <w:trHeight w:val="237"/>
        </w:trPr>
        <w:tc>
          <w:tcPr>
            <w:tcW w:w="77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Effect of exchange rate changes on cash and cash equivalents</w:t>
            </w:r>
          </w:p>
        </w:tc>
        <w:tc>
          <w:tcPr>
            <w:tcW w:w="10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(3,485)</w:t>
            </w:r>
          </w:p>
        </w:tc>
        <w:tc>
          <w:tcPr>
            <w:tcW w:w="1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w:t>
            </w:r>
          </w:p>
        </w:tc>
      </w:tr>
      <w:tr>
        <w:trPr>
          <w:trHeight w:val="27"/>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increase in cash and cash equivalents</w:t>
            </w:r>
          </w:p>
        </w:tc>
        <w:tc>
          <w:tcPr>
            <w:tcW w:w="10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23,008</w:t>
            </w:r>
          </w:p>
        </w:tc>
        <w:tc>
          <w:tcPr>
            <w:tcW w:w="1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38,854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0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Beginning of period</w:t>
            </w:r>
          </w:p>
        </w:tc>
        <w:tc>
          <w:tcPr>
            <w:tcW w:w="10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9"/>
              </w:rPr>
              <w:t>117,389</w:t>
            </w:r>
          </w:p>
        </w:tc>
        <w:tc>
          <w:tcPr>
            <w:tcW w:w="1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67,897</w:t>
            </w:r>
          </w:p>
        </w:tc>
      </w:tr>
      <w:tr>
        <w:trPr>
          <w:trHeight w:val="237"/>
        </w:trPr>
        <w:tc>
          <w:tcPr>
            <w:tcW w:w="77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End of period</w:t>
            </w:r>
          </w:p>
        </w:tc>
        <w:tc>
          <w:tcPr>
            <w:tcW w:w="100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9"/>
              </w:rPr>
              <w:t>140,397</w:t>
            </w:r>
          </w:p>
        </w:tc>
        <w:tc>
          <w:tcPr>
            <w:tcW w:w="1120" w:type="dxa"/>
            <w:vAlign w:val="bottom"/>
            <w:tcBorders>
              <w:top w:val="single" w:sz="8" w:color="auto"/>
            </w:tcBorders>
          </w:tcPr>
          <w:p>
            <w:pPr>
              <w:jc w:val="right"/>
              <w:ind w:right="856"/>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106,751</w:t>
            </w:r>
          </w:p>
        </w:tc>
      </w:tr>
      <w:tr>
        <w:trPr>
          <w:trHeight w:val="67"/>
        </w:trPr>
        <w:tc>
          <w:tcPr>
            <w:tcW w:w="77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r>
      <w:tr>
        <w:trPr>
          <w:trHeight w:val="170"/>
        </w:trPr>
        <w:tc>
          <w:tcPr>
            <w:tcW w:w="77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Non-cash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center"/>
        <w:ind w:left="420" w:right="100"/>
        <w:spacing w:after="0" w:line="309" w:lineRule="auto"/>
        <w:rPr>
          <w:sz w:val="20"/>
          <w:szCs w:val="20"/>
          <w:color w:val="auto"/>
        </w:rPr>
      </w:pPr>
      <w:r>
        <w:rPr>
          <w:rFonts w:ascii="Arial" w:cs="Arial" w:eastAsia="Arial" w:hAnsi="Arial"/>
          <w:sz w:val="18"/>
          <w:szCs w:val="18"/>
          <w:color w:val="auto"/>
        </w:rPr>
        <w:t>Accrued capital expenditures                                                           $           25,314   $            17,546 The accompanying Notes are an integral part of these unaudited consolidated condensed financial statements.</w:t>
      </w:r>
    </w:p>
    <w:p>
      <w:pPr>
        <w:sectPr>
          <w:pgSz w:w="11900" w:h="16838" w:orient="portrait"/>
          <w:cols w:equalWidth="0" w:num="1">
            <w:col w:w="11420"/>
          </w:cols>
          <w:pgMar w:left="240" w:top="580" w:right="2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580"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 The Company refers to “Resort” as the combination of the Mountain and Lodging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the Mountain segment, the Company operates eleven world-class mountain resort properties and three urban ski areas including: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Mountain Resorts:</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Vail Mountain Resort (“Vail Mountain”)</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Breckenridge Ski Resort (“Breckenridge”)</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Keystone Resort (“Keystone”)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Beaver Creek Resort (“Beaver Creek”)</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Park City Resort (“Park City”)</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Utah</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Heavenly Mountain Resort (“Heavenly”)</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Nevada and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Northstar Resort (“Northstar”)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Kirkwood Mountain Resort (“Kirkwood”)</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Perisher Ski Resort (“Perisher”)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South Wales, Australia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Whistler Blackcomb Resort (“Whistler Blackcomb”)</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British Columbia, Canada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Stowe Mountain Resort (“Stowe”)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43"/>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Urban Ski Areas (“Urban”):</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Wilmot Mountain (“Wilmot”)</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Wisconsin</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Afton Alps Ski Area (“Afton Alps”)</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Minnesota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43"/>
        </w:trPr>
        <w:tc>
          <w:tcPr>
            <w:tcW w:w="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Mount Brighton Ski Area (“Mt. Brighton”)</w:t>
            </w: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Michigan</w:t>
            </w:r>
          </w:p>
        </w:tc>
      </w:tr>
      <w:tr>
        <w:trPr>
          <w:trHeight w:val="27"/>
        </w:trPr>
        <w:tc>
          <w:tcPr>
            <w:tcW w:w="460" w:type="dxa"/>
            <w:vAlign w:val="bottom"/>
            <w:shd w:val="clear" w:color="auto" w:fill="CCEEFF"/>
          </w:tcPr>
          <w:p>
            <w:pPr>
              <w:spacing w:after="0"/>
              <w:rPr>
                <w:sz w:val="2"/>
                <w:szCs w:val="2"/>
                <w:color w:val="auto"/>
              </w:rPr>
            </w:pPr>
          </w:p>
        </w:tc>
        <w:tc>
          <w:tcPr>
            <w:tcW w:w="6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the Mountain segment includes ancillary services, primarily including ski school, dining and retail/rental operations, and for Perisher including lodging and transportation operations. The resorts located in the United States (“U.S.”), except for Northstar, Park City, Stowe and the Urban ski areas, operate primarily on federal land under the terms of Special Use Permits granted by the U.S. Department of Agriculture Forest Service. The operations of Whistler Blackcomb are conducted on land owned by the government of the Province of British Columbia, Canada within the traditional territory of the Squamish and Lil’wat Nations. The operations of Perisher are conducted pursuant to a long-term lease and license on land owned by the government of New South Wales, Australia. Stowe operates on land owned by the Company as well as land it leases from the State of Vermont.</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Lodging segment, the Company owns and/or manages a collection of luxury hotels and condominiums under its RockResorts brand, as well as other strategic lodging properties and a large number of condominiums located in proximity to the Company’s North American mountain resorts, National Park Service (“NPS”) concessionaire properties including the Grand Teton Lodge Company (“GTLC”), which operates destination resorts in Grand Teton National Park, Colorado Mountain Express (“CME”), a Colorado resort ground transportation company, and mountain resort golf courses.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Development Company (“VRDC”), a wholly-owned subsidiary, conducts the operations of the Company’s Real Estate segment, which owns, develops and sells real estate in and around the Company’s resort communities.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mountain business and its lodging properties at or around the Company’s mountain resorts are seasonal in nature with peak operating seasons primarily from mid-November through mid-April in North America. The Company’s operating season at Perisher, its NPS concessionaire properties and its golf courses generally occur from June to early October.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8" w:name="page9"/>
    <w:bookmarkEnd w:id="8"/>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Consolidated Condensed Financial Statements— </w:t>
      </w:r>
      <w:r>
        <w:rPr>
          <w:rFonts w:ascii="Arial" w:cs="Arial" w:eastAsia="Arial" w:hAnsi="Arial"/>
          <w:sz w:val="17"/>
          <w:szCs w:val="17"/>
          <w:color w:val="auto"/>
        </w:rPr>
        <w:t>In the opinion of the Company, the accompanying Consolidated Condensed Financial Statements reflect all</w:t>
      </w:r>
      <w:r>
        <w:rPr>
          <w:rFonts w:ascii="Arial" w:cs="Arial" w:eastAsia="Arial" w:hAnsi="Arial"/>
          <w:sz w:val="17"/>
          <w:szCs w:val="17"/>
          <w:i w:val="1"/>
          <w:iCs w:val="1"/>
          <w:color w:val="auto"/>
        </w:rPr>
        <w:t xml:space="preserve"> </w:t>
      </w:r>
      <w:r>
        <w:rPr>
          <w:rFonts w:ascii="Arial" w:cs="Arial" w:eastAsia="Arial" w:hAnsi="Arial"/>
          <w:sz w:val="17"/>
          <w:szCs w:val="17"/>
          <w:color w:val="auto"/>
        </w:rPr>
        <w:t>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2017.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2017 was derived from audited financial statements.</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Consolidated Condensed Statement of Operations for the three months ended October 31, 2016 has been revised to separately disclose revenues and costs from retail and dining operations, as well as general and administrative costs. Retail and dining revenues were previously included within Mountain and Lodging revenues, and the related costs were previously included in Mountain and Lodging operating costs. Management considers the change in presentation of its Consolidated Condensed Statement of Operations to be immaterial to the period presented. There is no change to previously reported total net revenue, operating expense, loss from operations, net loss attributable to Vail Resorts, Inc., per share amounts or segment results.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 The preparation of financial statements in conformity with GAAP requires management to make estimates and assumptions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Fair Value Instruments— </w:t>
      </w:r>
      <w:r>
        <w:rPr>
          <w:rFonts w:ascii="Arial" w:cs="Arial" w:eastAsia="Arial" w:hAnsi="Arial"/>
          <w:sz w:val="18"/>
          <w:szCs w:val="18"/>
          <w:color w:val="auto"/>
        </w:rPr>
        <w:t>The recorded amounts for cash and cash equivalents, receivables, other current assets, and accounts payable and accrued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fair value due to their short-term nature. The fair value of amounts outstanding under the Vail Holdings Credit Agreement revolver and term loan, Whistler Credit Agreement revolver and the Employee Housing Bonds (all as defined in Note 4, Long-Term Debt) approximate book value due to the variable nature of the interest rate, which is a market rate, associated with the debt.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11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March 2016, the FASB issued ASU No. 2016-09, “Compensation - Stock Compensation (Topic 718): Improvements to Employee Share-Based Payment Accounting.” The new guidance requires companies to record all excess tax benefits and tax deficiencies as income tax expense or benefit in the income statement when the awards vest or are settled, as applicable, rather than within additional paid in capital which was required under the previous guidance. The guidance also requires companies to present excess tax benefits as an operating activity and cash paid to a taxing authority to satisfy employee statutory withholding as a financing activity on the statement of cash flows. Additionally, the guidance allows companies to make a policy election to account for forfeitures either upon occurrence or by estimating forfeitures. The Company adopted this standard on August 1, 2017, and will prospectively record excess tax benefits and deficiencies within the provision or benefit for income taxes on its Consolidated Condensed Statements of Operations when stock-based compensation awards vest or are exercised. The Company expects this will increase volatility of the provision or benefit for income taxes as the amount of excess tax benefits or deficiencies from stock-based compensation awards are dependent on the Company’s stock price at the date the awards vest or are exercised. As a result of adopting this provision of the standard, the Company recorded $51.8 million of excess tax benefits within benefit from income taxes on its Consolidated Condensed Statement of Operations for the three months ended October 31, 2017 (or $1.29 per diluted share) resulting from vesting and exercises of equity awards during the quarter. As of August 1, 2017, the Company prospectively presented excess tax benefits as operating activities on its Consolidated Condensed Statement of Cash Flows for the three months ended October 31, 2017. Additionally, the Company has elected to record actual forfeitures for recording stock-based compensation expense when they occur, rather than estimate expected forfeitures, which did not have a material impact to the Consolidated Condensed Statement of Operations for the three months ended October 31, 2017. In accordance with the disclosure provisions of the new guidance, the Company retrospectively adopted the new presentation. Cash paid to taxing authorities on an employee’s behalf was changed to be classified as a financing activity in the Consolidated Condensed Statements of Cash Flows, which resulted in a $11.5 million decrease to cash provided by financing activities with a corresponding increase to cash provided by operating activities for the three months ended October 31, 2016, as shown below (in thousands).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9" w:name="page10"/>
    <w:bookmarkEnd w:id="9"/>
    <w:tbl>
      <w:tblPr>
        <w:tblLayout w:type="fixed"/>
        <w:tblInd w:w="112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5"/>
          </w:tcPr>
          <w:p>
            <w:pPr>
              <w:jc w:val="center"/>
              <w:ind w:right="90"/>
              <w:spacing w:after="0"/>
              <w:rPr>
                <w:sz w:val="20"/>
                <w:szCs w:val="20"/>
                <w:color w:val="auto"/>
              </w:rPr>
            </w:pPr>
            <w:r>
              <w:rPr>
                <w:rFonts w:ascii="Arial" w:cs="Arial" w:eastAsia="Arial" w:hAnsi="Arial"/>
                <w:sz w:val="14"/>
                <w:szCs w:val="14"/>
                <w:b w:val="1"/>
                <w:bCs w:val="1"/>
                <w:color w:val="auto"/>
                <w:w w:val="93"/>
              </w:rPr>
              <w:t>Three Months Ended October 31, 2016</w:t>
            </w: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179"/>
              <w:spacing w:after="0" w:line="153" w:lineRule="exact"/>
              <w:rPr>
                <w:sz w:val="20"/>
                <w:szCs w:val="20"/>
                <w:color w:val="auto"/>
              </w:rPr>
            </w:pPr>
            <w:r>
              <w:rPr>
                <w:rFonts w:ascii="Arial" w:cs="Arial" w:eastAsia="Arial" w:hAnsi="Arial"/>
                <w:sz w:val="14"/>
                <w:szCs w:val="14"/>
                <w:b w:val="1"/>
                <w:bCs w:val="1"/>
                <w:color w:val="auto"/>
                <w:w w:val="90"/>
              </w:rPr>
              <w:t>Previously</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2"/>
                <w:szCs w:val="12"/>
                <w:color w:val="auto"/>
              </w:rPr>
            </w:pPr>
          </w:p>
        </w:tc>
        <w:tc>
          <w:tcPr>
            <w:tcW w:w="10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1"/>
              </w:rPr>
              <w:t>Tax Payments</w:t>
            </w: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4"/>
              </w:rPr>
              <w:t>Revised Reported</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0"/>
              </w:rPr>
              <w:t>(Previous</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3"/>
              </w:rPr>
              <w:t>Guidance)</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Change</w:t>
            </w:r>
          </w:p>
        </w:tc>
        <w:tc>
          <w:tcPr>
            <w:tcW w:w="12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(New Guidance)</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45,503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11,524</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57,027</w:t>
            </w: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Cash flows used in investing activities (no change)</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(550,161)</w:t>
            </w:r>
          </w:p>
        </w:tc>
        <w:tc>
          <w:tcPr>
            <w:tcW w:w="18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(550,161)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543,441</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531,917</w:t>
            </w: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Effect of exchange rate changes (no change)</w:t>
            </w:r>
          </w:p>
        </w:tc>
        <w:tc>
          <w:tcPr>
            <w:tcW w:w="180" w:type="dxa"/>
            <w:vAlign w:val="bottom"/>
          </w:tcPr>
          <w:p>
            <w:pPr>
              <w:spacing w:after="0"/>
              <w:rPr>
                <w:sz w:val="21"/>
                <w:szCs w:val="21"/>
                <w:color w:val="auto"/>
              </w:rPr>
            </w:pPr>
          </w:p>
        </w:tc>
        <w:tc>
          <w:tcPr>
            <w:tcW w:w="1020" w:type="dxa"/>
            <w:vAlign w:val="bottom"/>
          </w:tcPr>
          <w:p>
            <w:pPr>
              <w:jc w:val="right"/>
              <w:ind w:right="59"/>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38,854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38,854</w:t>
            </w:r>
          </w:p>
        </w:tc>
        <w:tc>
          <w:tcPr>
            <w:tcW w:w="0" w:type="dxa"/>
            <w:vAlign w:val="bottom"/>
          </w:tcPr>
          <w:p>
            <w:pPr>
              <w:spacing w:after="0"/>
              <w:rPr>
                <w:sz w:val="1"/>
                <w:szCs w:val="1"/>
                <w:color w:val="auto"/>
              </w:rPr>
            </w:pP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Standards Being Evaluated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authoritative guidance listed below is currently being evaluated for its impact to Company policies upon adoption as well as any significant implementation matters yet to be addressed.</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May 2014, the FASB issued ASU No. 2014-09, “Revenue from Contracts with Customers (Topic 606),” which supersedes the revenue recognition requirements in Accounting Standards Codification 605, “Revenue Recognition.” This ASU is based on the principle that revenue is recognized to depict the transfer of goods or services to customers in an amount that reflects the consideration to which the company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 to the issuance of ASU 2014-09, the FASB has issued several amendments, which do not change the core principle of the guidance and are intended to clarify and improve understanding of certain topics included within the revenue standard. This standard will be effective for the first interim period within fiscal years beginning after December 15, 2017 (the Company’s first quarter of fiscal 2019), using one of two retrospective application methods. The Company will not early adopt this standard and is evaluating the impacts, if any, the adoption of this accounting standard will have on the Company’s financial position or results of operations and cash flows and related disclosures and is determining the appropriate transition method.</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February 2016, the FASB issued ASU No. 2016-02, “Leases (Topic 842),” which supersedes “Leases (Topic 840).” The standard requires lessees to recognize the assets and liabilities arising from all leases, including those classified as operating leases under previous accounting guidance, on the balance sheet and disclose key information about leasing arrangements. The standard also allows for an accounting policy election not to recognize on the balance sheet lease assets and liabilities for leases with a term of 12 months or less. Under the new guidance, lessees will be required to recognize a lease liability and a right-of-use asset on their balance sheets, while lessor accounting will be largely unchanged. The standard will be effective for fiscal years beginning after December 15, 2018, including interim periods within those years (the Company’s first quarter of fiscal 2020), and must be applied using a modified retrospective transition approach to leases existing at, or entered into after, the beginning of the earliest comparative period presented in the financial statements, with early adoption permitted. The Company is currently evaluating the impacts the adoption of this accounting standard will have on the Company’s financial position or results of operations and cash flows and related disclosures. Additionally, the Company is evaluating the impacts of the standard beyond accounting, including system, data and process changes required to comply with the standard.</w:t>
      </w:r>
    </w:p>
    <w:p>
      <w:pPr>
        <w:spacing w:after="0" w:line="17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Basic earnings per share (“EPS”) excludes dilution and is computed by dividing net loss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connection with the Company’s acquisition of Whistler Blackcomb in October 2016 (see Note 5, Acquisitions), the Company issued consideration in the form of shares of Vail Resorts common stock (the “Vail Shares”) and shares of the Company’s wholly-owned Canadian subsidiary (“Exchangeco”). Whistler Blackcomb shareholders elected to receive 3,327,719 Vail Shares and 418,095 shares of Exchangeco (the “Exchangeco Shares”). Both Vail Shares and Exchangeco Shares have a par value of $0.01 per share, and Exchangeco Shares, while outstanding, are substantially the economic equivalent of Vail Shares and are exchangeable, at any time prior to the seventh anniversary of the closing of the acquisition, into Vail Shares. The Company’s calculation of weighted-average shares outstanding includes the Exchangeco Shares.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6"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Presented below is basic and diluted EPS for the three months ended October 31, 2017 and 2016 (in thousands, except per share amounts):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w w:val="99"/>
              </w:rPr>
              <w:t>Three Months Ended October 31,</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11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2016</w:t>
            </w:r>
          </w:p>
        </w:tc>
        <w:tc>
          <w:tcPr>
            <w:tcW w:w="1080" w:type="dxa"/>
            <w:vAlign w:val="bottom"/>
            <w:tcBorders>
              <w:bottom w:val="single" w:sz="8" w:color="auto"/>
            </w:tcBorders>
          </w:tcPr>
          <w:p>
            <w:pPr>
              <w:spacing w:after="0"/>
              <w:rPr>
                <w:sz w:val="22"/>
                <w:szCs w:val="22"/>
                <w:color w:val="auto"/>
              </w:rPr>
            </w:pPr>
          </w:p>
        </w:tc>
      </w:tr>
      <w:tr>
        <w:trPr>
          <w:trHeight w:val="264"/>
        </w:trPr>
        <w:tc>
          <w:tcPr>
            <w:tcW w:w="56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Basic</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Diluted</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Basic</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Diluted</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loss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(28,385)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(28,385)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(62,587)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(62,587)</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40,147</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40,147</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36,766</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36,766</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64</w:t>
            </w:r>
          </w:p>
        </w:tc>
        <w:tc>
          <w:tcPr>
            <w:tcW w:w="38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68</w:t>
            </w: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40,211</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40,211</w:t>
            </w: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36,834</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36,834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40,211</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40,211</w:t>
            </w:r>
          </w:p>
        </w:tc>
        <w:tc>
          <w:tcPr>
            <w:tcW w:w="3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36,834</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36,834</w:t>
            </w: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loss per share attributable to Vail Resorts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(0.71)</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(0.71)</w:t>
            </w:r>
          </w:p>
        </w:tc>
        <w:tc>
          <w:tcPr>
            <w:tcW w:w="3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(1.70)</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computes the effect of dilutive securities using the treasury stock method and average market prices during the period. The number of shares issuable upon the exercise of share based awards excluded from the calculation of diluted EPS because the effect of their inclusion would have been anti-dilutive totaled approximately 1.3 million and 1.7 million for the three months ended October 31, 2017 and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paid cash dividends of $1.053 and $0.81 per share ($42.6 million and $29.4 million in the aggregate) during the three months ended October 31, 2017 and 2016, respectively. On December 6, 2017, the Company’s Board of Directors declared a quarterly cash dividend of $1.053 per share, for Vail Shares, payable on January 10, 2018 to stockholders of record as of December 27, 2017. Additionally, a Canadian dollar equivalent dividend on the Exchangeco Shares will be payable on January 10, 2018 to the shareholders of record on December 27, 2017.</w:t>
      </w:r>
    </w:p>
    <w:p>
      <w:pPr>
        <w:spacing w:after="0" w:line="167"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 as of October 31, 2017, July 31, 2017 and October 31, 2016 is summarized as follows (in thousands):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2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Maturity</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6"/>
              </w:rPr>
              <w:t>October 31, 2017</w:t>
            </w: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July 31, 2017</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8"/>
              </w:rPr>
              <w:t>October 31, 2016</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Vail Holdings Credit Agreement term loan (a)</w:t>
            </w:r>
          </w:p>
        </w:tc>
        <w:tc>
          <w:tcPr>
            <w:tcW w:w="2000" w:type="dxa"/>
            <w:vAlign w:val="bottom"/>
            <w:tcBorders>
              <w:bottom w:val="single" w:sz="8" w:color="CCEEFF"/>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2021</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712,500</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721,875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750,000</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Vail Holdings Credit Agreement revolver (a)</w:t>
            </w:r>
          </w:p>
        </w:tc>
        <w:tc>
          <w:tcPr>
            <w:tcW w:w="2000" w:type="dxa"/>
            <w:vAlign w:val="bottom"/>
          </w:tcPr>
          <w:p>
            <w:pPr>
              <w:jc w:val="center"/>
              <w:ind w:left="553"/>
              <w:spacing w:after="0"/>
              <w:rPr>
                <w:sz w:val="20"/>
                <w:szCs w:val="20"/>
                <w:color w:val="auto"/>
              </w:rPr>
            </w:pPr>
            <w:r>
              <w:rPr>
                <w:rFonts w:ascii="Arial" w:cs="Arial" w:eastAsia="Arial" w:hAnsi="Arial"/>
                <w:sz w:val="18"/>
                <w:szCs w:val="18"/>
                <w:color w:val="auto"/>
                <w:w w:val="89"/>
              </w:rPr>
              <w:t>2021</w:t>
            </w: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95,000</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50,000</w:t>
            </w: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135,000</w:t>
            </w: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Whistler Credit Agreement revolver (b)</w:t>
            </w:r>
          </w:p>
        </w:tc>
        <w:tc>
          <w:tcPr>
            <w:tcW w:w="2000" w:type="dxa"/>
            <w:vAlign w:val="bottom"/>
            <w:tcBorders>
              <w:bottom w:val="single" w:sz="8" w:color="CCEEFF"/>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2022</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104,625</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113,119</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142,103</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Employee housing bonds</w:t>
            </w:r>
          </w:p>
        </w:tc>
        <w:tc>
          <w:tcPr>
            <w:tcW w:w="2000" w:type="dxa"/>
            <w:vAlign w:val="bottom"/>
          </w:tcPr>
          <w:p>
            <w:pPr>
              <w:jc w:val="center"/>
              <w:ind w:left="573"/>
              <w:spacing w:after="0"/>
              <w:rPr>
                <w:sz w:val="20"/>
                <w:szCs w:val="20"/>
                <w:color w:val="auto"/>
              </w:rPr>
            </w:pPr>
            <w:r>
              <w:rPr>
                <w:rFonts w:ascii="Arial" w:cs="Arial" w:eastAsia="Arial" w:hAnsi="Arial"/>
                <w:sz w:val="18"/>
                <w:szCs w:val="18"/>
                <w:color w:val="auto"/>
                <w:w w:val="90"/>
              </w:rPr>
              <w:t>2027-2039</w:t>
            </w: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52,575</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52,575</w:t>
            </w: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52,575</w:t>
            </w: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Canyons obligation</w:t>
            </w:r>
          </w:p>
        </w:tc>
        <w:tc>
          <w:tcPr>
            <w:tcW w:w="2000" w:type="dxa"/>
            <w:vAlign w:val="bottom"/>
            <w:tcBorders>
              <w:bottom w:val="single" w:sz="8" w:color="CCEEFF"/>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2063</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330,217</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328,786</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324,521</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Other</w:t>
            </w:r>
          </w:p>
        </w:tc>
        <w:tc>
          <w:tcPr>
            <w:tcW w:w="2000" w:type="dxa"/>
            <w:vAlign w:val="bottom"/>
          </w:tcPr>
          <w:p>
            <w:pPr>
              <w:jc w:val="center"/>
              <w:ind w:left="573"/>
              <w:spacing w:after="0"/>
              <w:rPr>
                <w:sz w:val="20"/>
                <w:szCs w:val="20"/>
                <w:color w:val="auto"/>
              </w:rPr>
            </w:pPr>
            <w:r>
              <w:rPr>
                <w:rFonts w:ascii="Arial" w:cs="Arial" w:eastAsia="Arial" w:hAnsi="Arial"/>
                <w:sz w:val="18"/>
                <w:szCs w:val="18"/>
                <w:color w:val="auto"/>
                <w:w w:val="90"/>
              </w:rPr>
              <w:t>2024-2028</w:t>
            </w: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9,743</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10,166</w:t>
            </w: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10,617</w:t>
            </w:r>
          </w:p>
        </w:tc>
      </w:tr>
      <w:tr>
        <w:trPr>
          <w:trHeight w:val="27"/>
        </w:trPr>
        <w:tc>
          <w:tcPr>
            <w:tcW w:w="4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debt</w:t>
            </w:r>
          </w:p>
        </w:tc>
        <w:tc>
          <w:tcPr>
            <w:tcW w:w="20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1,304,660</w:t>
            </w: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1,276,521</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1,414,816</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20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3,913</w:t>
            </w:r>
          </w:p>
        </w:tc>
        <w:tc>
          <w:tcPr>
            <w:tcW w:w="36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4,100</w:t>
            </w:r>
          </w:p>
        </w:tc>
        <w:tc>
          <w:tcPr>
            <w:tcW w:w="3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4,663</w:t>
            </w:r>
          </w:p>
        </w:tc>
      </w:tr>
      <w:tr>
        <w:trPr>
          <w:trHeight w:val="27"/>
        </w:trPr>
        <w:tc>
          <w:tcPr>
            <w:tcW w:w="4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 (c)</w:t>
            </w:r>
          </w:p>
        </w:tc>
        <w:tc>
          <w:tcPr>
            <w:tcW w:w="20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38,422</w:t>
            </w: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38,397</w:t>
            </w: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38,374</w:t>
            </w:r>
          </w:p>
        </w:tc>
      </w:tr>
      <w:tr>
        <w:trPr>
          <w:trHeight w:val="237"/>
        </w:trPr>
        <w:tc>
          <w:tcPr>
            <w:tcW w:w="428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Long-term debt, net</w:t>
            </w:r>
          </w:p>
        </w:tc>
        <w:tc>
          <w:tcPr>
            <w:tcW w:w="20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1,262,325</w:t>
            </w:r>
          </w:p>
        </w:tc>
        <w:tc>
          <w:tcPr>
            <w:tcW w:w="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1,234,024</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1,371,779</w:t>
            </w:r>
          </w:p>
        </w:tc>
      </w:tr>
      <w:tr>
        <w:trPr>
          <w:trHeight w:val="27"/>
        </w:trPr>
        <w:tc>
          <w:tcPr>
            <w:tcW w:w="4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left="540" w:hanging="316"/>
        <w:spacing w:after="0" w:line="272" w:lineRule="auto"/>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October 14, 2016, in order to finance the cash portion of the consideration and payment of associated fees and expenses of the Whistler Blackcomb acquisition (see Note 5, Acquisitions), the Company’s wholly owned subsidiary, Vail Holdings, Inc. (“VHI”), entered into the Second Amendment to the Seventh Amended and Restated Credit Agreement, dated as of May 1, 2015 (the “Vail Holdings Credit Agreement”), with Bank of America, N.A., as administrative agent, and other lenders named therein, through which these lenders provided an additional $509.4 million in incremental term loans and agreed, on behalf of all lenders, to extend the maturity date for the outstanding term loans and revolver facility under the Vail Holdings Credit Agreement to October 14, 2021 (the “Amendment”). The Vail Holdings Credit Agreement consists of a $400.0 million revolving credit facility and a $750.0 million term loan facility. The other material terms of the Vail</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11" w:name="page12"/>
    <w:bookmarkEnd w:id="11"/>
    <w:p>
      <w:pPr>
        <w:jc w:val="both"/>
        <w:ind w:left="540"/>
        <w:spacing w:after="0" w:line="302" w:lineRule="auto"/>
        <w:rPr>
          <w:sz w:val="20"/>
          <w:szCs w:val="20"/>
          <w:color w:val="auto"/>
        </w:rPr>
      </w:pPr>
      <w:r>
        <w:rPr>
          <w:rFonts w:ascii="Arial" w:cs="Arial" w:eastAsia="Arial" w:hAnsi="Arial"/>
          <w:sz w:val="18"/>
          <w:szCs w:val="18"/>
          <w:color w:val="auto"/>
        </w:rPr>
        <w:t>Holdings Credit Agreement were not altered by the Amendment. Borrowings under the Vail Holdings Credit Agreement, including the term loan facility, bear interest annually at the rate of LIBOR plus 1.25% (2.49%, as of October 31, 2017), and interest payments are due monthly. Additionally, the term loan facility is subject to quarterly principal payments of approximately $9.4 million, which began on January 31, 2017. Final payment of the remaining principal outstanding plus accrued and unpaid interest is due upon maturity in October 2021. The Vail Holdings Credit Agreement provides for affirmative and negative covenants that restrict, among other things, the Company’s ability to incur indebtedness, dispose of assets, make capital expenditures, make distributions and make investments.</w:t>
      </w:r>
    </w:p>
    <w:p>
      <w:pPr>
        <w:spacing w:after="0" w:line="4" w:lineRule="exact"/>
        <w:rPr>
          <w:sz w:val="20"/>
          <w:szCs w:val="20"/>
          <w:color w:val="auto"/>
        </w:rPr>
      </w:pPr>
    </w:p>
    <w:p>
      <w:pPr>
        <w:jc w:val="both"/>
        <w:ind w:left="540" w:hanging="316"/>
        <w:spacing w:after="0" w:line="284"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WB Partnerships (as defined in Note 5, Acquisitions) are party to a credit agreement, dated as of November 12, 2013 (as amended, the “Whistler Credit Agreement”), by and among Whistler Mountain Resort Limited Partnership (“Whistler LP”), Blackcomb Skiing Enterprises Limited Partnership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and during the three months ended October 31, 2017, the Company exercised its right under the Whistler Credit Agreement, with the consent of the lender parties thereto, to extend the maturity date for the Whistler Credit Agreement from November 12, 2021 to November 12, 2022. No other terms of the Whistler Credit agreement were altered. The WB Partnerships’ obligations under the Whistler Credit Agreement are guaranteed by the Whistler Subsidiary Guarantors and are collateralized by a pledge of the capital stock of the Whistler Subsidiary Guarantors and a pledge of substantially all of the assets of Whistler LP, Blackcomb LP and the Whistler Subsidiary Guarantors. In addition, pursuant to the terms of the Whistler Credit Agreement, the WB Partnerships have the ability to increase the commitment amount by up to C$75.0 million subject to lender approval. Borrowings under the Whistler Credit Agreement are available in Canadian or U.S. dollars and bear interest annually, subject to an applicable margin based on the WB Partnerships’ Consolidated Total Leverage Ratio (as defined in the Whistler Credit Agreement), with pricing as of October 31, 2017, in the case of borrowings (i) in Canadian dollars, at the WB Partnerships’ option, either (a) at the Canadian Prime Rate plus 0.75% per annum or (b) by way of the issuance of bankers’ acceptances plus 1.75% per annum; and (ii) in U.S. dollars, at the WB Partnerships option, either at (a) the U.S. Base Rate plus 0.75% per annum or (b) Bankers Acceptance Rate plus 1.75% per annum. As of October 31, 2017 all borrowings under the Whistler Credit Agreement were made in Canadian dollars and by way of the issuance of bankers’ acceptances plus 1.75% (approximately 3.11%). The Whistler Credit Agreement also includes a quarterly unused commitment fee based on the Consolidated Total Leverage Ratio, which as of October 31, 2017 is equal to 0.3937% per annum. The Whistler Credit Agreement provides for affirmative and negative covenants that restrict, among other things, the WB Partnerships’ ability to incur indebtedness and liens, dispose of assets, make capital expenditures, make distributions and make investments. In addition, the Whistler Credit Agreement includes the restrictive financial covenants (leverage ratios and interest coverage ratios) customary for facilities of this type.</w:t>
      </w:r>
    </w:p>
    <w:p>
      <w:pPr>
        <w:spacing w:after="0" w:line="19" w:lineRule="exact"/>
        <w:rPr>
          <w:rFonts w:ascii="Arial" w:cs="Arial" w:eastAsia="Arial" w:hAnsi="Arial"/>
          <w:sz w:val="16"/>
          <w:szCs w:val="16"/>
          <w:color w:val="auto"/>
        </w:rPr>
      </w:pPr>
    </w:p>
    <w:p>
      <w:pPr>
        <w:ind w:left="580" w:hanging="329"/>
        <w:spacing w:after="0"/>
        <w:tabs>
          <w:tab w:leader="none" w:pos="580" w:val="left"/>
        </w:tabs>
        <w:numPr>
          <w:ilvl w:val="1"/>
          <w:numId w:val="8"/>
        </w:numPr>
        <w:rPr>
          <w:rFonts w:ascii="Arial" w:cs="Arial" w:eastAsia="Arial" w:hAnsi="Arial"/>
          <w:sz w:val="18"/>
          <w:szCs w:val="18"/>
          <w:color w:val="auto"/>
        </w:rPr>
      </w:pPr>
      <w:r>
        <w:rPr>
          <w:rFonts w:ascii="Arial" w:cs="Arial" w:eastAsia="Arial" w:hAnsi="Arial"/>
          <w:sz w:val="18"/>
          <w:szCs w:val="18"/>
          <w:color w:val="auto"/>
        </w:rPr>
        <w:t>Current maturities represent principal payments due in the next 12 months.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Aggregate maturities of debt outstanding as of October 31, 2017 reflected by fiscal year (August 1 through July 31) are as follows (in thousands):</w:t>
      </w:r>
    </w:p>
    <w:p>
      <w:pPr>
        <w:spacing w:after="0" w:line="287"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5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 (November 2017 through July 2018)</w:t>
            </w:r>
          </w:p>
        </w:tc>
        <w:tc>
          <w:tcPr>
            <w:tcW w:w="2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28,599</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2019</w:t>
            </w:r>
          </w:p>
        </w:tc>
        <w:tc>
          <w:tcPr>
            <w:tcW w:w="2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38,455</w:t>
            </w:r>
          </w:p>
        </w:tc>
      </w:tr>
      <w:tr>
        <w:trPr>
          <w:trHeight w:val="27"/>
        </w:trPr>
        <w:tc>
          <w:tcPr>
            <w:tcW w:w="5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38,516</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2021</w:t>
            </w:r>
          </w:p>
        </w:tc>
        <w:tc>
          <w:tcPr>
            <w:tcW w:w="2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38,580</w:t>
            </w:r>
          </w:p>
        </w:tc>
      </w:tr>
      <w:tr>
        <w:trPr>
          <w:trHeight w:val="27"/>
        </w:trPr>
        <w:tc>
          <w:tcPr>
            <w:tcW w:w="5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5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772,648</w:t>
            </w: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387,862</w:t>
            </w:r>
          </w:p>
        </w:tc>
      </w:tr>
      <w:tr>
        <w:trPr>
          <w:trHeight w:val="27"/>
        </w:trPr>
        <w:tc>
          <w:tcPr>
            <w:tcW w:w="528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debt</w:t>
            </w:r>
          </w:p>
        </w:tc>
        <w:tc>
          <w:tcPr>
            <w:tcW w:w="2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1,304,660</w:t>
            </w:r>
          </w:p>
        </w:tc>
      </w:tr>
      <w:tr>
        <w:trPr>
          <w:trHeight w:val="20"/>
        </w:trPr>
        <w:tc>
          <w:tcPr>
            <w:tcW w:w="528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gross interest expense of $15.2 million and $12.0 million for the three months ended October 31, 2017 and 2016, respectively, of which $0.3 million and $0.2 million, respectively, were amortization of deferred financing costs. The Company was in compliance with all of its financial and operating covenants required to be maintained under its debt instruments for all periods presented.</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acquisition of Whistler Blackcomb, VHI funded a portion of the purchase price through an intercompany loan to Whistler Blackcomb of $210.0 million,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$7.3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11" w:right="2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million in foreign currency loss on the intercompany loan to Whistler Blackcomb for the three months ended October 31, 2017 on the Company’s Consolidated Condensed Statements of Operations.</w:t>
      </w:r>
    </w:p>
    <w:p>
      <w:pPr>
        <w:spacing w:after="0" w:line="16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Acquisitions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Stowe</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7, 2017, the Company, through a wholly-owned subsidiary, acquired Stowe Mountain Resort in Stowe, Vermont, from Mt. Mansfield Company, Inc., a wholly-owned subsidiary of American International Group, Inc., for total cash consideration of $40.7 million. The Company acquired all of the assets related to the mountain operations of the resort, including base area skier services (food and beverage, retail and rental, lift ticket offices and ski and snowboard school facilities). The purchase price was allocated to identifiable tangible and intangible assets acquired based on their estimated fair values at the acquisition date. The Company has completed its preliminary purchase price allocation and has recorded $39.1 million in property, plant and equipment; $3.0 million in intangible assets; $2.3 million in other assets; and $3.7 million of assumed liabilities on the date of acquisition. The operating results of Stowe are reported within the Mountain segment.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Whistler Blackcomb</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17, 2016, the Company, through Exchangeco, acquired all of the outstanding common shares of Whistler Blackcomb, for aggregate purchase consideration paid to Whistler Blackcomb shareholders of $1.09 billion. The consideration paid consisted of (i) approximately C$673.8 million ($512.6 million) in cash (or C$17.50 per Whistler Blackcomb share), (ii) 3,327,719 Vail Shares and (iii) 418,095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acquisition. While outstanding, holders of Exchangeco Shares are entitled to cast votes on matters for which holders of Vail Shares are entitled to vote and are entitled to receive dividends economically equivalent to the dividends declared by the Company with respect to the Vail Shares.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Whistler Blackcomb owns a 75% interest in each of Whistler LP and Blackcomb LP (the “WB Partnerships”), which together operate Whistler Blackcomb Resort, a year round mountain resort in British Columbia, Canada with a comprehensive offering of recreational activities, including both snow sports and summer activities. The remaining 25% limited partnership interest in each of the WB Partnerships is owned by Nippon Cable Co. Ltd. (“Nippon Cable”), an unrelated party to the Company. The WB Partnerships hold land leases and rights-of-way under long-term agreements with the government of the province of British Columbia, Canada within the traditional territory of the Squamish and Lil’wat Nations, which provide for the use of land at Whistler Mountain and Blackcomb Mountain.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executed forward contracts for the underlying Canadian dollar cash consideration to economically hedge the risk associated with the U.S. dollar to Canadian dollar exchange rates. The Company’s total cost was $509.2 million to accumulate C$673.8 million which was required for the cash component of the purchase consideration. The estimated fair value of the Canadian dollars was approximately $512.6 million upon settlement. Accordingly, the Company realized a gain of $3.4 million on foreign currency exchange rate changes during the three months ended October 31, 2016. The gain on foreign currency is a separate transaction as it primarily benefited the Company and therefore the Company recorded this gain within Investment income and other, net in its Consolidated Condensed Statements of Operations. The estimated fair value of $512.6 million is considered the cash component of the purchase consideration.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held shares of Whistler Blackcomb common stock prior to the acquisition and, as such, the acquisition-date estimated fair value of this previously held investment was a component of the purchase consideration. Based on the acquisition-date estimated fair value of this investment of $4.3 million, the Company recorded a gain of $0.8 million within Investment income and other, net in its Consolidated Condensed Statements of Operations during the three months ended October 31, 2016.</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Nippon Cable’s 25% limited partnership interest is a noncontrolling economic interest containing certain protective rights and no ability to participate in the day to day operations of the WB Partnerships. The WB Partnership agreements provide that distributions made out of the partnerships be made on the basis of 75% to Whistler Blackcomb and 25% to Nippon Cable. In addition, based upon the terms of the WB Partnership agreements, the annual distribution rights are non-transferable and transfer of the limited partnership interest is limited to Nippon Cable’s entire interest. Accordingly, the estimate of fair value associated with the noncontrolling interest at the date of acquisition has been determined based on expected underlying cash flows of the WB Partnerships discounted at a rate commensurate with a market participant’s expected rate of return for an equity instrument with these associated restrictions.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estimated fair values of the identifiable assets acquired and liabilities assumed at the date the transaction was effective (in thousands, except exchange ratio and share price):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exchange ratio and share price amounts)</w:t>
            </w:r>
          </w:p>
        </w:tc>
        <w:tc>
          <w:tcPr>
            <w:tcW w:w="120" w:type="dxa"/>
            <w:vAlign w:val="bottom"/>
            <w:vMerge w:val="restart"/>
          </w:tcPr>
          <w:p>
            <w:pPr>
              <w:spacing w:after="0"/>
              <w:rPr>
                <w:sz w:val="13"/>
                <w:szCs w:val="13"/>
                <w:color w:val="auto"/>
              </w:rPr>
            </w:pPr>
          </w:p>
        </w:tc>
        <w:tc>
          <w:tcPr>
            <w:tcW w:w="1820" w:type="dxa"/>
            <w:vAlign w:val="bottom"/>
            <w:gridSpan w:val="2"/>
          </w:tcPr>
          <w:p>
            <w:pPr>
              <w:ind w:left="40"/>
              <w:spacing w:after="0"/>
              <w:rPr>
                <w:sz w:val="20"/>
                <w:szCs w:val="20"/>
                <w:color w:val="auto"/>
              </w:rPr>
            </w:pPr>
            <w:r>
              <w:rPr>
                <w:rFonts w:ascii="Arial" w:cs="Arial" w:eastAsia="Arial" w:hAnsi="Arial"/>
                <w:sz w:val="13"/>
                <w:szCs w:val="13"/>
                <w:b w:val="1"/>
                <w:bCs w:val="1"/>
                <w:color w:val="auto"/>
                <w:w w:val="89"/>
              </w:rPr>
              <w:t>Acquisition Date Estimated Fair</w:t>
            </w:r>
          </w:p>
        </w:tc>
        <w:tc>
          <w:tcPr>
            <w:tcW w:w="0" w:type="dxa"/>
            <w:vAlign w:val="bottom"/>
          </w:tcPr>
          <w:p>
            <w:pPr>
              <w:spacing w:after="0"/>
              <w:rPr>
                <w:sz w:val="1"/>
                <w:szCs w:val="1"/>
                <w:color w:val="auto"/>
              </w:rPr>
            </w:pPr>
          </w:p>
        </w:tc>
      </w:tr>
      <w:tr>
        <w:trPr>
          <w:trHeight w:val="174"/>
        </w:trPr>
        <w:tc>
          <w:tcPr>
            <w:tcW w:w="94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1"/>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Whistler Blackcomb shares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38,500</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Exchange ratio as of October 14, 2016</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0.097294</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Vail Shares issued to Whistler Blackcomb shareholders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3,746</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Vail Resorts closing share price on October 14, 2016</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153.41</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value of Vail Shares issued</w:t>
            </w: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574,645</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Total cash consideration paid at C$17.50 ($13.31 on October 17, 2016) per Whistler Blackcomb share</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512,558</w:t>
            </w:r>
          </w:p>
        </w:tc>
        <w:tc>
          <w:tcPr>
            <w:tcW w:w="0" w:type="dxa"/>
            <w:vAlign w:val="bottom"/>
          </w:tcPr>
          <w:p>
            <w:pPr>
              <w:spacing w:after="0"/>
              <w:rPr>
                <w:sz w:val="1"/>
                <w:szCs w:val="1"/>
                <w:color w:val="auto"/>
              </w:rPr>
            </w:pPr>
          </w:p>
        </w:tc>
      </w:tr>
      <w:tr>
        <w:trPr>
          <w:trHeight w:val="27"/>
        </w:trPr>
        <w:tc>
          <w:tcPr>
            <w:tcW w:w="9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purchase consideration to Whistler Blackcomb shareholders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1,087,203</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Estimated fair value of previously held investment in Whistler Blackcomb</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Estimated fair value of Nippon Cable’s 25% interest in Whistler Blackcomb</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180,803</w:t>
            </w:r>
          </w:p>
        </w:tc>
        <w:tc>
          <w:tcPr>
            <w:tcW w:w="0" w:type="dxa"/>
            <w:vAlign w:val="bottom"/>
          </w:tcPr>
          <w:p>
            <w:pPr>
              <w:spacing w:after="0"/>
              <w:rPr>
                <w:sz w:val="1"/>
                <w:szCs w:val="1"/>
                <w:color w:val="auto"/>
              </w:rPr>
            </w:pPr>
          </w:p>
        </w:tc>
      </w:tr>
      <w:tr>
        <w:trPr>
          <w:trHeight w:val="297"/>
        </w:trPr>
        <w:tc>
          <w:tcPr>
            <w:tcW w:w="960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estimated purchase consideration</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1,272,314</w:t>
            </w:r>
          </w:p>
        </w:tc>
        <w:tc>
          <w:tcPr>
            <w:tcW w:w="0" w:type="dxa"/>
            <w:vAlign w:val="bottom"/>
          </w:tcPr>
          <w:p>
            <w:pPr>
              <w:spacing w:after="0"/>
              <w:rPr>
                <w:sz w:val="1"/>
                <w:szCs w:val="1"/>
                <w:color w:val="auto"/>
              </w:rPr>
            </w:pPr>
          </w:p>
        </w:tc>
      </w:tr>
      <w:tr>
        <w:trPr>
          <w:trHeight w:val="271"/>
        </w:trPr>
        <w:tc>
          <w:tcPr>
            <w:tcW w:w="9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Allocation of total estimated purchase consideration:</w:t>
            </w: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Estimated fair values of assets acquired:</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36,820</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332,609</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8,216</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956,459</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Identifiable intangibles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150,681</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7,992</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4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(74,358)</w:t>
            </w:r>
          </w:p>
        </w:tc>
        <w:tc>
          <w:tcPr>
            <w:tcW w:w="0" w:type="dxa"/>
            <w:vAlign w:val="bottom"/>
          </w:tcPr>
          <w:p>
            <w:pPr>
              <w:spacing w:after="0"/>
              <w:rPr>
                <w:sz w:val="1"/>
                <w:szCs w:val="1"/>
                <w:color w:val="auto"/>
              </w:rPr>
            </w:pPr>
          </w:p>
        </w:tc>
      </w:tr>
      <w:tr>
        <w:trPr>
          <w:trHeight w:val="243"/>
        </w:trPr>
        <w:tc>
          <w:tcPr>
            <w:tcW w:w="9600" w:type="dxa"/>
            <w:vAlign w:val="bottom"/>
            <w:gridSpan w:val="2"/>
          </w:tcPr>
          <w:p>
            <w:pPr>
              <w:ind w:left="40"/>
              <w:spacing w:after="0"/>
              <w:rPr>
                <w:sz w:val="20"/>
                <w:szCs w:val="20"/>
                <w:color w:val="auto"/>
              </w:rPr>
            </w:pPr>
            <w:r>
              <w:rPr>
                <w:rFonts w:ascii="Arial" w:cs="Arial" w:eastAsia="Arial" w:hAnsi="Arial"/>
                <w:sz w:val="18"/>
                <w:szCs w:val="18"/>
                <w:color w:val="auto"/>
              </w:rPr>
              <w:t>Assumed long-term debt</w:t>
            </w: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(144,922)</w:t>
            </w:r>
          </w:p>
        </w:tc>
        <w:tc>
          <w:tcPr>
            <w:tcW w:w="0" w:type="dxa"/>
            <w:vAlign w:val="bottom"/>
          </w:tcPr>
          <w:p>
            <w:pPr>
              <w:spacing w:after="0"/>
              <w:rPr>
                <w:sz w:val="1"/>
                <w:szCs w:val="1"/>
                <w:color w:val="auto"/>
              </w:rPr>
            </w:pPr>
          </w:p>
        </w:tc>
      </w:tr>
      <w:tr>
        <w:trPr>
          <w:trHeight w:val="27"/>
        </w:trPr>
        <w:tc>
          <w:tcPr>
            <w:tcW w:w="9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0" w:type="dxa"/>
            <w:vAlign w:val="bottom"/>
          </w:tcPr>
          <w:p>
            <w:pPr>
              <w:spacing w:after="0"/>
              <w:rPr>
                <w:sz w:val="1"/>
                <w:szCs w:val="1"/>
                <w:color w:val="auto"/>
              </w:rPr>
            </w:pPr>
          </w:p>
        </w:tc>
      </w:tr>
      <w:tr>
        <w:trPr>
          <w:trHeight w:val="257"/>
        </w:trPr>
        <w:tc>
          <w:tcPr>
            <w:tcW w:w="9600" w:type="dxa"/>
            <w:vAlign w:val="bottom"/>
            <w:gridSpan w:val="2"/>
          </w:tcPr>
          <w:p>
            <w:pPr>
              <w:ind w:left="280"/>
              <w:spacing w:after="0"/>
              <w:rPr>
                <w:sz w:val="20"/>
                <w:szCs w:val="20"/>
                <w:color w:val="auto"/>
              </w:rPr>
            </w:pPr>
            <w:r>
              <w:rPr>
                <w:rFonts w:ascii="Arial" w:cs="Arial" w:eastAsia="Arial" w:hAnsi="Arial"/>
                <w:sz w:val="18"/>
                <w:szCs w:val="18"/>
                <w:color w:val="auto"/>
              </w:rPr>
              <w:t>Net assets acquired</w:t>
            </w: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1,272,314</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October 31, 2017, the Company recorded adjustments in the measurement period to its purchase price allocation which decreased the estimated fair value of noncontrolling interest and season pass holder relationships intangible asset with a corresponding net decrease to goodwill.</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fair values of definite-lived and indefinite-lived identifiable intangible assets were determined using significant estimates and assumptions. The estimated fair value and estimated useful lives of identifiable intangible assets, where applicable, are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10"/>
        </w:trPr>
        <w:tc>
          <w:tcPr>
            <w:tcW w:w="7660" w:type="dxa"/>
            <w:vAlign w:val="bottom"/>
          </w:tcPr>
          <w:p>
            <w:pPr>
              <w:spacing w:after="0"/>
              <w:rPr>
                <w:sz w:val="18"/>
                <w:szCs w:val="18"/>
                <w:color w:val="auto"/>
              </w:rPr>
            </w:pPr>
          </w:p>
        </w:tc>
        <w:tc>
          <w:tcPr>
            <w:tcW w:w="1820" w:type="dxa"/>
            <w:vAlign w:val="bottom"/>
            <w:gridSpan w:val="2"/>
          </w:tcPr>
          <w:p>
            <w:pPr>
              <w:jc w:val="right"/>
              <w:ind w:right="72"/>
              <w:spacing w:after="0"/>
              <w:rPr>
                <w:sz w:val="20"/>
                <w:szCs w:val="20"/>
                <w:color w:val="auto"/>
              </w:rPr>
            </w:pPr>
            <w:r>
              <w:rPr>
                <w:rFonts w:ascii="Arial" w:cs="Arial" w:eastAsia="Arial" w:hAnsi="Arial"/>
                <w:sz w:val="16"/>
                <w:szCs w:val="16"/>
                <w:b w:val="1"/>
                <w:bCs w:val="1"/>
                <w:color w:val="auto"/>
              </w:rPr>
              <w:t>Estimated Fair Value</w:t>
            </w: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3"/>
              </w:rPr>
              <w:t>Amortization Period</w:t>
            </w:r>
          </w:p>
        </w:tc>
      </w:tr>
      <w:tr>
        <w:trPr>
          <w:trHeight w:val="33"/>
        </w:trPr>
        <w:tc>
          <w:tcPr>
            <w:tcW w:w="76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252"/>
              <w:spacing w:after="0"/>
              <w:rPr>
                <w:sz w:val="20"/>
                <w:szCs w:val="20"/>
                <w:color w:val="auto"/>
              </w:rPr>
            </w:pPr>
            <w:r>
              <w:rPr>
                <w:rFonts w:ascii="Arial" w:cs="Arial" w:eastAsia="Arial" w:hAnsi="Arial"/>
                <w:sz w:val="16"/>
                <w:szCs w:val="16"/>
                <w:b w:val="1"/>
                <w:bCs w:val="1"/>
                <w:color w:val="auto"/>
                <w:w w:val="89"/>
              </w:rPr>
              <w:t>in thousands)</w:t>
            </w:r>
          </w:p>
        </w:tc>
        <w:tc>
          <w:tcPr>
            <w:tcW w:w="12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 xml:space="preserve">(in years) </w:t>
            </w:r>
            <w:r>
              <w:rPr>
                <w:rFonts w:ascii="Arial" w:cs="Arial" w:eastAsia="Arial" w:hAnsi="Arial"/>
                <w:sz w:val="21"/>
                <w:szCs w:val="21"/>
                <w:b w:val="1"/>
                <w:bCs w:val="1"/>
                <w:color w:val="auto"/>
                <w:w w:val="88"/>
                <w:vertAlign w:val="superscript"/>
              </w:rPr>
              <w:t>(1)</w:t>
            </w: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52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139,977</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Season pass holder relationships</w:t>
            </w:r>
          </w:p>
        </w:tc>
        <w:tc>
          <w:tcPr>
            <w:tcW w:w="52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6,596</w:t>
            </w:r>
          </w:p>
        </w:tc>
        <w:tc>
          <w:tcPr>
            <w:tcW w:w="194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5</w:t>
            </w:r>
          </w:p>
        </w:tc>
      </w:tr>
      <w:tr>
        <w:trPr>
          <w:trHeight w:val="27"/>
        </w:trPr>
        <w:tc>
          <w:tcPr>
            <w:tcW w:w="7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management contracts</w:t>
            </w:r>
          </w:p>
        </w:tc>
        <w:tc>
          <w:tcPr>
            <w:tcW w:w="5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4,108</w:t>
            </w: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n/a</w:t>
            </w: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 acquired identifiable intangible assets</w:t>
            </w:r>
          </w:p>
        </w:tc>
        <w:tc>
          <w:tcPr>
            <w:tcW w:w="5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150,681</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76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ind w:left="200" w:hanging="192"/>
        <w:spacing w:after="0"/>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Trademarks and trade names and property management contracts are indefinite-lived intangible assets.</w:t>
      </w:r>
    </w:p>
    <w:p>
      <w:pPr>
        <w:spacing w:after="0" w:line="20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excess of the purchase consideration over the aggregate estimated fair values of assets acquired and liabilities assumed was recorded as goodwill. The goodwill recognized is attributable primarily to expected cost efficiencies from the elimination of certain public company costs as well as other select areas of general and administrative functions, synergies (including utilization of the Company’s yield management strategies at Whistler Blackcomb and increased season pass sales and visitation across the Company’s resort portfolio) the assembled workforce of Whistler Blackcomb and other factors. The goodwill is not expected to be deductible for income tax purposes. The operating results of Whistler Blackcomb, which are primarily recorded in the Mountain segment,</w:t>
      </w:r>
    </w:p>
    <w:p>
      <w:pPr>
        <w:sectPr>
          <w:pgSz w:w="11900" w:h="16838" w:orient="portrait"/>
          <w:cols w:equalWidth="0" w:num="1">
            <w:col w:w="11420"/>
          </w:cols>
          <w:pgMar w:left="240" w:top="800"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800" w:right="239" w:bottom="1440" w:gutter="0" w:footer="0" w:header="0"/>
          <w:type w:val="continuous"/>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contributed $0.6 million of net revenue for the three months ended October 31, 2016, prospectively from the acquisition date (acquired on October 17, 2016). The Company recognized $2.6 million of transaction related expenses in Mountain operating expense in the Consolidated Condensed Statements of Operations for the three months ended October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Whistler Blackcomb Pro Forma Financial Information</w:t>
      </w:r>
    </w:p>
    <w:p>
      <w:pPr>
        <w:spacing w:after="0" w:line="2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presents the unaudited pro forma consolidated financial information of the Company as if the acquisition of Whistler Blackcomb was completed on August 1, 2015. The following unaudited pro forma financial information includes adjustments for (i) depreciation on acquired property, plant and equipment; (ii) amortization of intangible assets recorded at the date of the transactions; (iii) transaction and business integration related costs; (iv) interest expense associated with financing the cash portion of the transaction; and (v) total weighted average shares outstanding related to the acquisition; and excludes the impact of the intercompany loan. This unaudited pro forma financial information is presented for informational purposes only and does not purport to be indicative of the results of future operations or the results that would have occurred had the transaction taken place on August 1, 2015 (in thousands, except per share amounts).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4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Three Months Ended October 31,</w:t>
            </w:r>
          </w:p>
        </w:tc>
      </w:tr>
      <w:tr>
        <w:trPr>
          <w:trHeight w:val="192"/>
        </w:trPr>
        <w:tc>
          <w:tcPr>
            <w:tcW w:w="220" w:type="dxa"/>
            <w:vAlign w:val="bottom"/>
            <w:tcBorders>
              <w:bottom w:val="single" w:sz="8" w:color="auto"/>
            </w:tcBorders>
          </w:tcPr>
          <w:p>
            <w:pPr>
              <w:spacing w:after="0"/>
              <w:rPr>
                <w:sz w:val="16"/>
                <w:szCs w:val="16"/>
                <w:color w:val="auto"/>
              </w:rPr>
            </w:pPr>
          </w:p>
        </w:tc>
        <w:tc>
          <w:tcPr>
            <w:tcW w:w="56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72"/>
              <w:spacing w:after="0"/>
              <w:rPr>
                <w:sz w:val="20"/>
                <w:szCs w:val="20"/>
                <w:color w:val="auto"/>
              </w:rPr>
            </w:pPr>
            <w:r>
              <w:rPr>
                <w:rFonts w:ascii="Arial" w:cs="Arial" w:eastAsia="Arial" w:hAnsi="Arial"/>
                <w:sz w:val="14"/>
                <w:szCs w:val="14"/>
                <w:b w:val="1"/>
                <w:bCs w:val="1"/>
                <w:color w:val="auto"/>
              </w:rPr>
              <w:t>2016</w:t>
            </w: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 forma net revenue</w:t>
            </w:r>
          </w:p>
        </w:tc>
        <w:tc>
          <w:tcPr>
            <w:tcW w:w="7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200,929</w:t>
            </w: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Pro forma net loss attributable to Vail Resorts, Inc.</w:t>
            </w:r>
          </w:p>
        </w:tc>
        <w:tc>
          <w:tcPr>
            <w:tcW w:w="7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(67,678)</w:t>
            </w:r>
          </w:p>
        </w:tc>
      </w:tr>
      <w:tr>
        <w:trPr>
          <w:trHeight w:val="27"/>
        </w:trPr>
        <w:tc>
          <w:tcPr>
            <w:tcW w:w="58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 forma basic net loss per share attributable to Vail Resorts, Inc.</w:t>
            </w:r>
          </w:p>
        </w:tc>
        <w:tc>
          <w:tcPr>
            <w:tcW w:w="7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Pro forma diluted net loss per share attributable to Vail Resorts, Inc.</w:t>
            </w:r>
          </w:p>
        </w:tc>
        <w:tc>
          <w:tcPr>
            <w:tcW w:w="7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5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220" w:type="dxa"/>
            <w:vAlign w:val="bottom"/>
            <w:tcBorders>
              <w:bottom w:val="single" w:sz="8" w:color="auto"/>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426"/>
        </w:trPr>
        <w:tc>
          <w:tcPr>
            <w:tcW w:w="220" w:type="dxa"/>
            <w:vAlign w:val="bottom"/>
          </w:tcPr>
          <w:p>
            <w:pPr>
              <w:spacing w:after="0"/>
              <w:rPr>
                <w:sz w:val="20"/>
                <w:szCs w:val="20"/>
                <w:color w:val="auto"/>
              </w:rPr>
            </w:pPr>
            <w:r>
              <w:rPr>
                <w:rFonts w:ascii="Arial" w:cs="Arial" w:eastAsia="Arial" w:hAnsi="Arial"/>
                <w:sz w:val="18"/>
                <w:szCs w:val="18"/>
                <w:b w:val="1"/>
                <w:bCs w:val="1"/>
                <w:color w:val="auto"/>
              </w:rPr>
              <w:t>6.</w:t>
            </w:r>
          </w:p>
        </w:tc>
        <w:tc>
          <w:tcPr>
            <w:tcW w:w="5660" w:type="dxa"/>
            <w:vAlign w:val="bottom"/>
          </w:tcPr>
          <w:p>
            <w:pPr>
              <w:ind w:left="440"/>
              <w:spacing w:after="0"/>
              <w:rPr>
                <w:sz w:val="20"/>
                <w:szCs w:val="20"/>
                <w:color w:val="auto"/>
              </w:rPr>
            </w:pPr>
            <w:r>
              <w:rPr>
                <w:rFonts w:ascii="Arial" w:cs="Arial" w:eastAsia="Arial" w:hAnsi="Arial"/>
                <w:sz w:val="18"/>
                <w:szCs w:val="18"/>
                <w:b w:val="1"/>
                <w:bCs w:val="1"/>
                <w:color w:val="auto"/>
              </w:rPr>
              <w:t>Supplementary Balance Sheet Information</w:t>
            </w: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24"/>
        </w:trPr>
        <w:tc>
          <w:tcPr>
            <w:tcW w:w="5880" w:type="dxa"/>
            <w:vAlign w:val="bottom"/>
            <w:gridSpan w:val="2"/>
          </w:tcPr>
          <w:p>
            <w:pPr>
              <w:spacing w:after="0"/>
              <w:rPr>
                <w:sz w:val="20"/>
                <w:szCs w:val="20"/>
                <w:color w:val="auto"/>
              </w:rPr>
            </w:pPr>
            <w:r>
              <w:rPr>
                <w:rFonts w:ascii="Arial" w:cs="Arial" w:eastAsia="Arial" w:hAnsi="Arial"/>
                <w:sz w:val="18"/>
                <w:szCs w:val="18"/>
                <w:color w:val="auto"/>
              </w:rPr>
              <w:t>The composition of property, plant and equipment follows (in thousands):</w:t>
            </w: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99"/>
        </w:trPr>
        <w:tc>
          <w:tcPr>
            <w:tcW w:w="22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w w:val="99"/>
              </w:rPr>
              <w:t>October 31, 2017</w:t>
            </w: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July 31, 2017</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8"/>
              </w:rPr>
              <w:t>October 31, 2016</w:t>
            </w: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and land improvements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550,627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553,655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530,634</w:t>
            </w: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Buildings and building improvements</w:t>
            </w:r>
          </w:p>
        </w:tc>
        <w:tc>
          <w:tcPr>
            <w:tcW w:w="72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1,186,731</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1,210,864</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1,157,546</w:t>
            </w:r>
          </w:p>
        </w:tc>
      </w:tr>
      <w:tr>
        <w:trPr>
          <w:trHeight w:val="27"/>
        </w:trPr>
        <w:tc>
          <w:tcPr>
            <w:tcW w:w="58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7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985,639</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987,080</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954,722</w:t>
            </w: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Furniture and fixtures</w:t>
            </w:r>
          </w:p>
        </w:tc>
        <w:tc>
          <w:tcPr>
            <w:tcW w:w="72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284,815</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280,292</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291,141</w:t>
            </w:r>
          </w:p>
        </w:tc>
      </w:tr>
      <w:tr>
        <w:trPr>
          <w:trHeight w:val="27"/>
        </w:trPr>
        <w:tc>
          <w:tcPr>
            <w:tcW w:w="58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7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111,440</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108,048</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106,901</w:t>
            </w: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Vehicles</w:t>
            </w:r>
          </w:p>
        </w:tc>
        <w:tc>
          <w:tcPr>
            <w:tcW w:w="72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59,600</w:t>
            </w:r>
          </w:p>
        </w:tc>
        <w:tc>
          <w:tcPr>
            <w:tcW w:w="32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59,596</w:t>
            </w:r>
          </w:p>
        </w:tc>
        <w:tc>
          <w:tcPr>
            <w:tcW w:w="26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64,344</w:t>
            </w:r>
          </w:p>
        </w:tc>
      </w:tr>
      <w:tr>
        <w:trPr>
          <w:trHeight w:val="27"/>
        </w:trPr>
        <w:tc>
          <w:tcPr>
            <w:tcW w:w="58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7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77,512</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49,359</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82,895</w:t>
            </w:r>
          </w:p>
        </w:tc>
      </w:tr>
      <w:tr>
        <w:trPr>
          <w:trHeight w:val="237"/>
        </w:trPr>
        <w:tc>
          <w:tcPr>
            <w:tcW w:w="220" w:type="dxa"/>
            <w:vAlign w:val="bottom"/>
            <w:tcBorders>
              <w:top w:val="single" w:sz="8" w:color="auto"/>
            </w:tcBorders>
          </w:tcPr>
          <w:p>
            <w:pPr>
              <w:spacing w:after="0"/>
              <w:rPr>
                <w:sz w:val="20"/>
                <w:szCs w:val="20"/>
                <w:color w:val="auto"/>
              </w:rPr>
            </w:pPr>
          </w:p>
        </w:tc>
        <w:tc>
          <w:tcPr>
            <w:tcW w:w="56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Gross property, plant and equipment</w:t>
            </w:r>
          </w:p>
        </w:tc>
        <w:tc>
          <w:tcPr>
            <w:tcW w:w="7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3,256,364</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3,248,894</w:t>
            </w:r>
          </w:p>
        </w:tc>
        <w:tc>
          <w:tcPr>
            <w:tcW w:w="2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3,188,183</w:t>
            </w:r>
          </w:p>
        </w:tc>
      </w:tr>
      <w:tr>
        <w:trPr>
          <w:trHeight w:val="27"/>
        </w:trPr>
        <w:tc>
          <w:tcPr>
            <w:tcW w:w="58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7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(1,561,672)</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(1,534,740)</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(1,489,096)</w:t>
            </w:r>
          </w:p>
        </w:tc>
      </w:tr>
      <w:tr>
        <w:trPr>
          <w:trHeight w:val="237"/>
        </w:trPr>
        <w:tc>
          <w:tcPr>
            <w:tcW w:w="220" w:type="dxa"/>
            <w:vAlign w:val="bottom"/>
            <w:tcBorders>
              <w:top w:val="single" w:sz="8" w:color="auto"/>
            </w:tcBorders>
          </w:tcPr>
          <w:p>
            <w:pPr>
              <w:spacing w:after="0"/>
              <w:rPr>
                <w:sz w:val="20"/>
                <w:szCs w:val="20"/>
                <w:color w:val="auto"/>
              </w:rPr>
            </w:pPr>
          </w:p>
        </w:tc>
        <w:tc>
          <w:tcPr>
            <w:tcW w:w="56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Property, plant and equipment, net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1,694,692</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1,714,154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1,699,087</w:t>
            </w:r>
          </w:p>
        </w:tc>
      </w:tr>
      <w:tr>
        <w:trPr>
          <w:trHeight w:val="27"/>
        </w:trPr>
        <w:tc>
          <w:tcPr>
            <w:tcW w:w="220" w:type="dxa"/>
            <w:vAlign w:val="bottom"/>
            <w:tcBorders>
              <w:bottom w:val="single" w:sz="8" w:color="auto"/>
            </w:tcBorders>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56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accounts payable and accrued liabilities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9"/>
              </w:rPr>
              <w:t>October 31, 2017</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July 31, 2017</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8"/>
              </w:rPr>
              <w:t>October 31, 2016</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payables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103,540</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71,558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90,773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1900" w:type="dxa"/>
            <w:vAlign w:val="bottom"/>
          </w:tcPr>
          <w:p>
            <w:pPr>
              <w:spacing w:after="0"/>
              <w:rPr>
                <w:sz w:val="21"/>
                <w:szCs w:val="21"/>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407,848</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240,096</w:t>
            </w:r>
          </w:p>
        </w:tc>
        <w:tc>
          <w:tcPr>
            <w:tcW w:w="2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328,009</w:t>
            </w:r>
          </w:p>
        </w:tc>
      </w:tr>
      <w:tr>
        <w:trPr>
          <w:trHeight w:val="27"/>
        </w:trPr>
        <w:tc>
          <w:tcPr>
            <w:tcW w:w="4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salaries, wages and deferred compensation</w:t>
            </w:r>
          </w:p>
        </w:tc>
        <w:tc>
          <w:tcPr>
            <w:tcW w:w="19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19,699</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44,869</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29,544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Accrued benefits</w:t>
            </w:r>
          </w:p>
        </w:tc>
        <w:tc>
          <w:tcPr>
            <w:tcW w:w="1900" w:type="dxa"/>
            <w:vAlign w:val="bottom"/>
          </w:tcPr>
          <w:p>
            <w:pPr>
              <w:spacing w:after="0"/>
              <w:rPr>
                <w:sz w:val="21"/>
                <w:szCs w:val="21"/>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30,317</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32,505</w:t>
            </w:r>
          </w:p>
        </w:tc>
        <w:tc>
          <w:tcPr>
            <w:tcW w:w="2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28,564</w:t>
            </w:r>
          </w:p>
        </w:tc>
      </w:tr>
      <w:tr>
        <w:trPr>
          <w:trHeight w:val="27"/>
        </w:trPr>
        <w:tc>
          <w:tcPr>
            <w:tcW w:w="4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w:t>
            </w:r>
          </w:p>
        </w:tc>
        <w:tc>
          <w:tcPr>
            <w:tcW w:w="19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21,017</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23,742</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18,418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900" w:type="dxa"/>
            <w:vAlign w:val="bottom"/>
          </w:tcPr>
          <w:p>
            <w:pPr>
              <w:spacing w:after="0"/>
              <w:rPr>
                <w:sz w:val="21"/>
                <w:szCs w:val="21"/>
                <w:color w:val="auto"/>
              </w:rPr>
            </w:pPr>
          </w:p>
        </w:tc>
        <w:tc>
          <w:tcPr>
            <w:tcW w:w="1440" w:type="dxa"/>
            <w:vAlign w:val="bottom"/>
          </w:tcPr>
          <w:p>
            <w:pPr>
              <w:jc w:val="right"/>
              <w:ind w:right="52"/>
              <w:spacing w:after="0"/>
              <w:rPr>
                <w:sz w:val="20"/>
                <w:szCs w:val="20"/>
                <w:color w:val="auto"/>
              </w:rPr>
            </w:pPr>
            <w:r>
              <w:rPr>
                <w:rFonts w:ascii="Arial" w:cs="Arial" w:eastAsia="Arial" w:hAnsi="Arial"/>
                <w:sz w:val="18"/>
                <w:szCs w:val="18"/>
                <w:color w:val="auto"/>
              </w:rPr>
              <w:t>48,046</w:t>
            </w:r>
          </w:p>
        </w:tc>
        <w:tc>
          <w:tcPr>
            <w:tcW w:w="3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54,899</w:t>
            </w:r>
          </w:p>
        </w:tc>
        <w:tc>
          <w:tcPr>
            <w:tcW w:w="28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47,615</w:t>
            </w:r>
          </w:p>
        </w:tc>
      </w:tr>
      <w:tr>
        <w:trPr>
          <w:trHeight w:val="27"/>
        </w:trPr>
        <w:tc>
          <w:tcPr>
            <w:tcW w:w="47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accounts payable and accrued liabilities</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630,467</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467,669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542,923</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700" w:type="dxa"/>
            <w:vAlign w:val="bottom"/>
          </w:tcPr>
          <w:p>
            <w:pPr>
              <w:spacing w:after="0"/>
              <w:rPr>
                <w:sz w:val="24"/>
                <w:szCs w:val="24"/>
                <w:color w:val="auto"/>
              </w:rPr>
            </w:pPr>
          </w:p>
        </w:tc>
        <w:tc>
          <w:tcPr>
            <w:tcW w:w="1900" w:type="dxa"/>
            <w:vAlign w:val="bottom"/>
          </w:tcPr>
          <w:p>
            <w:pPr>
              <w:jc w:val="right"/>
              <w:ind w:right="710"/>
              <w:spacing w:after="0"/>
              <w:rPr>
                <w:sz w:val="20"/>
                <w:szCs w:val="20"/>
                <w:color w:val="auto"/>
              </w:rPr>
            </w:pPr>
            <w:r>
              <w:rPr>
                <w:rFonts w:ascii="Arial" w:cs="Arial" w:eastAsia="Arial" w:hAnsi="Arial"/>
                <w:sz w:val="18"/>
                <w:szCs w:val="18"/>
                <w:color w:val="auto"/>
              </w:rPr>
              <w:t>14</w:t>
            </w: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composition of other long-term liabilities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9"/>
              </w:rPr>
              <w:t>October 31, 2017</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July 31, 2017</w:t>
            </w: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8"/>
              </w:rPr>
              <w:t>October 31, 2016</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Private club deferred initiation fee revenue</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117,151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118,417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120,546</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Unfavorable lease obligation, net</w:t>
            </w:r>
          </w:p>
        </w:tc>
        <w:tc>
          <w:tcPr>
            <w:tcW w:w="1820" w:type="dxa"/>
            <w:vAlign w:val="bottom"/>
          </w:tcPr>
          <w:p>
            <w:pPr>
              <w:spacing w:after="0"/>
              <w:rPr>
                <w:sz w:val="21"/>
                <w:szCs w:val="21"/>
                <w:color w:val="auto"/>
              </w:rPr>
            </w:pPr>
          </w:p>
        </w:tc>
        <w:tc>
          <w:tcPr>
            <w:tcW w:w="1440" w:type="dxa"/>
            <w:vAlign w:val="bottom"/>
          </w:tcPr>
          <w:p>
            <w:pPr>
              <w:jc w:val="right"/>
              <w:ind w:right="54"/>
              <w:spacing w:after="0"/>
              <w:rPr>
                <w:sz w:val="20"/>
                <w:szCs w:val="20"/>
                <w:color w:val="auto"/>
              </w:rPr>
            </w:pPr>
            <w:r>
              <w:rPr>
                <w:rFonts w:ascii="Arial" w:cs="Arial" w:eastAsia="Arial" w:hAnsi="Arial"/>
                <w:sz w:val="18"/>
                <w:szCs w:val="18"/>
                <w:color w:val="auto"/>
              </w:rPr>
              <w:t>23,922</w:t>
            </w:r>
          </w:p>
        </w:tc>
        <w:tc>
          <w:tcPr>
            <w:tcW w:w="3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24,664</w:t>
            </w:r>
          </w:p>
        </w:tc>
        <w:tc>
          <w:tcPr>
            <w:tcW w:w="28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27,284</w:t>
            </w:r>
          </w:p>
        </w:tc>
      </w:tr>
      <w:tr>
        <w:trPr>
          <w:trHeight w:val="27"/>
        </w:trPr>
        <w:tc>
          <w:tcPr>
            <w:tcW w:w="4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8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149,347</w:t>
            </w: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158,655</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124,479</w:t>
            </w:r>
          </w:p>
        </w:tc>
      </w:tr>
      <w:tr>
        <w:trPr>
          <w:trHeight w:val="237"/>
        </w:trPr>
        <w:tc>
          <w:tcPr>
            <w:tcW w:w="478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Total other long-term liabilities</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290,420</w:t>
            </w:r>
          </w:p>
        </w:tc>
        <w:tc>
          <w:tcPr>
            <w:tcW w:w="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301,736</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272,309</w:t>
            </w:r>
          </w:p>
        </w:tc>
      </w:tr>
      <w:tr>
        <w:trPr>
          <w:trHeight w:val="27"/>
        </w:trPr>
        <w:tc>
          <w:tcPr>
            <w:tcW w:w="47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FASB 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800"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The table below summarizes the Company’s cash equivalents, Contingent Consideration and Interest Rate Swap measured at estimated fair value (all other assets and liabilities measured at fair value are immaterial)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gridSpan w:val="6"/>
          </w:tcPr>
          <w:p>
            <w:pPr>
              <w:jc w:val="center"/>
              <w:ind w:left="615"/>
              <w:spacing w:after="0"/>
              <w:rPr>
                <w:sz w:val="20"/>
                <w:szCs w:val="20"/>
                <w:color w:val="auto"/>
              </w:rPr>
            </w:pPr>
            <w:r>
              <w:rPr>
                <w:rFonts w:ascii="Arial" w:cs="Arial" w:eastAsia="Arial" w:hAnsi="Arial"/>
                <w:sz w:val="14"/>
                <w:szCs w:val="14"/>
                <w:b w:val="1"/>
                <w:bCs w:val="1"/>
                <w:color w:val="auto"/>
                <w:w w:val="93"/>
              </w:rPr>
              <w:t>Estimated Fair Value Measurement as of October 31, 2017</w:t>
            </w:r>
          </w:p>
        </w:tc>
        <w:tc>
          <w:tcPr>
            <w:tcW w:w="1000" w:type="dxa"/>
            <w:vAlign w:val="bottom"/>
            <w:tcBorders>
              <w:bottom w:val="single" w:sz="8" w:color="auto"/>
            </w:tcBorders>
          </w:tcPr>
          <w:p>
            <w:pPr>
              <w:spacing w:after="0"/>
              <w:rPr>
                <w:sz w:val="16"/>
                <w:szCs w:val="16"/>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3,010</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3,010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2,401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2,401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2,406</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2,406</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23,754</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23,754</w:t>
            </w:r>
          </w:p>
        </w:tc>
      </w:tr>
      <w:tr>
        <w:trPr>
          <w:trHeight w:val="527"/>
        </w:trPr>
        <w:tc>
          <w:tcPr>
            <w:tcW w:w="562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4480" w:type="dxa"/>
            <w:vAlign w:val="bottom"/>
            <w:tcBorders>
              <w:top w:val="single" w:sz="8" w:color="auto"/>
              <w:bottom w:val="single" w:sz="8" w:color="auto"/>
            </w:tcBorders>
            <w:gridSpan w:val="6"/>
          </w:tcPr>
          <w:p>
            <w:pPr>
              <w:jc w:val="center"/>
              <w:ind w:left="615"/>
              <w:spacing w:after="0"/>
              <w:rPr>
                <w:sz w:val="20"/>
                <w:szCs w:val="20"/>
                <w:color w:val="auto"/>
              </w:rPr>
            </w:pPr>
            <w:r>
              <w:rPr>
                <w:rFonts w:ascii="Arial" w:cs="Arial" w:eastAsia="Arial" w:hAnsi="Arial"/>
                <w:sz w:val="14"/>
                <w:szCs w:val="14"/>
                <w:b w:val="1"/>
                <w:bCs w:val="1"/>
                <w:color w:val="auto"/>
                <w:w w:val="93"/>
              </w:rPr>
              <w:t>Estimated Fair Value Measurement as of July 31, 2017</w:t>
            </w:r>
          </w:p>
        </w:tc>
        <w:tc>
          <w:tcPr>
            <w:tcW w:w="1000" w:type="dxa"/>
            <w:vAlign w:val="bottom"/>
            <w:tcBorders>
              <w:top w:val="single" w:sz="8" w:color="auto"/>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3,008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3,008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2,403</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2,403</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Swap</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236</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236</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27,400</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27,400</w:t>
            </w:r>
          </w:p>
        </w:tc>
      </w:tr>
      <w:tr>
        <w:trPr>
          <w:trHeight w:val="527"/>
        </w:trPr>
        <w:tc>
          <w:tcPr>
            <w:tcW w:w="5620" w:type="dxa"/>
            <w:vAlign w:val="bottom"/>
            <w:tcBorders>
              <w:top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4480" w:type="dxa"/>
            <w:vAlign w:val="bottom"/>
            <w:tcBorders>
              <w:top w:val="single" w:sz="8" w:color="auto"/>
              <w:bottom w:val="single" w:sz="8" w:color="auto"/>
            </w:tcBorders>
            <w:gridSpan w:val="6"/>
          </w:tcPr>
          <w:p>
            <w:pPr>
              <w:jc w:val="center"/>
              <w:ind w:left="615"/>
              <w:spacing w:after="0"/>
              <w:rPr>
                <w:sz w:val="20"/>
                <w:szCs w:val="20"/>
                <w:color w:val="auto"/>
              </w:rPr>
            </w:pPr>
            <w:r>
              <w:rPr>
                <w:rFonts w:ascii="Arial" w:cs="Arial" w:eastAsia="Arial" w:hAnsi="Arial"/>
                <w:sz w:val="14"/>
                <w:szCs w:val="14"/>
                <w:b w:val="1"/>
                <w:bCs w:val="1"/>
                <w:color w:val="auto"/>
                <w:w w:val="93"/>
              </w:rPr>
              <w:t>Estimated Fair Value Measurement as of October 31, 2016</w:t>
            </w:r>
          </w:p>
        </w:tc>
        <w:tc>
          <w:tcPr>
            <w:tcW w:w="1000" w:type="dxa"/>
            <w:vAlign w:val="bottom"/>
            <w:tcBorders>
              <w:top w:val="single" w:sz="8" w:color="auto"/>
              <w:bottom w:val="single" w:sz="8" w:color="auto"/>
            </w:tcBorders>
          </w:tcPr>
          <w:p>
            <w:pPr>
              <w:spacing w:after="0"/>
              <w:rPr>
                <w:sz w:val="24"/>
                <w:szCs w:val="24"/>
                <w:color w:val="auto"/>
              </w:rPr>
            </w:pP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1</w:t>
            </w: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Level 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Money Market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3,001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3,001</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2,401</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2,401</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2,403</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2,403</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r>
      <w:tr>
        <w:trPr>
          <w:trHeight w:val="237"/>
        </w:trPr>
        <w:tc>
          <w:tcPr>
            <w:tcW w:w="562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11,400</w:t>
            </w:r>
          </w:p>
        </w:tc>
        <w:tc>
          <w:tcPr>
            <w:tcW w:w="3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11,400</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Swap</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1,990</w:t>
            </w:r>
          </w:p>
        </w:tc>
        <w:tc>
          <w:tcPr>
            <w:tcW w:w="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1,990</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0"/>
        </w:trPr>
        <w:tc>
          <w:tcPr>
            <w:tcW w:w="5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cash equivalents and Interest Rate Swap are measured utilizing quoted market prices or pricing models whereby all significant inputs are either observable or corroborated by observable market data. The Interest Rate Swap was an instrument assumed in the Whistler Blackcomb acquisition that was a C$125.0 million fixed swap on the floating interest rate for the assumed Whistler Credit Agreement, and was originally set to expire in September 2020. However, the Company settled the Interest Rate Swap in September 2017 and therefore no longer utilized an Interest Rate Swap as of October 31,</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2017. Interest Rate Swap settlements and changes in estimated fair value are recognized in interest expense, net on the Consolidated Condensed Statement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Contingent Consideration during the three months ended October 31, 2017 and 2016 were as follows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7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31, 2017 and 2016, respectively</w:t>
            </w:r>
          </w:p>
        </w:tc>
        <w:tc>
          <w:tcPr>
            <w:tcW w:w="2620" w:type="dxa"/>
            <w:vAlign w:val="bottom"/>
            <w:tcBorders>
              <w:top w:val="single" w:sz="8" w:color="auto"/>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27,400</w:t>
            </w:r>
          </w:p>
        </w:tc>
        <w:tc>
          <w:tcPr>
            <w:tcW w:w="720" w:type="dxa"/>
            <w:vAlign w:val="bottom"/>
            <w:tcBorders>
              <w:top w:val="single" w:sz="8" w:color="auto"/>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11,100</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Payments</w:t>
            </w:r>
          </w:p>
        </w:tc>
        <w:tc>
          <w:tcPr>
            <w:tcW w:w="26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(3,646)</w:t>
            </w:r>
          </w:p>
        </w:tc>
        <w:tc>
          <w:tcPr>
            <w:tcW w:w="7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estimated fair value</w:t>
            </w:r>
          </w:p>
        </w:tc>
        <w:tc>
          <w:tcPr>
            <w:tcW w:w="26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37"/>
        </w:trPr>
        <w:tc>
          <w:tcPr>
            <w:tcW w:w="57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Balance as of October, 2017 and 2016, respectively</w:t>
            </w:r>
          </w:p>
        </w:tc>
        <w:tc>
          <w:tcPr>
            <w:tcW w:w="26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23,754</w:t>
            </w:r>
          </w:p>
        </w:tc>
        <w:tc>
          <w:tcPr>
            <w:tcW w:w="72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11,400</w:t>
            </w:r>
          </w:p>
        </w:tc>
      </w:tr>
      <w:tr>
        <w:trPr>
          <w:trHeight w:val="27"/>
        </w:trPr>
        <w:tc>
          <w:tcPr>
            <w:tcW w:w="57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7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lease for Park City provides for participating contingent payments (the “Contingent Consideration”) to the landlord of 42% of the amount by which EBITDA for the Park City resort operations, as calculated under the lease, exceeds approximately $35 million, as established at the transaction date, with such threshold amount subsequently increased annually by an inflation linked index and a 10% adjustment for any capital improvements or investments made under the lease by the Company. The estimated</w:t>
      </w:r>
    </w:p>
    <w:p>
      <w:pPr>
        <w:sectPr>
          <w:pgSz w:w="11900" w:h="16838" w:orient="portrait"/>
          <w:cols w:equalWidth="0" w:num="1">
            <w:col w:w="11420"/>
          </w:cols>
          <w:pgMar w:left="240" w:top="584"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584" w:right="239" w:bottom="1440" w:gutter="0" w:footer="0" w:header="0"/>
          <w:type w:val="continuous"/>
        </w:sectPr>
      </w:pPr>
    </w:p>
    <w:bookmarkStart w:id="17" w:name="page18"/>
    <w:bookmarkEnd w:id="17"/>
    <w:p>
      <w:pPr>
        <w:jc w:val="both"/>
        <w:spacing w:after="0" w:line="272" w:lineRule="auto"/>
        <w:rPr>
          <w:sz w:val="20"/>
          <w:szCs w:val="20"/>
          <w:color w:val="auto"/>
        </w:rPr>
      </w:pPr>
      <w:r>
        <w:rPr>
          <w:rFonts w:ascii="Arial" w:cs="Arial" w:eastAsia="Arial" w:hAnsi="Arial"/>
          <w:sz w:val="17"/>
          <w:szCs w:val="17"/>
          <w:color w:val="auto"/>
        </w:rPr>
        <w:t>fair value of Contingent Consideration includes the future period resort operations of Park City in the calculation of EBITDA on which participating contingent payments are made, which is determined on the basis of estimated subsequent year performance, escalated by an assumed growth factor. The Company estimated the fair value of the Contingent Consideration payments using an option pricing valuation model. Key assumptions included a discount rate of 10.2%, volatility of 16.0% and future period Park City EBITDA and capital expenditures, which are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would result in a change in the estimated fair value within the range of approximately $4.5 million to $6.5 million.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Contingent Consideration is classified as a liability, and therefore the liability is remeasured to fair value at each reporting date until the contingency is resolved. During the three months ended October 31, 2017, the Company made a payment to the landlord for Contingent Consideration of approximately $3.6 million, resulting in an estimated fair value of the Contingent Consideration of approximately $23.8 million, which is reflected in other long-term liabilities in the Consolidated Condensed Balance Sheet.</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credit-enhances $6.3 million of bonds issued by Holland Creek Metropolitan District (“HCMD”) through a $6.4 million letter of credit issued under the Vail Holdings Credit Agreement. HCMD’s bonds were issued and used to build infrastructure associated with the Company’s Red Sky Ranch residential development. The Company has agreed to pay capital improvement fees to the Red Sky Ranch Metropolitan District (“RSRMD”) until RSRMD’s revenue streams from property taxes are sufficient to meet debt service requirements under HCMD’s bonds. The Company has recorded a liability of $2.0 million primarily within other long-term liabilities in the accompanying Consolidated Condensed Balance Sheets, as of October 31, 2017, July 31, 2017 and October 31, 2016, respectively, with respect to the estimated present value of future RSRMD capital improvement fees. The Company estimates it will make capital improvement fee payments under this arrangement through the fiscal year ending July 31, 2031.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October 31, 2017, the Company had various other letters of credit totaling $65.5 million, consisting of $53.4 million to support the Employee Housing Bonds and $12.1 million for workers’ compensation, general liability construction related deductibles and other activities. The Company also had surety bonds of $9.3 million as of October 31, 2017, primarily to provide collateral for its workers compensation self-insurance programs.</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Self-Insurance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6, Supplementary Balance Sheet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a party to various lawsuits arising in the ordinary course of business. Management believes the Company has adequate insurance coverage and/or has accrued for all loss contingencies for asserted and unasserted matters deemed to be probable losses and estimable. As of October 31, 2017, July 31, 2017 and October 31, 2016, the accruals for the above loss contingencies were not material individually or in the aggregate.</w:t>
      </w:r>
    </w:p>
    <w:p>
      <w:pPr>
        <w:spacing w:after="0" w:line="16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concessionaire properties, condominium management, CME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reports its segment results using Reported EBITDA (defined as segment net revenue less segment operating expenses, plus or minus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Items excluded from Reported EBITDA are significant components in understanding and assessing financial performance. Reported EBITDA should not be considered in isolation or as an alternative to, or substitute for, net income (loss), net change in cash and cash equivalents or other financial statement data presented in the consolidated condensed financial statements as indicators of financial performance or liquidity.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utilizes Reported EBITDA in evaluating the performance of the Company and in allocating resources to its segments. Mountain Reported EBITDA consists of Mountain net revenue less Mountain operating expense plus or minus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allocated between segments, or used to evaluate performance, except as shown in the table below.</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9" w:name="page20"/>
    <w:bookmarkEnd w:id="19"/>
    <w:p>
      <w:pPr>
        <w:spacing w:after="0" w:line="277" w:lineRule="auto"/>
        <w:rPr>
          <w:sz w:val="20"/>
          <w:szCs w:val="20"/>
          <w:color w:val="auto"/>
        </w:rPr>
      </w:pPr>
      <w:r>
        <w:rPr>
          <w:rFonts w:ascii="Arial" w:cs="Arial" w:eastAsia="Arial" w:hAnsi="Arial"/>
          <w:sz w:val="18"/>
          <w:szCs w:val="18"/>
          <w:color w:val="auto"/>
        </w:rPr>
        <w:t>The following table presents financial information by reportable segment, which is used by management in evaluating performance and allocating resources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2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4"/>
                <w:szCs w:val="14"/>
                <w:b w:val="1"/>
                <w:bCs w:val="1"/>
                <w:color w:val="auto"/>
              </w:rPr>
              <w:t>Three Months Ended October 31,</w:t>
            </w:r>
          </w:p>
        </w:tc>
        <w:tc>
          <w:tcPr>
            <w:tcW w:w="74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Lift</w:t>
            </w:r>
          </w:p>
        </w:tc>
        <w:tc>
          <w:tcPr>
            <w:tcW w:w="1060" w:type="dxa"/>
            <w:vAlign w:val="bottom"/>
          </w:tcPr>
          <w:p>
            <w:pPr>
              <w:jc w:val="right"/>
              <w:ind w:right="853"/>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25,468</w:t>
            </w:r>
          </w:p>
        </w:tc>
        <w:tc>
          <w:tcPr>
            <w:tcW w:w="1140" w:type="dxa"/>
            <w:vAlign w:val="bottom"/>
          </w:tcPr>
          <w:p>
            <w:pPr>
              <w:jc w:val="right"/>
              <w:ind w:right="871"/>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21,426</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4,438</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3,851</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Dining</w:t>
            </w:r>
          </w:p>
        </w:tc>
        <w:tc>
          <w:tcPr>
            <w:tcW w:w="10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18,302</w:t>
            </w:r>
          </w:p>
        </w:tc>
        <w:tc>
          <w:tcPr>
            <w:tcW w:w="1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13,368</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45,407</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36,479</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54,510</w:t>
            </w:r>
          </w:p>
        </w:tc>
        <w:tc>
          <w:tcPr>
            <w:tcW w:w="1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35,643</w:t>
            </w:r>
          </w:p>
        </w:tc>
      </w:tr>
      <w:tr>
        <w:trPr>
          <w:trHeight w:val="27"/>
        </w:trPr>
        <w:tc>
          <w:tcPr>
            <w:tcW w:w="7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148,125</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110,767</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Lodging</w:t>
            </w:r>
          </w:p>
        </w:tc>
        <w:tc>
          <w:tcPr>
            <w:tcW w:w="10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72,089</w:t>
            </w:r>
          </w:p>
        </w:tc>
        <w:tc>
          <w:tcPr>
            <w:tcW w:w="1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67,402</w:t>
            </w:r>
          </w:p>
        </w:tc>
      </w:tr>
      <w:tr>
        <w:trPr>
          <w:trHeight w:val="27"/>
        </w:trPr>
        <w:tc>
          <w:tcPr>
            <w:tcW w:w="7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Resort net revenue</w:t>
            </w: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220,214</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178,169</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10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636</w:t>
            </w:r>
          </w:p>
        </w:tc>
        <w:tc>
          <w:tcPr>
            <w:tcW w:w="1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96</w:t>
            </w:r>
          </w:p>
        </w:tc>
      </w:tr>
      <w:tr>
        <w:trPr>
          <w:trHeight w:val="27"/>
        </w:trPr>
        <w:tc>
          <w:tcPr>
            <w:tcW w:w="7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revenue</w:t>
            </w: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220,850</w:t>
            </w:r>
          </w:p>
        </w:tc>
        <w:tc>
          <w:tcPr>
            <w:tcW w:w="114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178,265</w:t>
            </w:r>
          </w:p>
        </w:tc>
      </w:tr>
      <w:tr>
        <w:trPr>
          <w:trHeight w:val="20"/>
        </w:trPr>
        <w:tc>
          <w:tcPr>
            <w:tcW w:w="7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8"/>
                <w:szCs w:val="18"/>
                <w:color w:val="auto"/>
              </w:rPr>
              <w:t>Segment operating expense:</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w:t>
            </w: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207,084</w:t>
            </w:r>
          </w:p>
        </w:tc>
        <w:tc>
          <w:tcPr>
            <w:tcW w:w="114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168,253</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Lodging</w:t>
            </w:r>
          </w:p>
        </w:tc>
        <w:tc>
          <w:tcPr>
            <w:tcW w:w="10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67,734</w:t>
            </w:r>
          </w:p>
        </w:tc>
        <w:tc>
          <w:tcPr>
            <w:tcW w:w="1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64,080</w:t>
            </w:r>
          </w:p>
        </w:tc>
      </w:tr>
      <w:tr>
        <w:trPr>
          <w:trHeight w:val="27"/>
        </w:trPr>
        <w:tc>
          <w:tcPr>
            <w:tcW w:w="7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w:t>
            </w: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274,818</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232,333</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10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1,691</w:t>
            </w:r>
          </w:p>
        </w:tc>
        <w:tc>
          <w:tcPr>
            <w:tcW w:w="1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1,485</w:t>
            </w:r>
          </w:p>
        </w:tc>
      </w:tr>
      <w:tr>
        <w:trPr>
          <w:trHeight w:val="27"/>
        </w:trPr>
        <w:tc>
          <w:tcPr>
            <w:tcW w:w="7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expense</w:t>
            </w: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276,509</w:t>
            </w:r>
          </w:p>
        </w:tc>
        <w:tc>
          <w:tcPr>
            <w:tcW w:w="114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233,818</w:t>
            </w:r>
          </w:p>
        </w:tc>
      </w:tr>
      <w:tr>
        <w:trPr>
          <w:trHeight w:val="20"/>
        </w:trPr>
        <w:tc>
          <w:tcPr>
            <w:tcW w:w="7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8"/>
                <w:szCs w:val="18"/>
                <w:color w:val="auto"/>
              </w:rPr>
              <w:t>Gain on sale of real property</w:t>
            </w:r>
          </w:p>
        </w:tc>
        <w:tc>
          <w:tcPr>
            <w:tcW w:w="1060" w:type="dxa"/>
            <w:vAlign w:val="bottom"/>
          </w:tcPr>
          <w:p>
            <w:pPr>
              <w:jc w:val="right"/>
              <w:ind w:right="853"/>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871"/>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6,466</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equity investment income, net</w:t>
            </w: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522</w:t>
            </w:r>
          </w:p>
        </w:tc>
        <w:tc>
          <w:tcPr>
            <w:tcW w:w="114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Reported EBITDA:</w:t>
            </w:r>
          </w:p>
        </w:tc>
        <w:tc>
          <w:tcPr>
            <w:tcW w:w="10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Mountain</w:t>
            </w: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(58,437)</w:t>
            </w:r>
          </w:p>
        </w:tc>
        <w:tc>
          <w:tcPr>
            <w:tcW w:w="114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(56,654)</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Lodging</w:t>
            </w:r>
          </w:p>
        </w:tc>
        <w:tc>
          <w:tcPr>
            <w:tcW w:w="10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4,355</w:t>
            </w:r>
          </w:p>
        </w:tc>
        <w:tc>
          <w:tcPr>
            <w:tcW w:w="1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3,322</w:t>
            </w:r>
          </w:p>
        </w:tc>
      </w:tr>
      <w:tr>
        <w:trPr>
          <w:trHeight w:val="27"/>
        </w:trPr>
        <w:tc>
          <w:tcPr>
            <w:tcW w:w="7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w:t>
            </w: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(54,082)</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(53,332)</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Real Estate</w:t>
            </w:r>
          </w:p>
        </w:tc>
        <w:tc>
          <w:tcPr>
            <w:tcW w:w="10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(1,055)</w:t>
            </w:r>
          </w:p>
        </w:tc>
        <w:tc>
          <w:tcPr>
            <w:tcW w:w="1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5,077</w:t>
            </w:r>
          </w:p>
        </w:tc>
      </w:tr>
      <w:tr>
        <w:trPr>
          <w:trHeight w:val="27"/>
        </w:trPr>
        <w:tc>
          <w:tcPr>
            <w:tcW w:w="7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Reported EBITDA</w:t>
            </w: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(55,137)</w:t>
            </w:r>
          </w:p>
        </w:tc>
        <w:tc>
          <w:tcPr>
            <w:tcW w:w="114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(48,255)</w:t>
            </w:r>
          </w:p>
        </w:tc>
      </w:tr>
      <w:tr>
        <w:trPr>
          <w:trHeight w:val="20"/>
        </w:trPr>
        <w:tc>
          <w:tcPr>
            <w:tcW w:w="7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8"/>
                <w:szCs w:val="18"/>
                <w:color w:val="auto"/>
              </w:rPr>
              <w:t>Real estate held for sale and investment</w:t>
            </w:r>
          </w:p>
        </w:tc>
        <w:tc>
          <w:tcPr>
            <w:tcW w:w="1060" w:type="dxa"/>
            <w:vAlign w:val="bottom"/>
          </w:tcPr>
          <w:p>
            <w:pPr>
              <w:jc w:val="right"/>
              <w:ind w:right="853"/>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98"/>
              </w:rPr>
              <w:t>102,697</w:t>
            </w:r>
          </w:p>
        </w:tc>
        <w:tc>
          <w:tcPr>
            <w:tcW w:w="1140" w:type="dxa"/>
            <w:vAlign w:val="bottom"/>
          </w:tcPr>
          <w:p>
            <w:pPr>
              <w:jc w:val="right"/>
              <w:ind w:right="871"/>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116,852</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Reconciliation to net loss attributable to Vail Resorts, Inc.:</w:t>
            </w: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Total Reported EBITDA</w:t>
            </w:r>
          </w:p>
        </w:tc>
        <w:tc>
          <w:tcPr>
            <w:tcW w:w="1060" w:type="dxa"/>
            <w:vAlign w:val="bottom"/>
          </w:tcPr>
          <w:p>
            <w:pPr>
              <w:jc w:val="right"/>
              <w:ind w:right="853"/>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(55,137)</w:t>
            </w:r>
          </w:p>
        </w:tc>
        <w:tc>
          <w:tcPr>
            <w:tcW w:w="1140" w:type="dxa"/>
            <w:vAlign w:val="bottom"/>
          </w:tcPr>
          <w:p>
            <w:pPr>
              <w:jc w:val="right"/>
              <w:ind w:right="871"/>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(48,255)</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(48,624)</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(40,581)</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Change in estimated fair value of contingent consideration</w:t>
            </w:r>
          </w:p>
        </w:tc>
        <w:tc>
          <w:tcPr>
            <w:tcW w:w="10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(loss) on disposal of fixed assets, net</w:t>
            </w: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567</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Investment income and other, net</w:t>
            </w:r>
          </w:p>
        </w:tc>
        <w:tc>
          <w:tcPr>
            <w:tcW w:w="10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383</w:t>
            </w:r>
          </w:p>
        </w:tc>
        <w:tc>
          <w:tcPr>
            <w:tcW w:w="1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4,523</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loss on intercompany loans</w:t>
            </w: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(7,346)</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Interest expense, net</w:t>
            </w:r>
          </w:p>
        </w:tc>
        <w:tc>
          <w:tcPr>
            <w:tcW w:w="10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(15,174)</w:t>
            </w:r>
          </w:p>
        </w:tc>
        <w:tc>
          <w:tcPr>
            <w:tcW w:w="1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(11,964)</w:t>
            </w:r>
          </w:p>
        </w:tc>
      </w:tr>
      <w:tr>
        <w:trPr>
          <w:trHeight w:val="27"/>
        </w:trPr>
        <w:tc>
          <w:tcPr>
            <w:tcW w:w="7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benefit from income taxes</w:t>
            </w: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(125,331)</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(97,127)</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Benefit from income taxes</w:t>
            </w:r>
          </w:p>
        </w:tc>
        <w:tc>
          <w:tcPr>
            <w:tcW w:w="10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93,404</w:t>
            </w:r>
          </w:p>
        </w:tc>
        <w:tc>
          <w:tcPr>
            <w:tcW w:w="1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33,509</w:t>
            </w:r>
          </w:p>
        </w:tc>
      </w:tr>
      <w:tr>
        <w:trPr>
          <w:trHeight w:val="27"/>
        </w:trPr>
        <w:tc>
          <w:tcPr>
            <w:tcW w:w="7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0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(31,927)</w:t>
            </w:r>
          </w:p>
        </w:tc>
        <w:tc>
          <w:tcPr>
            <w:tcW w:w="1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(63,618)</w:t>
            </w:r>
          </w:p>
        </w:tc>
      </w:tr>
      <w:tr>
        <w:trPr>
          <w:trHeight w:val="243"/>
        </w:trPr>
        <w:tc>
          <w:tcPr>
            <w:tcW w:w="7660" w:type="dxa"/>
            <w:vAlign w:val="bottom"/>
          </w:tcPr>
          <w:p>
            <w:pPr>
              <w:ind w:left="280"/>
              <w:spacing w:after="0"/>
              <w:rPr>
                <w:sz w:val="20"/>
                <w:szCs w:val="20"/>
                <w:color w:val="auto"/>
              </w:rPr>
            </w:pPr>
            <w:r>
              <w:rPr>
                <w:rFonts w:ascii="Arial" w:cs="Arial" w:eastAsia="Arial" w:hAnsi="Arial"/>
                <w:sz w:val="18"/>
                <w:szCs w:val="18"/>
                <w:color w:val="auto"/>
              </w:rPr>
              <w:t>Net loss attributable to noncontrolling interests</w:t>
            </w:r>
          </w:p>
        </w:tc>
        <w:tc>
          <w:tcPr>
            <w:tcW w:w="10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3,542</w:t>
            </w:r>
          </w:p>
        </w:tc>
        <w:tc>
          <w:tcPr>
            <w:tcW w:w="11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1,031</w:t>
            </w:r>
          </w:p>
        </w:tc>
      </w:tr>
      <w:tr>
        <w:trPr>
          <w:trHeight w:val="27"/>
        </w:trPr>
        <w:tc>
          <w:tcPr>
            <w:tcW w:w="7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Vail Resorts, Inc.</w:t>
            </w:r>
          </w:p>
        </w:tc>
        <w:tc>
          <w:tcPr>
            <w:tcW w:w="1060" w:type="dxa"/>
            <w:vAlign w:val="bottom"/>
            <w:tcBorders>
              <w:bottom w:val="single" w:sz="8" w:color="CCEEFF"/>
            </w:tcBorders>
            <w:shd w:val="clear" w:color="auto" w:fill="CCEEFF"/>
          </w:tcPr>
          <w:p>
            <w:pPr>
              <w:jc w:val="right"/>
              <w:ind w:right="853"/>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(28,385)</w:t>
            </w:r>
          </w:p>
        </w:tc>
        <w:tc>
          <w:tcPr>
            <w:tcW w:w="1140" w:type="dxa"/>
            <w:vAlign w:val="bottom"/>
            <w:tcBorders>
              <w:bottom w:val="single" w:sz="8" w:color="CCEEFF"/>
            </w:tcBorders>
            <w:shd w:val="clear" w:color="auto" w:fill="CCEEFF"/>
          </w:tcPr>
          <w:p>
            <w:pPr>
              <w:jc w:val="right"/>
              <w:ind w:right="871"/>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(62,587)</w:t>
            </w:r>
          </w:p>
        </w:tc>
      </w:tr>
      <w:tr>
        <w:trPr>
          <w:trHeight w:val="20"/>
        </w:trPr>
        <w:tc>
          <w:tcPr>
            <w:tcW w:w="7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6" w:right="239" w:bottom="1440" w:gutter="0" w:footer="0" w:header="0"/>
          <w:type w:val="continuous"/>
        </w:sectPr>
      </w:pPr>
    </w:p>
    <w:bookmarkStart w:id="20" w:name="page21"/>
    <w:bookmarkEnd w:id="20"/>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up to 7,500,000 total shares. The Company did not repurchase any Vail Shares during either of the three months ended October 31, 2017 or 2016. Since inception of its share repurchase program through October 31, 2017, the Company has repurchased 5,436,294 Vail Shares for $247.2 million. As of October 31, 2017, 2,063,706 Vail Shares remained available to repurchase under the existing share repurchase program, which has no expiration date. Vail Shares purchased pursuant to the repurchase program will be held as treasury shares and may be used for the issuance of Vail Shares under the Company’s employee share award plan.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Vail Resorts, Inc., together with its subsidiaries, is referred to throughout this Quarterly Report on Form 10-Q for the periods ended October 31, 2017 (“Form 10-Q”) as “we,” “us,” “our” or the “Company.”</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in conjunction with our Annual Report on Form 10-K for the fiscal year ended July 31, 2017 (“Form 10-K”) and the Consolidated Condensed Financial Statements as of October 31, 2017 and 2016 and for the three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28, 2017.</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MD&amp;A includes discussion of financial performance within each of our three segments. We have chosen to specifically include Reported EBITDA (defined as segment net revenue less segment operating expense, plus or minus segment equity investment income or loss and for the Real Estate segment, plus gain or loss on sale of real property) and Net Debt (defined as long-term debt, net plus long-term debt due within one year less cash and cash equivalents), in the following discussion because we consider these measurements to be significant indications of our financial performance and available capital resources. Resort Reported EBITDA, Total Reported EBITDA and Net Debt are not measures of financial performance or liquidity under generally accepted accounting principles (“GAAP”). We utilize segment Reported EBITDA in evaluating our performance and in allocating resources to our segments. Refer to the end of the Results of Operations section for a reconciliation of segment Reported EBITDA to net loss attributable to Vail Resorts, Inc. We also believe that Net Debt is an important measurement as it is an indicator of our ability to obtain additional capital resources for our future cash needs. Refer to the end of the Results of Operations section for a reconciliation of Net Debt to long-term debt, net.</w:t>
      </w:r>
    </w:p>
    <w:p>
      <w:pPr>
        <w:spacing w:after="0" w:line="18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Items excluded from Reported EBITDA and Net Debt are significant components in understanding and assessing financial performance or liquidity. Reported EBITDA and Net Debt should not be considered in isolation or as an alternative to, or substitute for, net income (loss),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We refer to “Resort” as the combination of the Mountain and Lodging segments.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Mountain segment is comprised of the operations of eleven mountain resort properties and three urban ski areas including: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Mountain Resorts:</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Vail Mountain Resort (“Vail Mountain”)</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Breckenridge Ski Resort (“Breckenridge”)</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Keystone Resort (“Keystone”)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4.</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Beaver Creek Resort (“Beaver Creek”)</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Colorado</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Park City Resort (“Park City”)</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Utah</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6.</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Heavenly Mountain Resort (“Heavenly”)</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Nevada and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7.</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Northstar Resort (“Northstar”)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8.</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Kirkwood Mountain Resort (“Kirkwood”)</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Lake Tahoe area of California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9.</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Perisher Ski Resort (“Perisher”)</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New South Wales, Australia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10.</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Whistler Blackcomb Resort (“Whistler Blackcomb”)</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British Columbia, Canada</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11.</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Stowe Mountain Resort (“Stowe”)</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Vermont</w:t>
            </w:r>
          </w:p>
        </w:tc>
      </w:tr>
      <w:tr>
        <w:trPr>
          <w:trHeight w:val="243"/>
        </w:trPr>
        <w:tc>
          <w:tcPr>
            <w:tcW w:w="7320" w:type="dxa"/>
            <w:vAlign w:val="bottom"/>
            <w:gridSpan w:val="3"/>
          </w:tcPr>
          <w:p>
            <w:pPr>
              <w:ind w:left="40"/>
              <w:spacing w:after="0"/>
              <w:rPr>
                <w:sz w:val="20"/>
                <w:szCs w:val="20"/>
                <w:color w:val="auto"/>
              </w:rPr>
            </w:pPr>
            <w:r>
              <w:rPr>
                <w:rFonts w:ascii="Arial" w:cs="Arial" w:eastAsia="Arial" w:hAnsi="Arial"/>
                <w:sz w:val="18"/>
                <w:szCs w:val="18"/>
                <w:b w:val="1"/>
                <w:bCs w:val="1"/>
                <w:color w:val="auto"/>
              </w:rPr>
              <w:t>Urban Ski Areas (“Urban”):</w:t>
            </w:r>
          </w:p>
        </w:tc>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Location:</w:t>
            </w:r>
          </w:p>
        </w:tc>
      </w:tr>
      <w:tr>
        <w:trPr>
          <w:trHeight w:val="27"/>
        </w:trPr>
        <w:tc>
          <w:tcPr>
            <w:tcW w:w="460" w:type="dxa"/>
            <w:vAlign w:val="bottom"/>
            <w:tcBorders>
              <w:bottom w:val="single" w:sz="8" w:color="auto"/>
            </w:tcBorders>
          </w:tcPr>
          <w:p>
            <w:pPr>
              <w:spacing w:after="0"/>
              <w:rPr>
                <w:sz w:val="2"/>
                <w:szCs w:val="2"/>
                <w:color w:val="auto"/>
              </w:rPr>
            </w:pPr>
          </w:p>
        </w:tc>
        <w:tc>
          <w:tcPr>
            <w:tcW w:w="6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r>
      <w:tr>
        <w:trPr>
          <w:trHeight w:val="237"/>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1.</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Wilmot Mountain (“Wilmot”)</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Wisconsin</w:t>
            </w:r>
          </w:p>
        </w:tc>
      </w:tr>
      <w:tr>
        <w:trPr>
          <w:trHeight w:val="27"/>
        </w:trPr>
        <w:tc>
          <w:tcPr>
            <w:tcW w:w="460" w:type="dxa"/>
            <w:vAlign w:val="bottom"/>
          </w:tcPr>
          <w:p>
            <w:pPr>
              <w:spacing w:after="0"/>
              <w:rPr>
                <w:sz w:val="2"/>
                <w:szCs w:val="2"/>
                <w:color w:val="auto"/>
              </w:rPr>
            </w:pPr>
          </w:p>
        </w:tc>
        <w:tc>
          <w:tcPr>
            <w:tcW w:w="6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0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2.</w:t>
            </w:r>
          </w:p>
        </w:tc>
        <w:tc>
          <w:tcPr>
            <w:tcW w:w="6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Afton Alps Ski Area (“Afton Alps”)</w:t>
            </w:r>
          </w:p>
        </w:tc>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Minnesota</w:t>
            </w:r>
          </w:p>
        </w:tc>
      </w:tr>
      <w:tr>
        <w:trPr>
          <w:trHeight w:val="243"/>
        </w:trPr>
        <w:tc>
          <w:tcPr>
            <w:tcW w:w="460" w:type="dxa"/>
            <w:vAlign w:val="bottom"/>
          </w:tcPr>
          <w:p>
            <w:pPr>
              <w:jc w:val="right"/>
              <w:spacing w:after="0"/>
              <w:rPr>
                <w:sz w:val="20"/>
                <w:szCs w:val="20"/>
                <w:color w:val="auto"/>
              </w:rPr>
            </w:pPr>
            <w:r>
              <w:rPr>
                <w:rFonts w:ascii="Arial" w:cs="Arial" w:eastAsia="Arial" w:hAnsi="Arial"/>
                <w:sz w:val="18"/>
                <w:szCs w:val="18"/>
                <w:i w:val="1"/>
                <w:iCs w:val="1"/>
                <w:color w:val="auto"/>
              </w:rPr>
              <w:t>3.</w:t>
            </w:r>
          </w:p>
        </w:tc>
        <w:tc>
          <w:tcPr>
            <w:tcW w:w="6860" w:type="dxa"/>
            <w:vAlign w:val="bottom"/>
            <w:gridSpan w:val="2"/>
          </w:tcPr>
          <w:p>
            <w:pPr>
              <w:ind w:left="40"/>
              <w:spacing w:after="0"/>
              <w:rPr>
                <w:sz w:val="20"/>
                <w:szCs w:val="20"/>
                <w:color w:val="auto"/>
              </w:rPr>
            </w:pPr>
            <w:r>
              <w:rPr>
                <w:rFonts w:ascii="Arial" w:cs="Arial" w:eastAsia="Arial" w:hAnsi="Arial"/>
                <w:sz w:val="18"/>
                <w:szCs w:val="18"/>
                <w:i w:val="1"/>
                <w:iCs w:val="1"/>
                <w:color w:val="auto"/>
              </w:rPr>
              <w:t>Mount Brighton Ski Area (“Mt. Brighton”)</w:t>
            </w:r>
          </w:p>
        </w:tc>
        <w:tc>
          <w:tcPr>
            <w:tcW w:w="4100" w:type="dxa"/>
            <w:vAlign w:val="bottom"/>
          </w:tcPr>
          <w:p>
            <w:pPr>
              <w:ind w:left="20"/>
              <w:spacing w:after="0"/>
              <w:rPr>
                <w:sz w:val="20"/>
                <w:szCs w:val="20"/>
                <w:color w:val="auto"/>
              </w:rPr>
            </w:pPr>
            <w:r>
              <w:rPr>
                <w:rFonts w:ascii="Arial" w:cs="Arial" w:eastAsia="Arial" w:hAnsi="Arial"/>
                <w:sz w:val="18"/>
                <w:szCs w:val="18"/>
                <w:i w:val="1"/>
                <w:iCs w:val="1"/>
                <w:color w:val="auto"/>
              </w:rPr>
              <w:t>Michigan</w:t>
            </w:r>
          </w:p>
        </w:tc>
      </w:tr>
    </w:tbl>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Additionally, the Company operates ancillary services, primarily including ski school, dining and retail/rental operations, and for Perisher including lodging and transportation operations. Mountain segment revenue is seasonal, with the majority of revenue earned from our North American mountain resorts and ski areas occurring in our second and third fiscal quarters and the majority of revenue earned from Perisher occurring in our first and fourth fiscal quarters. Our North American mountain resorts are typically open for business from mid-November through mid-April, which is the peak operating season for the Mountain segment, and Perisher is typically open for business from June to early October. Consequently, our first fiscal quarter is a seasonally low period as our North American ski operations are generally not open for business until our second fiscal quarter, while the activity of Perisher’s peak season and our North American summer operating results are not sufficient to offset the losses incurred during the seasonally low periods at our North American mountain resorts and ski areas. Revenue of the Mountain segment during the first fiscal quarter is primarily generated from summer and group related visitation at our North American mountain resorts, retail/rental operations and peak season Perisher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Operations within the Lodging segment include (i) ownership/management of a group of luxury hotels and condominiums through the RockResorts brand proximate to our Colorado and Utah mountain resorts; (ii) ownership/management of non-RockResorts branded hotels and condominiums proximate to our North American mountain resorts; (iii) National Park Service (“NPS”) concessionaire properties including the Grand Teton Lodge Company (“GTLC”); (iv) Colorado Mountain Express (“CME”), a Colorado resort ground transportation company; and (v) mountain resort golf courses.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of the lodging segment during our first fiscal quarter is generated primarily by the operations of our NPS concessionaire properties (as their peak operating season generally occurs during the months of June to October), as well as golf operations and seasonally low operations from our other owned and managed properties and businesses. Lodging properties (including managed condominium rooms) at or around our mountain resorts, and CME, are closely aligned with the performance of the Mountain segment and generally experience similar seasonal trends.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as such the revenue and corresponding expense do not affect our Lodging Reported EBITDA, which we use to evaluate Lodging segment performance.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800" w:right="239" w:bottom="1440" w:gutter="0" w:footer="0" w:header="0"/>
        </w:sectPr>
      </w:pPr>
    </w:p>
    <w:bookmarkStart w:id="22" w:name="page23"/>
    <w:bookmarkEnd w:id="22"/>
    <w:p>
      <w:pPr>
        <w:jc w:val="both"/>
        <w:spacing w:after="0" w:line="257" w:lineRule="auto"/>
        <w:rPr>
          <w:sz w:val="20"/>
          <w:szCs w:val="20"/>
          <w:color w:val="auto"/>
        </w:rPr>
      </w:pPr>
      <w:r>
        <w:rPr>
          <w:rFonts w:ascii="Arial" w:cs="Arial" w:eastAsia="Arial" w:hAnsi="Arial"/>
          <w:sz w:val="18"/>
          <w:szCs w:val="18"/>
          <w:color w:val="auto"/>
        </w:rPr>
        <w:t>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70" w:lineRule="exact"/>
        <w:rPr>
          <w:sz w:val="20"/>
          <w:szCs w:val="20"/>
          <w:color w:val="auto"/>
        </w:rPr>
      </w:pPr>
    </w:p>
    <w:p>
      <w:pPr>
        <w:jc w:val="both"/>
        <w:ind w:left="640" w:hanging="321"/>
        <w:spacing w:after="0" w:line="271"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timing and amount of snowfall can have an impact on Mountain and Lodging revenue particularly in regards to skier visits and the duration and frequency of guest visitation. To help mitigate this impact, we sell a variety of pass products prior to the beginning of the ski season resulting in a more stabilized stream of lift revenue. Additionally, our pass products provide a compelling value proposition to our guests, which in turn creates a guest commitment predominately prior to the start of the ski season. Through December 3, 2017, our North American pass sales for the upcoming 2017/2018 North American ski season increased approximately 14% in units and increased approximately 20% in sales dollars, compared to the prior year period ended December 4, 2016, including Whistler Blackcomb and Stowe pass sales in both periods, adjusted to eliminate the impact of foreign currency by applying current period exchange rates to the prior period. We cannot predict the ultimate impact that season pass sales will have on total lift revenue or effective ticket price for the 2017/2018 North American ski season.</w:t>
      </w:r>
    </w:p>
    <w:p>
      <w:pPr>
        <w:spacing w:after="0" w:line="178" w:lineRule="exact"/>
        <w:rPr>
          <w:rFonts w:ascii="Arial" w:cs="Arial" w:eastAsia="Arial" w:hAnsi="Arial"/>
          <w:sz w:val="17"/>
          <w:szCs w:val="17"/>
          <w:color w:val="auto"/>
        </w:rPr>
      </w:pPr>
    </w:p>
    <w:p>
      <w:pPr>
        <w:jc w:val="both"/>
        <w:ind w:left="640" w:hanging="321"/>
        <w:spacing w:after="0" w:line="257"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Key U.S. economic indicators have remained steady in 2017, including strong consumer confidence and declines in the unemployment rate. However, the growth in the U.S. economy may be impacted by economic challenges in the U.S. or declining or slowing growth in economies outside of the U.S., accompanied by devaluation of currencies and lower commodity prices. Given these economic uncertainties, we cannot predict what the impact will be on overall travel and leisure spending or more specifically, on our guest visitation, guest spending or other related trends for the upcoming 2017/2018 North American ski season.</w:t>
      </w:r>
    </w:p>
    <w:p>
      <w:pPr>
        <w:spacing w:after="0" w:line="188" w:lineRule="exact"/>
        <w:rPr>
          <w:rFonts w:ascii="Arial" w:cs="Arial" w:eastAsia="Arial" w:hAnsi="Arial"/>
          <w:sz w:val="18"/>
          <w:szCs w:val="18"/>
          <w:color w:val="auto"/>
        </w:rPr>
      </w:pPr>
    </w:p>
    <w:p>
      <w:pPr>
        <w:jc w:val="both"/>
        <w:ind w:left="640" w:hanging="321"/>
        <w:spacing w:after="0" w:line="254"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October 31, 2017, we had $234.0 million available under the revolver component of our Seventh Amended and Restated Credit Agreement, dated as of May 1, 2015 (the “Vail Holdings Credit Agreement”), which represents the total commitment of $400.0 million less outstanding borrowings of $95.0 million and certain letters of credit outstanding of $71.0 million. Additionally, under our Whistler Blackcomb credit facility (the “Whistler Credit Agreement”), as of October 31, 2017, we had C$164.0 million ($127.1 million) available under the revolver component of the Whistler Credit Agreement (which represents the total commitment of C$300.0 million ($232.5 million) less outstanding borrowings of C$135.0 million ($104.6 million) and a letter of credit outstanding of C$1.0 million ($0.8 million)). During the three months ended October 31, 2017, we exercised our right under the Whistler Credit Agreement, with the consent of the lender parties thereto, to extend the maturity date for the Whistler Credit Agreement from November 12, 2021 to November 12, 2022.</w:t>
      </w:r>
    </w:p>
    <w:p>
      <w:pPr>
        <w:spacing w:after="0" w:line="192" w:lineRule="exact"/>
        <w:rPr>
          <w:rFonts w:ascii="Arial" w:cs="Arial" w:eastAsia="Arial" w:hAnsi="Arial"/>
          <w:sz w:val="18"/>
          <w:szCs w:val="18"/>
          <w:color w:val="auto"/>
        </w:rPr>
      </w:pPr>
    </w:p>
    <w:p>
      <w:pPr>
        <w:jc w:val="both"/>
        <w:ind w:left="640"/>
        <w:spacing w:after="0" w:line="257" w:lineRule="auto"/>
        <w:rPr>
          <w:rFonts w:ascii="Arial" w:cs="Arial" w:eastAsia="Arial" w:hAnsi="Arial"/>
          <w:sz w:val="18"/>
          <w:szCs w:val="18"/>
          <w:color w:val="auto"/>
        </w:rPr>
      </w:pPr>
      <w:r>
        <w:rPr>
          <w:rFonts w:ascii="Arial" w:cs="Arial" w:eastAsia="Arial" w:hAnsi="Arial"/>
          <w:sz w:val="18"/>
          <w:szCs w:val="18"/>
          <w:color w:val="auto"/>
        </w:rPr>
        <w:t>We believe that the terms of our credit agreements allow for sufficient flexibility in our ability to make future acquisitions, investments, distributions to stockholders and incur additional debt. This, combined with the continued positive cash flow from operating activities of our Mountain and Lodging segments less resort capital expenditures, has and is anticipated to continue to provide us with significant liquidity. We believe our liquidity will allow us to consider strategic investments and other forms of returning value to our stockholders including additional share repurchases and the continued payment of a quarterly cash dividend.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operating results for the three months ended October 31, 2017, compared to the three months ended October 31, 2016 (in thousands):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4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rPr>
              <w:t>Three Months Ended October 31,</w:t>
            </w:r>
          </w:p>
        </w:tc>
        <w:tc>
          <w:tcPr>
            <w:tcW w:w="72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106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(58,437)</w:t>
            </w:r>
          </w:p>
        </w:tc>
        <w:tc>
          <w:tcPr>
            <w:tcW w:w="116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(56,654)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106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4,355</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3,322</w:t>
            </w:r>
          </w:p>
        </w:tc>
      </w:tr>
      <w:tr>
        <w:trPr>
          <w:trHeight w:val="27"/>
        </w:trPr>
        <w:tc>
          <w:tcPr>
            <w:tcW w:w="7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Reported EBITDA</w:t>
            </w:r>
          </w:p>
        </w:tc>
        <w:tc>
          <w:tcPr>
            <w:tcW w:w="106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(54,082)</w:t>
            </w:r>
          </w:p>
        </w:tc>
        <w:tc>
          <w:tcPr>
            <w:tcW w:w="116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(53,332)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Real Estate Reported EBITDA</w:t>
            </w:r>
          </w:p>
        </w:tc>
        <w:tc>
          <w:tcPr>
            <w:tcW w:w="1060" w:type="dxa"/>
            <w:vAlign w:val="bottom"/>
          </w:tcPr>
          <w:p>
            <w:pPr>
              <w:jc w:val="right"/>
              <w:ind w:right="855"/>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(1,055)</w:t>
            </w:r>
          </w:p>
        </w:tc>
        <w:tc>
          <w:tcPr>
            <w:tcW w:w="1160" w:type="dxa"/>
            <w:vAlign w:val="bottom"/>
          </w:tcPr>
          <w:p>
            <w:pPr>
              <w:jc w:val="right"/>
              <w:ind w:right="893"/>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5,077</w:t>
            </w:r>
          </w:p>
        </w:tc>
      </w:tr>
      <w:tr>
        <w:trPr>
          <w:trHeight w:val="27"/>
        </w:trPr>
        <w:tc>
          <w:tcPr>
            <w:tcW w:w="7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benefit from income taxes</w:t>
            </w:r>
          </w:p>
        </w:tc>
        <w:tc>
          <w:tcPr>
            <w:tcW w:w="106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(125,331)</w:t>
            </w:r>
          </w:p>
        </w:tc>
        <w:tc>
          <w:tcPr>
            <w:tcW w:w="1160" w:type="dxa"/>
            <w:vAlign w:val="bottom"/>
            <w:tcBorders>
              <w:bottom w:val="single" w:sz="8" w:color="CCEEFF"/>
            </w:tcBorders>
            <w:shd w:val="clear" w:color="auto" w:fill="CCEEFF"/>
          </w:tcPr>
          <w:p>
            <w:pPr>
              <w:jc w:val="right"/>
              <w:ind w:right="893"/>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(97,127)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loss attributable to Vail Resorts, Inc.</w:t>
            </w:r>
          </w:p>
        </w:tc>
        <w:tc>
          <w:tcPr>
            <w:tcW w:w="1060" w:type="dxa"/>
            <w:vAlign w:val="bottom"/>
          </w:tcPr>
          <w:p>
            <w:pPr>
              <w:jc w:val="right"/>
              <w:ind w:right="855"/>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(28,385)</w:t>
            </w:r>
          </w:p>
        </w:tc>
        <w:tc>
          <w:tcPr>
            <w:tcW w:w="1160" w:type="dxa"/>
            <w:vAlign w:val="bottom"/>
          </w:tcPr>
          <w:p>
            <w:pPr>
              <w:jc w:val="right"/>
              <w:ind w:right="893"/>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(62,587)</w:t>
            </w:r>
          </w:p>
        </w:tc>
      </w:tr>
      <w:tr>
        <w:trPr>
          <w:trHeight w:val="27"/>
        </w:trPr>
        <w:tc>
          <w:tcPr>
            <w:tcW w:w="7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the segment results and other items can be found below.</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2017 compared to the three months ended October 31, 2016</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Mountain segment operating results for the three months ended October 31, 2017 and 2016 are presented by category as follows (in thousands, except effective ticket price (“ETP”)):</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4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Three Months Ended October 31,</w:t>
            </w:r>
          </w:p>
        </w:tc>
        <w:tc>
          <w:tcPr>
            <w:tcW w:w="720" w:type="dxa"/>
            <w:vAlign w:val="bottom"/>
          </w:tcPr>
          <w:p>
            <w:pPr>
              <w:spacing w:after="0"/>
              <w:rPr>
                <w:sz w:val="14"/>
                <w:szCs w:val="14"/>
                <w:color w:val="auto"/>
              </w:rPr>
            </w:pPr>
          </w:p>
        </w:tc>
        <w:tc>
          <w:tcPr>
            <w:tcW w:w="2040" w:type="dxa"/>
            <w:vAlign w:val="bottom"/>
          </w:tcPr>
          <w:p>
            <w:pPr>
              <w:jc w:val="center"/>
              <w:ind w:left="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3"/>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20" w:type="dxa"/>
            <w:vAlign w:val="bottom"/>
          </w:tcPr>
          <w:p>
            <w:pPr>
              <w:spacing w:after="0"/>
              <w:rPr>
                <w:sz w:val="5"/>
                <w:szCs w:val="5"/>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780" w:type="dxa"/>
            <w:vAlign w:val="bottom"/>
          </w:tcPr>
          <w:p>
            <w:pPr>
              <w:spacing w:after="0"/>
              <w:rPr>
                <w:sz w:val="5"/>
                <w:szCs w:val="5"/>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72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Mountain revenue:</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Lift</w:t>
            </w:r>
          </w:p>
        </w:tc>
        <w:tc>
          <w:tcPr>
            <w:tcW w:w="1100" w:type="dxa"/>
            <w:vAlign w:val="bottom"/>
          </w:tcPr>
          <w:p>
            <w:pPr>
              <w:jc w:val="right"/>
              <w:ind w:right="897"/>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25,468</w:t>
            </w:r>
          </w:p>
        </w:tc>
        <w:tc>
          <w:tcPr>
            <w:tcW w:w="1160" w:type="dxa"/>
            <w:vAlign w:val="bottom"/>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21,426</w:t>
            </w:r>
          </w:p>
        </w:tc>
        <w:tc>
          <w:tcPr>
            <w:tcW w:w="2040" w:type="dxa"/>
            <w:vAlign w:val="bottom"/>
          </w:tcPr>
          <w:p>
            <w:pPr>
              <w:jc w:val="right"/>
              <w:spacing w:after="0"/>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Ski school</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4,438</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Dining</w:t>
            </w:r>
          </w:p>
        </w:tc>
        <w:tc>
          <w:tcPr>
            <w:tcW w:w="11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18,302</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13,368</w:t>
            </w:r>
          </w:p>
        </w:tc>
        <w:tc>
          <w:tcPr>
            <w:tcW w:w="2040" w:type="dxa"/>
            <w:vAlign w:val="bottom"/>
          </w:tcPr>
          <w:p>
            <w:pPr>
              <w:jc w:val="right"/>
              <w:spacing w:after="0"/>
              <w:rPr>
                <w:sz w:val="20"/>
                <w:szCs w:val="20"/>
                <w:color w:val="auto"/>
              </w:rPr>
            </w:pPr>
            <w:r>
              <w:rPr>
                <w:rFonts w:ascii="Arial" w:cs="Arial" w:eastAsia="Arial" w:hAnsi="Arial"/>
                <w:sz w:val="18"/>
                <w:szCs w:val="18"/>
                <w:color w:val="auto"/>
              </w:rPr>
              <w:t>36.9 %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Retail/rental</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45,407</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36,479</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54,510</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35,643</w:t>
            </w:r>
          </w:p>
        </w:tc>
        <w:tc>
          <w:tcPr>
            <w:tcW w:w="2040" w:type="dxa"/>
            <w:vAlign w:val="bottom"/>
          </w:tcPr>
          <w:p>
            <w:pPr>
              <w:jc w:val="right"/>
              <w:spacing w:after="0"/>
              <w:rPr>
                <w:sz w:val="20"/>
                <w:szCs w:val="20"/>
                <w:color w:val="auto"/>
              </w:rPr>
            </w:pPr>
            <w:r>
              <w:rPr>
                <w:rFonts w:ascii="Arial" w:cs="Arial" w:eastAsia="Arial" w:hAnsi="Arial"/>
                <w:sz w:val="18"/>
                <w:szCs w:val="18"/>
                <w:color w:val="auto"/>
              </w:rPr>
              <w:t>52.9 %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net revenue</w:t>
            </w:r>
          </w:p>
        </w:tc>
        <w:tc>
          <w:tcPr>
            <w:tcW w:w="1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2"/>
              </w:rPr>
              <w:t>148,125</w:t>
            </w:r>
          </w:p>
        </w:tc>
        <w:tc>
          <w:tcPr>
            <w:tcW w:w="1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110,767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operating expense:</w:t>
            </w:r>
          </w:p>
        </w:tc>
        <w:tc>
          <w:tcPr>
            <w:tcW w:w="1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Labor and labor-related benefits</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73,656</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57,682</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Retail cost of sales</w:t>
            </w:r>
          </w:p>
        </w:tc>
        <w:tc>
          <w:tcPr>
            <w:tcW w:w="11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22,941</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18,404</w:t>
            </w:r>
          </w:p>
        </w:tc>
        <w:tc>
          <w:tcPr>
            <w:tcW w:w="2040" w:type="dxa"/>
            <w:vAlign w:val="bottom"/>
          </w:tcPr>
          <w:p>
            <w:pPr>
              <w:jc w:val="right"/>
              <w:spacing w:after="0"/>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49,324</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41,984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61,163</w:t>
            </w:r>
          </w:p>
        </w:tc>
        <w:tc>
          <w:tcPr>
            <w:tcW w:w="116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50,183</w:t>
            </w:r>
          </w:p>
        </w:tc>
        <w:tc>
          <w:tcPr>
            <w:tcW w:w="2040" w:type="dxa"/>
            <w:vAlign w:val="bottom"/>
          </w:tcPr>
          <w:p>
            <w:pPr>
              <w:jc w:val="right"/>
              <w:spacing w:after="0"/>
              <w:rPr>
                <w:sz w:val="20"/>
                <w:szCs w:val="20"/>
                <w:color w:val="auto"/>
              </w:rPr>
            </w:pPr>
            <w:r>
              <w:rPr>
                <w:rFonts w:ascii="Arial" w:cs="Arial" w:eastAsia="Arial" w:hAnsi="Arial"/>
                <w:sz w:val="18"/>
                <w:szCs w:val="18"/>
                <w:color w:val="auto"/>
              </w:rPr>
              <w:t>21.9 %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Mountain operating expense</w:t>
            </w:r>
          </w:p>
        </w:tc>
        <w:tc>
          <w:tcPr>
            <w:tcW w:w="1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2"/>
              </w:rPr>
              <w:t>207,084</w:t>
            </w:r>
          </w:p>
        </w:tc>
        <w:tc>
          <w:tcPr>
            <w:tcW w:w="1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168,253</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Mountain equity investment income, net</w:t>
            </w:r>
          </w:p>
        </w:tc>
        <w:tc>
          <w:tcPr>
            <w:tcW w:w="1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522</w:t>
            </w:r>
          </w:p>
        </w:tc>
        <w:tc>
          <w:tcPr>
            <w:tcW w:w="1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832</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1100" w:type="dxa"/>
            <w:vAlign w:val="bottom"/>
            <w:tcBorders>
              <w:bottom w:val="single" w:sz="8" w:color="CCEEFF"/>
            </w:tcBorders>
            <w:shd w:val="clear" w:color="auto" w:fill="CCEEFF"/>
          </w:tcPr>
          <w:p>
            <w:pPr>
              <w:jc w:val="right"/>
              <w:ind w:right="897"/>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(58,437)</w:t>
            </w:r>
          </w:p>
        </w:tc>
        <w:tc>
          <w:tcPr>
            <w:tcW w:w="116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(56,654)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6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skier visits</w:t>
            </w:r>
          </w:p>
        </w:tc>
        <w:tc>
          <w:tcPr>
            <w:tcW w:w="1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498</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ETP</w:t>
            </w:r>
          </w:p>
        </w:tc>
        <w:tc>
          <w:tcPr>
            <w:tcW w:w="1100" w:type="dxa"/>
            <w:vAlign w:val="bottom"/>
          </w:tcPr>
          <w:p>
            <w:pPr>
              <w:jc w:val="right"/>
              <w:ind w:right="897"/>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51.14</w:t>
            </w:r>
          </w:p>
        </w:tc>
        <w:tc>
          <w:tcPr>
            <w:tcW w:w="1160" w:type="dxa"/>
            <w:vAlign w:val="bottom"/>
          </w:tcPr>
          <w:p>
            <w:pPr>
              <w:jc w:val="right"/>
              <w:ind w:right="894"/>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49.94</w:t>
            </w:r>
          </w:p>
        </w:tc>
        <w:tc>
          <w:tcPr>
            <w:tcW w:w="204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$3.8 million and $3.9 million of stock-based compensation expense for the three months ended October 31, 2017 and 2016, respectively.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first fiscal quarter historically results in negative Mountain Reported EBITDA, as our North American mountain resorts and ski areas generally do not open for ski operations until our second fiscal quarter, which begins in November. The first fiscal quarter generally consists of operating and administrative expenses, summer activities (including dining), retail/rental operations and the operations of Perisher, which has its peak operating season from June through early October. Mountain Reported EBITDA decreased by $1.8 million, or 3.1%, which includes an operating loss from Stowe (acquired in June 2017) due to no ski operations. Additionally,</w:t>
      </w:r>
    </w:p>
    <w:p>
      <w:pPr>
        <w:sectPr>
          <w:pgSz w:w="11900" w:h="16838" w:orient="portrait"/>
          <w:cols w:equalWidth="0" w:num="1">
            <w:col w:w="11420"/>
          </w:cols>
          <w:pgMar w:left="240" w:top="580"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580" w:right="2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color w:val="auto"/>
        </w:rPr>
        <w:t>we recorded $0.7 million and $2.8 million of acquisition and integration related expenses for the three months ended October 31, 2017 and 2016, respectively.</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Perisher generated increases of $4.0 million, or 18.9%, and $0.6 million, or 15.2%, in lift revenue and ski school revenue, respectively, primarily due to increases in pricing and higher visitation. Dining revenue increased $4.9 million, or 36.9%, primarily due to incremental revenue from Whistler Blackcomb, reflecting a full quarter of operations as compared to prior year period which included operations from the date of acquisition, October 17, 2016, through October 31, 2016. Additionally, dining revenue benefited from the inclusion of Stowe operations and an increase in dining revenue at Perisher, which was the result of higher visitation.</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Retail/rental revenue increased $8.9 million, or 24.5%, primarily due to an increase in retail sales of $7.3 million, or 23.2%, and an increase in rental revenue of $1.6 million, or 32.0%. The increase in retail revenue was primarily attributable to incremental revenue from Whistler Blackcomb and increased sales at our front range stores in Colorado. The increase in rental revenue was primarily attributable to incremental revenue from Whistler Blackcomb as well as increased rental sales at Perisher. Other revenue mainly consists of summer visitation and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is also comprised of Perisher lodging and transportation revenue. Other revenue increased $18.9 million, or 52.9%, which was primarily attributable to incremental summer activities and events revenue at Whistler Blackcomb and the inclusion of Stowe operations.</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Operating expense increased $38.8 million, or 23.1%, which was primarily due to incremental expenses from Whistler Blackcomb as a result of a full quarter of operations as compared to the prior year period, which included operations from the date of acquisition, October 17, 2016, through October 31, 2016.</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Labor and labor-related benefits increased 27.7% primarily due to incremental expense from Whistler Blackcomb and Stowe, normal wage adjustments and increased staffing levels at Perisher during the three months ended October 31, 2017 to support higher visitation. Retail cost of sales increased 24.7%, compared to an increase in retail sales of 23.2%, primarily reflecting incremental retail cost of sales at Whistler Blackcomb. General and administrative expense increased 17.5% due to incremental expense from Whistler Blackcomb and Stowe, as well as increased corporate overhead costs. Other expense increased 21.9% compared to the same period in the prior year due to incremental expense from Whistler Blackcomb, as well as increases in repairs and maintenance expense, property tax expense, food and beverage cost of sales, supplies and rent expense, partially offset by a reduction of acquisition and integration related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joint venture.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2017 compared to the three months ended October 31, 2016</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segment operating results for the three months ended October 31, 2017 and 2016 are presented by category as follows (in thousands, except average daily rates (“ADR”) and revenue per available room (“RevPAR”)):</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20" w:type="dxa"/>
            <w:vAlign w:val="bottom"/>
            <w:gridSpan w:val="3"/>
          </w:tcPr>
          <w:p>
            <w:pPr>
              <w:jc w:val="right"/>
              <w:ind w:right="751"/>
              <w:spacing w:after="0"/>
              <w:rPr>
                <w:sz w:val="20"/>
                <w:szCs w:val="20"/>
                <w:color w:val="auto"/>
              </w:rPr>
            </w:pPr>
            <w:r>
              <w:rPr>
                <w:rFonts w:ascii="Arial" w:cs="Arial" w:eastAsia="Arial" w:hAnsi="Arial"/>
                <w:sz w:val="14"/>
                <w:szCs w:val="14"/>
                <w:b w:val="1"/>
                <w:bCs w:val="1"/>
                <w:color w:val="auto"/>
              </w:rPr>
              <w:t>Three Months Ended October 31,</w:t>
            </w:r>
          </w:p>
        </w:tc>
        <w:tc>
          <w:tcPr>
            <w:tcW w:w="2040" w:type="dxa"/>
            <w:vAlign w:val="bottom"/>
          </w:tcPr>
          <w:p>
            <w:pPr>
              <w:jc w:val="center"/>
              <w:ind w:left="32"/>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2"/>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00" w:type="dxa"/>
            <w:vAlign w:val="bottom"/>
            <w:vMerge w:val="restart"/>
          </w:tcPr>
          <w:p>
            <w:pPr>
              <w:jc w:val="right"/>
              <w:ind w:right="691"/>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5"/>
                <w:szCs w:val="5"/>
                <w:color w:val="auto"/>
              </w:rPr>
            </w:pPr>
          </w:p>
        </w:tc>
        <w:tc>
          <w:tcPr>
            <w:tcW w:w="1380" w:type="dxa"/>
            <w:vAlign w:val="bottom"/>
            <w:vMerge w:val="restart"/>
          </w:tcPr>
          <w:p>
            <w:pPr>
              <w:jc w:val="right"/>
              <w:ind w:right="671"/>
              <w:spacing w:after="0"/>
              <w:rPr>
                <w:sz w:val="20"/>
                <w:szCs w:val="20"/>
                <w:color w:val="auto"/>
              </w:rPr>
            </w:pPr>
            <w:r>
              <w:rPr>
                <w:rFonts w:ascii="Arial" w:cs="Arial" w:eastAsia="Arial" w:hAnsi="Arial"/>
                <w:sz w:val="14"/>
                <w:szCs w:val="14"/>
                <w:b w:val="1"/>
                <w:bCs w:val="1"/>
                <w:color w:val="auto"/>
              </w:rPr>
              <w:t>2016</w:t>
            </w: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04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net revenue: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Owned hotel rooms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19,635</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18,063</w:t>
            </w:r>
          </w:p>
        </w:tc>
        <w:tc>
          <w:tcPr>
            <w:tcW w:w="2040" w:type="dxa"/>
            <w:vAlign w:val="bottom"/>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Managed condominium rooms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10,171</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8,521</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Dining</w:t>
            </w: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15,880</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15,337</w:t>
            </w:r>
          </w:p>
        </w:tc>
        <w:tc>
          <w:tcPr>
            <w:tcW w:w="204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Transportation</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2,553</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2,473</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Golf</w:t>
            </w: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8,426</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8,513</w:t>
            </w:r>
          </w:p>
        </w:tc>
        <w:tc>
          <w:tcPr>
            <w:tcW w:w="20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12,115</w:t>
            </w: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11,418</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68,780</w:t>
            </w: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64,325</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Payroll cost reimbursements</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3,309</w:t>
            </w:r>
          </w:p>
        </w:tc>
        <w:tc>
          <w:tcPr>
            <w:tcW w:w="5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Lodging net revenue</w:t>
            </w:r>
          </w:p>
        </w:tc>
        <w:tc>
          <w:tcPr>
            <w:tcW w:w="4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72,089</w:t>
            </w:r>
          </w:p>
        </w:tc>
        <w:tc>
          <w:tcPr>
            <w:tcW w:w="5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67,402</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Lodging operating expense: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Labor and labor-related benefits</w:t>
            </w: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32,092</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29,877</w:t>
            </w:r>
          </w:p>
        </w:tc>
        <w:tc>
          <w:tcPr>
            <w:tcW w:w="2040" w:type="dxa"/>
            <w:vAlign w:val="bottom"/>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8,539</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23,794</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22,362</w:t>
            </w:r>
          </w:p>
        </w:tc>
        <w:tc>
          <w:tcPr>
            <w:tcW w:w="2040" w:type="dxa"/>
            <w:vAlign w:val="bottom"/>
          </w:tcPr>
          <w:p>
            <w:pPr>
              <w:jc w:val="right"/>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64,425</w:t>
            </w: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61,003</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Reimbursed payroll costs</w:t>
            </w: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3,309</w:t>
            </w:r>
          </w:p>
        </w:tc>
        <w:tc>
          <w:tcPr>
            <w:tcW w:w="540" w:type="dxa"/>
            <w:vAlign w:val="bottom"/>
          </w:tcPr>
          <w:p>
            <w:pPr>
              <w:spacing w:after="0"/>
              <w:rPr>
                <w:sz w:val="21"/>
                <w:szCs w:val="21"/>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3,077</w:t>
            </w:r>
          </w:p>
        </w:tc>
        <w:tc>
          <w:tcPr>
            <w:tcW w:w="2040" w:type="dxa"/>
            <w:vAlign w:val="bottom"/>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Lodging operating expense</w:t>
            </w: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67,734</w:t>
            </w:r>
          </w:p>
        </w:tc>
        <w:tc>
          <w:tcPr>
            <w:tcW w:w="5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64,080</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37"/>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Lodging Reported EBITDA</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4,355</w:t>
            </w:r>
          </w:p>
        </w:tc>
        <w:tc>
          <w:tcPr>
            <w:tcW w:w="5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3,322</w:t>
            </w:r>
          </w:p>
        </w:tc>
        <w:tc>
          <w:tcPr>
            <w:tcW w:w="2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31.1 %</w:t>
            </w:r>
          </w:p>
        </w:tc>
        <w:tc>
          <w:tcPr>
            <w:tcW w:w="0" w:type="dxa"/>
            <w:vAlign w:val="bottom"/>
          </w:tcPr>
          <w:p>
            <w:pPr>
              <w:spacing w:after="0"/>
              <w:rPr>
                <w:sz w:val="1"/>
                <w:szCs w:val="1"/>
                <w:color w:val="auto"/>
              </w:rPr>
            </w:pPr>
          </w:p>
        </w:tc>
      </w:tr>
      <w:tr>
        <w:trPr>
          <w:trHeight w:val="67"/>
        </w:trPr>
        <w:tc>
          <w:tcPr>
            <w:tcW w:w="56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6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Owned hotel statistics:</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228.10</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214.83</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RevPAR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163.23</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144.12</w:t>
            </w:r>
          </w:p>
        </w:tc>
        <w:tc>
          <w:tcPr>
            <w:tcW w:w="2040" w:type="dxa"/>
            <w:vAlign w:val="bottom"/>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Managed condominium statistics:</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ADR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190.61</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196.78</w:t>
            </w:r>
          </w:p>
        </w:tc>
        <w:tc>
          <w:tcPr>
            <w:tcW w:w="20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RevPAR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53.72</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47.95</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Owned hotel and managed condominium statistics (combined):</w:t>
            </w: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210.49</w:t>
            </w:r>
          </w:p>
        </w:tc>
        <w:tc>
          <w:tcPr>
            <w:tcW w:w="5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207.34</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RevPAR</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87.38</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80.53</w:t>
            </w:r>
          </w:p>
        </w:tc>
        <w:tc>
          <w:tcPr>
            <w:tcW w:w="2040" w:type="dxa"/>
            <w:vAlign w:val="bottom"/>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Lodging Reported EBITDA includes $0.8 million of stock-based compensation expense for both the three months ended October 31, 2017 and 2016.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Lodging Reported EBITDA increased $1.0 million, or 31.1%, primarily due to increased occupancy at our lodging properties in Colorado.</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from owned hotel rooms increased $1.6 million, or 8.7%, primarily due an increase in occupancy at Flagg Ranch, which incurred an early closure in the prior year period as a result of a forest fire in Grand Teton National Park, as well as an increase in revenue at GTLC. Revenue from managed condominium rooms increased $1.7 million, or 19.4%, primarily due to incremental revenue from Whistler Blackcomb and increased revenue at our Colorado managed properties primarily as a result of increased occupancy.</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Dining revenue increased $0.5 million, or 3.5%, primarily due to increased revenue at our Colorado lodging properties and at Park City. Other revenue increased $0.7 million, or 6.1%, primarily due to increases in ancillary services, conference services and lodging retail, partially offset by the recording of business interruption insurance recovery in the prior year related to the early closure of our Flagg Ranch property in September 2016.</w:t>
      </w:r>
    </w:p>
    <w:p>
      <w:pPr>
        <w:sectPr>
          <w:pgSz w:w="11900" w:h="16838" w:orient="portrait"/>
          <w:cols w:equalWidth="0" w:num="1">
            <w:col w:w="11420"/>
          </w:cols>
          <w:pgMar w:left="240" w:top="584" w:right="239" w:bottom="144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584" w:right="239" w:bottom="1440" w:gutter="0" w:footer="0" w:header="0"/>
          <w:type w:val="continuous"/>
        </w:sectPr>
      </w:pPr>
    </w:p>
    <w:bookmarkStart w:id="26" w:name="page27"/>
    <w:bookmarkEnd w:id="26"/>
    <w:p>
      <w:pPr>
        <w:jc w:val="both"/>
        <w:spacing w:after="0" w:line="259" w:lineRule="auto"/>
        <w:rPr>
          <w:sz w:val="20"/>
          <w:szCs w:val="20"/>
          <w:color w:val="auto"/>
        </w:rPr>
      </w:pPr>
      <w:r>
        <w:rPr>
          <w:rFonts w:ascii="Arial" w:cs="Arial" w:eastAsia="Arial" w:hAnsi="Arial"/>
          <w:sz w:val="18"/>
          <w:szCs w:val="18"/>
          <w:color w:val="auto"/>
        </w:rPr>
        <w:t>Operating expense (excluding reimbursed payroll costs) increased 5.6%. Labor and labor-related benefits increased 7.4%, primarily resulting from incremental Whistler Blackcomb expense, normal wage increases and higher labor expense for Flagg Ranch, which was closed for a portion of the prior year period. Other expense increased 6.4%, primarily due to increases in variable operating expenses, including food and beverage and retail cost of sales and credit card fees, as well as an increase in property taxes.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2017 compared to the three months ended October 31, 2016</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three months ended October 31, 2017 and 2016 are presented by category as follows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3080" w:type="dxa"/>
            <w:vAlign w:val="bottom"/>
            <w:gridSpan w:val="3"/>
          </w:tcPr>
          <w:p>
            <w:pPr>
              <w:jc w:val="right"/>
              <w:ind w:right="96"/>
              <w:spacing w:after="0"/>
              <w:rPr>
                <w:sz w:val="20"/>
                <w:szCs w:val="20"/>
                <w:color w:val="auto"/>
              </w:rPr>
            </w:pPr>
            <w:r>
              <w:rPr>
                <w:rFonts w:ascii="Arial" w:cs="Arial" w:eastAsia="Arial" w:hAnsi="Arial"/>
                <w:sz w:val="14"/>
                <w:szCs w:val="14"/>
                <w:b w:val="1"/>
                <w:bCs w:val="1"/>
                <w:color w:val="auto"/>
              </w:rPr>
              <w:t>Three Months Ended October 31,</w:t>
            </w:r>
          </w:p>
        </w:tc>
        <w:tc>
          <w:tcPr>
            <w:tcW w:w="640" w:type="dxa"/>
            <w:vAlign w:val="bottom"/>
          </w:tcPr>
          <w:p>
            <w:pPr>
              <w:spacing w:after="0"/>
              <w:rPr>
                <w:sz w:val="14"/>
                <w:szCs w:val="14"/>
                <w:color w:val="auto"/>
              </w:rPr>
            </w:pPr>
          </w:p>
        </w:tc>
        <w:tc>
          <w:tcPr>
            <w:tcW w:w="2040" w:type="dxa"/>
            <w:vAlign w:val="bottom"/>
          </w:tcPr>
          <w:p>
            <w:pPr>
              <w:jc w:val="center"/>
              <w:ind w:left="36"/>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6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40" w:type="dxa"/>
            <w:vAlign w:val="bottom"/>
            <w:vMerge w:val="restart"/>
          </w:tcPr>
          <w:p>
            <w:pPr>
              <w:jc w:val="center"/>
              <w:ind w:left="36"/>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60" w:type="dxa"/>
            <w:vAlign w:val="bottom"/>
          </w:tcPr>
          <w:p>
            <w:pPr>
              <w:spacing w:after="0"/>
              <w:rPr>
                <w:sz w:val="5"/>
                <w:szCs w:val="5"/>
                <w:color w:val="auto"/>
              </w:rPr>
            </w:pPr>
          </w:p>
        </w:tc>
        <w:tc>
          <w:tcPr>
            <w:tcW w:w="11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5"/>
                <w:szCs w:val="5"/>
                <w:color w:val="auto"/>
              </w:rPr>
            </w:pPr>
          </w:p>
        </w:tc>
        <w:tc>
          <w:tcPr>
            <w:tcW w:w="12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2016</w:t>
            </w:r>
          </w:p>
        </w:tc>
        <w:tc>
          <w:tcPr>
            <w:tcW w:w="64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net revenue</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636</w:t>
            </w:r>
          </w:p>
        </w:tc>
        <w:tc>
          <w:tcPr>
            <w:tcW w:w="124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562.5 %</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Real Estate operating expense:</w:t>
            </w:r>
          </w:p>
        </w:tc>
        <w:tc>
          <w:tcPr>
            <w:tcW w:w="1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 (including sales commission)</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511</w:t>
            </w: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660" w:type="dxa"/>
            <w:vAlign w:val="bottom"/>
          </w:tcPr>
          <w:p>
            <w:pPr>
              <w:ind w:left="28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1,180</w:t>
            </w:r>
          </w:p>
        </w:tc>
        <w:tc>
          <w:tcPr>
            <w:tcW w:w="12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1,485</w:t>
            </w:r>
          </w:p>
        </w:tc>
        <w:tc>
          <w:tcPr>
            <w:tcW w:w="204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operating expense</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1,691</w:t>
            </w:r>
          </w:p>
        </w:tc>
        <w:tc>
          <w:tcPr>
            <w:tcW w:w="1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1,485</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Gain on sale of real property</w:t>
            </w:r>
          </w:p>
        </w:tc>
        <w:tc>
          <w:tcPr>
            <w:tcW w:w="1140" w:type="dxa"/>
            <w:vAlign w:val="bottom"/>
          </w:tcPr>
          <w:p>
            <w:pPr>
              <w:spacing w:after="0"/>
              <w:rPr>
                <w:sz w:val="21"/>
                <w:szCs w:val="21"/>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6,466</w:t>
            </w:r>
          </w:p>
        </w:tc>
        <w:tc>
          <w:tcPr>
            <w:tcW w:w="204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5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 Estate Reported EBITDA</w:t>
            </w: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240" w:type="dxa"/>
            <w:vAlign w:val="bottom"/>
            <w:tcBorders>
              <w:bottom w:val="single" w:sz="8" w:color="CCEEFF"/>
            </w:tcBorders>
            <w:shd w:val="clear" w:color="auto" w:fill="CCEEFF"/>
          </w:tcPr>
          <w:p>
            <w:pPr>
              <w:jc w:val="right"/>
              <w:ind w:right="976"/>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5,077</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0"/>
        </w:trPr>
        <w:tc>
          <w:tcPr>
            <w:tcW w:w="56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and Real Estate Reported EBITDA.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October 31, 2017, we closed on the sale of one land parcel for $0.5 million.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of $1.2 million was primarily comprised of general and administrative costs, such as labor and labor-related benefits and allocated corporate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2016</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Reported EBITDA included a gain on sale of real property of $6.5 million for a land parcel in Breckenridge which sold for $9.3 million.</w:t>
      </w:r>
    </w:p>
    <w:p>
      <w:pPr>
        <w:spacing w:after="0" w:line="2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Other operating expense of $1.5 million was primarily comprised of general and administrative costs, which includes marketing expense for the real estate available for sale, carrying costs for units available for sale and overhead costs, such as labor and labor-related benefits and allocated corporate costs.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017"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segment operating results, the following material items contribute to our overall financial position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0" w:type="dxa"/>
            <w:vAlign w:val="bottom"/>
            <w:gridSpan w:val="3"/>
          </w:tcPr>
          <w:p>
            <w:pPr>
              <w:jc w:val="right"/>
              <w:ind w:right="793"/>
              <w:spacing w:after="0"/>
              <w:rPr>
                <w:sz w:val="20"/>
                <w:szCs w:val="20"/>
                <w:color w:val="auto"/>
              </w:rPr>
            </w:pPr>
            <w:r>
              <w:rPr>
                <w:rFonts w:ascii="Arial" w:cs="Arial" w:eastAsia="Arial" w:hAnsi="Arial"/>
                <w:sz w:val="14"/>
                <w:szCs w:val="14"/>
                <w:b w:val="1"/>
                <w:bCs w:val="1"/>
                <w:color w:val="auto"/>
              </w:rPr>
              <w:t>Three Months Ended October 31,</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564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9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65"/>
        </w:trPr>
        <w:tc>
          <w:tcPr>
            <w:tcW w:w="5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420" w:type="dxa"/>
            <w:vAlign w:val="bottom"/>
            <w:vMerge w:val="restart"/>
          </w:tcPr>
          <w:p>
            <w:pPr>
              <w:jc w:val="right"/>
              <w:ind w:right="735"/>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5"/>
                <w:szCs w:val="5"/>
                <w:color w:val="auto"/>
              </w:rPr>
            </w:pPr>
          </w:p>
        </w:tc>
        <w:tc>
          <w:tcPr>
            <w:tcW w:w="1480" w:type="dxa"/>
            <w:vAlign w:val="bottom"/>
            <w:vMerge w:val="restart"/>
          </w:tcPr>
          <w:p>
            <w:pPr>
              <w:jc w:val="right"/>
              <w:ind w:right="793"/>
              <w:spacing w:after="0"/>
              <w:rPr>
                <w:sz w:val="20"/>
                <w:szCs w:val="20"/>
                <w:color w:val="auto"/>
              </w:rPr>
            </w:pPr>
            <w:r>
              <w:rPr>
                <w:rFonts w:ascii="Arial" w:cs="Arial" w:eastAsia="Arial" w:hAnsi="Arial"/>
                <w:sz w:val="14"/>
                <w:szCs w:val="14"/>
                <w:b w:val="1"/>
                <w:bCs w:val="1"/>
                <w:color w:val="auto"/>
              </w:rPr>
              <w:t>2016</w:t>
            </w:r>
          </w:p>
        </w:tc>
        <w:tc>
          <w:tcPr>
            <w:tcW w:w="1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(48,624)</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(40,581)</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Investment income and other, net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383</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3"/>
              <w:spacing w:after="0"/>
              <w:rPr>
                <w:sz w:val="20"/>
                <w:szCs w:val="20"/>
                <w:color w:val="auto"/>
              </w:rPr>
            </w:pPr>
            <w:r>
              <w:rPr>
                <w:rFonts w:ascii="Arial" w:cs="Arial" w:eastAsia="Arial" w:hAnsi="Arial"/>
                <w:sz w:val="18"/>
                <w:szCs w:val="18"/>
                <w:color w:val="auto"/>
              </w:rPr>
              <w:t>4,523</w:t>
            </w:r>
          </w:p>
        </w:tc>
        <w:tc>
          <w:tcPr>
            <w:tcW w:w="1940" w:type="dxa"/>
            <w:vAlign w:val="bottom"/>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loss on intercompany loans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(7,346)</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(15,174)</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3"/>
              <w:spacing w:after="0"/>
              <w:rPr>
                <w:sz w:val="20"/>
                <w:szCs w:val="20"/>
                <w:color w:val="auto"/>
              </w:rPr>
            </w:pPr>
            <w:r>
              <w:rPr>
                <w:rFonts w:ascii="Arial" w:cs="Arial" w:eastAsia="Arial" w:hAnsi="Arial"/>
                <w:sz w:val="18"/>
                <w:szCs w:val="18"/>
                <w:color w:val="auto"/>
              </w:rPr>
              <w:t>(11,964)</w:t>
            </w:r>
          </w:p>
        </w:tc>
        <w:tc>
          <w:tcPr>
            <w:tcW w:w="1940" w:type="dxa"/>
            <w:vAlign w:val="bottom"/>
          </w:tcPr>
          <w:p>
            <w:pPr>
              <w:jc w:val="right"/>
              <w:spacing w:after="0"/>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from income taxes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93,404</w:t>
            </w:r>
          </w:p>
        </w:tc>
        <w:tc>
          <w:tcPr>
            <w:tcW w:w="5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33,509</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178.7 %</w:t>
            </w:r>
          </w:p>
        </w:tc>
        <w:tc>
          <w:tcPr>
            <w:tcW w:w="0" w:type="dxa"/>
            <w:vAlign w:val="bottom"/>
          </w:tcPr>
          <w:p>
            <w:pPr>
              <w:spacing w:after="0"/>
              <w:rPr>
                <w:sz w:val="1"/>
                <w:szCs w:val="1"/>
                <w:color w:val="auto"/>
              </w:rPr>
            </w:pPr>
          </w:p>
        </w:tc>
      </w:tr>
      <w:tr>
        <w:trPr>
          <w:trHeight w:val="27"/>
        </w:trPr>
        <w:tc>
          <w:tcPr>
            <w:tcW w:w="56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for the three months ended October 31, 2017 increased $8.0 million,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the prior year, primarily due to assets acquired in the Whistler Blackcomb and Stowe acquisitions.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Investment income and other, net. </w:t>
      </w:r>
      <w:r>
        <w:rPr>
          <w:rFonts w:ascii="Arial" w:cs="Arial" w:eastAsia="Arial" w:hAnsi="Arial"/>
          <w:sz w:val="16"/>
          <w:szCs w:val="16"/>
          <w:color w:val="auto"/>
        </w:rPr>
        <w:t>Investment income and other, net for the three months ended October 31, 2016 included a $3.4 million gain recognized on</w:t>
      </w:r>
      <w:r>
        <w:rPr>
          <w:rFonts w:ascii="Arial" w:cs="Arial" w:eastAsia="Arial" w:hAnsi="Arial"/>
          <w:sz w:val="16"/>
          <w:szCs w:val="16"/>
          <w:i w:val="1"/>
          <w:iCs w:val="1"/>
          <w:color w:val="auto"/>
        </w:rPr>
        <w:t xml:space="preserve"> </w:t>
      </w:r>
      <w:r>
        <w:rPr>
          <w:rFonts w:ascii="Arial" w:cs="Arial" w:eastAsia="Arial" w:hAnsi="Arial"/>
          <w:sz w:val="16"/>
          <w:szCs w:val="16"/>
          <w:color w:val="auto"/>
        </w:rPr>
        <w:t>foreign currency forward contracts that were entered into in conjunction with funding the cash consideration required for the Whistler Blackcomb acquisition and a $0.8 million non-cash gain recognized on an investment in Whistler Blackcomb shares that we held prior to the acquisition. As a result, investment income and other, net for the three months ended October 31, 2017 decreased $4.1 million compared to the same period in the prior year.</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Foreign currency loss on intercompany loans. </w:t>
      </w:r>
      <w:r>
        <w:rPr>
          <w:rFonts w:ascii="Arial" w:cs="Arial" w:eastAsia="Arial" w:hAnsi="Arial"/>
          <w:sz w:val="18"/>
          <w:szCs w:val="18"/>
          <w:color w:val="auto"/>
        </w:rPr>
        <w:t>Foreign currency loss on intercompany loans for the three months ended October 31, 2017 of $7.3 million was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an intercompany loan from Vail Holdings, Inc. to Whistler Blackcomb in the amount of $210.0 million that was funded, effective as of November 1, 2016, in connection with the acquisition of Whistler Blackcomb. This intercompany loan requires foreign currency remeasurement to Canadian dollars, the functional currency for Whistler Blackcomb. As a result, foreign currency fluctuations associated with the loan are recorded within our results of operations.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 Interest expense, net for the three months ended October 31, 2017 increased $3.2 million compared to the same period in the prior year,</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interest expense associated with incremental term loan borrowings under the Vail Holdings Credit Agreement of $509.4 million, which was used to fund the cash consideration portion of the Whistler Blackcomb acquisition, as well as the Whistler Credit Agreement, which was assumed as part of the Whistler Blackcomb acquisition and had $104.6 million (C$135.0 million) outstanding as of October 31, 2017.</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The effective tax rate benefit for the three months ended October 31, 2017 was 74.5% compared to 34.5% for the three months ended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2016. The interim period effective tax rate is primarily driven by anticipated pre-tax book income for the full fiscal year adjusted for items that are deductible/non-deductible for tax purposes only (i.e., permanent items), excess tax benefits from employee share awards, which are recorded as a discrete item, taxable income generated by state and foreign jurisdictions that varies from anticipated consolidated pre-tax book income (loss) and the amount of net income attributable to noncontrolling interests.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increase in the effective tax rate benefit during the three months ended October 31, 2017 compared to the three months ended October 31, 2016 is primarily due to excess tax benefits from employee share awards that were exercised (stock appreciation awards) and that vested (restricted stock awards), which were recorded within benefit from income taxes during the three months ended October 31, 2017 as a result of new accounting guidance that was adopted prospectively as of August 1, 2017. The new guidance requires excess tax benefits to be recorded in the period realized as a discrete item within earnings rather than within equity. As a result of adopting this guidance, we recorded $51.8 million of excess tax benefits within benefit from income taxes on our Consolidated Condensed Statement of Operations for the three months ended October 31, 2017 (or $1.29 earnings per diluted share).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Reconciliation of Segment Earnings and Net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from segment Reported EBITDA to net loss attributable to Vail Resorts, Inc. (in thousands):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4"/>
                <w:szCs w:val="14"/>
                <w:b w:val="1"/>
                <w:bCs w:val="1"/>
                <w:color w:val="auto"/>
              </w:rPr>
              <w:t>Three Months Ended October 31,</w:t>
            </w:r>
          </w:p>
        </w:tc>
      </w:tr>
      <w:tr>
        <w:trPr>
          <w:trHeight w:val="264"/>
        </w:trPr>
        <w:tc>
          <w:tcPr>
            <w:tcW w:w="76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2016</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Mountain Reported EBITDA</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(58,437)</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(56,654)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Lodging Reported EBITDA</w:t>
            </w:r>
          </w:p>
        </w:tc>
        <w:tc>
          <w:tcPr>
            <w:tcW w:w="440" w:type="dxa"/>
            <w:vAlign w:val="bottom"/>
          </w:tcPr>
          <w:p>
            <w:pPr>
              <w:spacing w:after="0"/>
              <w:rPr>
                <w:sz w:val="21"/>
                <w:szCs w:val="21"/>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4,355</w:t>
            </w:r>
          </w:p>
        </w:tc>
        <w:tc>
          <w:tcPr>
            <w:tcW w:w="6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3,322</w:t>
            </w:r>
          </w:p>
        </w:tc>
      </w:tr>
      <w:tr>
        <w:trPr>
          <w:trHeight w:val="27"/>
        </w:trPr>
        <w:tc>
          <w:tcPr>
            <w:tcW w:w="7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Resort Reported EBITDA</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(54,082)</w:t>
            </w:r>
          </w:p>
        </w:tc>
        <w:tc>
          <w:tcPr>
            <w:tcW w:w="6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(53,332)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Real Estate Reported EBITDA</w:t>
            </w:r>
          </w:p>
        </w:tc>
        <w:tc>
          <w:tcPr>
            <w:tcW w:w="4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(1,055)</w:t>
            </w:r>
          </w:p>
        </w:tc>
        <w:tc>
          <w:tcPr>
            <w:tcW w:w="6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5,077</w:t>
            </w:r>
          </w:p>
        </w:tc>
      </w:tr>
      <w:tr>
        <w:trPr>
          <w:trHeight w:val="27"/>
        </w:trPr>
        <w:tc>
          <w:tcPr>
            <w:tcW w:w="7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Reported EBITDA</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(55,137)</w:t>
            </w:r>
          </w:p>
        </w:tc>
        <w:tc>
          <w:tcPr>
            <w:tcW w:w="6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(48,255)</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(48,624)</w:t>
            </w:r>
          </w:p>
        </w:tc>
        <w:tc>
          <w:tcPr>
            <w:tcW w:w="6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(40,581)</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disposal of fixed assets, net</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567</w:t>
            </w:r>
          </w:p>
        </w:tc>
        <w:tc>
          <w:tcPr>
            <w:tcW w:w="6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Change in estimated fair value of contingent consideration</w:t>
            </w:r>
          </w:p>
        </w:tc>
        <w:tc>
          <w:tcPr>
            <w:tcW w:w="440" w:type="dxa"/>
            <w:vAlign w:val="bottom"/>
          </w:tcPr>
          <w:p>
            <w:pPr>
              <w:spacing w:after="0"/>
              <w:rPr>
                <w:sz w:val="21"/>
                <w:szCs w:val="21"/>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 and other, net</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383</w:t>
            </w:r>
          </w:p>
        </w:tc>
        <w:tc>
          <w:tcPr>
            <w:tcW w:w="6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Foreign currency loss on intercompany loans</w:t>
            </w:r>
          </w:p>
        </w:tc>
        <w:tc>
          <w:tcPr>
            <w:tcW w:w="4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(7,346)</w:t>
            </w:r>
          </w:p>
        </w:tc>
        <w:tc>
          <w:tcPr>
            <w:tcW w:w="6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(15,174)</w:t>
            </w:r>
          </w:p>
        </w:tc>
        <w:tc>
          <w:tcPr>
            <w:tcW w:w="6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(11,964)</w:t>
            </w:r>
          </w:p>
        </w:tc>
      </w:tr>
      <w:tr>
        <w:trPr>
          <w:trHeight w:val="237"/>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Loss before benefit from income taxes</w:t>
            </w:r>
          </w:p>
        </w:tc>
        <w:tc>
          <w:tcPr>
            <w:tcW w:w="4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(125,331)</w:t>
            </w:r>
          </w:p>
        </w:tc>
        <w:tc>
          <w:tcPr>
            <w:tcW w:w="6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(97,127)</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from income taxes</w:t>
            </w: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93,404</w:t>
            </w:r>
          </w:p>
        </w:tc>
        <w:tc>
          <w:tcPr>
            <w:tcW w:w="6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33,509</w:t>
            </w:r>
          </w:p>
        </w:tc>
      </w:tr>
      <w:tr>
        <w:trPr>
          <w:trHeight w:val="237"/>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loss</w:t>
            </w:r>
          </w:p>
        </w:tc>
        <w:tc>
          <w:tcPr>
            <w:tcW w:w="4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(31,927)</w:t>
            </w:r>
          </w:p>
        </w:tc>
        <w:tc>
          <w:tcPr>
            <w:tcW w:w="6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(63,618)</w:t>
            </w:r>
          </w:p>
        </w:tc>
      </w:tr>
      <w:tr>
        <w:trPr>
          <w:trHeight w:val="27"/>
        </w:trPr>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 attributable to noncontrolling interests</w:t>
            </w: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3,542</w:t>
            </w:r>
          </w:p>
        </w:tc>
        <w:tc>
          <w:tcPr>
            <w:tcW w:w="6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w:t>
            </w:r>
          </w:p>
        </w:tc>
      </w:tr>
      <w:tr>
        <w:trPr>
          <w:trHeight w:val="237"/>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loss attributable to Vail Resorts, Inc.</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(28,385)</w:t>
            </w:r>
          </w:p>
        </w:tc>
        <w:tc>
          <w:tcPr>
            <w:tcW w:w="6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(62,587)</w:t>
            </w:r>
          </w:p>
        </w:tc>
      </w:tr>
      <w:tr>
        <w:trPr>
          <w:trHeight w:val="27"/>
        </w:trPr>
        <w:tc>
          <w:tcPr>
            <w:tcW w:w="7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737"/>
        </w:trPr>
        <w:tc>
          <w:tcPr>
            <w:tcW w:w="7660" w:type="dxa"/>
            <w:vAlign w:val="bottom"/>
          </w:tcPr>
          <w:p>
            <w:pPr>
              <w:spacing w:after="0"/>
              <w:rPr>
                <w:sz w:val="20"/>
                <w:szCs w:val="20"/>
                <w:color w:val="auto"/>
              </w:rPr>
            </w:pPr>
            <w:r>
              <w:rPr>
                <w:rFonts w:ascii="Arial" w:cs="Arial" w:eastAsia="Arial" w:hAnsi="Arial"/>
                <w:sz w:val="18"/>
                <w:szCs w:val="18"/>
                <w:color w:val="auto"/>
              </w:rPr>
              <w:t>The following table reconciles Net Debt to long-term debt, net (in thousands):</w:t>
            </w: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615"/>
        </w:trPr>
        <w:tc>
          <w:tcPr>
            <w:tcW w:w="76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October 31,</w:t>
            </w:r>
          </w:p>
        </w:tc>
        <w:tc>
          <w:tcPr>
            <w:tcW w:w="1280" w:type="dxa"/>
            <w:vAlign w:val="bottom"/>
            <w:tcBorders>
              <w:bottom w:val="single" w:sz="8" w:color="auto"/>
            </w:tcBorders>
          </w:tcPr>
          <w:p>
            <w:pPr>
              <w:spacing w:after="0"/>
              <w:rPr>
                <w:sz w:val="24"/>
                <w:szCs w:val="24"/>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33"/>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2016</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1,262,325</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1,371,779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Long-term debt due within one year</w:t>
            </w:r>
          </w:p>
        </w:tc>
        <w:tc>
          <w:tcPr>
            <w:tcW w:w="440" w:type="dxa"/>
            <w:vAlign w:val="bottom"/>
          </w:tcPr>
          <w:p>
            <w:pPr>
              <w:spacing w:after="0"/>
              <w:rPr>
                <w:sz w:val="21"/>
                <w:szCs w:val="21"/>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38,422</w:t>
            </w:r>
          </w:p>
        </w:tc>
        <w:tc>
          <w:tcPr>
            <w:tcW w:w="6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38,374</w:t>
            </w:r>
          </w:p>
        </w:tc>
      </w:tr>
      <w:tr>
        <w:trPr>
          <w:trHeight w:val="27"/>
        </w:trPr>
        <w:tc>
          <w:tcPr>
            <w:tcW w:w="7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1,300,747</w:t>
            </w:r>
          </w:p>
        </w:tc>
        <w:tc>
          <w:tcPr>
            <w:tcW w:w="6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1,410,153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Less: cash and cash equivalents</w:t>
            </w:r>
          </w:p>
        </w:tc>
        <w:tc>
          <w:tcPr>
            <w:tcW w:w="440" w:type="dxa"/>
            <w:vAlign w:val="bottom"/>
          </w:tcPr>
          <w:p>
            <w:pPr>
              <w:spacing w:after="0"/>
              <w:rPr>
                <w:sz w:val="21"/>
                <w:szCs w:val="21"/>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140,397</w:t>
            </w:r>
          </w:p>
        </w:tc>
        <w:tc>
          <w:tcPr>
            <w:tcW w:w="6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106,751</w:t>
            </w:r>
          </w:p>
        </w:tc>
      </w:tr>
      <w:tr>
        <w:trPr>
          <w:trHeight w:val="27"/>
        </w:trPr>
        <w:tc>
          <w:tcPr>
            <w:tcW w:w="7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Debt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1,160,350</w:t>
            </w:r>
          </w:p>
        </w:tc>
        <w:tc>
          <w:tcPr>
            <w:tcW w:w="6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1,303,402</w:t>
            </w:r>
          </w:p>
        </w:tc>
      </w:tr>
      <w:tr>
        <w:trPr>
          <w:trHeight w:val="20"/>
        </w:trPr>
        <w:tc>
          <w:tcPr>
            <w:tcW w:w="7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Changes in significant sources of cash for the three months ended October 31, 2017 and 2016 are presented by categories as follows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342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 October 31,</w:t>
            </w:r>
          </w:p>
        </w:tc>
      </w:tr>
      <w:tr>
        <w:trPr>
          <w:trHeight w:val="250"/>
        </w:trPr>
        <w:tc>
          <w:tcPr>
            <w:tcW w:w="80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bottom w:val="single" w:sz="8" w:color="CCEEFF"/>
            </w:tcBorders>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148,753</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57,027</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Pr>
          <w:p>
            <w:pPr>
              <w:jc w:val="right"/>
              <w:ind w:right="817"/>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(33,652)</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(550,161)</w:t>
            </w:r>
          </w:p>
        </w:tc>
      </w:tr>
      <w:tr>
        <w:trPr>
          <w:trHeight w:val="27"/>
        </w:trPr>
        <w:tc>
          <w:tcPr>
            <w:tcW w:w="8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020" w:type="dxa"/>
            <w:vAlign w:val="bottom"/>
            <w:shd w:val="clear" w:color="auto" w:fill="CCEEFF"/>
          </w:tcPr>
          <w:p>
            <w:pPr>
              <w:jc w:val="right"/>
              <w:ind w:right="817"/>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(88,608)</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531,917</w:t>
            </w:r>
          </w:p>
        </w:tc>
      </w:tr>
      <w:tr>
        <w:trPr>
          <w:trHeight w:val="27"/>
        </w:trPr>
        <w:tc>
          <w:tcPr>
            <w:tcW w:w="80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Historically, our operations generate seasonally low operating cash flow in the first fiscal quarter given that the first and the prior year’s fourth fiscal quarters have limited North American Mountain segment operations. We had $140.4 million of cash and cash equivalents as of October 31, 2017, compared to $106.8 million as of October 31, 2016. We currently anticipate that our Mountain</w:t>
      </w:r>
    </w:p>
    <w:p>
      <w:pPr>
        <w:sectPr>
          <w:pgSz w:w="11900" w:h="16838" w:orient="portrait"/>
          <w:cols w:equalWidth="0" w:num="1">
            <w:col w:w="11420"/>
          </w:cols>
          <w:pgMar w:left="240" w:top="584"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584" w:right="239" w:bottom="1440" w:gutter="0" w:footer="0" w:header="0"/>
          <w:type w:val="continuous"/>
        </w:sectPr>
      </w:pPr>
    </w:p>
    <w:bookmarkStart w:id="29" w:name="page30"/>
    <w:bookmarkEnd w:id="29"/>
    <w:p>
      <w:pPr>
        <w:jc w:val="both"/>
        <w:spacing w:after="0" w:line="277" w:lineRule="auto"/>
        <w:rPr>
          <w:sz w:val="20"/>
          <w:szCs w:val="20"/>
          <w:color w:val="auto"/>
        </w:rPr>
      </w:pPr>
      <w:r>
        <w:rPr>
          <w:rFonts w:ascii="Arial" w:cs="Arial" w:eastAsia="Arial" w:hAnsi="Arial"/>
          <w:sz w:val="18"/>
          <w:szCs w:val="18"/>
          <w:color w:val="auto"/>
        </w:rPr>
        <w:t>and Lodging segment operating results will continue to provide a significant source of future operating cash flows (primarily those generated in our second and third fiscal quarters).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October 31, 2017, we had $234.0 million available under the revolver component of our Vail Holdings Credit Agreement (which represents the total commitment of $400.0 million less borrowings of $95.0 million and certain letters of credit outstanding of $71.0 million). Also, to further support the liquidity needs of Whistler Blackcomb, we had C$164.0 million ($127.1 million) available under the revolver component of our Whistler Credit Agreement (which represents the total commitment of C$300.0 million ($232.5 million) less outstanding borrowings of C$135.0 million ($104.6 million) and a letter of credit outstanding of C$1.0 million ($0.8 million)). We expect that our liquidity needs in the near term will be met by continued use of operating cash flows and borrowings under both the Vail Holdings Credit Agreement and Whistler Credit Agreement, if needed. We believe the Vail Holdings Credit Agreement, which matures in October 2021, provides adequate flexibility and is priced favorably with any new borrowings currently priced at LIBOR plus 1.25%.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2017 compared to the three months ended October 31, 2016</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result of the adoption of revised accounting guidance related to employee stock based compensation, we prospectively presented excess tax benefits as operating activities on our Consolidated Condensed Statement of Cash Flows for the three months ended October 31, 2017. Additionally, as of August 1, 2017, we retrospectively presented cash paid to taxing authorities on an employee’s behalf as financing activities on our Consolidated Condensed Statements of Cash Flows, which resulted in a $11.5 million decrease to cash provided by financing activities with a corresponding increase to cash provided by operating activities for the three months ended October 31, 2016, as shown below (in thousands).</w:t>
      </w:r>
    </w:p>
    <w:p>
      <w:pPr>
        <w:spacing w:after="0" w:line="178"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5"/>
          </w:tcPr>
          <w:p>
            <w:pPr>
              <w:jc w:val="center"/>
              <w:ind w:right="90"/>
              <w:spacing w:after="0"/>
              <w:rPr>
                <w:sz w:val="20"/>
                <w:szCs w:val="20"/>
                <w:color w:val="auto"/>
              </w:rPr>
            </w:pPr>
            <w:r>
              <w:rPr>
                <w:rFonts w:ascii="Arial" w:cs="Arial" w:eastAsia="Arial" w:hAnsi="Arial"/>
                <w:sz w:val="14"/>
                <w:szCs w:val="14"/>
                <w:b w:val="1"/>
                <w:bCs w:val="1"/>
                <w:color w:val="auto"/>
                <w:w w:val="93"/>
              </w:rPr>
              <w:t>Three Months Ended October 31, 2016</w:t>
            </w: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jc w:val="center"/>
              <w:ind w:right="179"/>
              <w:spacing w:after="0" w:line="153" w:lineRule="exact"/>
              <w:rPr>
                <w:sz w:val="20"/>
                <w:szCs w:val="20"/>
                <w:color w:val="auto"/>
              </w:rPr>
            </w:pPr>
            <w:r>
              <w:rPr>
                <w:rFonts w:ascii="Arial" w:cs="Arial" w:eastAsia="Arial" w:hAnsi="Arial"/>
                <w:sz w:val="14"/>
                <w:szCs w:val="14"/>
                <w:b w:val="1"/>
                <w:bCs w:val="1"/>
                <w:color w:val="auto"/>
                <w:w w:val="90"/>
              </w:rPr>
              <w:t>Previously</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4"/>
              </w:rPr>
              <w:t>Reported</w:t>
            </w:r>
          </w:p>
        </w:tc>
        <w:tc>
          <w:tcPr>
            <w:tcW w:w="180" w:type="dxa"/>
            <w:vAlign w:val="bottom"/>
          </w:tcPr>
          <w:p>
            <w:pPr>
              <w:spacing w:after="0"/>
              <w:rPr>
                <w:sz w:val="12"/>
                <w:szCs w:val="12"/>
                <w:color w:val="auto"/>
              </w:rPr>
            </w:pPr>
          </w:p>
        </w:tc>
        <w:tc>
          <w:tcPr>
            <w:tcW w:w="108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1"/>
              </w:rPr>
              <w:t>Tax Payments</w:t>
            </w: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w w:val="94"/>
              </w:rPr>
              <w:t>Revised Reported</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0"/>
              </w:rPr>
              <w:t>(Previous</w:t>
            </w: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3"/>
              </w:rPr>
              <w:t>Guidance)</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3"/>
              </w:rPr>
              <w:t>Change</w:t>
            </w:r>
          </w:p>
        </w:tc>
        <w:tc>
          <w:tcPr>
            <w:tcW w:w="12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(New Guidance)</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45,503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11,524</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57,027</w:t>
            </w: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Cash flows used in investing activities (no change)</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(550,161)</w:t>
            </w:r>
          </w:p>
        </w:tc>
        <w:tc>
          <w:tcPr>
            <w:tcW w:w="18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(550,161)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543,441</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531,917</w:t>
            </w: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Effect of exchange rate changes (no change)</w:t>
            </w:r>
          </w:p>
        </w:tc>
        <w:tc>
          <w:tcPr>
            <w:tcW w:w="180" w:type="dxa"/>
            <w:vAlign w:val="bottom"/>
          </w:tcPr>
          <w:p>
            <w:pPr>
              <w:spacing w:after="0"/>
              <w:rPr>
                <w:sz w:val="21"/>
                <w:szCs w:val="21"/>
                <w:color w:val="auto"/>
              </w:rPr>
            </w:pPr>
          </w:p>
        </w:tc>
        <w:tc>
          <w:tcPr>
            <w:tcW w:w="1020" w:type="dxa"/>
            <w:vAlign w:val="bottom"/>
          </w:tcPr>
          <w:p>
            <w:pPr>
              <w:jc w:val="right"/>
              <w:ind w:right="59"/>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38,854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38,854</w:t>
            </w:r>
          </w:p>
        </w:tc>
        <w:tc>
          <w:tcPr>
            <w:tcW w:w="0" w:type="dxa"/>
            <w:vAlign w:val="bottom"/>
          </w:tcPr>
          <w:p>
            <w:pPr>
              <w:spacing w:after="0"/>
              <w:rPr>
                <w:sz w:val="1"/>
                <w:szCs w:val="1"/>
                <w:color w:val="auto"/>
              </w:rPr>
            </w:pPr>
          </w:p>
        </w:tc>
      </w:tr>
      <w:tr>
        <w:trPr>
          <w:trHeight w:val="20"/>
        </w:trPr>
        <w:tc>
          <w:tcPr>
            <w:tcW w:w="5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adoption of this revised accounting guidance did not have an impact on our total cash flows for the three months ended October 31, 2017 and 2016.</w:t>
      </w:r>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generated $148.8 million of cash from operating activities during the three months ended October 31, 2017, an increase of $91.7 million compared to $57.0 million of cash generated during the three months ended October 31, 2016. The increase in operating cash flows was primarily a result of an increase in season pass accounts receivable collections combined with increased season pass sales during the three months ended October 31, 2017, compared to the three months ended October 31, 2016, as well as an increase in accounts payable and a decrease in estimated tax payments primarily as a result of an increase in excess tax benefits from employee share awards that vested (restricted stock awards) and were exercised (stock appreciation awards) during the three months ended October 31, 2017. These increases were partially offset by an increase in cash interest payments during the three months ended October 31, 2017, compared to the three months ended October 31, 2016, from incremental term loan borrowings under our Vail Holdings Credit Agreement and borrowings under the Whistler Credit Agreement assumed by us as a result of the acquisition of Whistler Blackcomb in October 2016.</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for the three months ended October 31, 2017 decreased by $516.5 million, primarily due to cash payments related to the acquisition of Whistler Blackcomb during the three months ended October 31, 2016 of $512.3 million, net of cash acquired, and a decrease in capital expenditures of $8.6 million during the three months ended October 31, 2017 compared to the three months ended October 31, 2016, partially offset by a reduction in cash received from the sale of real property.</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Cash used in financing activities increased $620.5 million during the three months ended October 31, 2017, compared to the three months ended October 31, 2016, primarily due to the reduction of proceeds from incremental term loan borrowings under our Vail Holdings Credit Agreement of $509.4 million during the three months ended October 31, 2016, which was used to fund a portion of the cash consideration for the Whistler Blackcomb acquisition, as well as increases in net payments under the Vail Holdings Credit Agreement and Whistler Credit Agreement of $24.4 million and $5.2 million, respectively. Additionally, dividends paid increased $13.2 million during the three months ended October 31, 2017, compared to October 31, 2016, and cash payments for employee taxes related to exercises of share awards increased $58.0 million. Due to the adoption of revised accounting guidance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0" w:name="page31"/>
    <w:bookmarkEnd w:id="30"/>
    <w:p>
      <w:pPr>
        <w:jc w:val="both"/>
        <w:spacing w:after="0" w:line="264" w:lineRule="auto"/>
        <w:rPr>
          <w:sz w:val="20"/>
          <w:szCs w:val="20"/>
          <w:color w:val="auto"/>
        </w:rPr>
      </w:pPr>
      <w:r>
        <w:rPr>
          <w:rFonts w:ascii="Arial" w:cs="Arial" w:eastAsia="Arial" w:hAnsi="Arial"/>
          <w:sz w:val="18"/>
          <w:szCs w:val="18"/>
          <w:color w:val="auto"/>
        </w:rPr>
        <w:t>as discussed above, there was an elimination of excess tax benefits of $6.3 million recorded within financing activities, with a corresponding increase in operating activities, which resulted in a decrease of $6.3 million in financing activities and an increase of $6.3 million in operating activities during the three months ended October 31, 2017, compared to October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Expenditures</w:t>
      </w:r>
    </w:p>
    <w:p>
      <w:pPr>
        <w:spacing w:after="0" w:line="9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historically invested significant amounts of cash in capital expenditures for our resort operations, and we expect to continue to do so subject to operating performance particularly as it relates to discretionary projects. In addition, we may incur capital expenditures for retained ownership interests associated with third-party real estate development projects. Currently planned capital expenditures primarily include investments that will allow us to maintain our high-quality standards, as well as certain incremental discretionary improvements at our mountain resorts and Urban ski areas and throughout our owned hotels. We evaluate additional discretionary capital improvements based on an expected level of return on investment. We currently anticipate we will spend approximately $103.0 million on resort capital expenditures during calendar year 2017, excluding investments at Whistler Blackcomb, capital expenditures for U.S. summer-related activities and one-time integration capital expenditures at Whistler Blackcomb. This estimated spending includes normal inflation on our capital investments at our resorts. Included in these estimated capital expenditures are approximately $65.0 million of maintenance capital expenditures (excluding maintenance capital expenditures at Whistler Blackcomb), which are necessary to maintain appearance and level of service appropriate to our resort operations. Discretionary expenditures for calendar year 2017 include, among other projects, upgrading various chairlifts at our resorts, including the Northwoods lift at Vail Mountain (#11), the Peak 10 Falcon Chair at Breckenridge, Drink of Water chair (#5) at Beaver Creek, the Montezuma lift at Keystone and the renovation and expansion of Labonte’s restaurant at Keystone. Our capital plan also includes the second phase of a two-year process to revamp our primary websites to a single ‘responsive’ desktop/mobile platform which will be integrated with our data-based and personalized marketing technology and the first phase of a three year plan to completely revamp and modernize the primary software platform for all of our resort operations. We also expect to invest approximately $6.0 million in calendar year 2017 for Epic Discovery summer activities, primarily at Breckenridge. At Whistler Blackcomb, we expect to invest approximately $17.0 million in calendar year 2017 for maintenance and discretionary projects. Additionally, we expect to invest approximately $17.0 million in capital during calendar year 2017 for the Whistler Blackcomb integration.</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Approximately $87.0 million was spent for capital expenditures in calendar year 2017 as of October 31, 2017, leaving approximately $56.0 million to spend in the remainder of calendar year 2017, including anticipated investments at Whistler Blackcomb, capital expenditures for U.S. summer related activities and one-time integration capital expenditures at Whistler Blackcomb and excluding capital expenditures for Stowe.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calendar year 2018, we expect to incur resort capital expenditures of approximately $150 million, excluding expenditures for the integration of Stowe and summer investments. This estimated spending includes normal inflation on our capital investments at our resorts. We currently plan to utilize cash on hand, borrowings available under our credit agreements and/or cash flow generated from future operations to provide the cash necessary to complete our capital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Principal payments on the majority of our long-term debt ($1,160.5 million of the total $1,304.7 million debt outstanding as of October 31, 2017) are not due until fiscal 2022 and beyond. As of October 31, 2017 and 2016, total long-term debt, net (including long-term debt due within one year) was $1,300.7 million and $1,410.2 million, respectively. Net Debt (defined as long-term debt, net plus long-term debt due within one year less cash and cash equivalents) decreased from $1,303.4 million as of October 31, 2016 to $1,160.4 million as of October 31, 2017, primarily due to a reduction in the borrowings outstanding under the revolving portion of our credit facilities. In addition, we exercised our right under the Whistler Credit Agreement, with the consent of the lender parties thereto, to extend the maturity date of our Whistler Credit Agreement to November 2022 during the three months ended October 31, 2017. There were no other changes to the terms of the Whistler Credit Agreement.</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debt service requirements can be impacted by changing interest rates as we had $964.7 million of variable-rate debt outstanding as of October 31, 2017. A 100-basis point change in our borrowing rates would cause our annual interest payments to change by approximately $9.6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flexibility of investment activities and the ability to obtain favorable future financing. We can respond to liquidity impacts of changes in the business and economic environment by managing our capital expenditures and the timing of new real estate development activity.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auto"/>
        </w:rPr>
        <w:t>Dividend Payments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fiscal 2011, our Board of Directors approved the commencement of a regular quarterly cash dividend on our common stock at an annual rate of $0.60 per share, subject to quarterly declaration. Since the initial commencement of a regular quarterly cash dividend, our Board of Directors has annually approved an increase to our cash dividend on our common stock and on March 9, 2017, our Board of Directors approved a 30% increase to our quarterly cash dividend to $1.053 per share (or approximately $42.6 million per quarter based upon shares outstanding as of October 31, 2017). For the three months ended October 31, 2017, we paid cash dividends of $1.053 per share ($42.6 million in the aggregate). These dividends were funded through available cash on hand and borrowings under the revolving portion of our Vail Holdings Credit Agreement. Subject to the discretion of our Board of Directors, applicable law and contractual restrictions, we anticipate paying regular quarterly cash dividends on our common stock for the foreseeable future. The amount, if any, of the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additional Vail Shares (July 16, 2008) and 1,500,000 shares (December 4, 2015), for a total authorization to repurchase up to 7,500,000 Vail Shares. We did not repurchase any Vail Shares during the three months ended October 31, 2017 or 2016. Since inception of this stock repurchase program through October 31, 2017, we have repurchased 5,436,294 Vail Shares at a cost of approximately $247.2 million. As of October 31, 2017, 2,063,706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must abide by certain restrictive financial covenants under our credit agreements. The most restrictive of those covenants include the following covenants: for the Vail Holdings Credit Agreement, Net Funded Debt to Adjusted EBITDA ratio and the Interest Coverage ratio (each as defined in the Vail Holdings Credit Agreement); and for the Whistler Credit Agreement, Consolidated Total Leverage Ratio and Consolidated Interest Coverage Ratio (each as defined in the Whistler Credit Agreement).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18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were in compliance with all restrictive financial covenants in our debt instruments as of October 31, 2017. We expect that we will meet all applicable financial maintenance covenants in our credit agreements throughout the fiscal year ending July 31, 2018.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0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54" w:lineRule="exact"/>
        <w:rPr>
          <w:sz w:val="20"/>
          <w:szCs w:val="20"/>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23"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weather conditions or the impact of natural disasters;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willingness of our guests to travel due to terrorism, the uncertainty of military conflicts or outbreaks of contagious diseases, and the cost and availability of travel options and changing consumer preferences;</w:t>
      </w: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the seasonality of our business combined with adverse events that occur during our peak operating periods;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mountain and lodging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high fixed cost structure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a disruption in our water supply that would impact our snowmaking capabilities and operations;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federal, state, local and foreign government laws, rules and regulations;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risks related to our reliance on information technology, including our failure to maintain the integrity of our customer or employee data;</w:t>
      </w:r>
    </w:p>
    <w:p>
      <w:pPr>
        <w:spacing w:after="0" w:line="20" w:lineRule="exact"/>
        <w:rPr>
          <w:rFonts w:ascii="Arial" w:cs="Arial" w:eastAsia="Arial" w:hAnsi="Arial"/>
          <w:sz w:val="17"/>
          <w:szCs w:val="17"/>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hire and retain a sufficient seasonal workforce;</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loss of key personnel;</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legal claims;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our ability to protect our intellectual property and the risk of accidents at our mountain resorts;</w:t>
      </w:r>
    </w:p>
    <w:p>
      <w:pPr>
        <w:ind w:left="820" w:right="20" w:hanging="650"/>
        <w:spacing w:after="0" w:line="250" w:lineRule="auto"/>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integrate acquired businesses, or that acquired businesses may fail to perform in accordance with expectations, including Whistler Blackcomb, Stowe or future acquisitions;</w:t>
      </w: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satisfy the requirements of Section 404 of the Sarbanes-Oxley Act of 2002, with respect to acquired businesses;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international operations;</w:t>
      </w:r>
    </w:p>
    <w:p>
      <w:pPr>
        <w:spacing w:after="0" w:line="9" w:lineRule="exact"/>
        <w:rPr>
          <w:rFonts w:ascii="Arial" w:cs="Arial" w:eastAsia="Arial" w:hAnsi="Arial"/>
          <w:sz w:val="18"/>
          <w:szCs w:val="18"/>
          <w:i w:val="1"/>
          <w:iCs w:val="1"/>
          <w:color w:val="auto"/>
        </w:rPr>
      </w:pPr>
    </w:p>
    <w:p>
      <w:pPr>
        <w:ind w:left="820" w:right="20" w:hanging="650"/>
        <w:spacing w:after="0" w:line="250" w:lineRule="auto"/>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foreign currency exchange rates where the Company has foreign currency exposure, primarily the Canadian and Australian dollars;</w:t>
      </w:r>
    </w:p>
    <w:p>
      <w:pPr>
        <w:ind w:left="820" w:hanging="650"/>
        <w:spacing w:after="0" w:line="250" w:lineRule="auto"/>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accounting and tax estimates and judgments, accounting principles, policies or guidelines or adverse determinations by taxing authorities;</w:t>
      </w:r>
    </w:p>
    <w:p>
      <w:pPr>
        <w:ind w:left="820" w:hanging="650"/>
        <w:spacing w:after="0"/>
        <w:tabs>
          <w:tab w:leader="none" w:pos="8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one or more of these risks or uncertainties materialize, or if underlying assumptions prove incorrect, our actual results may vary materially from those expected, estimated or projected. Given these uncertainties, users of the information included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in this Form 10-Q and in Part I, Item 1A “Risk Factors” of the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market risk is limited primarily to the fluctuating interest rates associated with variable rate indebtedness. At October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we had $964.7 million of variable rate indebtedness, representing approximately 73.9% of our total debt outstanding, at an average interest rate during the three months ended October 31, 2017 of 2.5%. Based on variable-rate borrowings outstanding as of October 31, 2017, a 100-basis point (or 1.0%) change in our borrowing rates would result in our annual interest payments changing by approximately $9.6 million. Our market risk exposure fluctuates based on changes in underlying interest rates.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Foreign Currency Exchange Rate Risk. </w:t>
      </w:r>
      <w:r>
        <w:rPr>
          <w:rFonts w:ascii="Arial" w:cs="Arial" w:eastAsia="Arial" w:hAnsi="Arial"/>
          <w:sz w:val="17"/>
          <w:szCs w:val="17"/>
          <w:color w:val="auto"/>
        </w:rPr>
        <w:t>We are exposed to currency translation risk because the results of our international entities are reported in local</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which we then translate to U.S. dollars for inclusion in our consolidated condensed financial statements. As a result, changes between the foreign exchange rates, in particular the Canadian dollar and Australian dollar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have and could materially change due to fluctuations in the Canadian dollar exchange rate. The results of Whistler Blackcomb and Perisher are reported in Canadian dollars and Australian dollars respectively, which we then translate to U.S. dollars for inclusion in our consolidated condensed financial statements. We do not currently enter into hedging arrangements to minimize the impact of foreign currency fluctuations on our operations.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amounts of foreign currency translation adjustments and other, net of tax, representing losses, and foreign currency loss on intercompany loans recognized, in comprehensive income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3"/>
          </w:tcPr>
          <w:p>
            <w:pPr>
              <w:jc w:val="right"/>
              <w:ind w:right="756"/>
              <w:spacing w:after="0"/>
              <w:rPr>
                <w:sz w:val="20"/>
                <w:szCs w:val="20"/>
                <w:color w:val="auto"/>
              </w:rPr>
            </w:pPr>
            <w:r>
              <w:rPr>
                <w:rFonts w:ascii="Arial" w:cs="Arial" w:eastAsia="Arial" w:hAnsi="Arial"/>
                <w:sz w:val="14"/>
                <w:szCs w:val="14"/>
                <w:b w:val="1"/>
                <w:bCs w:val="1"/>
                <w:color w:val="auto"/>
              </w:rPr>
              <w:t>Three Months Ended October 31,</w:t>
            </w:r>
          </w:p>
        </w:tc>
      </w:tr>
      <w:tr>
        <w:trPr>
          <w:trHeight w:val="264"/>
        </w:trPr>
        <w:tc>
          <w:tcPr>
            <w:tcW w:w="76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2016</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 and other, net of tax</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(45,405)</w:t>
            </w:r>
          </w:p>
        </w:tc>
        <w:tc>
          <w:tcPr>
            <w:tcW w:w="50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(24,412)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Foreign currency loss on intercompany loans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(7,346)</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34"/>
        </w:trPr>
        <w:tc>
          <w:tcPr>
            <w:tcW w:w="76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of the Company, under the supervision and with participation of the Chief Executive Officer (“CEO”) and Chief Financial Officer (“CFO”), evaluated the effectiveness of the Company’s disclosure controls and procedures as such term is defined in Rule 13a-15(e) and 15d-15(e) under the Securities Exchange Act of 1934 (the “Act”) as of the end of the period covered by this report on Form 10-Q.</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upon their evaluation of the Company’s disclosure controls and procedures, the CEO and the CFO concluded that the disclosure controls and procedures are effective to provide reasonable assurance that information required to be disclosed by the Company in the reports that it files or submits under the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2016, Kirkwood received a Notice of Violation (“NOV”) from the State of California Central Valley Regional Water Quality Control Board (the “Regional Water Board”) regarding the disposition of asphalt grindings used in parking lot surfacing in and around Kirkwood Creek. We are cooperating with the Regional Water Board staff and the California Department of Fish and Wildlife (“CDFW”) to satisfactorily resolve the matters identified in the NOV.</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4" w:name="page35"/>
    <w:bookmarkEnd w:id="34"/>
    <w:p>
      <w:pPr>
        <w:jc w:val="both"/>
        <w:spacing w:after="0" w:line="255" w:lineRule="auto"/>
        <w:rPr>
          <w:sz w:val="20"/>
          <w:szCs w:val="20"/>
          <w:color w:val="auto"/>
        </w:rPr>
      </w:pPr>
      <w:r>
        <w:rPr>
          <w:rFonts w:ascii="Arial" w:cs="Arial" w:eastAsia="Arial" w:hAnsi="Arial"/>
          <w:sz w:val="18"/>
          <w:szCs w:val="18"/>
          <w:color w:val="auto"/>
        </w:rPr>
        <w:t>In August 2017, Kirkwood executed a Settlement Agreement and Stipulation for Entry of Administrative Liability Order (“Stipulated Order”) with the Regional Water Board and CDFW. The Stipulated Order remains subject to approval by the Regional Water Board, and the 30-day public comment period closed on October 6, 2017. If approved, Kirkwood will be responsible to pay monetary penalties and agency costs totaling approximately $0.8 million, of which approximately half will be fulfilled by a supplemental environmental project run by the National Fish and Wildlife Foundation. All of these amounts will be paid by third-party insurance. The remaining remediation work required by the Stipulated Order and as may be requested by the agencies will continue into calendar year 2018.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resolution of the above items to have a material impact on our results of operations or cash flows.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risk factors we previously disclosed in our Annual Report on Form 10-K, filed with the SEC on September 28, 2017, as of and for the year ended July 31, 2017.</w:t>
      </w:r>
    </w:p>
    <w:p>
      <w:pPr>
        <w:spacing w:after="0" w:line="166" w:lineRule="exact"/>
        <w:rPr>
          <w:sz w:val="20"/>
          <w:szCs w:val="20"/>
          <w:color w:val="auto"/>
        </w:rPr>
      </w:pPr>
    </w:p>
    <w:p>
      <w:pPr>
        <w:ind w:right="4320"/>
        <w:spacing w:after="0" w:line="378" w:lineRule="auto"/>
        <w:rPr>
          <w:sz w:val="20"/>
          <w:szCs w:val="20"/>
          <w:color w:val="auto"/>
        </w:rPr>
      </w:pPr>
      <w:r>
        <w:rPr>
          <w:rFonts w:ascii="Arial" w:cs="Arial" w:eastAsia="Arial" w:hAnsi="Arial"/>
          <w:sz w:val="18"/>
          <w:szCs w:val="18"/>
          <w:b w:val="1"/>
          <w:bCs w:val="1"/>
          <w:color w:val="auto"/>
        </w:rPr>
        <w:t>ITEM 2. UNREGISTERED SALES OF EQUITY SECURITIES AND USE OF PROCEEDS Exchangeable Shares</w:t>
      </w:r>
    </w:p>
    <w:p>
      <w:pPr>
        <w:jc w:val="both"/>
        <w:spacing w:after="0" w:line="272" w:lineRule="auto"/>
        <w:rPr>
          <w:sz w:val="20"/>
          <w:szCs w:val="20"/>
          <w:color w:val="auto"/>
        </w:rPr>
      </w:pPr>
      <w:r>
        <w:rPr>
          <w:rFonts w:ascii="Arial" w:cs="Arial" w:eastAsia="Arial" w:hAnsi="Arial"/>
          <w:sz w:val="17"/>
          <w:szCs w:val="17"/>
          <w:color w:val="auto"/>
        </w:rPr>
        <w:t>As described elsewhere in this report, on October 17, 2016, the Company acquired all of the outstanding common shares of Whistler Blackcomb. Part of the consideration paid to Whistler Blackcomb shareholders consisted of 3,327,719 Vail Shares and 418,095 shares of the Company’s wholly-owned Canadian subsidiary (the “Exchangeco Shares”). Each Exchangeco Share is exchangeable by the holder thereof for one Vail Share (subject to customary adjustments for stock splits or other reorganizations). In addition, the Company may require all outstanding Exchangeco Shares to be exchanged into an equal number of Vail Shares upon the occurrence of certain events and at any time following the seventh anniversary of the closing of the transaction. Exchangeco Shares, while outstanding, are substantially the economic equivalent of the corresponding Vail Shares. As of October 31, 2017, 61,478 Exchangeco Shares had not yet been exchanged into Vail Shares.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issued at closing of the Whistler Blackcomb acquisition were issued in reliance upon Section 3(a)(10) of the Securities Act of 1933, as amended (the “Securities Act”), which exempts from the registration requirements under the Securities Act any securities that are issued in exchange for one or more bona fide outstanding securities where the terms and conditions of such issuance and exchange are approved, after a hearing upon the fairness of such terms and conditions at which all persons to whom it is proposed to issue securities in such exchange shall have the right to appear, by any court expressly authorized by law to grant such approval. Although exempt from the registration requirements under the Securities Act, such shares are listed and freely tradeable on the New York Stock Exchange.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3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340" w:type="dxa"/>
            <w:vAlign w:val="bottom"/>
          </w:tcPr>
          <w:p>
            <w:pPr>
              <w:spacing w:after="0"/>
              <w:rPr>
                <w:sz w:val="14"/>
                <w:szCs w:val="14"/>
                <w:color w:val="auto"/>
              </w:rPr>
            </w:pPr>
          </w:p>
        </w:tc>
        <w:tc>
          <w:tcPr>
            <w:tcW w:w="3880" w:type="dxa"/>
            <w:vAlign w:val="bottom"/>
            <w:gridSpan w:val="2"/>
            <w:vMerge w:val="restart"/>
          </w:tcPr>
          <w:p>
            <w:pPr>
              <w:ind w:left="12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3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340" w:type="dxa"/>
            <w:vAlign w:val="bottom"/>
          </w:tcPr>
          <w:p>
            <w:pPr>
              <w:spacing w:after="0"/>
              <w:rPr>
                <w:sz w:val="16"/>
                <w:szCs w:val="16"/>
                <w:color w:val="auto"/>
              </w:rPr>
            </w:pPr>
          </w:p>
        </w:tc>
        <w:tc>
          <w:tcPr>
            <w:tcW w:w="3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1380" w:type="dxa"/>
            <w:vAlign w:val="bottom"/>
          </w:tcPr>
          <w:p>
            <w:pPr>
              <w:spacing w:after="0"/>
              <w:rPr>
                <w:sz w:val="20"/>
                <w:szCs w:val="20"/>
                <w:color w:val="auto"/>
              </w:rPr>
            </w:pPr>
            <w:r>
              <w:rPr>
                <w:rFonts w:ascii="Arial" w:cs="Arial" w:eastAsia="Arial" w:hAnsi="Arial"/>
                <w:sz w:val="18"/>
                <w:szCs w:val="18"/>
                <w:color w:val="auto"/>
              </w:rPr>
              <w:t>10.1*</w:t>
            </w:r>
          </w:p>
        </w:tc>
        <w:tc>
          <w:tcPr>
            <w:tcW w:w="7220" w:type="dxa"/>
            <w:vAlign w:val="bottom"/>
            <w:gridSpan w:val="3"/>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Vail Resorts, Inc. Management Incentive Plan.</w:t>
              </w:r>
            </w:hyperlink>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340" w:type="dxa"/>
            <w:vAlign w:val="bottom"/>
            <w:shd w:val="clear" w:color="auto" w:fill="0000FF"/>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31.1</w:t>
            </w:r>
          </w:p>
        </w:tc>
        <w:tc>
          <w:tcPr>
            <w:tcW w:w="7220" w:type="dxa"/>
            <w:vAlign w:val="bottom"/>
            <w:tcBorders>
              <w:bottom w:val="single" w:sz="8" w:color="0000FF"/>
            </w:tcBorders>
            <w:gridSpan w:val="3"/>
          </w:tcPr>
          <w:p>
            <w:pPr>
              <w:spacing w:after="0"/>
              <w:rPr>
                <w:rFonts w:ascii="Arial" w:cs="Arial" w:eastAsia="Arial" w:hAnsi="Arial"/>
                <w:sz w:val="18"/>
                <w:szCs w:val="18"/>
                <w:color w:val="0000FF"/>
                <w:w w:val="91"/>
              </w:rPr>
            </w:pPr>
            <w:hyperlink w:anchor="page48">
              <w:r>
                <w:rPr>
                  <w:rFonts w:ascii="Arial" w:cs="Arial" w:eastAsia="Arial" w:hAnsi="Arial"/>
                  <w:sz w:val="18"/>
                  <w:szCs w:val="18"/>
                  <w:color w:val="0000FF"/>
                  <w:w w:val="91"/>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718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49">
              <w:r>
                <w:rPr>
                  <w:rFonts w:ascii="Arial" w:cs="Arial" w:eastAsia="Arial" w:hAnsi="Arial"/>
                  <w:sz w:val="18"/>
                  <w:szCs w:val="18"/>
                  <w:color w:val="0000FF"/>
                  <w:w w:val="92"/>
                </w:rPr>
                <w:t>Certification of Chief Financial Officer pursuant to Section 302 of the Sarbanes-Oxley Act of 2002.</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420" w:right="20" w:hanging="1385"/>
        <w:spacing w:after="0" w:line="277" w:lineRule="auto"/>
        <w:tabs>
          <w:tab w:leader="none" w:pos="1420" w:val="left"/>
        </w:tabs>
        <w:numPr>
          <w:ilvl w:val="0"/>
          <w:numId w:val="14"/>
        </w:numPr>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Certifications of Chief Executive Officer and Chief Financial Officer pursuant to 18 U.S.C. Section 1350 as adopted pursuant to Section</w:t>
        </w:r>
      </w:hyperlink>
      <w:r>
        <w:rPr>
          <w:rFonts w:ascii="Arial" w:cs="Arial" w:eastAsia="Arial" w:hAnsi="Arial"/>
          <w:sz w:val="18"/>
          <w:szCs w:val="18"/>
          <w:u w:val="single" w:color="auto"/>
          <w:color w:val="0000FF"/>
        </w:rPr>
        <w:t xml:space="preserve"> </w:t>
      </w:r>
      <w:hyperlink w:anchor="page50">
        <w:r>
          <w:rPr>
            <w:rFonts w:ascii="Arial" w:cs="Arial" w:eastAsia="Arial" w:hAnsi="Arial"/>
            <w:sz w:val="18"/>
            <w:szCs w:val="18"/>
            <w:u w:val="single" w:color="auto"/>
            <w:color w:val="0000FF"/>
          </w:rPr>
          <w:t>906 of the Sarbanes-Oxley Act of 2002.</w:t>
        </w:r>
      </w:hyperlink>
    </w:p>
    <w:p>
      <w:pPr>
        <w:spacing w:after="0" w:line="184" w:lineRule="exact"/>
        <w:rPr>
          <w:rFonts w:ascii="Arial" w:cs="Arial" w:eastAsia="Arial" w:hAnsi="Arial"/>
          <w:sz w:val="18"/>
          <w:szCs w:val="18"/>
          <w:color w:val="auto"/>
        </w:rPr>
      </w:pPr>
    </w:p>
    <w:p>
      <w:pPr>
        <w:jc w:val="both"/>
        <w:ind w:left="1420" w:hanging="1385"/>
        <w:spacing w:after="0" w:line="272" w:lineRule="auto"/>
        <w:tabs>
          <w:tab w:leader="none" w:pos="1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following information from the Company’s Quarterly Report on Form 10-Q for the three months ended October 31, 2017 formatted in eXtensible Business Reporting Language: (i) Unaudited Consolidated Condensed Balance Sheets as of October 31, 2017, July 31, 2017, and October 31, 2016; (ii) Unaudited Consolidated Condensed Statements of Operations for the three months ended October 31, 2017 and 2016; (iii) Unaudited Consolidated Condensed Statements of Comprehensive Income (Loss) for the three months ended October 31, 2017 and 2016; (iv) Unaudited Consolidated Condensed Statements of Stockholders’ Equity for the three months ended October 31, 2017 and 2016; (v) Unaudited Consolidated Condensed Statements of Cash Flows for the three months ended October 31, 2017 and 2016; and (vi) Notes to the Consolidated Condensed Financial Statements.</w:t>
      </w:r>
    </w:p>
    <w:p>
      <w:pPr>
        <w:spacing w:after="0" w:line="20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*Management contracts and compensatory plans and arrangements.</w:t>
      </w:r>
    </w:p>
    <w:p>
      <w:pPr>
        <w:spacing w:after="0" w:line="252"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877" w:right="259" w:bottom="1440" w:gutter="0" w:footer="0" w:header="0"/>
        </w:sectPr>
      </w:pPr>
    </w:p>
    <w:bookmarkStart w:id="36" w:name="page37"/>
    <w:bookmarkEnd w:id="36"/>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Vail Resorts, Inc.</w:t>
      </w:r>
    </w:p>
    <w:p>
      <w:pPr>
        <w:spacing w:after="0" w:line="387" w:lineRule="exact"/>
        <w:rPr>
          <w:sz w:val="20"/>
          <w:szCs w:val="20"/>
          <w:color w:val="auto"/>
        </w:rPr>
      </w:pPr>
    </w:p>
    <w:p>
      <w:pPr>
        <w:ind w:left="40"/>
        <w:spacing w:after="0"/>
        <w:tabs>
          <w:tab w:leader="none" w:pos="5680" w:val="left"/>
          <w:tab w:leader="none" w:pos="7860" w:val="left"/>
        </w:tabs>
        <w:rPr>
          <w:sz w:val="20"/>
          <w:szCs w:val="20"/>
          <w:color w:val="auto"/>
        </w:rPr>
      </w:pPr>
      <w:r>
        <w:rPr>
          <w:rFonts w:ascii="Arial" w:cs="Arial" w:eastAsia="Arial" w:hAnsi="Arial"/>
          <w:sz w:val="18"/>
          <w:szCs w:val="18"/>
          <w:color w:val="auto"/>
        </w:rPr>
        <w:t>Date: December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087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40"/>
        <w:spacing w:after="0"/>
        <w:tabs>
          <w:tab w:leader="none" w:pos="5680" w:val="left"/>
          <w:tab w:leader="none" w:pos="7980" w:val="left"/>
        </w:tabs>
        <w:rPr>
          <w:sz w:val="20"/>
          <w:szCs w:val="20"/>
          <w:color w:val="auto"/>
        </w:rPr>
      </w:pPr>
      <w:r>
        <w:rPr>
          <w:rFonts w:ascii="Arial" w:cs="Arial" w:eastAsia="Arial" w:hAnsi="Arial"/>
          <w:sz w:val="18"/>
          <w:szCs w:val="18"/>
          <w:color w:val="auto"/>
        </w:rPr>
        <w:t>Date: December 7,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Ryan H. Siurek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31750</wp:posOffset>
            </wp:positionV>
            <wp:extent cx="30873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57"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Ryan H. Siurek</w:t>
      </w:r>
    </w:p>
    <w:p>
      <w:pPr>
        <w:spacing w:after="0" w:line="6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Senior Vice President, Controller and</w:t>
      </w:r>
    </w:p>
    <w:p>
      <w:pPr>
        <w:spacing w:after="0" w:line="23"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Chief Accounting Officer</w:t>
      </w:r>
    </w:p>
    <w:p>
      <w:pPr>
        <w:spacing w:after="0" w:line="49" w:lineRule="exact"/>
        <w:rPr>
          <w:sz w:val="20"/>
          <w:szCs w:val="20"/>
          <w:color w:val="auto"/>
        </w:rPr>
      </w:pPr>
    </w:p>
    <w:p>
      <w:pPr>
        <w:jc w:val="center"/>
        <w:ind w:left="59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580" w:right="439" w:bottom="1440" w:gutter="0" w:footer="0" w:header="0"/>
        </w:sectPr>
      </w:pPr>
    </w:p>
    <w:bookmarkStart w:id="37" w:name="page38"/>
    <w:bookmarkEnd w:id="37"/>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80"/>
        <w:spacing w:after="0"/>
        <w:rPr>
          <w:sz w:val="20"/>
          <w:szCs w:val="20"/>
          <w:color w:val="auto"/>
        </w:rPr>
      </w:pPr>
      <w:r>
        <w:rPr>
          <w:rFonts w:ascii="Arial" w:cs="Arial" w:eastAsia="Arial" w:hAnsi="Arial"/>
          <w:sz w:val="54"/>
          <w:szCs w:val="54"/>
          <w:b w:val="1"/>
          <w:bCs w:val="1"/>
          <w:color w:val="auto"/>
        </w:rPr>
        <w:t>Vail Resorts</w:t>
      </w:r>
    </w:p>
    <w:p>
      <w:pPr>
        <w:spacing w:after="0" w:line="189" w:lineRule="exact"/>
        <w:rPr>
          <w:sz w:val="20"/>
          <w:szCs w:val="20"/>
          <w:color w:val="auto"/>
        </w:rPr>
      </w:pPr>
    </w:p>
    <w:p>
      <w:pPr>
        <w:jc w:val="center"/>
        <w:ind w:right="1180"/>
        <w:spacing w:after="0"/>
        <w:rPr>
          <w:sz w:val="20"/>
          <w:szCs w:val="20"/>
          <w:color w:val="auto"/>
        </w:rPr>
      </w:pPr>
      <w:r>
        <w:rPr>
          <w:rFonts w:ascii="Arial" w:cs="Arial" w:eastAsia="Arial" w:hAnsi="Arial"/>
          <w:sz w:val="49"/>
          <w:szCs w:val="49"/>
          <w:b w:val="1"/>
          <w:bCs w:val="1"/>
          <w:color w:val="auto"/>
        </w:rPr>
        <w:t>Management Incentive Plan</w:t>
      </w:r>
    </w:p>
    <w:p>
      <w:pPr>
        <w:spacing w:after="0" w:line="247" w:lineRule="exact"/>
        <w:rPr>
          <w:sz w:val="20"/>
          <w:szCs w:val="20"/>
          <w:color w:val="auto"/>
        </w:rPr>
      </w:pPr>
    </w:p>
    <w:p>
      <w:pPr>
        <w:jc w:val="center"/>
        <w:ind w:right="1180"/>
        <w:spacing w:after="0"/>
        <w:rPr>
          <w:sz w:val="20"/>
          <w:szCs w:val="20"/>
          <w:color w:val="auto"/>
        </w:rPr>
      </w:pPr>
      <w:r>
        <w:rPr>
          <w:rFonts w:ascii="Arial" w:cs="Arial" w:eastAsia="Arial" w:hAnsi="Arial"/>
          <w:sz w:val="54"/>
          <w:szCs w:val="54"/>
          <w:b w:val="1"/>
          <w:bCs w:val="1"/>
          <w:color w:val="auto"/>
        </w:rPr>
        <w:t>Grades 33 &amp; Above</w:t>
      </w:r>
    </w:p>
    <w:p>
      <w:pPr>
        <w:sectPr>
          <w:pgSz w:w="11900" w:h="16838" w:orient="portrait"/>
          <w:cols w:equalWidth="0" w:num="1">
            <w:col w:w="10220"/>
          </w:cols>
          <w:pgMar w:left="1440" w:top="657" w:right="23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auto"/>
        </w:rPr>
        <w:t>Objective</w:t>
      </w:r>
    </w:p>
    <w:p>
      <w:pPr>
        <w:spacing w:after="0" w:line="118" w:lineRule="exact"/>
        <w:rPr>
          <w:sz w:val="20"/>
          <w:szCs w:val="20"/>
          <w:color w:val="auto"/>
        </w:rPr>
      </w:pPr>
    </w:p>
    <w:p>
      <w:pPr>
        <w:spacing w:after="0" w:line="462" w:lineRule="auto"/>
        <w:rPr>
          <w:sz w:val="20"/>
          <w:szCs w:val="20"/>
          <w:color w:val="auto"/>
        </w:rPr>
      </w:pPr>
      <w:r>
        <w:rPr>
          <w:rFonts w:ascii="Arial" w:cs="Arial" w:eastAsia="Arial" w:hAnsi="Arial"/>
          <w:sz w:val="19"/>
          <w:szCs w:val="19"/>
          <w:color w:val="auto"/>
        </w:rPr>
        <w:t>The purpose of the Management Incentive Plan (the “Plan”) is to reinforce individual employee behaviors that contribute to the mission, values, growth and profitability of Vail Resorts, Inc. and its wholly owned subsidiaries (collectively, the “Company”) by:</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Rewarding and recognizing performance in one or more of the following areas:</w:t>
      </w:r>
    </w:p>
    <w:p>
      <w:pPr>
        <w:spacing w:after="0" w:line="106" w:lineRule="exact"/>
        <w:rPr>
          <w:sz w:val="20"/>
          <w:szCs w:val="20"/>
          <w:color w:val="auto"/>
        </w:rPr>
      </w:pPr>
    </w:p>
    <w:p>
      <w:pPr>
        <w:jc w:val="both"/>
        <w:ind w:left="660" w:hanging="328"/>
        <w:spacing w:after="0" w:line="400" w:lineRule="auto"/>
        <w:tabs>
          <w:tab w:leader="none" w:pos="660" w:val="left"/>
        </w:tabs>
        <w:numPr>
          <w:ilvl w:val="0"/>
          <w:numId w:val="16"/>
        </w:numPr>
        <w:rPr>
          <w:rFonts w:ascii="Arial" w:cs="Arial" w:eastAsia="Arial" w:hAnsi="Arial"/>
          <w:sz w:val="19"/>
          <w:szCs w:val="19"/>
          <w:color w:val="auto"/>
        </w:rPr>
      </w:pPr>
      <w:r>
        <w:rPr>
          <w:rFonts w:ascii="Arial" w:cs="Arial" w:eastAsia="Arial" w:hAnsi="Arial"/>
          <w:sz w:val="19"/>
          <w:szCs w:val="19"/>
          <w:b w:val="1"/>
          <w:bCs w:val="1"/>
          <w:color w:val="auto"/>
        </w:rPr>
        <w:t xml:space="preserve">Financial </w:t>
      </w:r>
      <w:r>
        <w:rPr>
          <w:rFonts w:ascii="Arial" w:cs="Arial" w:eastAsia="Arial" w:hAnsi="Arial"/>
          <w:sz w:val="19"/>
          <w:szCs w:val="19"/>
          <w:color w:val="auto"/>
        </w:rPr>
        <w:t>- Financial results at the end of the fiscal year are compared to EBITDA targets determined at the beginning of</w:t>
      </w:r>
      <w:r>
        <w:rPr>
          <w:rFonts w:ascii="Arial" w:cs="Arial" w:eastAsia="Arial" w:hAnsi="Arial"/>
          <w:sz w:val="19"/>
          <w:szCs w:val="19"/>
          <w:b w:val="1"/>
          <w:bCs w:val="1"/>
          <w:color w:val="auto"/>
        </w:rPr>
        <w:t xml:space="preserve"> </w:t>
      </w:r>
      <w:r>
        <w:rPr>
          <w:rFonts w:ascii="Arial" w:cs="Arial" w:eastAsia="Arial" w:hAnsi="Arial"/>
          <w:sz w:val="19"/>
          <w:szCs w:val="19"/>
          <w:color w:val="auto"/>
        </w:rPr>
        <w:t>the fiscal year. EBITDA (Earnings before Interest, Taxes and Depreciation and Amortization excluding stock based compensation) results are consolidated into various divisions of the Company and are defined in the funding section below.</w:t>
      </w:r>
    </w:p>
    <w:p>
      <w:pPr>
        <w:spacing w:after="0" w:line="1" w:lineRule="exact"/>
        <w:rPr>
          <w:rFonts w:ascii="Arial" w:cs="Arial" w:eastAsia="Arial" w:hAnsi="Arial"/>
          <w:sz w:val="19"/>
          <w:szCs w:val="19"/>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Arial" w:cs="Arial" w:eastAsia="Arial" w:hAnsi="Arial"/>
          <w:sz w:val="22"/>
          <w:szCs w:val="22"/>
          <w:b w:val="1"/>
          <w:bCs w:val="1"/>
          <w:color w:val="auto"/>
        </w:rPr>
        <w:t xml:space="preserve">Individual </w:t>
      </w:r>
      <w:r>
        <w:rPr>
          <w:rFonts w:ascii="Arial" w:cs="Arial" w:eastAsia="Arial" w:hAnsi="Arial"/>
          <w:sz w:val="22"/>
          <w:szCs w:val="22"/>
          <w:color w:val="auto"/>
        </w:rPr>
        <w:t>- Individual employee performance, including adherence to the Company’s mission and values.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Effective Dates</w:t>
      </w:r>
    </w:p>
    <w:p>
      <w:pPr>
        <w:spacing w:after="0" w:line="118" w:lineRule="exact"/>
        <w:rPr>
          <w:sz w:val="20"/>
          <w:szCs w:val="20"/>
          <w:color w:val="auto"/>
        </w:rPr>
      </w:pPr>
    </w:p>
    <w:p>
      <w:pPr>
        <w:jc w:val="both"/>
        <w:spacing w:after="0" w:line="366" w:lineRule="auto"/>
        <w:rPr>
          <w:sz w:val="20"/>
          <w:szCs w:val="20"/>
          <w:color w:val="auto"/>
        </w:rPr>
      </w:pPr>
      <w:r>
        <w:rPr>
          <w:rFonts w:ascii="Arial" w:cs="Arial" w:eastAsia="Arial" w:hAnsi="Arial"/>
          <w:sz w:val="22"/>
          <w:szCs w:val="22"/>
          <w:color w:val="auto"/>
        </w:rPr>
        <w:t>The Plan is effective and will remain in effect until amended or terminated. The Plan Year will run concurrently with the fiscal year under which the employee is governed.</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Eligibility</w:t>
      </w:r>
    </w:p>
    <w:p>
      <w:pPr>
        <w:spacing w:after="0" w:line="118" w:lineRule="exact"/>
        <w:rPr>
          <w:sz w:val="20"/>
          <w:szCs w:val="20"/>
          <w:color w:val="auto"/>
        </w:rPr>
      </w:pPr>
    </w:p>
    <w:p>
      <w:pPr>
        <w:jc w:val="both"/>
        <w:spacing w:after="0" w:line="366" w:lineRule="auto"/>
        <w:rPr>
          <w:sz w:val="20"/>
          <w:szCs w:val="20"/>
          <w:color w:val="auto"/>
        </w:rPr>
      </w:pPr>
      <w:r>
        <w:rPr>
          <w:rFonts w:ascii="Arial" w:cs="Arial" w:eastAsia="Arial" w:hAnsi="Arial"/>
          <w:sz w:val="22"/>
          <w:szCs w:val="22"/>
          <w:color w:val="auto"/>
        </w:rPr>
        <w:t>All full-time employees of the Company at grade levels 33 and above as identified in the Company’s compensation grade structures are eligible to participate in the Plan.</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Percentages</w:t>
      </w:r>
    </w:p>
    <w:p>
      <w:pPr>
        <w:spacing w:after="0" w:line="118" w:lineRule="exact"/>
        <w:rPr>
          <w:sz w:val="20"/>
          <w:szCs w:val="20"/>
          <w:color w:val="auto"/>
        </w:rPr>
      </w:pPr>
    </w:p>
    <w:p>
      <w:pPr>
        <w:jc w:val="both"/>
        <w:spacing w:after="0" w:line="356" w:lineRule="auto"/>
        <w:rPr>
          <w:sz w:val="20"/>
          <w:szCs w:val="20"/>
          <w:color w:val="auto"/>
        </w:rPr>
      </w:pPr>
      <w:r>
        <w:rPr>
          <w:rFonts w:ascii="Arial" w:cs="Arial" w:eastAsia="Arial" w:hAnsi="Arial"/>
          <w:sz w:val="22"/>
          <w:szCs w:val="22"/>
          <w:color w:val="auto"/>
        </w:rPr>
        <w:t>The target bonus percentages for employees are determined by the Compensation Committee in its sole discretion on a yearly basis by the end of the first quarter of each fiscal year and while the attainment of Resort, Mountain, Retail and Lodging EBITDA performance targets are substantially uncertain.</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Target Incentives</w:t>
      </w:r>
    </w:p>
    <w:p>
      <w:pPr>
        <w:spacing w:after="0" w:line="118" w:lineRule="exact"/>
        <w:rPr>
          <w:sz w:val="20"/>
          <w:szCs w:val="20"/>
          <w:color w:val="auto"/>
        </w:rPr>
      </w:pPr>
    </w:p>
    <w:p>
      <w:pPr>
        <w:jc w:val="both"/>
        <w:spacing w:after="0" w:line="356" w:lineRule="auto"/>
        <w:rPr>
          <w:sz w:val="20"/>
          <w:szCs w:val="20"/>
          <w:color w:val="auto"/>
        </w:rPr>
      </w:pPr>
      <w:r>
        <w:rPr>
          <w:rFonts w:ascii="Arial" w:cs="Arial" w:eastAsia="Arial" w:hAnsi="Arial"/>
          <w:sz w:val="22"/>
          <w:szCs w:val="22"/>
          <w:color w:val="auto"/>
        </w:rPr>
        <w:t>Each employee’s target bonus incentive is calculated based on the target bonus percentage of his or her annual salary as of the last day of the measurement period the employee was classified in a Grade 33 position, except where proration is needed as defined in the proration of target incentives section.</w:t>
      </w:r>
    </w:p>
    <w:p>
      <w:pPr>
        <w:sectPr>
          <w:pgSz w:w="11900" w:h="16838" w:orient="portrait"/>
          <w:cols w:equalWidth="0" w:num="1">
            <w:col w:w="11420"/>
          </w:cols>
          <w:pgMar w:left="240" w:top="639" w:right="23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Funding</w:t>
      </w:r>
    </w:p>
    <w:p>
      <w:pPr>
        <w:spacing w:after="0" w:line="118" w:lineRule="exact"/>
        <w:rPr>
          <w:sz w:val="20"/>
          <w:szCs w:val="20"/>
          <w:color w:val="auto"/>
        </w:rPr>
      </w:pPr>
    </w:p>
    <w:p>
      <w:pPr>
        <w:jc w:val="both"/>
        <w:spacing w:after="0" w:line="356" w:lineRule="auto"/>
        <w:rPr>
          <w:sz w:val="20"/>
          <w:szCs w:val="20"/>
          <w:color w:val="auto"/>
        </w:rPr>
      </w:pPr>
      <w:r>
        <w:rPr>
          <w:rFonts w:ascii="Arial" w:cs="Arial" w:eastAsia="Arial" w:hAnsi="Arial"/>
          <w:sz w:val="22"/>
          <w:szCs w:val="22"/>
          <w:color w:val="auto"/>
        </w:rPr>
        <w:t xml:space="preserve">The funding at the end of the fiscal year is based on the final EBITDA results or Division Goal Attainment of the Company’s business divisions and the eligible employee’s incentive target amounts as determined by the Compensation Committee and as defined in </w:t>
      </w:r>
      <w:r>
        <w:rPr>
          <w:rFonts w:ascii="Arial" w:cs="Arial" w:eastAsia="Arial" w:hAnsi="Arial"/>
          <w:sz w:val="22"/>
          <w:szCs w:val="22"/>
          <w:u w:val="single" w:color="auto"/>
          <w:color w:val="auto"/>
        </w:rPr>
        <w:t>Exhibits A and B</w:t>
      </w:r>
      <w:r>
        <w:rPr>
          <w:rFonts w:ascii="Arial" w:cs="Arial" w:eastAsia="Arial" w:hAnsi="Arial"/>
          <w:sz w:val="22"/>
          <w:szCs w:val="22"/>
          <w:color w:val="auto"/>
        </w:rPr>
        <w:t>.</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Division Definitions</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EBITDA Results for each of the Company’s business divisions are defined as follows:</w:t>
      </w:r>
    </w:p>
    <w:p>
      <w:pPr>
        <w:spacing w:after="0" w:line="166" w:lineRule="exact"/>
        <w:rPr>
          <w:sz w:val="20"/>
          <w:szCs w:val="20"/>
          <w:color w:val="auto"/>
        </w:rPr>
      </w:pPr>
    </w:p>
    <w:p>
      <w:pPr>
        <w:ind w:left="660" w:hanging="328"/>
        <w:spacing w:after="0" w:line="345" w:lineRule="auto"/>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Resort EBITDA results include the EBITDA results for all Mountain resorts, Lodging divisions and Retail divisions combined.</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22"/>
          <w:szCs w:val="22"/>
          <w:color w:val="auto"/>
        </w:rPr>
        <w:t>Retail EBITDA results include all EBITDA results of the Retail division combined.</w:t>
      </w:r>
    </w:p>
    <w:p>
      <w:pPr>
        <w:spacing w:after="0" w:line="220" w:lineRule="exact"/>
        <w:rPr>
          <w:sz w:val="20"/>
          <w:szCs w:val="20"/>
          <w:color w:val="auto"/>
        </w:rPr>
      </w:pPr>
    </w:p>
    <w:p>
      <w:pPr>
        <w:jc w:val="both"/>
        <w:spacing w:after="0" w:line="366" w:lineRule="auto"/>
        <w:rPr>
          <w:sz w:val="20"/>
          <w:szCs w:val="20"/>
          <w:color w:val="auto"/>
        </w:rPr>
      </w:pPr>
      <w:r>
        <w:rPr>
          <w:rFonts w:ascii="Arial" w:cs="Arial" w:eastAsia="Arial" w:hAnsi="Arial"/>
          <w:sz w:val="22"/>
          <w:szCs w:val="22"/>
          <w:color w:val="auto"/>
        </w:rPr>
        <w:t>The funding is based on the EBITDA results of the division where the employee works, the scope of his or her responsibilities and where his or her salary expense is charged.</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Corporate, Lodging, Mountain and VRDC executives</w:t>
      </w:r>
      <w:r>
        <w:rPr>
          <w:rFonts w:ascii="Arial" w:cs="Arial" w:eastAsia="Arial" w:hAnsi="Arial"/>
          <w:sz w:val="22"/>
          <w:szCs w:val="22"/>
          <w:color w:val="auto"/>
        </w:rPr>
        <w:t>, the Plan is 100% funded based on Resort EBITDA.</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Retail executives</w:t>
      </w:r>
      <w:r>
        <w:rPr>
          <w:rFonts w:ascii="Arial" w:cs="Arial" w:eastAsia="Arial" w:hAnsi="Arial"/>
          <w:sz w:val="22"/>
          <w:szCs w:val="22"/>
          <w:color w:val="auto"/>
        </w:rPr>
        <w:t>, the Plan is 75% funded based on Retail EBITDA and 25% funded based on Resort EBITDA.</w:t>
      </w:r>
    </w:p>
    <w:p>
      <w:pPr>
        <w:spacing w:after="0" w:line="200" w:lineRule="exact"/>
        <w:rPr>
          <w:sz w:val="20"/>
          <w:szCs w:val="20"/>
          <w:color w:val="auto"/>
        </w:rPr>
      </w:pPr>
    </w:p>
    <w:p>
      <w:pPr>
        <w:spacing w:after="0" w:line="282" w:lineRule="exact"/>
        <w:rPr>
          <w:sz w:val="20"/>
          <w:szCs w:val="20"/>
          <w:color w:val="auto"/>
        </w:rPr>
      </w:pPr>
    </w:p>
    <w:p>
      <w:pPr>
        <w:jc w:val="both"/>
        <w:spacing w:after="0" w:line="366" w:lineRule="auto"/>
        <w:rPr>
          <w:sz w:val="20"/>
          <w:szCs w:val="20"/>
          <w:color w:val="auto"/>
        </w:rPr>
      </w:pPr>
      <w:r>
        <w:rPr>
          <w:rFonts w:ascii="Arial" w:cs="Arial" w:eastAsia="Arial" w:hAnsi="Arial"/>
          <w:sz w:val="22"/>
          <w:szCs w:val="22"/>
          <w:color w:val="auto"/>
        </w:rPr>
        <w:t>The maximum amount that may be earned as an award under the Plan for any Plan year by any one eligible employee shall be $4,000,000.</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Funding Variable</w:t>
      </w:r>
    </w:p>
    <w:p>
      <w:pPr>
        <w:spacing w:after="0" w:line="118" w:lineRule="exact"/>
        <w:rPr>
          <w:sz w:val="20"/>
          <w:szCs w:val="20"/>
          <w:color w:val="auto"/>
        </w:rPr>
      </w:pPr>
    </w:p>
    <w:p>
      <w:pPr>
        <w:jc w:val="both"/>
        <w:spacing w:after="0" w:line="350" w:lineRule="auto"/>
        <w:rPr>
          <w:sz w:val="20"/>
          <w:szCs w:val="20"/>
          <w:color w:val="auto"/>
        </w:rPr>
      </w:pPr>
      <w:r>
        <w:rPr>
          <w:rFonts w:ascii="Arial" w:cs="Arial" w:eastAsia="Arial" w:hAnsi="Arial"/>
          <w:sz w:val="22"/>
          <w:szCs w:val="22"/>
          <w:color w:val="auto"/>
        </w:rPr>
        <w:t xml:space="preserve">At each fiscal year-end, the funding will be based on the percentage of EBITDA target achieved. The schedule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is used to determine the percent of the target incentive funded by Resort, Mountain, Retail and Lodging EBITDA performance. The Compensation Committee will establish the Resort, Mountain, Retail and Lodging EBITDA performance targets and corresponding funding levels and may amend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by the end of the first quarter of each fiscal year and while the attainment of such goals is substantially uncertain. EBITDA results are rounded to the nearest whole percentage using simple rounding.</w:t>
      </w:r>
    </w:p>
    <w:p>
      <w:pPr>
        <w:sectPr>
          <w:pgSz w:w="11900" w:h="16838" w:orient="portrait"/>
          <w:cols w:equalWidth="0" w:num="1">
            <w:col w:w="11420"/>
          </w:cols>
          <w:pgMar w:left="240" w:top="639" w:right="23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auto"/>
        </w:rPr>
        <w:t>Individual Performance Rating Variable</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color w:val="auto"/>
        </w:rPr>
        <w:t>For all employees excluding the Chief Executive Officer, the target incentive will be influenced based on individual performance.</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color w:val="auto"/>
        </w:rPr>
        <w:t>The Chief Executive Officer’s total bonus will be equal to, and based solely on, the funded target incentive amount.</w:t>
      </w:r>
    </w:p>
    <w:p>
      <w:pPr>
        <w:spacing w:after="0" w:line="200" w:lineRule="exact"/>
        <w:rPr>
          <w:sz w:val="20"/>
          <w:szCs w:val="20"/>
          <w:color w:val="auto"/>
        </w:rPr>
      </w:pPr>
    </w:p>
    <w:p>
      <w:pPr>
        <w:spacing w:after="0" w:line="276" w:lineRule="exact"/>
        <w:rPr>
          <w:sz w:val="20"/>
          <w:szCs w:val="20"/>
          <w:color w:val="auto"/>
        </w:rPr>
      </w:pPr>
    </w:p>
    <w:p>
      <w:pPr>
        <w:jc w:val="both"/>
        <w:spacing w:after="0" w:line="415" w:lineRule="auto"/>
        <w:rPr>
          <w:sz w:val="20"/>
          <w:szCs w:val="20"/>
          <w:color w:val="auto"/>
        </w:rPr>
      </w:pPr>
      <w:r>
        <w:rPr>
          <w:rFonts w:ascii="Arial" w:cs="Arial" w:eastAsia="Arial" w:hAnsi="Arial"/>
          <w:sz w:val="19"/>
          <w:szCs w:val="19"/>
          <w:color w:val="auto"/>
        </w:rPr>
        <w:t>Individual performance for all employees participating in the Plan will be determined through the applicable fiscal year performance review process, which will be determined by the Chief Executive Officer. With the exception of promoted employees, the final performance score will determine the incentive payment with higher performing employees receiving larger rewards than their lower performing peers. For those employees promoted into a higher level position, any applicable incentive payments will be calculated by applying the Meets Expectations performance variable to the incentive target for the new position.</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Example 1 Payout:</w:t>
      </w:r>
    </w:p>
    <w:p>
      <w:pPr>
        <w:spacing w:after="0" w:line="118"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Grade 33 Corporate employee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$200,000 annual salary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Target incentive % = 42.5%</w:t>
      </w:r>
    </w:p>
    <w:p>
      <w:pPr>
        <w:spacing w:after="0" w:line="105"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Target incentive $= $200,000 x 42.5% = $85,000</w:t>
      </w:r>
    </w:p>
    <w:p>
      <w:pPr>
        <w:spacing w:after="0" w:line="200" w:lineRule="exact"/>
        <w:rPr>
          <w:rFonts w:ascii="Arial" w:cs="Arial" w:eastAsia="Arial" w:hAnsi="Arial"/>
          <w:sz w:val="22"/>
          <w:szCs w:val="22"/>
          <w:color w:val="auto"/>
        </w:rPr>
      </w:pPr>
    </w:p>
    <w:p>
      <w:pPr>
        <w:spacing w:after="0" w:line="282"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Resort EBITDA results are at 101% of target</w:t>
      </w:r>
    </w:p>
    <w:p>
      <w:pPr>
        <w:spacing w:after="0" w:line="105"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Resort EBITDA funding = 107.5%</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With Resort EBITDA funding 100%, funded incentive = 107.5% x $85,000 = $91,375.</w:t>
      </w:r>
    </w:p>
    <w:p>
      <w:pPr>
        <w:spacing w:after="0" w:line="200" w:lineRule="exact"/>
        <w:rPr>
          <w:sz w:val="20"/>
          <w:szCs w:val="20"/>
          <w:color w:val="auto"/>
        </w:rPr>
      </w:pPr>
    </w:p>
    <w:p>
      <w:pPr>
        <w:spacing w:after="0" w:line="27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Individual performance rating of “Achieves Expectations”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“Achieves Expectations” = 100% of funded incentive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$91,375 x 100% = </w:t>
      </w:r>
      <w:r>
        <w:rPr>
          <w:rFonts w:ascii="Arial" w:cs="Arial" w:eastAsia="Arial" w:hAnsi="Arial"/>
          <w:sz w:val="22"/>
          <w:szCs w:val="22"/>
          <w:u w:val="single" w:color="auto"/>
          <w:color w:val="auto"/>
        </w:rPr>
        <w:t>$91,375 payout</w:t>
      </w:r>
    </w:p>
    <w:p>
      <w:pPr>
        <w:sectPr>
          <w:pgSz w:w="11900" w:h="16838" w:orient="portrait"/>
          <w:cols w:equalWidth="0" w:num="1">
            <w:col w:w="11420"/>
          </w:cols>
          <w:pgMar w:left="240" w:top="639" w:right="239"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u w:val="single" w:color="auto"/>
          <w:color w:val="auto"/>
        </w:rPr>
        <w:t>Example 2 Payout:</w:t>
      </w:r>
    </w:p>
    <w:p>
      <w:pPr>
        <w:spacing w:after="0" w:line="118"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Grade 33 Retail employee</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$225,000 annual salary</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Target incentive % = 42.5%</w:t>
      </w:r>
    </w:p>
    <w:p>
      <w:pPr>
        <w:spacing w:after="0" w:line="105"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Target incentive $ = $225,000 x 42.5% = $95,625</w:t>
      </w:r>
    </w:p>
    <w:p>
      <w:pPr>
        <w:spacing w:after="0" w:line="200" w:lineRule="exact"/>
        <w:rPr>
          <w:rFonts w:ascii="Arial" w:cs="Arial" w:eastAsia="Arial" w:hAnsi="Arial"/>
          <w:sz w:val="22"/>
          <w:szCs w:val="22"/>
          <w:color w:val="auto"/>
        </w:rPr>
      </w:pPr>
    </w:p>
    <w:p>
      <w:pPr>
        <w:spacing w:after="0" w:line="282"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Resort EBITDA results are at 101% of target</w:t>
      </w:r>
    </w:p>
    <w:p>
      <w:pPr>
        <w:spacing w:after="0" w:line="105"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Resort EBITDA funding = 107.5%</w:t>
      </w:r>
    </w:p>
    <w:p>
      <w:pPr>
        <w:spacing w:after="0" w:line="200" w:lineRule="exact"/>
        <w:rPr>
          <w:rFonts w:ascii="Arial" w:cs="Arial" w:eastAsia="Arial" w:hAnsi="Arial"/>
          <w:sz w:val="22"/>
          <w:szCs w:val="22"/>
          <w:color w:val="auto"/>
        </w:rPr>
      </w:pPr>
    </w:p>
    <w:p>
      <w:pPr>
        <w:spacing w:after="0" w:line="282"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b w:val="1"/>
          <w:bCs w:val="1"/>
          <w:color w:val="auto"/>
        </w:rPr>
      </w:pPr>
      <w:r>
        <w:rPr>
          <w:rFonts w:ascii="Arial" w:cs="Arial" w:eastAsia="Arial" w:hAnsi="Arial"/>
          <w:sz w:val="22"/>
          <w:szCs w:val="22"/>
          <w:color w:val="auto"/>
        </w:rPr>
        <w:t>Retail EBITDA results are at 102% of target</w:t>
      </w:r>
    </w:p>
    <w:p>
      <w:pPr>
        <w:spacing w:after="0" w:line="105" w:lineRule="exact"/>
        <w:rPr>
          <w:rFonts w:ascii="Arial" w:cs="Arial" w:eastAsia="Arial" w:hAnsi="Arial"/>
          <w:sz w:val="22"/>
          <w:szCs w:val="22"/>
          <w:b w:val="1"/>
          <w:bCs w:val="1"/>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Retail EBITDA funding = 115%</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Resort EBITDA funding = 25%</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Resort Funded incentive = (107.5% x 25%) x 95,625 = $25,699</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Retail EBITDA funding = 75%</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Resort Funded incentive = (115% x 75%) x 95,625 = $82,477</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Total Incentive = $25,699 + $82,477 = $108,176</w:t>
      </w:r>
    </w:p>
    <w:p>
      <w:pPr>
        <w:spacing w:after="0" w:line="200" w:lineRule="exact"/>
        <w:rPr>
          <w:sz w:val="20"/>
          <w:szCs w:val="20"/>
          <w:color w:val="auto"/>
        </w:rPr>
      </w:pPr>
    </w:p>
    <w:p>
      <w:pPr>
        <w:spacing w:after="0" w:line="27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Individual performance rating of “Achieves Expectations”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“Exceeds Expectations” = 115% of funded incentive</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 xml:space="preserve">$108,176 x 115% = </w:t>
      </w:r>
      <w:r>
        <w:rPr>
          <w:rFonts w:ascii="Arial" w:cs="Arial" w:eastAsia="Arial" w:hAnsi="Arial"/>
          <w:sz w:val="22"/>
          <w:szCs w:val="22"/>
          <w:u w:val="single" w:color="auto"/>
          <w:color w:val="auto"/>
        </w:rPr>
        <w:t>$124,402 payout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Individual performance can multiply the incentive payout by 0% to 130% of the target amount as displayed in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Proration for New Hires</w:t>
      </w:r>
    </w:p>
    <w:p>
      <w:pPr>
        <w:spacing w:after="0" w:line="118" w:lineRule="exact"/>
        <w:rPr>
          <w:sz w:val="20"/>
          <w:szCs w:val="20"/>
          <w:color w:val="auto"/>
        </w:rPr>
      </w:pPr>
    </w:p>
    <w:p>
      <w:pPr>
        <w:jc w:val="both"/>
        <w:spacing w:after="0" w:line="356" w:lineRule="auto"/>
        <w:rPr>
          <w:sz w:val="20"/>
          <w:szCs w:val="20"/>
          <w:color w:val="auto"/>
        </w:rPr>
      </w:pPr>
      <w:r>
        <w:rPr>
          <w:rFonts w:ascii="Arial" w:cs="Arial" w:eastAsia="Arial" w:hAnsi="Arial"/>
          <w:sz w:val="22"/>
          <w:szCs w:val="22"/>
          <w:color w:val="auto"/>
        </w:rPr>
        <w:t>An employee hired into a position eligible for this Plan will receive a prorated incentive for the Plan Year based on the hire date and following schedule. Anyone hired after April 30 will not be eligible to receive an award in that fiscal year, except at the sole discretion of the Compensation Committee.</w:t>
      </w:r>
    </w:p>
    <w:p>
      <w:pPr>
        <w:sectPr>
          <w:pgSz w:w="11900" w:h="16838" w:orient="portrait"/>
          <w:cols w:equalWidth="0" w:num="1">
            <w:col w:w="11420"/>
          </w:cols>
          <w:pgMar w:left="240" w:top="639" w:right="239" w:bottom="1440" w:gutter="0" w:footer="0" w:header="0"/>
        </w:sectPr>
      </w:pPr>
    </w:p>
    <w:bookmarkStart w:id="42" w:name="page43"/>
    <w:bookmarkEnd w:id="42"/>
    <w:tbl>
      <w:tblPr>
        <w:tblLayout w:type="fixed"/>
        <w:tblInd w:w="2810" w:type="dxa"/>
        <w:tblCellMar>
          <w:top w:w="0" w:type="dxa"/>
          <w:left w:w="0" w:type="dxa"/>
          <w:bottom w:w="0" w:type="dxa"/>
          <w:right w:w="0" w:type="dxa"/>
        </w:tblCellMar>
      </w:tblPr>
      <w:tr>
        <w:trPr>
          <w:trHeight w:val="304"/>
        </w:trPr>
        <w:tc>
          <w:tcPr>
            <w:tcW w:w="4540" w:type="dxa"/>
            <w:vAlign w:val="bottom"/>
            <w:tcBorders>
              <w:top w:val="single" w:sz="8" w:color="auto"/>
              <w:left w:val="single" w:sz="8" w:color="auto"/>
              <w:bottom w:val="single" w:sz="8" w:color="auto"/>
              <w:right w:val="single" w:sz="8" w:color="auto"/>
            </w:tcBorders>
            <w:shd w:val="clear" w:color="auto" w:fill="DDD9C3"/>
          </w:tcPr>
          <w:p>
            <w:pPr>
              <w:ind w:left="20"/>
              <w:spacing w:after="0"/>
              <w:rPr>
                <w:sz w:val="20"/>
                <w:szCs w:val="20"/>
                <w:color w:val="auto"/>
              </w:rPr>
            </w:pPr>
            <w:r>
              <w:rPr>
                <w:rFonts w:ascii="Arial" w:cs="Arial" w:eastAsia="Arial" w:hAnsi="Arial"/>
                <w:sz w:val="22"/>
                <w:szCs w:val="22"/>
                <w:b w:val="1"/>
                <w:bCs w:val="1"/>
                <w:color w:val="auto"/>
              </w:rPr>
              <w:t>Month of Hire</w:t>
            </w:r>
          </w:p>
        </w:tc>
        <w:tc>
          <w:tcPr>
            <w:tcW w:w="1340" w:type="dxa"/>
            <w:vAlign w:val="bottom"/>
            <w:tcBorders>
              <w:top w:val="single" w:sz="8" w:color="auto"/>
              <w:bottom w:val="single" w:sz="8" w:color="auto"/>
              <w:right w:val="single" w:sz="8" w:color="auto"/>
            </w:tcBorders>
            <w:shd w:val="clear" w:color="auto" w:fill="DDD9C3"/>
          </w:tcPr>
          <w:p>
            <w:pPr>
              <w:jc w:val="right"/>
              <w:spacing w:after="0"/>
              <w:rPr>
                <w:sz w:val="20"/>
                <w:szCs w:val="20"/>
                <w:color w:val="auto"/>
              </w:rPr>
            </w:pPr>
            <w:r>
              <w:rPr>
                <w:rFonts w:ascii="Arial" w:cs="Arial" w:eastAsia="Arial" w:hAnsi="Arial"/>
                <w:sz w:val="22"/>
                <w:szCs w:val="22"/>
                <w:b w:val="1"/>
                <w:bCs w:val="1"/>
                <w:color w:val="auto"/>
              </w:rPr>
              <w:t>Prorate %</w:t>
            </w:r>
          </w:p>
        </w:tc>
      </w:tr>
      <w:tr>
        <w:trPr>
          <w:trHeight w:val="291"/>
        </w:trPr>
        <w:tc>
          <w:tcPr>
            <w:tcW w:w="4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i w:val="1"/>
                <w:iCs w:val="1"/>
                <w:color w:val="auto"/>
              </w:rPr>
              <w:t>August, September, October</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100%</w:t>
            </w:r>
          </w:p>
        </w:tc>
      </w:tr>
      <w:tr>
        <w:trPr>
          <w:trHeight w:val="291"/>
        </w:trPr>
        <w:tc>
          <w:tcPr>
            <w:tcW w:w="4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i w:val="1"/>
                <w:iCs w:val="1"/>
                <w:color w:val="auto"/>
              </w:rPr>
              <w:t>November, December, January</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67%</w:t>
            </w:r>
          </w:p>
        </w:tc>
      </w:tr>
      <w:tr>
        <w:trPr>
          <w:trHeight w:val="291"/>
        </w:trPr>
        <w:tc>
          <w:tcPr>
            <w:tcW w:w="4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i w:val="1"/>
                <w:iCs w:val="1"/>
                <w:color w:val="auto"/>
              </w:rPr>
              <w:t>February, March, April</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33%</w:t>
            </w:r>
          </w:p>
        </w:tc>
      </w:tr>
      <w:tr>
        <w:trPr>
          <w:trHeight w:val="291"/>
        </w:trPr>
        <w:tc>
          <w:tcPr>
            <w:tcW w:w="4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i w:val="1"/>
                <w:iCs w:val="1"/>
                <w:color w:val="auto"/>
              </w:rPr>
              <w:t>May, June, July</w:t>
            </w:r>
          </w:p>
        </w:tc>
        <w:tc>
          <w:tcPr>
            <w:tcW w:w="13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0%</w:t>
            </w:r>
          </w:p>
        </w:tc>
      </w:tr>
    </w:tbl>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Proration for Internal Promotes</w:t>
      </w:r>
    </w:p>
    <w:p>
      <w:pPr>
        <w:spacing w:after="0" w:line="118" w:lineRule="exact"/>
        <w:rPr>
          <w:sz w:val="20"/>
          <w:szCs w:val="20"/>
          <w:color w:val="auto"/>
        </w:rPr>
      </w:pPr>
    </w:p>
    <w:p>
      <w:pPr>
        <w:jc w:val="both"/>
        <w:spacing w:after="0" w:line="378" w:lineRule="auto"/>
        <w:rPr>
          <w:sz w:val="20"/>
          <w:szCs w:val="20"/>
          <w:color w:val="auto"/>
        </w:rPr>
      </w:pPr>
      <w:r>
        <w:rPr>
          <w:rFonts w:ascii="Arial" w:cs="Arial" w:eastAsia="Arial" w:hAnsi="Arial"/>
          <w:sz w:val="21"/>
          <w:szCs w:val="21"/>
          <w:color w:val="auto"/>
        </w:rPr>
        <w:t>The proration calculation for employees who have been promoted into a plan eligible position will be based on number of days in each role and performance rating earned in each position. For the purposes of this plan, a promotion is defined as position change resulting in an increase in grade assignment and individual bonus target percentage.</w:t>
      </w:r>
    </w:p>
    <w:p>
      <w:pPr>
        <w:spacing w:after="0" w:line="47" w:lineRule="exact"/>
        <w:rPr>
          <w:sz w:val="20"/>
          <w:szCs w:val="20"/>
          <w:color w:val="auto"/>
        </w:rPr>
      </w:pPr>
    </w:p>
    <w:p>
      <w:pPr>
        <w:ind w:left="240"/>
        <w:spacing w:after="0"/>
        <w:rPr>
          <w:sz w:val="20"/>
          <w:szCs w:val="20"/>
          <w:color w:val="auto"/>
        </w:rPr>
      </w:pPr>
      <w:r>
        <w:rPr>
          <w:rFonts w:ascii="Arial" w:cs="Arial" w:eastAsia="Arial" w:hAnsi="Arial"/>
          <w:sz w:val="22"/>
          <w:szCs w:val="22"/>
          <w:i w:val="1"/>
          <w:iCs w:val="1"/>
          <w:color w:val="auto"/>
        </w:rPr>
        <w:t>Example of Prorated Bonus due to Promotion</w:t>
      </w:r>
    </w:p>
    <w:p>
      <w:pPr>
        <w:spacing w:after="0" w:line="22" w:lineRule="exact"/>
        <w:rPr>
          <w:sz w:val="20"/>
          <w:szCs w:val="20"/>
          <w:color w:val="auto"/>
        </w:rPr>
      </w:pPr>
    </w:p>
    <w:tbl>
      <w:tblPr>
        <w:tblLayout w:type="fixed"/>
        <w:tblInd w:w="230" w:type="dxa"/>
        <w:tblCellMar>
          <w:top w:w="0" w:type="dxa"/>
          <w:left w:w="0" w:type="dxa"/>
          <w:bottom w:w="0" w:type="dxa"/>
          <w:right w:w="0" w:type="dxa"/>
        </w:tblCellMar>
      </w:tblPr>
      <w:tr>
        <w:trPr>
          <w:trHeight w:val="253"/>
        </w:trPr>
        <w:tc>
          <w:tcPr>
            <w:tcW w:w="900" w:type="dxa"/>
            <w:vAlign w:val="bottom"/>
            <w:tcBorders>
              <w:top w:val="single" w:sz="8" w:color="auto"/>
              <w:left w:val="single" w:sz="8" w:color="auto"/>
              <w:right w:val="single" w:sz="8" w:color="DDD9C3"/>
            </w:tcBorders>
            <w:shd w:val="clear" w:color="auto" w:fill="DDD9C3"/>
          </w:tcPr>
          <w:p>
            <w:pPr>
              <w:spacing w:after="0"/>
              <w:rPr>
                <w:sz w:val="22"/>
                <w:szCs w:val="22"/>
                <w:color w:val="auto"/>
              </w:rPr>
            </w:pPr>
          </w:p>
        </w:tc>
        <w:tc>
          <w:tcPr>
            <w:tcW w:w="1320" w:type="dxa"/>
            <w:vAlign w:val="bottom"/>
            <w:tcBorders>
              <w:top w:val="single" w:sz="8" w:color="auto"/>
              <w:right w:val="single" w:sz="8" w:color="DDD9C3"/>
            </w:tcBorders>
            <w:shd w:val="clear" w:color="auto" w:fill="DDD9C3"/>
          </w:tcPr>
          <w:p>
            <w:pPr>
              <w:spacing w:after="0"/>
              <w:rPr>
                <w:sz w:val="22"/>
                <w:szCs w:val="22"/>
                <w:color w:val="auto"/>
              </w:rPr>
            </w:pPr>
          </w:p>
        </w:tc>
        <w:tc>
          <w:tcPr>
            <w:tcW w:w="1220" w:type="dxa"/>
            <w:vAlign w:val="bottom"/>
            <w:tcBorders>
              <w:top w:val="single" w:sz="8" w:color="auto"/>
              <w:right w:val="single" w:sz="8" w:color="DDD9C3"/>
            </w:tcBorders>
            <w:shd w:val="clear" w:color="auto" w:fill="DDD9C3"/>
          </w:tcPr>
          <w:p>
            <w:pPr>
              <w:spacing w:after="0"/>
              <w:rPr>
                <w:sz w:val="22"/>
                <w:szCs w:val="22"/>
                <w:color w:val="auto"/>
              </w:rPr>
            </w:pPr>
          </w:p>
        </w:tc>
        <w:tc>
          <w:tcPr>
            <w:tcW w:w="1220" w:type="dxa"/>
            <w:vAlign w:val="bottom"/>
            <w:tcBorders>
              <w:top w:val="single" w:sz="8" w:color="auto"/>
              <w:right w:val="single" w:sz="8" w:color="DDD9C3"/>
            </w:tcBorders>
            <w:shd w:val="clear" w:color="auto" w:fill="DDD9C3"/>
          </w:tcPr>
          <w:p>
            <w:pPr>
              <w:spacing w:after="0"/>
              <w:rPr>
                <w:sz w:val="22"/>
                <w:szCs w:val="22"/>
                <w:color w:val="auto"/>
              </w:rPr>
            </w:pPr>
          </w:p>
        </w:tc>
        <w:tc>
          <w:tcPr>
            <w:tcW w:w="1220" w:type="dxa"/>
            <w:vAlign w:val="bottom"/>
            <w:tcBorders>
              <w:top w:val="single" w:sz="8" w:color="auto"/>
              <w:right w:val="single" w:sz="8" w:color="DDD9C3"/>
            </w:tcBorders>
            <w:shd w:val="clear" w:color="auto" w:fill="DDD9C3"/>
          </w:tcPr>
          <w:p>
            <w:pPr>
              <w:spacing w:after="0"/>
              <w:rPr>
                <w:sz w:val="22"/>
                <w:szCs w:val="22"/>
                <w:color w:val="auto"/>
              </w:rPr>
            </w:pPr>
          </w:p>
        </w:tc>
        <w:tc>
          <w:tcPr>
            <w:tcW w:w="1560" w:type="dxa"/>
            <w:vAlign w:val="bottom"/>
            <w:tcBorders>
              <w:top w:val="single" w:sz="8" w:color="auto"/>
            </w:tcBorders>
            <w:shd w:val="clear" w:color="auto" w:fill="DDD9C3"/>
          </w:tcPr>
          <w:p>
            <w:pPr>
              <w:jc w:val="center"/>
              <w:ind w:left="12"/>
              <w:spacing w:after="0"/>
              <w:rPr>
                <w:sz w:val="20"/>
                <w:szCs w:val="20"/>
                <w:color w:val="auto"/>
              </w:rPr>
            </w:pPr>
            <w:r>
              <w:rPr>
                <w:rFonts w:ascii="Arial" w:cs="Arial" w:eastAsia="Arial" w:hAnsi="Arial"/>
                <w:sz w:val="22"/>
                <w:szCs w:val="22"/>
                <w:b w:val="1"/>
                <w:bCs w:val="1"/>
                <w:color w:val="auto"/>
                <w:w w:val="89"/>
              </w:rPr>
              <w:t>Performance</w:t>
            </w:r>
          </w:p>
        </w:tc>
        <w:tc>
          <w:tcPr>
            <w:tcW w:w="180" w:type="dxa"/>
            <w:vAlign w:val="bottom"/>
            <w:tcBorders>
              <w:top w:val="single" w:sz="8" w:color="auto"/>
              <w:right w:val="single" w:sz="8" w:color="DDD9C3"/>
            </w:tcBorders>
            <w:shd w:val="clear" w:color="auto" w:fill="DDD9C3"/>
          </w:tcPr>
          <w:p>
            <w:pPr>
              <w:spacing w:after="0"/>
              <w:rPr>
                <w:sz w:val="22"/>
                <w:szCs w:val="22"/>
                <w:color w:val="auto"/>
              </w:rPr>
            </w:pPr>
          </w:p>
        </w:tc>
        <w:tc>
          <w:tcPr>
            <w:tcW w:w="1200" w:type="dxa"/>
            <w:vAlign w:val="bottom"/>
            <w:tcBorders>
              <w:top w:val="single" w:sz="8" w:color="auto"/>
              <w:right w:val="single" w:sz="8" w:color="DDD9C3"/>
            </w:tcBorders>
            <w:shd w:val="clear" w:color="auto" w:fill="DDD9C3"/>
          </w:tcPr>
          <w:p>
            <w:pPr>
              <w:jc w:val="center"/>
              <w:spacing w:after="0"/>
              <w:rPr>
                <w:sz w:val="20"/>
                <w:szCs w:val="20"/>
                <w:color w:val="auto"/>
              </w:rPr>
            </w:pPr>
            <w:r>
              <w:rPr>
                <w:rFonts w:ascii="Arial" w:cs="Arial" w:eastAsia="Arial" w:hAnsi="Arial"/>
                <w:sz w:val="22"/>
                <w:szCs w:val="22"/>
                <w:b w:val="1"/>
                <w:bCs w:val="1"/>
                <w:color w:val="auto"/>
                <w:w w:val="85"/>
              </w:rPr>
              <w:t># of Days</w:t>
            </w:r>
          </w:p>
        </w:tc>
        <w:tc>
          <w:tcPr>
            <w:tcW w:w="2220" w:type="dxa"/>
            <w:vAlign w:val="bottom"/>
            <w:tcBorders>
              <w:top w:val="single" w:sz="8" w:color="auto"/>
              <w:right w:val="single" w:sz="8" w:color="auto"/>
            </w:tcBorders>
            <w:shd w:val="clear" w:color="auto" w:fill="DDD9C3"/>
          </w:tcPr>
          <w:p>
            <w:pPr>
              <w:jc w:val="right"/>
              <w:ind w:right="612"/>
              <w:spacing w:after="0"/>
              <w:rPr>
                <w:sz w:val="20"/>
                <w:szCs w:val="20"/>
                <w:color w:val="auto"/>
              </w:rPr>
            </w:pPr>
            <w:r>
              <w:rPr>
                <w:rFonts w:ascii="Arial" w:cs="Arial" w:eastAsia="Arial" w:hAnsi="Arial"/>
                <w:sz w:val="22"/>
                <w:szCs w:val="22"/>
                <w:b w:val="1"/>
                <w:bCs w:val="1"/>
                <w:color w:val="auto"/>
              </w:rPr>
              <w:t>Prorated</w:t>
            </w:r>
          </w:p>
        </w:tc>
      </w:tr>
      <w:tr>
        <w:trPr>
          <w:trHeight w:val="291"/>
        </w:trPr>
        <w:tc>
          <w:tcPr>
            <w:tcW w:w="900" w:type="dxa"/>
            <w:vAlign w:val="bottom"/>
            <w:tcBorders>
              <w:left w:val="single" w:sz="8" w:color="auto"/>
              <w:bottom w:val="single" w:sz="8" w:color="auto"/>
              <w:right w:val="single" w:sz="8" w:color="DDD9C3"/>
            </w:tcBorders>
            <w:shd w:val="clear" w:color="auto" w:fill="DDD9C3"/>
          </w:tcPr>
          <w:p>
            <w:pPr>
              <w:ind w:left="220"/>
              <w:spacing w:after="0"/>
              <w:rPr>
                <w:sz w:val="20"/>
                <w:szCs w:val="20"/>
                <w:color w:val="auto"/>
              </w:rPr>
            </w:pPr>
            <w:r>
              <w:rPr>
                <w:rFonts w:ascii="Arial" w:cs="Arial" w:eastAsia="Arial" w:hAnsi="Arial"/>
                <w:sz w:val="22"/>
                <w:szCs w:val="22"/>
                <w:b w:val="1"/>
                <w:bCs w:val="1"/>
                <w:color w:val="auto"/>
              </w:rPr>
              <w:t>Role</w:t>
            </w:r>
          </w:p>
        </w:tc>
        <w:tc>
          <w:tcPr>
            <w:tcW w:w="1320" w:type="dxa"/>
            <w:vAlign w:val="bottom"/>
            <w:tcBorders>
              <w:bottom w:val="single" w:sz="8" w:color="auto"/>
              <w:right w:val="single" w:sz="8" w:color="DDD9C3"/>
            </w:tcBorders>
            <w:shd w:val="clear" w:color="auto" w:fill="DDD9C3"/>
          </w:tcPr>
          <w:p>
            <w:pPr>
              <w:jc w:val="right"/>
              <w:ind w:right="32"/>
              <w:spacing w:after="0"/>
              <w:rPr>
                <w:sz w:val="20"/>
                <w:szCs w:val="20"/>
                <w:color w:val="auto"/>
              </w:rPr>
            </w:pPr>
            <w:r>
              <w:rPr>
                <w:rFonts w:ascii="Arial" w:cs="Arial" w:eastAsia="Arial" w:hAnsi="Arial"/>
                <w:sz w:val="22"/>
                <w:szCs w:val="22"/>
                <w:b w:val="1"/>
                <w:bCs w:val="1"/>
                <w:color w:val="auto"/>
                <w:w w:val="92"/>
              </w:rPr>
              <w:t>Base Salary</w:t>
            </w:r>
          </w:p>
        </w:tc>
        <w:tc>
          <w:tcPr>
            <w:tcW w:w="1220" w:type="dxa"/>
            <w:vAlign w:val="bottom"/>
            <w:tcBorders>
              <w:bottom w:val="single" w:sz="8" w:color="auto"/>
              <w:right w:val="single" w:sz="8" w:color="DDD9C3"/>
            </w:tcBorders>
            <w:shd w:val="clear" w:color="auto" w:fill="DDD9C3"/>
          </w:tcPr>
          <w:p>
            <w:pPr>
              <w:jc w:val="center"/>
              <w:spacing w:after="0"/>
              <w:rPr>
                <w:sz w:val="20"/>
                <w:szCs w:val="20"/>
                <w:color w:val="auto"/>
              </w:rPr>
            </w:pPr>
            <w:r>
              <w:rPr>
                <w:rFonts w:ascii="Arial" w:cs="Arial" w:eastAsia="Arial" w:hAnsi="Arial"/>
                <w:sz w:val="22"/>
                <w:szCs w:val="22"/>
                <w:b w:val="1"/>
                <w:bCs w:val="1"/>
                <w:color w:val="auto"/>
                <w:w w:val="94"/>
              </w:rPr>
              <w:t>Target %</w:t>
            </w:r>
          </w:p>
        </w:tc>
        <w:tc>
          <w:tcPr>
            <w:tcW w:w="1220" w:type="dxa"/>
            <w:vAlign w:val="bottom"/>
            <w:tcBorders>
              <w:bottom w:val="single" w:sz="8" w:color="auto"/>
              <w:right w:val="single" w:sz="8" w:color="DDD9C3"/>
            </w:tcBorders>
            <w:shd w:val="clear" w:color="auto" w:fill="DDD9C3"/>
          </w:tcPr>
          <w:p>
            <w:pPr>
              <w:jc w:val="right"/>
              <w:ind w:right="152"/>
              <w:spacing w:after="0"/>
              <w:rPr>
                <w:sz w:val="20"/>
                <w:szCs w:val="20"/>
                <w:color w:val="auto"/>
              </w:rPr>
            </w:pPr>
            <w:r>
              <w:rPr>
                <w:rFonts w:ascii="Arial" w:cs="Arial" w:eastAsia="Arial" w:hAnsi="Arial"/>
                <w:sz w:val="22"/>
                <w:szCs w:val="22"/>
                <w:b w:val="1"/>
                <w:bCs w:val="1"/>
                <w:color w:val="auto"/>
              </w:rPr>
              <w:t>Target $</w:t>
            </w:r>
          </w:p>
        </w:tc>
        <w:tc>
          <w:tcPr>
            <w:tcW w:w="1220" w:type="dxa"/>
            <w:vAlign w:val="bottom"/>
            <w:tcBorders>
              <w:bottom w:val="single" w:sz="8" w:color="auto"/>
              <w:right w:val="single" w:sz="8" w:color="DDD9C3"/>
            </w:tcBorders>
            <w:shd w:val="clear" w:color="auto" w:fill="DDD9C3"/>
          </w:tcPr>
          <w:p>
            <w:pPr>
              <w:jc w:val="center"/>
              <w:spacing w:after="0"/>
              <w:rPr>
                <w:sz w:val="20"/>
                <w:szCs w:val="20"/>
                <w:color w:val="auto"/>
              </w:rPr>
            </w:pPr>
            <w:r>
              <w:rPr>
                <w:rFonts w:ascii="Arial" w:cs="Arial" w:eastAsia="Arial" w:hAnsi="Arial"/>
                <w:sz w:val="22"/>
                <w:szCs w:val="22"/>
                <w:b w:val="1"/>
                <w:bCs w:val="1"/>
                <w:color w:val="auto"/>
                <w:w w:val="92"/>
              </w:rPr>
              <w:t>Funding %</w:t>
            </w:r>
          </w:p>
        </w:tc>
        <w:tc>
          <w:tcPr>
            <w:tcW w:w="1560" w:type="dxa"/>
            <w:vAlign w:val="bottom"/>
            <w:tcBorders>
              <w:bottom w:val="single" w:sz="8" w:color="auto"/>
            </w:tcBorders>
            <w:shd w:val="clear" w:color="auto" w:fill="DDD9C3"/>
          </w:tcPr>
          <w:p>
            <w:pPr>
              <w:jc w:val="center"/>
              <w:ind w:left="32"/>
              <w:spacing w:after="0"/>
              <w:rPr>
                <w:sz w:val="20"/>
                <w:szCs w:val="20"/>
                <w:color w:val="auto"/>
              </w:rPr>
            </w:pPr>
            <w:r>
              <w:rPr>
                <w:rFonts w:ascii="Arial" w:cs="Arial" w:eastAsia="Arial" w:hAnsi="Arial"/>
                <w:sz w:val="22"/>
                <w:szCs w:val="22"/>
                <w:b w:val="1"/>
                <w:bCs w:val="1"/>
                <w:color w:val="auto"/>
                <w:w w:val="90"/>
              </w:rPr>
              <w:t>Rating</w:t>
            </w:r>
          </w:p>
        </w:tc>
        <w:tc>
          <w:tcPr>
            <w:tcW w:w="180" w:type="dxa"/>
            <w:vAlign w:val="bottom"/>
            <w:tcBorders>
              <w:bottom w:val="single" w:sz="8" w:color="auto"/>
              <w:right w:val="single" w:sz="8" w:color="DDD9C3"/>
            </w:tcBorders>
            <w:shd w:val="clear" w:color="auto" w:fill="DDD9C3"/>
          </w:tcPr>
          <w:p>
            <w:pPr>
              <w:spacing w:after="0"/>
              <w:rPr>
                <w:sz w:val="24"/>
                <w:szCs w:val="24"/>
                <w:color w:val="auto"/>
              </w:rPr>
            </w:pPr>
          </w:p>
        </w:tc>
        <w:tc>
          <w:tcPr>
            <w:tcW w:w="1200" w:type="dxa"/>
            <w:vAlign w:val="bottom"/>
            <w:tcBorders>
              <w:bottom w:val="single" w:sz="8" w:color="auto"/>
              <w:right w:val="single" w:sz="8" w:color="DDD9C3"/>
            </w:tcBorders>
            <w:shd w:val="clear" w:color="auto" w:fill="DDD9C3"/>
          </w:tcPr>
          <w:p>
            <w:pPr>
              <w:jc w:val="center"/>
              <w:spacing w:after="0"/>
              <w:rPr>
                <w:sz w:val="20"/>
                <w:szCs w:val="20"/>
                <w:color w:val="auto"/>
              </w:rPr>
            </w:pPr>
            <w:r>
              <w:rPr>
                <w:rFonts w:ascii="Arial" w:cs="Arial" w:eastAsia="Arial" w:hAnsi="Arial"/>
                <w:sz w:val="22"/>
                <w:szCs w:val="22"/>
                <w:b w:val="1"/>
                <w:bCs w:val="1"/>
                <w:color w:val="auto"/>
                <w:w w:val="92"/>
              </w:rPr>
              <w:t>In Role</w:t>
            </w:r>
          </w:p>
        </w:tc>
        <w:tc>
          <w:tcPr>
            <w:tcW w:w="2220" w:type="dxa"/>
            <w:vAlign w:val="bottom"/>
            <w:tcBorders>
              <w:bottom w:val="single" w:sz="8" w:color="auto"/>
              <w:right w:val="single" w:sz="8" w:color="auto"/>
            </w:tcBorders>
            <w:shd w:val="clear" w:color="auto" w:fill="DDD9C3"/>
          </w:tcPr>
          <w:p>
            <w:pPr>
              <w:jc w:val="right"/>
              <w:ind w:right="712"/>
              <w:spacing w:after="0"/>
              <w:rPr>
                <w:sz w:val="20"/>
                <w:szCs w:val="20"/>
                <w:color w:val="auto"/>
              </w:rPr>
            </w:pPr>
            <w:r>
              <w:rPr>
                <w:rFonts w:ascii="Arial" w:cs="Arial" w:eastAsia="Arial" w:hAnsi="Arial"/>
                <w:sz w:val="22"/>
                <w:szCs w:val="22"/>
                <w:b w:val="1"/>
                <w:bCs w:val="1"/>
                <w:color w:val="auto"/>
              </w:rPr>
              <w:t>Payout</w:t>
            </w:r>
          </w:p>
        </w:tc>
      </w:tr>
      <w:tr>
        <w:trPr>
          <w:trHeight w:val="291"/>
        </w:trPr>
        <w:tc>
          <w:tcPr>
            <w:tcW w:w="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SVP</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$250,000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42.5%</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$106,250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c>
          <w:tcPr>
            <w:tcW w:w="1560" w:type="dxa"/>
            <w:vAlign w:val="bottom"/>
            <w:tcBorders>
              <w:bottom w:val="single" w:sz="8" w:color="auto"/>
            </w:tcBorders>
          </w:tcPr>
          <w:p>
            <w:pPr>
              <w:jc w:val="center"/>
              <w:ind w:left="32"/>
              <w:spacing w:after="0"/>
              <w:rPr>
                <w:sz w:val="20"/>
                <w:szCs w:val="20"/>
                <w:color w:val="auto"/>
              </w:rPr>
            </w:pPr>
            <w:r>
              <w:rPr>
                <w:rFonts w:ascii="Arial" w:cs="Arial" w:eastAsia="Arial" w:hAnsi="Arial"/>
                <w:sz w:val="22"/>
                <w:szCs w:val="22"/>
                <w:color w:val="auto"/>
                <w:w w:val="88"/>
              </w:rPr>
              <w:t>100%</w:t>
            </w:r>
          </w:p>
        </w:tc>
        <w:tc>
          <w:tcPr>
            <w:tcW w:w="1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jc w:val="right"/>
              <w:ind w:right="392"/>
              <w:spacing w:after="0"/>
              <w:rPr>
                <w:sz w:val="20"/>
                <w:szCs w:val="20"/>
                <w:color w:val="auto"/>
              </w:rPr>
            </w:pPr>
            <w:r>
              <w:rPr>
                <w:rFonts w:ascii="Arial" w:cs="Arial" w:eastAsia="Arial" w:hAnsi="Arial"/>
                <w:sz w:val="22"/>
                <w:szCs w:val="22"/>
                <w:color w:val="auto"/>
              </w:rPr>
              <w:t>92</w:t>
            </w:r>
          </w:p>
        </w:tc>
        <w:tc>
          <w:tcPr>
            <w:tcW w:w="2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$26,781</w:t>
            </w:r>
          </w:p>
        </w:tc>
      </w:tr>
      <w:tr>
        <w:trPr>
          <w:trHeight w:val="291"/>
        </w:trPr>
        <w:tc>
          <w:tcPr>
            <w:tcW w:w="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VP</w:t>
            </w:r>
          </w:p>
        </w:tc>
        <w:tc>
          <w:tcPr>
            <w:tcW w:w="13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$225,000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35.0%</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$78,750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c>
          <w:tcPr>
            <w:tcW w:w="1560" w:type="dxa"/>
            <w:vAlign w:val="bottom"/>
            <w:tcBorders>
              <w:bottom w:val="single" w:sz="8" w:color="auto"/>
            </w:tcBorders>
          </w:tcPr>
          <w:p>
            <w:pPr>
              <w:jc w:val="center"/>
              <w:ind w:left="32"/>
              <w:spacing w:after="0"/>
              <w:rPr>
                <w:sz w:val="20"/>
                <w:szCs w:val="20"/>
                <w:color w:val="auto"/>
              </w:rPr>
            </w:pPr>
            <w:r>
              <w:rPr>
                <w:rFonts w:ascii="Arial" w:cs="Arial" w:eastAsia="Arial" w:hAnsi="Arial"/>
                <w:sz w:val="22"/>
                <w:szCs w:val="22"/>
                <w:color w:val="auto"/>
                <w:w w:val="88"/>
              </w:rPr>
              <w:t>100%</w:t>
            </w:r>
          </w:p>
        </w:tc>
        <w:tc>
          <w:tcPr>
            <w:tcW w:w="18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jc w:val="right"/>
              <w:ind w:right="332"/>
              <w:spacing w:after="0"/>
              <w:rPr>
                <w:sz w:val="20"/>
                <w:szCs w:val="20"/>
                <w:color w:val="auto"/>
              </w:rPr>
            </w:pPr>
            <w:r>
              <w:rPr>
                <w:rFonts w:ascii="Arial" w:cs="Arial" w:eastAsia="Arial" w:hAnsi="Arial"/>
                <w:sz w:val="22"/>
                <w:szCs w:val="22"/>
                <w:color w:val="auto"/>
              </w:rPr>
              <w:t>273</w:t>
            </w:r>
          </w:p>
        </w:tc>
        <w:tc>
          <w:tcPr>
            <w:tcW w:w="2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color w:val="auto"/>
              </w:rPr>
              <w:t>$58,901</w:t>
            </w:r>
          </w:p>
        </w:tc>
      </w:tr>
      <w:tr>
        <w:trPr>
          <w:trHeight w:val="291"/>
        </w:trPr>
        <w:tc>
          <w:tcPr>
            <w:tcW w:w="900" w:type="dxa"/>
            <w:vAlign w:val="bottom"/>
            <w:tcBorders>
              <w:left w:val="single" w:sz="8" w:color="auto"/>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22"/>
                <w:szCs w:val="22"/>
                <w:color w:val="auto"/>
                <w:w w:val="94"/>
              </w:rPr>
              <w:t>Final Amount</w:t>
            </w:r>
          </w:p>
        </w:tc>
        <w:tc>
          <w:tcPr>
            <w:tcW w:w="2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22"/>
                <w:szCs w:val="22"/>
                <w:b w:val="1"/>
                <w:bCs w:val="1"/>
                <w:color w:val="auto"/>
              </w:rPr>
              <w:t>$85,682</w:t>
            </w:r>
          </w:p>
        </w:tc>
      </w:tr>
    </w:tbl>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Pro-Ration for Leave of Absence</w:t>
      </w:r>
    </w:p>
    <w:p>
      <w:pPr>
        <w:spacing w:after="0" w:line="118" w:lineRule="exact"/>
        <w:rPr>
          <w:sz w:val="20"/>
          <w:szCs w:val="20"/>
          <w:color w:val="auto"/>
        </w:rPr>
      </w:pPr>
    </w:p>
    <w:p>
      <w:pPr>
        <w:jc w:val="both"/>
        <w:spacing w:after="0" w:line="366" w:lineRule="auto"/>
        <w:rPr>
          <w:sz w:val="20"/>
          <w:szCs w:val="20"/>
          <w:color w:val="auto"/>
        </w:rPr>
      </w:pPr>
      <w:r>
        <w:rPr>
          <w:rFonts w:ascii="Arial" w:cs="Arial" w:eastAsia="Arial" w:hAnsi="Arial"/>
          <w:sz w:val="22"/>
          <w:szCs w:val="22"/>
          <w:color w:val="auto"/>
        </w:rPr>
        <w:t>Individual incentive determinations for employees who have a paid or unpaid leave of absence (this does not include vacation) in excess of one month during the Plan Year will be prorated to reflect the time on leave.</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Payouts</w:t>
      </w:r>
    </w:p>
    <w:p>
      <w:pPr>
        <w:spacing w:after="0" w:line="118" w:lineRule="exact"/>
        <w:rPr>
          <w:sz w:val="20"/>
          <w:szCs w:val="20"/>
          <w:color w:val="auto"/>
        </w:rPr>
      </w:pPr>
    </w:p>
    <w:p>
      <w:pPr>
        <w:jc w:val="both"/>
        <w:spacing w:after="0" w:line="373" w:lineRule="auto"/>
        <w:rPr>
          <w:sz w:val="20"/>
          <w:szCs w:val="20"/>
          <w:color w:val="auto"/>
        </w:rPr>
      </w:pPr>
      <w:r>
        <w:rPr>
          <w:rFonts w:ascii="Arial" w:cs="Arial" w:eastAsia="Arial" w:hAnsi="Arial"/>
          <w:sz w:val="21"/>
          <w:szCs w:val="21"/>
          <w:color w:val="auto"/>
        </w:rPr>
        <w:t>Individual incentive determinations calculated in accordance with the terms of this Plan will be paid in cash or pursuant to equity awards granted under the Company’s equity compensation plan, or a combination thereof, at the discretion of the Compensation Committee, minus applicable deductions and withholding as required by law, by the close of the first quarter following the previous fiscal year end. Payouts will be rounded to the nearest whole dollar amount.</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Termination of Employment</w:t>
      </w:r>
    </w:p>
    <w:p>
      <w:pPr>
        <w:spacing w:after="0" w:line="118" w:lineRule="exact"/>
        <w:rPr>
          <w:sz w:val="20"/>
          <w:szCs w:val="20"/>
          <w:color w:val="auto"/>
        </w:rPr>
      </w:pPr>
    </w:p>
    <w:p>
      <w:pPr>
        <w:jc w:val="both"/>
        <w:spacing w:after="0" w:line="351" w:lineRule="auto"/>
        <w:rPr>
          <w:sz w:val="20"/>
          <w:szCs w:val="20"/>
          <w:color w:val="auto"/>
        </w:rPr>
      </w:pPr>
      <w:r>
        <w:rPr>
          <w:rFonts w:ascii="Arial" w:cs="Arial" w:eastAsia="Arial" w:hAnsi="Arial"/>
          <w:sz w:val="22"/>
          <w:szCs w:val="22"/>
          <w:color w:val="auto"/>
        </w:rPr>
        <w:t>Incentive payments under the Plan do not vest until the date Plan payments are made. To be eligible to receive a payment, a participant must be employed by the Company on the date Plan payments are made. Employees whose employment ends prior to the payment date under the Plan for any fiscal year will not be eligible, subject to the discretion of the Compensation Committee. However, if an otherwise eligible employee is not employed as of the date of the payout under the Plan due to death or long-term disability under the Company</w:t>
      </w:r>
    </w:p>
    <w:p>
      <w:pPr>
        <w:sectPr>
          <w:pgSz w:w="11900" w:h="16838" w:orient="portrait"/>
          <w:cols w:equalWidth="0" w:num="1">
            <w:col w:w="11420"/>
          </w:cols>
          <w:pgMar w:left="240" w:top="714" w:right="239" w:bottom="1440" w:gutter="0" w:footer="0" w:header="0"/>
        </w:sectPr>
      </w:pPr>
    </w:p>
    <w:bookmarkStart w:id="43" w:name="page44"/>
    <w:bookmarkEnd w:id="43"/>
    <w:p>
      <w:pPr>
        <w:jc w:val="both"/>
        <w:spacing w:after="0" w:line="356" w:lineRule="auto"/>
        <w:rPr>
          <w:sz w:val="20"/>
          <w:szCs w:val="20"/>
          <w:color w:val="auto"/>
        </w:rPr>
      </w:pPr>
      <w:r>
        <w:rPr>
          <w:rFonts w:ascii="Arial" w:cs="Arial" w:eastAsia="Arial" w:hAnsi="Arial"/>
          <w:sz w:val="22"/>
          <w:szCs w:val="22"/>
          <w:color w:val="auto"/>
        </w:rPr>
        <w:t>long-term disability plan, such employee, if he or she would have otherwise received a payout under the Plan but for his or her death or disability, shall be entitled to receive a pro-rated payment for the portion of the fiscal year the employee was actively employed.</w:t>
      </w:r>
    </w:p>
    <w:p>
      <w:pPr>
        <w:spacing w:after="0" w:line="333" w:lineRule="exact"/>
        <w:rPr>
          <w:sz w:val="20"/>
          <w:szCs w:val="20"/>
          <w:color w:val="auto"/>
        </w:rPr>
      </w:pPr>
    </w:p>
    <w:p>
      <w:pPr>
        <w:jc w:val="both"/>
        <w:spacing w:after="0" w:line="366" w:lineRule="auto"/>
        <w:rPr>
          <w:sz w:val="20"/>
          <w:szCs w:val="20"/>
          <w:color w:val="auto"/>
        </w:rPr>
      </w:pPr>
      <w:r>
        <w:rPr>
          <w:rFonts w:ascii="Arial" w:cs="Arial" w:eastAsia="Arial" w:hAnsi="Arial"/>
          <w:sz w:val="22"/>
          <w:szCs w:val="22"/>
          <w:color w:val="auto"/>
        </w:rPr>
        <w:t>If an employee terminates employment and is subsequently rehired, eligibility under this Plan restarts with the employee’s rehire date.</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Material Restatement of Financial Results</w:t>
      </w:r>
    </w:p>
    <w:p>
      <w:pPr>
        <w:spacing w:after="0" w:line="118" w:lineRule="exact"/>
        <w:rPr>
          <w:sz w:val="20"/>
          <w:szCs w:val="20"/>
          <w:color w:val="auto"/>
        </w:rPr>
      </w:pPr>
    </w:p>
    <w:p>
      <w:pPr>
        <w:jc w:val="both"/>
        <w:spacing w:after="0" w:line="409" w:lineRule="auto"/>
        <w:rPr>
          <w:sz w:val="20"/>
          <w:szCs w:val="20"/>
          <w:color w:val="auto"/>
        </w:rPr>
      </w:pPr>
      <w:r>
        <w:rPr>
          <w:rFonts w:ascii="Arial" w:cs="Arial" w:eastAsia="Arial" w:hAnsi="Arial"/>
          <w:sz w:val="19"/>
          <w:szCs w:val="19"/>
          <w:color w:val="auto"/>
        </w:rPr>
        <w:t>In the event that the Board determines there has been a material restatement of publicly issued financial results from those previously issued to the public , the Board will review all incentive payments made to executive officers on the basis of having met or exceeded specific performance targets and, if such payments would have been lower had they been calculated based on such restated results, the Board will, to the extent permitted by governing law, seek to recoup for the benefit of our company such payments made in excess of the amount that would have been paid based on the restated results. This will apply to all incentive payments made during the three-year period prior to the restatement, beginning with payments earned for the 2012 fiscal year. For purposes of this policy, the term “executive officers” has the meaning given in Rule 3b-7 under the Securities Exchange Act of 1934, as amended, and the term “incentive payments” means bonuses and awards under the Plan.</w:t>
      </w:r>
    </w:p>
    <w:p>
      <w:pPr>
        <w:spacing w:after="0" w:line="2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Plan Administration, Modification and Discontinuance</w:t>
      </w:r>
    </w:p>
    <w:p>
      <w:pPr>
        <w:spacing w:after="0" w:line="118" w:lineRule="exact"/>
        <w:rPr>
          <w:sz w:val="20"/>
          <w:szCs w:val="20"/>
          <w:color w:val="auto"/>
        </w:rPr>
      </w:pPr>
    </w:p>
    <w:p>
      <w:pPr>
        <w:jc w:val="both"/>
        <w:spacing w:after="0" w:line="421" w:lineRule="auto"/>
        <w:rPr>
          <w:sz w:val="20"/>
          <w:szCs w:val="20"/>
          <w:color w:val="auto"/>
        </w:rPr>
      </w:pPr>
      <w:r>
        <w:rPr>
          <w:rFonts w:ascii="Arial" w:cs="Arial" w:eastAsia="Arial" w:hAnsi="Arial"/>
          <w:sz w:val="19"/>
          <w:szCs w:val="19"/>
          <w:color w:val="auto"/>
        </w:rPr>
        <w:t>This Plan is administered by the Compensation Committee. The Compensation Committee has authority to interpret the Plan and to make, amend, or nullify any rules and procedures deemed necessary for proper Plan administration, including, but not limited to, performance targets, results and extraordinary events. The EBITDA performance targets and corresponding funding levels shall be adjusted for acquisitions, divestitures, or board imposed unbudgeted expenses in the discretion of the Compensation Committee.</w:t>
      </w:r>
    </w:p>
    <w:p>
      <w:pPr>
        <w:spacing w:after="0" w:line="290" w:lineRule="exact"/>
        <w:rPr>
          <w:sz w:val="20"/>
          <w:szCs w:val="20"/>
          <w:color w:val="auto"/>
        </w:rPr>
      </w:pPr>
    </w:p>
    <w:p>
      <w:pPr>
        <w:jc w:val="both"/>
        <w:spacing w:after="0" w:line="356" w:lineRule="auto"/>
        <w:rPr>
          <w:sz w:val="20"/>
          <w:szCs w:val="20"/>
          <w:color w:val="auto"/>
        </w:rPr>
      </w:pPr>
      <w:r>
        <w:rPr>
          <w:rFonts w:ascii="Arial" w:cs="Arial" w:eastAsia="Arial" w:hAnsi="Arial"/>
          <w:sz w:val="22"/>
          <w:szCs w:val="22"/>
          <w:color w:val="auto"/>
        </w:rPr>
        <w:t>Notwithstanding the foregoing, no Plan payouts will be made until and unless the Compensation Committee has certified that the performance goals and all other material terms have been satisfied. The Compensation Committee has the sole discretion to modify the application of this Plan.</w:t>
      </w:r>
    </w:p>
    <w:p>
      <w:pPr>
        <w:spacing w:after="0" w:line="3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Continued Employment</w:t>
      </w:r>
    </w:p>
    <w:p>
      <w:pPr>
        <w:spacing w:after="0" w:line="118" w:lineRule="exact"/>
        <w:rPr>
          <w:sz w:val="20"/>
          <w:szCs w:val="20"/>
          <w:color w:val="auto"/>
        </w:rPr>
      </w:pPr>
    </w:p>
    <w:p>
      <w:pPr>
        <w:jc w:val="both"/>
        <w:spacing w:after="0" w:line="356" w:lineRule="auto"/>
        <w:rPr>
          <w:sz w:val="20"/>
          <w:szCs w:val="20"/>
          <w:color w:val="auto"/>
        </w:rPr>
      </w:pPr>
      <w:r>
        <w:rPr>
          <w:rFonts w:ascii="Arial" w:cs="Arial" w:eastAsia="Arial" w:hAnsi="Arial"/>
          <w:sz w:val="22"/>
          <w:szCs w:val="22"/>
          <w:color w:val="auto"/>
        </w:rPr>
        <w:t>The Plan is not intended to and does not give any employee the right to continued employment with the Company. The Plan does not create a contract of employment with any employee and does not alter the at-will nature of employee’s employment with the Company.</w:t>
      </w:r>
    </w:p>
    <w:p>
      <w:pPr>
        <w:sectPr>
          <w:pgSz w:w="11900" w:h="16838" w:orient="portrait"/>
          <w:cols w:equalWidth="0" w:num="1">
            <w:col w:w="11420"/>
          </w:cols>
          <w:pgMar w:left="240" w:top="645" w:right="239" w:bottom="1440" w:gutter="0" w:footer="0" w:header="0"/>
        </w:sectPr>
      </w:pPr>
    </w:p>
    <w:bookmarkStart w:id="44" w:name="page45"/>
    <w:bookmarkEnd w:id="44"/>
    <w:p>
      <w:pPr>
        <w:jc w:val="both"/>
        <w:spacing w:after="0" w:line="356" w:lineRule="auto"/>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rFonts w:ascii="Arial" w:cs="Arial" w:eastAsia="Arial" w:hAnsi="Arial"/>
          <w:sz w:val="25"/>
          <w:szCs w:val="25"/>
          <w:b w:val="1"/>
          <w:bCs w:val="1"/>
          <w:u w:val="single" w:color="auto"/>
          <w:color w:val="auto"/>
        </w:rPr>
        <w:t>Exhibit A - EBITDA Funding Matrix</w:t>
      </w:r>
    </w:p>
    <w:p>
      <w:pPr>
        <w:spacing w:after="0" w:line="200" w:lineRule="exact"/>
        <w:rPr>
          <w:sz w:val="20"/>
          <w:szCs w:val="20"/>
          <w:color w:val="auto"/>
        </w:rPr>
      </w:pPr>
    </w:p>
    <w:p>
      <w:pPr>
        <w:spacing w:after="0" w:line="326" w:lineRule="exact"/>
        <w:rPr>
          <w:sz w:val="20"/>
          <w:szCs w:val="20"/>
          <w:color w:val="auto"/>
        </w:rPr>
      </w:pPr>
    </w:p>
    <w:tbl>
      <w:tblPr>
        <w:tblLayout w:type="fixed"/>
        <w:tblInd w:w="190" w:type="dxa"/>
        <w:tblCellMar>
          <w:top w:w="0" w:type="dxa"/>
          <w:left w:w="0" w:type="dxa"/>
          <w:bottom w:w="0" w:type="dxa"/>
          <w:right w:w="0" w:type="dxa"/>
        </w:tblCellMar>
      </w:tblPr>
      <w:tr>
        <w:trPr>
          <w:trHeight w:val="256"/>
        </w:trPr>
        <w:tc>
          <w:tcPr>
            <w:tcW w:w="4360" w:type="dxa"/>
            <w:vAlign w:val="bottom"/>
            <w:tcBorders>
              <w:top w:val="single" w:sz="8" w:color="auto"/>
              <w:left w:val="single" w:sz="8" w:color="auto"/>
              <w:right w:val="single" w:sz="8" w:color="DDD9C3"/>
            </w:tcBorders>
            <w:shd w:val="clear" w:color="auto" w:fill="DDD9C3"/>
          </w:tcPr>
          <w:p>
            <w:pPr>
              <w:jc w:val="center"/>
              <w:spacing w:after="0"/>
              <w:rPr>
                <w:sz w:val="20"/>
                <w:szCs w:val="20"/>
                <w:color w:val="auto"/>
              </w:rPr>
            </w:pPr>
            <w:r>
              <w:rPr>
                <w:rFonts w:ascii="Arial" w:cs="Arial" w:eastAsia="Arial" w:hAnsi="Arial"/>
                <w:sz w:val="22"/>
                <w:szCs w:val="22"/>
                <w:b w:val="1"/>
                <w:bCs w:val="1"/>
                <w:color w:val="auto"/>
                <w:w w:val="91"/>
              </w:rPr>
              <w:t>Percent of the EBITDA Target Obtained for</w:t>
            </w:r>
          </w:p>
        </w:tc>
        <w:tc>
          <w:tcPr>
            <w:tcW w:w="4340" w:type="dxa"/>
            <w:vAlign w:val="bottom"/>
            <w:tcBorders>
              <w:top w:val="single" w:sz="8" w:color="auto"/>
              <w:right w:val="single" w:sz="8" w:color="auto"/>
            </w:tcBorders>
            <w:shd w:val="clear" w:color="auto" w:fill="DDD9C3"/>
          </w:tcPr>
          <w:p>
            <w:pPr>
              <w:ind w:left="160"/>
              <w:spacing w:after="0"/>
              <w:rPr>
                <w:sz w:val="20"/>
                <w:szCs w:val="20"/>
                <w:color w:val="auto"/>
              </w:rPr>
            </w:pPr>
            <w:r>
              <w:rPr>
                <w:rFonts w:ascii="Arial" w:cs="Arial" w:eastAsia="Arial" w:hAnsi="Arial"/>
                <w:sz w:val="22"/>
                <w:szCs w:val="22"/>
                <w:b w:val="1"/>
                <w:bCs w:val="1"/>
                <w:color w:val="auto"/>
                <w:w w:val="93"/>
              </w:rPr>
              <w:t>Percent of Incentive Target Funded- Grade</w:t>
            </w:r>
          </w:p>
        </w:tc>
      </w:tr>
      <w:tr>
        <w:trPr>
          <w:trHeight w:val="291"/>
        </w:trPr>
        <w:tc>
          <w:tcPr>
            <w:tcW w:w="4360" w:type="dxa"/>
            <w:vAlign w:val="bottom"/>
            <w:tcBorders>
              <w:left w:val="single" w:sz="8" w:color="auto"/>
              <w:bottom w:val="single" w:sz="8" w:color="auto"/>
              <w:right w:val="single" w:sz="8" w:color="DDD9C3"/>
            </w:tcBorders>
            <w:shd w:val="clear" w:color="auto" w:fill="DDD9C3"/>
          </w:tcPr>
          <w:p>
            <w:pPr>
              <w:jc w:val="center"/>
              <w:spacing w:after="0"/>
              <w:rPr>
                <w:sz w:val="20"/>
                <w:szCs w:val="20"/>
                <w:color w:val="auto"/>
              </w:rPr>
            </w:pPr>
            <w:r>
              <w:rPr>
                <w:rFonts w:ascii="Arial" w:cs="Arial" w:eastAsia="Arial" w:hAnsi="Arial"/>
                <w:sz w:val="22"/>
                <w:szCs w:val="22"/>
                <w:b w:val="1"/>
                <w:bCs w:val="1"/>
                <w:color w:val="auto"/>
                <w:w w:val="88"/>
              </w:rPr>
              <w:t>the Division</w:t>
            </w:r>
          </w:p>
        </w:tc>
        <w:tc>
          <w:tcPr>
            <w:tcW w:w="4340" w:type="dxa"/>
            <w:vAlign w:val="bottom"/>
            <w:tcBorders>
              <w:bottom w:val="single" w:sz="8" w:color="auto"/>
              <w:right w:val="single" w:sz="8" w:color="auto"/>
            </w:tcBorders>
            <w:shd w:val="clear" w:color="auto" w:fill="DDD9C3"/>
          </w:tcPr>
          <w:p>
            <w:pPr>
              <w:jc w:val="center"/>
              <w:spacing w:after="0"/>
              <w:rPr>
                <w:sz w:val="20"/>
                <w:szCs w:val="20"/>
                <w:color w:val="auto"/>
              </w:rPr>
            </w:pPr>
            <w:r>
              <w:rPr>
                <w:rFonts w:ascii="Arial" w:cs="Arial" w:eastAsia="Arial" w:hAnsi="Arial"/>
                <w:sz w:val="22"/>
                <w:szCs w:val="22"/>
                <w:b w:val="1"/>
                <w:bCs w:val="1"/>
                <w:color w:val="auto"/>
                <w:w w:val="90"/>
              </w:rPr>
              <w:t>33+</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&lt;80%</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80%</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15.00%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81%</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16.00%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82%</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17.00%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83%</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18.00%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84%</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19.00%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85%</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86%</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21.00%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87%</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22.00%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88%</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23.00%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89%</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24.00%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90%</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25.00%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91%</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30.00%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92%</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35.00%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93%</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94%</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45.00%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95%</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3"/>
              </w:rPr>
              <w:t>50.00%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96%</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60.00%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97%</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70.00%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98%</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80.00%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99%</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90.00%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100%</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100.00%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101%</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107.50%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102%</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115.00%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103%</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122.50%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104%</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130.00%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105%</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137.50%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106%</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145.00%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107%</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152.50%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108%</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160.00%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109%</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167.50%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110%</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175.00%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111%</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177.50%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112%</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180.00%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113%</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182.50%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114%</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185.00%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115%</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187.50%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116%</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190.00%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117%</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192.50%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118%</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195.00%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119%</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197.50%</w:t>
            </w:r>
          </w:p>
        </w:tc>
      </w:tr>
      <w:tr>
        <w:trPr>
          <w:trHeight w:val="291"/>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5"/>
              </w:rPr>
              <w:t>&gt;=120%</w:t>
            </w:r>
          </w:p>
        </w:tc>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2"/>
              </w:rPr>
              <w:t>200.00%</w:t>
            </w:r>
          </w:p>
        </w:tc>
      </w:tr>
    </w:tbl>
    <w:p>
      <w:pPr>
        <w:sectPr>
          <w:pgSz w:w="11900" w:h="16838" w:orient="portrait"/>
          <w:cols w:equalWidth="0" w:num="1">
            <w:col w:w="9019"/>
          </w:cols>
          <w:pgMar w:left="1440" w:top="643" w:right="1440" w:bottom="1440" w:gutter="0" w:footer="0" w:header="0"/>
        </w:sectPr>
      </w:pPr>
    </w:p>
    <w:bookmarkStart w:id="46" w:name="page47"/>
    <w:bookmarkEnd w:id="46"/>
    <w:p>
      <w:pPr>
        <w:ind w:left="3520"/>
        <w:spacing w:after="0"/>
        <w:rPr>
          <w:sz w:val="20"/>
          <w:szCs w:val="20"/>
          <w:color w:val="auto"/>
        </w:rPr>
      </w:pPr>
      <w:r>
        <w:rPr>
          <w:rFonts w:ascii="Arial" w:cs="Arial" w:eastAsia="Arial" w:hAnsi="Arial"/>
          <w:sz w:val="25"/>
          <w:szCs w:val="25"/>
          <w:b w:val="1"/>
          <w:bCs w:val="1"/>
          <w:u w:val="single" w:color="auto"/>
          <w:color w:val="auto"/>
        </w:rPr>
        <w:t>Exhibit B - Performance Rating Variable</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illustrates how an individual’s performance rating affects the overall Management Incentive Plan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346710</wp:posOffset>
            </wp:positionV>
            <wp:extent cx="5720080" cy="1389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20080" cy="138938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Performance Rating Chart</w:t>
      </w:r>
    </w:p>
    <w:p>
      <w:pPr>
        <w:spacing w:after="0" w:line="28" w:lineRule="exact"/>
        <w:rPr>
          <w:sz w:val="20"/>
          <w:szCs w:val="20"/>
          <w:color w:val="auto"/>
        </w:rPr>
      </w:pPr>
    </w:p>
    <w:tbl>
      <w:tblPr>
        <w:tblLayout w:type="fixed"/>
        <w:tblInd w:w="1220" w:type="dxa"/>
        <w:tblCellMar>
          <w:top w:w="0" w:type="dxa"/>
          <w:left w:w="0" w:type="dxa"/>
          <w:bottom w:w="0" w:type="dxa"/>
          <w:right w:w="0" w:type="dxa"/>
        </w:tblCellMar>
      </w:tblPr>
      <w:tr>
        <w:trPr>
          <w:trHeight w:val="301"/>
        </w:trPr>
        <w:tc>
          <w:tcPr>
            <w:tcW w:w="4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Performance Rating</w:t>
            </w:r>
          </w:p>
        </w:tc>
        <w:tc>
          <w:tcPr>
            <w:tcW w:w="4680" w:type="dxa"/>
            <w:vAlign w:val="bottom"/>
            <w:tcBorders>
              <w:top w:val="single" w:sz="8" w:color="auto"/>
              <w:bottom w:val="single" w:sz="8" w:color="auto"/>
            </w:tcBorders>
          </w:tcPr>
          <w:p>
            <w:pPr>
              <w:ind w:left="1240"/>
              <w:spacing w:after="0"/>
              <w:rPr>
                <w:sz w:val="20"/>
                <w:szCs w:val="20"/>
                <w:color w:val="auto"/>
              </w:rPr>
            </w:pPr>
            <w:r>
              <w:rPr>
                <w:rFonts w:ascii="Arial" w:cs="Arial" w:eastAsia="Arial" w:hAnsi="Arial"/>
                <w:sz w:val="22"/>
                <w:szCs w:val="22"/>
                <w:b w:val="1"/>
                <w:bCs w:val="1"/>
                <w:color w:val="auto"/>
              </w:rPr>
              <w:t>% Incentive Influenced</w:t>
            </w:r>
          </w:p>
        </w:tc>
      </w:tr>
      <w:tr>
        <w:trPr>
          <w:trHeight w:val="291"/>
        </w:trPr>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Greatly Exceeds Expectations</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2"/>
              </w:rPr>
              <w:t>130%</w:t>
            </w:r>
          </w:p>
        </w:tc>
      </w:tr>
      <w:tr>
        <w:trPr>
          <w:trHeight w:val="291"/>
        </w:trPr>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Exceeds Expectations</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5"/>
              </w:rPr>
              <w:t>115%</w:t>
            </w:r>
          </w:p>
        </w:tc>
      </w:tr>
      <w:tr>
        <w:trPr>
          <w:trHeight w:val="291"/>
        </w:trPr>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Achieves Expectations</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2"/>
              </w:rPr>
              <w:t>100%</w:t>
            </w:r>
          </w:p>
        </w:tc>
      </w:tr>
      <w:tr>
        <w:trPr>
          <w:trHeight w:val="291"/>
        </w:trPr>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Meets Most Expectations</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0"/>
              </w:rPr>
              <w:t>70%</w:t>
            </w:r>
          </w:p>
        </w:tc>
      </w:tr>
      <w:tr>
        <w:trPr>
          <w:trHeight w:val="291"/>
        </w:trPr>
        <w:tc>
          <w:tcPr>
            <w:tcW w:w="4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Meets Some Expectations</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7"/>
              </w:rPr>
              <w:t>0%</w:t>
            </w:r>
          </w:p>
        </w:tc>
      </w:tr>
    </w:tbl>
    <w:p>
      <w:pPr>
        <w:sectPr>
          <w:pgSz w:w="11900" w:h="16838" w:orient="portrait"/>
          <w:cols w:equalWidth="0" w:num="1">
            <w:col w:w="10860"/>
          </w:cols>
          <w:pgMar w:left="240" w:top="643" w:right="79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Katz, certify that:</w:t>
      </w:r>
    </w:p>
    <w:p>
      <w:pPr>
        <w:spacing w:after="0" w:line="387" w:lineRule="exact"/>
        <w:rPr>
          <w:sz w:val="20"/>
          <w:szCs w:val="20"/>
          <w:color w:val="auto"/>
        </w:rPr>
      </w:pPr>
    </w:p>
    <w:p>
      <w:pPr>
        <w:ind w:left="500" w:hanging="195"/>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7, 2017</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Z. Barkin, certify that:</w:t>
      </w:r>
    </w:p>
    <w:p>
      <w:pPr>
        <w:spacing w:after="0" w:line="387" w:lineRule="exact"/>
        <w:rPr>
          <w:sz w:val="20"/>
          <w:szCs w:val="20"/>
          <w:color w:val="auto"/>
        </w:rPr>
      </w:pPr>
    </w:p>
    <w:p>
      <w:pPr>
        <w:ind w:left="500" w:hanging="195"/>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63" w:lineRule="exact"/>
        <w:rPr>
          <w:rFonts w:ascii="Arial" w:cs="Arial" w:eastAsia="Arial" w:hAnsi="Arial"/>
          <w:sz w:val="18"/>
          <w:szCs w:val="18"/>
          <w:color w:val="auto"/>
        </w:rPr>
      </w:pPr>
    </w:p>
    <w:p>
      <w:pPr>
        <w:jc w:val="both"/>
        <w:ind w:left="500" w:right="40" w:hanging="195"/>
        <w:spacing w:after="0" w:line="26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 w:lineRule="exact"/>
        <w:rPr>
          <w:rFonts w:ascii="Arial" w:cs="Arial" w:eastAsia="Arial" w:hAnsi="Arial"/>
          <w:sz w:val="18"/>
          <w:szCs w:val="18"/>
          <w:color w:val="auto"/>
        </w:rPr>
      </w:pPr>
    </w:p>
    <w:p>
      <w:pPr>
        <w:ind w:left="500" w:right="20" w:hanging="195"/>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Arial" w:cs="Arial" w:eastAsia="Arial" w:hAnsi="Arial"/>
          <w:sz w:val="18"/>
          <w:szCs w:val="18"/>
          <w:color w:val="auto"/>
        </w:rPr>
      </w:pPr>
    </w:p>
    <w:p>
      <w:pPr>
        <w:jc w:val="both"/>
        <w:ind w:left="500" w:right="20" w:hanging="195"/>
        <w:spacing w:after="0" w:line="264"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jc w:val="both"/>
        <w:ind w:left="1180" w:right="40" w:hanging="686"/>
        <w:spacing w:after="0" w:line="264" w:lineRule="auto"/>
        <w:tabs>
          <w:tab w:leader="none" w:pos="11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jc w:val="both"/>
        <w:ind w:left="1180" w:right="20" w:hanging="686"/>
        <w:spacing w:after="0" w:line="264" w:lineRule="auto"/>
        <w:tabs>
          <w:tab w:leader="none" w:pos="11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1180" w:right="40" w:hanging="686"/>
        <w:spacing w:after="0" w:line="317" w:lineRule="auto"/>
        <w:tabs>
          <w:tab w:leader="none" w:pos="11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80" w:right="40" w:hanging="686"/>
        <w:spacing w:after="0" w:line="264" w:lineRule="auto"/>
        <w:tabs>
          <w:tab w:leader="none" w:pos="11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500" w:right="40" w:hanging="195"/>
        <w:spacing w:after="0" w:line="298" w:lineRule="auto"/>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80" w:right="40" w:hanging="686"/>
        <w:spacing w:after="0" w:line="298" w:lineRule="auto"/>
        <w:tabs>
          <w:tab w:leader="none" w:pos="11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80" w:right="40" w:hanging="686"/>
        <w:spacing w:after="0" w:line="277" w:lineRule="auto"/>
        <w:tabs>
          <w:tab w:leader="none" w:pos="11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7, 2017</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86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an officer of Vail Resorts, Inc. (the “Company”) that the Company's Quarterly Report on Form 10-Q for the quarter ended October 31, 2017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7, 2017</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ROBERT A. KATZ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Robert A. Katz</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December 7, 2017</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Michael Z. Barkin</w:t>
      </w:r>
    </w:p>
    <w:p>
      <w:pPr>
        <w:spacing w:after="0" w:line="63"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Executive Vice President and Chief Financial Officer</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decimal"/>
      <w:start w:val="3"/>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lowerLetter"/>
      <w:start w:val="2"/>
    </w:lvl>
    <w:lvl w:ilvl="1">
      <w:lvlJc w:val="left"/>
      <w:lvlText w:val="(%2)"/>
      <w:numFmt w:val="lowerLetter"/>
      <w:start w:val="3"/>
    </w:lvl>
  </w:abstractNum>
  <w:abstractNum w:abstractNumId="8">
    <w:nsid w:val="6B68079A"/>
    <w:multiLevelType w:val="hybridMultilevel"/>
    <w:lvl w:ilvl="0">
      <w:lvlJc w:val="left"/>
      <w:lvlText w:val="%1."/>
      <w:numFmt w:val="decimal"/>
      <w:start w:val="5"/>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0"/>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decimal"/>
      <w:start w:val="32"/>
    </w:lvl>
  </w:abstractNum>
  <w:abstractNum w:abstractNumId="14">
    <w:nsid w:val="7C83E458"/>
    <w:multiLevelType w:val="hybridMultilevel"/>
    <w:lvl w:ilvl="0">
      <w:lvlJc w:val="left"/>
      <w:lvlText w:val="%1"/>
      <w:numFmt w:val="decimal"/>
      <w:start w:val="10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2019-12-29T02:24:22Z</dcterms:created>
  <dcterms:modified xsi:type="dcterms:W3CDTF">2019-12-29T02:24:22Z</dcterms:modified>
</cp:coreProperties>
</file>