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23, 2026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u w:val="single" w:color="auto"/>
          <w:color w:val="auto"/>
        </w:rPr>
        <w:t>Vail Resorts, Inc.</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358"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60" w:type="dxa"/>
            <w:vAlign w:val="bottom"/>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rPr>
              <w:t>001-09614</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0" w:type="dxa"/>
            <w:vAlign w:val="bottom"/>
          </w:tcPr>
          <w:p>
            <w:pPr>
              <w:jc w:val="right"/>
              <w:ind w:right="1241"/>
              <w:spacing w:after="0"/>
              <w:rPr>
                <w:sz w:val="20"/>
                <w:szCs w:val="20"/>
                <w:color w:val="auto"/>
              </w:rPr>
            </w:pPr>
            <w:r>
              <w:rPr>
                <w:rFonts w:ascii="Times New Roman" w:cs="Times New Roman" w:eastAsia="Times New Roman" w:hAnsi="Times New Roman"/>
                <w:sz w:val="18"/>
                <w:szCs w:val="18"/>
                <w:b w:val="1"/>
                <w:bCs w:val="1"/>
                <w:color w:val="auto"/>
              </w:rPr>
              <w:t>51-0291762</w:t>
            </w:r>
          </w:p>
        </w:tc>
      </w:tr>
      <w:tr>
        <w:trPr>
          <w:trHeight w:val="133"/>
        </w:trPr>
        <w:tc>
          <w:tcPr>
            <w:tcW w:w="3040" w:type="dxa"/>
            <w:vAlign w:val="bottom"/>
            <w:tcBorders>
              <w:top w:val="single" w:sz="8" w:color="auto"/>
            </w:tcBorders>
            <w:gridSpan w:val="2"/>
          </w:tcPr>
          <w:p>
            <w:pPr>
              <w:jc w:val="center"/>
              <w:ind w:left="419"/>
              <w:spacing w:after="0" w:line="133"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50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940" w:type="dxa"/>
            <w:vAlign w:val="bottom"/>
            <w:tcBorders>
              <w:top w:val="single" w:sz="8" w:color="auto"/>
            </w:tcBorders>
          </w:tcPr>
          <w:p>
            <w:pPr>
              <w:ind w:left="560"/>
              <w:spacing w:after="0" w:line="133" w:lineRule="exact"/>
              <w:rPr>
                <w:sz w:val="20"/>
                <w:szCs w:val="20"/>
                <w:color w:val="auto"/>
              </w:rPr>
            </w:pPr>
            <w:r>
              <w:rPr>
                <w:rFonts w:ascii="Times New Roman" w:cs="Times New Roman" w:eastAsia="Times New Roman" w:hAnsi="Times New Roman"/>
                <w:sz w:val="14"/>
                <w:szCs w:val="14"/>
                <w:color w:val="auto"/>
              </w:rPr>
              <w:t>(Commission</w:t>
            </w:r>
          </w:p>
        </w:tc>
        <w:tc>
          <w:tcPr>
            <w:tcW w:w="5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0" w:type="dxa"/>
            <w:vAlign w:val="bottom"/>
            <w:tcBorders>
              <w:top w:val="single" w:sz="8" w:color="auto"/>
            </w:tcBorders>
          </w:tcPr>
          <w:p>
            <w:pPr>
              <w:jc w:val="center"/>
              <w:ind w:right="621"/>
              <w:spacing w:after="0" w:line="133"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18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File Number)</w:t>
            </w:r>
          </w:p>
        </w:tc>
        <w:tc>
          <w:tcPr>
            <w:tcW w:w="2800" w:type="dxa"/>
            <w:vAlign w:val="bottom"/>
          </w:tcPr>
          <w:p>
            <w:pPr>
              <w:jc w:val="center"/>
              <w:ind w:right="64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47"/>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rPr>
              <w:t>390 Interlocken Crescent</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8"/>
        </w:trPr>
        <w:tc>
          <w:tcPr>
            <w:tcW w:w="304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5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80021</w:t>
            </w:r>
          </w:p>
        </w:tc>
      </w:tr>
      <w:tr>
        <w:trPr>
          <w:trHeight w:val="182"/>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0" w:type="dxa"/>
            <w:vAlign w:val="bottom"/>
          </w:tcPr>
          <w:p>
            <w:pPr>
              <w:jc w:val="center"/>
              <w:ind w:right="641"/>
              <w:spacing w:after="0"/>
              <w:rPr>
                <w:sz w:val="20"/>
                <w:szCs w:val="20"/>
                <w:color w:val="auto"/>
              </w:rPr>
            </w:pPr>
            <w:r>
              <w:rPr>
                <w:rFonts w:ascii="Times New Roman" w:cs="Times New Roman" w:eastAsia="Times New Roman" w:hAnsi="Times New Roman"/>
                <w:sz w:val="14"/>
                <w:szCs w:val="14"/>
                <w:color w:val="auto"/>
              </w:rPr>
              <w:t>(Zip Code)</w:t>
            </w:r>
          </w:p>
        </w:tc>
      </w:tr>
      <w:tr>
        <w:trPr>
          <w:trHeight w:val="406"/>
        </w:trPr>
        <w:tc>
          <w:tcPr>
            <w:tcW w:w="2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(303) 404-1800</w:t>
            </w: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r>
      <w:tr>
        <w:trPr>
          <w:trHeight w:val="250"/>
        </w:trPr>
        <w:tc>
          <w:tcPr>
            <w:tcW w:w="2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800" w:type="dxa"/>
            <w:vAlign w:val="bottom"/>
          </w:tcPr>
          <w:p>
            <w:pPr>
              <w:spacing w:after="0"/>
              <w:rPr>
                <w:sz w:val="21"/>
                <w:szCs w:val="21"/>
                <w:color w:val="auto"/>
              </w:rPr>
            </w:pPr>
          </w:p>
        </w:tc>
      </w:tr>
    </w:tbl>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279400</wp:posOffset>
            </wp:positionH>
            <wp:positionV relativeFrom="paragraph">
              <wp:posOffset>33655</wp:posOffset>
            </wp:positionV>
            <wp:extent cx="6591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(Former Name or Former Address, if Changed Since Last Report)</w:t>
      </w:r>
    </w:p>
    <w:p>
      <w:pPr>
        <w:spacing w:after="0" w:line="35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materials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80" w:firstLine="8"/>
        <w:spacing w:after="0" w:line="394"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3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On June 23, 2026, Vail Resorts, Inc. (the “Company”) announced that the Company’s Chairperson and Chief Executive Officer, Rob Katz, has released a new episode of his Epic by Nature podcast entitled “The Strength of our Network: What It Means for Employees, Guests, and Shareholders” (the “podcast”). The podcast is available on a number of streaming platforms.</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discussed in the podcast, other than statements of historical information, are forward-looking statements within the meaning of the federal securities laws, including statements regarding the Company’s expectations regarding future performance, opportunities, key initiatives, and strategies. Readers are cautioned not to place undue reliance on these forward-looking statements, which speak only as of the date hereof. All forward-looking statements are subject to certain risks and uncertainties that could cause actual results to differ materially from those projected. Such risks and uncertainties include, but are not limited to, risks related to our ability to execute on our key initiatives and strategies, and the risks detailed in the Company’s filings with the Securities and Exchange Commission, including the “Risk Factors” section of the Company’s most recently filed Annual Report on Form 10-K and quarterly reports on Form 10-Q. All forward-looking statements are expressly qualified in their entirety by these cautionary statements. All forward-looking statements in this report are made as of the date hereof, and the Company does not undertake any obligation to update any forward-looking statements whether as a result of new information, future events, or otherwise, except as may be required by law.</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7.01 shall not be deemed to be “filed” for the purposes of Section 18 of the Securities Exchange Act of 1934, as amended, and will not be incorporated by reference into any registration statement filed under the Securities Act of 1933, as amended, unless specifically identified therein as being incorporated therein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839470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Vail Resorts, Inc.</w:t>
            </w:r>
          </w:p>
        </w:tc>
      </w:tr>
      <w:tr>
        <w:trPr>
          <w:trHeight w:val="405"/>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2026</w:t>
            </w:r>
          </w:p>
        </w:tc>
        <w:tc>
          <w:tcPr>
            <w:tcW w:w="2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Angela A. Korch</w:t>
            </w:r>
          </w:p>
        </w:tc>
      </w:tr>
      <w:tr>
        <w:trPr>
          <w:trHeight w:val="218"/>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Angela A. Korch</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2026-06-24T05:08:34Z</dcterms:created>
  <dcterms:modified xsi:type="dcterms:W3CDTF">2026-06-24T05:08:34Z</dcterms:modified>
</cp:coreProperties>
</file>