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October 31, 2021</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58"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Arial" w:cs="Arial" w:eastAsia="Arial" w:hAnsi="Arial"/>
                <w:sz w:val="18"/>
                <w:szCs w:val="18"/>
                <w:b w:val="1"/>
                <w:bCs w:val="1"/>
                <w:color w:val="auto"/>
              </w:rPr>
              <w:t>51-0291762</w:t>
            </w:r>
          </w:p>
        </w:tc>
        <w:tc>
          <w:tcPr>
            <w:tcW w:w="860" w:type="dxa"/>
            <w:vAlign w:val="bottom"/>
          </w:tcPr>
          <w:p>
            <w:pPr>
              <w:spacing w:after="0"/>
              <w:rPr>
                <w:sz w:val="20"/>
                <w:szCs w:val="20"/>
                <w:color w:val="auto"/>
              </w:rPr>
            </w:pPr>
          </w:p>
        </w:tc>
      </w:tr>
      <w:tr>
        <w:trPr>
          <w:trHeight w:val="129"/>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Arial" w:cs="Arial" w:eastAsia="Arial" w:hAnsi="Arial"/>
                <w:sz w:val="14"/>
                <w:szCs w:val="14"/>
                <w:color w:val="auto"/>
                <w:w w:val="94"/>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Arial" w:cs="Arial" w:eastAsia="Arial" w:hAnsi="Arial"/>
                <w:sz w:val="14"/>
                <w:szCs w:val="14"/>
                <w:color w:val="auto"/>
                <w:w w:val="95"/>
              </w:rPr>
              <w:t>(I.R.S. Employer</w:t>
            </w:r>
          </w:p>
        </w:tc>
        <w:tc>
          <w:tcPr>
            <w:tcW w:w="860" w:type="dxa"/>
            <w:vAlign w:val="bottom"/>
          </w:tcPr>
          <w:p>
            <w:pPr>
              <w:spacing w:after="0"/>
              <w:rPr>
                <w:sz w:val="11"/>
                <w:szCs w:val="11"/>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Incorporation or Organization)</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jc w:val="center"/>
              <w:ind w:right="2100"/>
              <w:spacing w:after="0"/>
              <w:rPr>
                <w:sz w:val="20"/>
                <w:szCs w:val="20"/>
                <w:color w:val="auto"/>
              </w:rPr>
            </w:pPr>
            <w:r>
              <w:rPr>
                <w:rFonts w:ascii="Arial" w:cs="Arial" w:eastAsia="Arial" w:hAnsi="Arial"/>
                <w:sz w:val="14"/>
                <w:szCs w:val="14"/>
                <w:color w:val="auto"/>
                <w:w w:val="97"/>
              </w:rPr>
              <w:t>Identification No.)</w:t>
            </w:r>
          </w:p>
        </w:tc>
      </w:tr>
      <w:tr>
        <w:trPr>
          <w:trHeight w:val="447"/>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Arial" w:cs="Arial" w:eastAsia="Arial" w:hAnsi="Arial"/>
                <w:sz w:val="18"/>
                <w:szCs w:val="18"/>
                <w:b w:val="1"/>
                <w:bCs w:val="1"/>
                <w:color w:val="auto"/>
                <w:w w:val="90"/>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Arial" w:cs="Arial" w:eastAsia="Arial" w:hAnsi="Arial"/>
                <w:sz w:val="18"/>
                <w:szCs w:val="18"/>
                <w:b w:val="1"/>
                <w:bCs w:val="1"/>
                <w:color w:val="auto"/>
              </w:rPr>
              <w:t>80021</w:t>
            </w:r>
          </w:p>
        </w:tc>
        <w:tc>
          <w:tcPr>
            <w:tcW w:w="860" w:type="dxa"/>
            <w:vAlign w:val="bottom"/>
          </w:tcPr>
          <w:p>
            <w:pPr>
              <w:spacing w:after="0"/>
              <w:rPr>
                <w:sz w:val="20"/>
                <w:szCs w:val="20"/>
                <w:color w:val="auto"/>
              </w:rPr>
            </w:pPr>
          </w:p>
        </w:tc>
      </w:tr>
      <w:tr>
        <w:trPr>
          <w:trHeight w:val="176"/>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Arial" w:cs="Arial" w:eastAsia="Arial" w:hAnsi="Arial"/>
                <w:sz w:val="14"/>
                <w:szCs w:val="14"/>
                <w:color w:val="auto"/>
                <w:w w:val="96"/>
              </w:rPr>
              <w:t>(Zip Code)</w:t>
            </w:r>
          </w:p>
        </w:tc>
        <w:tc>
          <w:tcPr>
            <w:tcW w:w="860" w:type="dxa"/>
            <w:vAlign w:val="bottom"/>
          </w:tcPr>
          <w:p>
            <w:pPr>
              <w:spacing w:after="0"/>
              <w:rPr>
                <w:sz w:val="15"/>
                <w:szCs w:val="15"/>
                <w:color w:val="auto"/>
              </w:rPr>
            </w:pPr>
          </w:p>
        </w:tc>
      </w:tr>
      <w:tr>
        <w:trPr>
          <w:trHeight w:val="547"/>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3"/>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10"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4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4" w:lineRule="exact"/>
        <w:rPr>
          <w:sz w:val="24"/>
          <w:szCs w:val="24"/>
          <w:color w:val="auto"/>
        </w:rPr>
      </w:pPr>
    </w:p>
    <w:p>
      <w:pPr>
        <w:ind w:right="168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December 6, 2021, 40,451,209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02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9"/>
          </w:tcPr>
          <w:p>
            <w:pPr>
              <w:ind w:left="16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16"/>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Page</w:t>
            </w: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880" w:type="dxa"/>
            <w:vAlign w:val="bottom"/>
            <w:gridSpan w:val="16"/>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 xml:space="preserve">Consolidated Condensed Balance Sheets as of October 31, 2021, July 31, 2021 and </w:t>
              </w:r>
            </w:hyperlink>
            <w:r>
              <w:rPr>
                <w:rFonts w:ascii="Arial" w:cs="Arial" w:eastAsia="Arial" w:hAnsi="Arial"/>
                <w:sz w:val="18"/>
                <w:szCs w:val="18"/>
                <w:color w:val="0000FF"/>
              </w:rPr>
              <w:t xml:space="preserve">October 31, </w:t>
            </w:r>
            <w:hyperlink w:anchor="page2">
              <w:r>
                <w:rPr>
                  <w:rFonts w:ascii="Arial" w:cs="Arial" w:eastAsia="Arial" w:hAnsi="Arial"/>
                  <w:sz w:val="18"/>
                  <w:szCs w:val="18"/>
                  <w:color w:val="0000FF"/>
                </w:rPr>
                <w:t>2020</w:t>
              </w:r>
            </w:hyperlink>
          </w:p>
        </w:tc>
        <w:tc>
          <w:tcPr>
            <w:tcW w:w="540" w:type="dxa"/>
            <w:vAlign w:val="bottom"/>
            <w:gridSpan w:val="4"/>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Condensed Statements of Operations for the Three Months Ended October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and 2020</w:t>
              </w:r>
            </w:hyperlink>
          </w:p>
        </w:tc>
        <w:tc>
          <w:tcPr>
            <w:tcW w:w="5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Consolidated Condensed Statements of Comprehensive Loss for the Three Months Ended October </w:t>
              </w:r>
            </w:hyperlink>
            <w:r>
              <w:rPr>
                <w:rFonts w:ascii="Arial" w:cs="Arial" w:eastAsia="Arial" w:hAnsi="Arial"/>
                <w:sz w:val="18"/>
                <w:szCs w:val="18"/>
                <w:color w:val="0000FF"/>
              </w:rPr>
              <w:t xml:space="preserve">31, </w:t>
            </w:r>
            <w:hyperlink w:anchor="page4">
              <w:r>
                <w:rPr>
                  <w:rFonts w:ascii="Arial" w:cs="Arial" w:eastAsia="Arial" w:hAnsi="Arial"/>
                  <w:sz w:val="18"/>
                  <w:szCs w:val="18"/>
                  <w:color w:val="0000FF"/>
                </w:rPr>
                <w:t>2021 and 2020</w:t>
              </w:r>
            </w:hyperlink>
          </w:p>
        </w:tc>
        <w:tc>
          <w:tcPr>
            <w:tcW w:w="540" w:type="dxa"/>
            <w:vAlign w:val="bottom"/>
            <w:gridSpan w:val="4"/>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Consolidated Condensed Statements of Stockholders’ Equity for the Three Months Ended October </w:t>
              </w:r>
            </w:hyperlink>
            <w:r>
              <w:rPr>
                <w:rFonts w:ascii="Arial" w:cs="Arial" w:eastAsia="Arial" w:hAnsi="Arial"/>
                <w:sz w:val="18"/>
                <w:szCs w:val="18"/>
                <w:color w:val="0000FF"/>
              </w:rPr>
              <w:t xml:space="preserve">31, </w:t>
            </w:r>
            <w:hyperlink w:anchor="page5">
              <w:r>
                <w:rPr>
                  <w:rFonts w:ascii="Arial" w:cs="Arial" w:eastAsia="Arial" w:hAnsi="Arial"/>
                  <w:sz w:val="18"/>
                  <w:szCs w:val="18"/>
                  <w:color w:val="0000FF"/>
                </w:rPr>
                <w:t>2021 and 2020</w:t>
              </w:r>
            </w:hyperlink>
          </w:p>
        </w:tc>
        <w:tc>
          <w:tcPr>
            <w:tcW w:w="5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Condensed Statements of Cash Flows for the Three Months Ended October </w:t>
              </w:r>
            </w:hyperlink>
            <w:r>
              <w:rPr>
                <w:rFonts w:ascii="Arial" w:cs="Arial" w:eastAsia="Arial" w:hAnsi="Arial"/>
                <w:sz w:val="18"/>
                <w:szCs w:val="18"/>
                <w:color w:val="0000FF"/>
              </w:rPr>
              <w:t xml:space="preserve">31, </w:t>
            </w:r>
            <w:hyperlink w:anchor="page6">
              <w:r>
                <w:rPr>
                  <w:rFonts w:ascii="Arial" w:cs="Arial" w:eastAsia="Arial" w:hAnsi="Arial"/>
                  <w:sz w:val="18"/>
                  <w:szCs w:val="18"/>
                  <w:color w:val="0000FF"/>
                </w:rPr>
                <w:t>2021 and 2020</w:t>
              </w:r>
            </w:hyperlink>
          </w:p>
        </w:tc>
        <w:tc>
          <w:tcPr>
            <w:tcW w:w="54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Consolidated Condensed Financial Statements</w:t>
              </w:r>
            </w:hyperlink>
          </w:p>
        </w:tc>
        <w:tc>
          <w:tcPr>
            <w:tcW w:w="5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16"/>
          </w:tcPr>
          <w:p>
            <w:pPr>
              <w:ind w:left="140"/>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880" w:type="dxa"/>
            <w:vAlign w:val="bottom"/>
            <w:gridSpan w:val="16"/>
            <w:shd w:val="clear" w:color="auto" w:fill="CCEEFF"/>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shd w:val="clear" w:color="auto" w:fill="CCEEFF"/>
          </w:tcPr>
          <w:p>
            <w:pPr>
              <w:spacing w:after="0"/>
              <w:rPr>
                <w:sz w:val="16"/>
                <w:szCs w:val="16"/>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9880" w:type="dxa"/>
            <w:vAlign w:val="bottom"/>
            <w:gridSpan w:val="16"/>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16"/>
                <w:szCs w:val="16"/>
                <w:color w:val="auto"/>
              </w:rPr>
            </w:pPr>
          </w:p>
        </w:tc>
      </w:tr>
      <w:tr>
        <w:trPr>
          <w:trHeight w:val="1229"/>
        </w:trPr>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9"/>
              </w:rPr>
              <w:t>October 31, 2021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October 31, 2020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1,468,380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1,243,962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462,212</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14,482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14,612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108,988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345,408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208,540</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103,697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80,316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100,879</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82,307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61,288</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59,821</w:t>
            </w:r>
          </w:p>
        </w:tc>
        <w:tc>
          <w:tcPr>
            <w:tcW w:w="0" w:type="dxa"/>
            <w:vAlign w:val="bottom"/>
          </w:tcPr>
          <w:p>
            <w:pPr>
              <w:spacing w:after="0"/>
              <w:rPr>
                <w:sz w:val="1"/>
                <w:szCs w:val="1"/>
                <w:color w:val="auto"/>
              </w:rPr>
            </w:pP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1,777,854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1,745,586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841,615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 (Note 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2,062,322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2,067,876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2,166,604</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Real estate held for sale or investment</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98,833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95,615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96,668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 (Note 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1,790,531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1,781,047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1,711,870</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319,250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319,110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313,445</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right-of-use assets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204,476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204,716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218,902</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37,285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37,106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41,420</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6,290,551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6,251,056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5,390,524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 (Note 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1,109,652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815,472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846,614</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43,377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48,812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due within one year (Note 5)</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114,795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114,117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63,707</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1,267,824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978,401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950,230</w:t>
            </w: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Long-term debt, net (Note 5)</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2,704,583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2,736,175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2,387,861</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192,328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190,561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213,073</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Other long-term liabilities (Note 6)</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243,307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264,034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253,108</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216,049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252,817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210,525</w:t>
            </w:r>
          </w:p>
        </w:tc>
        <w:tc>
          <w:tcPr>
            <w:tcW w:w="0" w:type="dxa"/>
            <w:vAlign w:val="bottom"/>
          </w:tcPr>
          <w:p>
            <w:pPr>
              <w:spacing w:after="0"/>
              <w:rPr>
                <w:sz w:val="1"/>
                <w:szCs w:val="1"/>
                <w:color w:val="auto"/>
              </w:rPr>
            </w:pP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4,624,091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4,421,988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4,014,797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Preferred stock, $0.01 par value, 25,000 shares authorized, no shares issued</w:t>
            </w:r>
          </w:p>
        </w:tc>
        <w:tc>
          <w:tcPr>
            <w:tcW w:w="4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w:t>
            </w:r>
          </w:p>
        </w:tc>
        <w:tc>
          <w:tcPr>
            <w:tcW w:w="4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80" w:type="dxa"/>
            <w:vAlign w:val="bottom"/>
          </w:tcPr>
          <w:p>
            <w:pPr>
              <w:ind w:left="220"/>
              <w:spacing w:after="0" w:line="176" w:lineRule="exact"/>
              <w:rPr>
                <w:sz w:val="20"/>
                <w:szCs w:val="20"/>
                <w:color w:val="auto"/>
              </w:rPr>
            </w:pPr>
            <w:r>
              <w:rPr>
                <w:rFonts w:ascii="Arial" w:cs="Arial" w:eastAsia="Arial" w:hAnsi="Arial"/>
                <w:sz w:val="18"/>
                <w:szCs w:val="18"/>
                <w:color w:val="auto"/>
                <w:w w:val="92"/>
              </w:rPr>
              <w:t>Common stock, $0.01 par value, 100,000 shares authorized, 46,610, 46,552</w:t>
            </w:r>
          </w:p>
        </w:tc>
        <w:tc>
          <w:tcPr>
            <w:tcW w:w="400" w:type="dxa"/>
            <w:vAlign w:val="bottom"/>
          </w:tcPr>
          <w:p>
            <w:pPr>
              <w:spacing w:after="0"/>
              <w:rPr>
                <w:sz w:val="15"/>
                <w:szCs w:val="15"/>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and 46,412 shares issued, respectively</w:t>
            </w:r>
          </w:p>
        </w:tc>
        <w:tc>
          <w:tcPr>
            <w:tcW w:w="4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Exchangeable shares, $0.01 par value, 34, 34 and 35 shares issued and</w:t>
            </w:r>
          </w:p>
        </w:tc>
        <w:tc>
          <w:tcPr>
            <w:tcW w:w="4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respectively (Note 4)</w:t>
            </w:r>
          </w:p>
        </w:tc>
        <w:tc>
          <w:tcPr>
            <w:tcW w:w="4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1,192,901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1,196,993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1,130,318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44,689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27,799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(52,387)</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598,826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773,752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492,136</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Treasury stock, at cost, 6,161 shares (Note 10)</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0" w:type="dxa"/>
            <w:vAlign w:val="bottom"/>
          </w:tcPr>
          <w:p>
            <w:pPr>
              <w:spacing w:after="0"/>
              <w:rPr>
                <w:sz w:val="1"/>
                <w:szCs w:val="1"/>
                <w:color w:val="auto"/>
              </w:rPr>
            </w:pP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Vail Resorts, Inc. stockholders’ equity</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1,432,471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1,594,599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1,166,120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233,989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234,469</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209,607</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1,666,460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1,829,068</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1,375,727</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6,290,551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6,251,056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5,390,524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 October 31,</w:t>
            </w:r>
          </w:p>
        </w:tc>
      </w:tr>
      <w:tr>
        <w:trPr>
          <w:trHeight w:val="187"/>
        </w:trPr>
        <w:tc>
          <w:tcPr>
            <w:tcW w:w="7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Mountain and Lodging services and other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121,860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104,274</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53,401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27,258</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Resort net revenue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175,261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131,532</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175,576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131,786</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 (exclusive of depreciation and amortization shown separately below):</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Mountain and Lodging operating expense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183,725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154,137</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 cost of products sold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24,229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r>
      <w:tr>
        <w:trPr>
          <w:trHeight w:val="230"/>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77,234</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59,029</w:t>
            </w:r>
          </w:p>
        </w:tc>
      </w:tr>
      <w:tr>
        <w:trPr>
          <w:trHeight w:val="223"/>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285,188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230,298</w:t>
            </w:r>
          </w:p>
        </w:tc>
      </w:tr>
      <w:tr>
        <w:trPr>
          <w:trHeight w:val="230"/>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 operating expense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1,470</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23"/>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286,658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231,748</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(62,628)</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contingent consideration (Note 7)</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Gain (loss) on disposal of fixed assets and other,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8,867</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(165,673)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(163,961)</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1,514</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Foreign currency gain on intercompany loans (Note 5)</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(39,545)</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Loss before benefit from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(202,374)</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(194,499)</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59,853</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37,478</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(142,521)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(157,021)</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3,189</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(139,332)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(153,766)</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amounts (Note 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Basic net loss per share attributable to Vail Resorts, Inc.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loss per share attributable to Vail Resorts,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Cash dividends declared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0.88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 October 31,</w:t>
            </w:r>
          </w:p>
        </w:tc>
      </w:tr>
      <w:tr>
        <w:trPr>
          <w:trHeight w:val="210"/>
        </w:trPr>
        <w:tc>
          <w:tcPr>
            <w:tcW w:w="7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(157,021)</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15,137</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hedging instruments,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4,345</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(123,039)</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(150,593)</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Comprehensive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597</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(149,316)</w:t>
            </w:r>
          </w:p>
        </w:tc>
      </w:tr>
      <w:tr>
        <w:trPr>
          <w:trHeight w:val="21"/>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Additional Paid</w:t>
            </w: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4"/>
              </w:rPr>
              <w:t>Resorts, Inc.</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3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9"/>
              </w:rPr>
              <w:t>Treasury Stock</w:t>
            </w: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7"/>
              </w:rPr>
              <w:t>Vail Resorts</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4"/>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1,131,624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645,902</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1,316,742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1,531,667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(153,766)</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(153,766)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(157,021)</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4,655</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loss</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(149,316)</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(150,593)</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5,754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(7,060)</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(7,060)</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October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1,130,318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492,136</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1,166,120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1,375,727</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Balance, July 31, 2021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466</w:t>
            </w:r>
          </w:p>
        </w:tc>
        <w:tc>
          <w:tcPr>
            <w:tcW w:w="500" w:type="dxa"/>
            <w:vAlign w:val="bottom"/>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1,196,993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27,799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773,752</w:t>
            </w: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1,594,599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234,469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1,829,068</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(139,332)</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(139,332)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(142,521)</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12,545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15,137</w:t>
            </w:r>
          </w:p>
        </w:tc>
        <w:tc>
          <w:tcPr>
            <w:tcW w:w="0" w:type="dxa"/>
            <w:vAlign w:val="bottom"/>
          </w:tcPr>
          <w:p>
            <w:pPr>
              <w:spacing w:after="0"/>
              <w:rPr>
                <w:sz w:val="1"/>
                <w:szCs w:val="1"/>
                <w:color w:val="auto"/>
              </w:rPr>
            </w:pPr>
          </w:p>
        </w:tc>
      </w:tr>
      <w:tr>
        <w:trPr>
          <w:trHeight w:val="166"/>
        </w:trPr>
        <w:tc>
          <w:tcPr>
            <w:tcW w:w="2940" w:type="dxa"/>
            <w:vAlign w:val="bottom"/>
          </w:tcPr>
          <w:p>
            <w:pPr>
              <w:ind w:left="140"/>
              <w:spacing w:after="0" w:line="166"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4,345</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4,345</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comprehensive loss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(122,442)</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(123,039)</w:t>
            </w: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6,425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6,425</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6,425</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Dividends (Note 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(35,594)</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(35,594)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(35,594)</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6"/>
              </w:rPr>
              <w:t>Contributions from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October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1,192,901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598,826</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1,432,471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1,666,460</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 October 31,</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(142,521)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(157,021)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61,489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62,628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6,425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(56,603)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(36,199)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income,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receivables,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236,748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(102,387)</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(23,105)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12,164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43,638</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286,369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303,308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Income taxes payable - other</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(23,672)</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(3,598)</w:t>
            </w:r>
          </w:p>
        </w:tc>
      </w:tr>
      <w:tr>
        <w:trPr>
          <w:trHeight w:val="210"/>
        </w:trPr>
        <w:tc>
          <w:tcPr>
            <w:tcW w:w="784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349,021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111,993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(50,130)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(30,168)</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10,273</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10"/>
        </w:trPr>
        <w:tc>
          <w:tcPr>
            <w:tcW w:w="78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(39,857)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(29,274)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Proceeds from borrowings under Whistler Credit Agreement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18,021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under Vail Holdings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(15,625)</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Repayments of borrowings under Whistler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(23,145)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taxes paid for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(35,594)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r>
      <w:tr>
        <w:trPr>
          <w:trHeight w:val="209"/>
        </w:trPr>
        <w:tc>
          <w:tcPr>
            <w:tcW w:w="7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(84,734)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(12,684)</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224,288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70,289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1,258,574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402,086</w:t>
            </w:r>
          </w:p>
        </w:tc>
      </w:tr>
      <w:tr>
        <w:trPr>
          <w:trHeight w:val="235"/>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1,482,862</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472,375</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99"/>
        </w:trPr>
        <w:tc>
          <w:tcPr>
            <w:tcW w:w="7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Accrued capital expenditures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8,582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18,132</w:t>
            </w: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37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92140" cy="3771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Development Company, a wholly-owned subsidiary, conducts the operations of the Company’s Real Estate segment, which owns, develops and sells real estate in and around the Company’s resort communities.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2021.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2021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recorded amounts for cash and cash equivalents, restricted cash, trade receivables, other current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payable and accrued liabilities and the EB-5 Development Notes (as defined in Note 5, Long-Term Debt)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estimated fair values of the 6.25% Notes and the 0.0% Convertible Notes (each as defined in Note 5, Long-Term Debt) are based on quoted market prices (a Level 2 input). The estimated fair value of the EPR Secured Notes (as defined in Note 5, Long-Term Debt) has been estimated using analyses based on current borrowing rates for debt with similar remaining maturities and ratings (a Level 2 input). The carrying values, including any unamortized premium or discount, and estimated fair values of the 6.25% Notes, 0.0% Convertible Notes and EPR Secured Notes as of October 31, 2021 are presented below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1095"/>
              <w:spacing w:after="0"/>
              <w:rPr>
                <w:sz w:val="20"/>
                <w:szCs w:val="20"/>
                <w:color w:val="auto"/>
              </w:rPr>
            </w:pPr>
            <w:r>
              <w:rPr>
                <w:rFonts w:ascii="Arial" w:cs="Arial" w:eastAsia="Arial" w:hAnsi="Arial"/>
                <w:sz w:val="14"/>
                <w:szCs w:val="14"/>
                <w:b w:val="1"/>
                <w:bCs w:val="1"/>
                <w:color w:val="auto"/>
              </w:rPr>
              <w:t>October 31, 2021</w:t>
            </w:r>
          </w:p>
        </w:tc>
      </w:tr>
      <w:tr>
        <w:trPr>
          <w:trHeight w:val="187"/>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633,516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482,754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630,453</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135,310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208,284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 but does not expect it will have a material effect.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Early adoption is permitted, but no earlier than fiscal years beginning after December 15, 2020, including interim periods within those fiscal years (the Company’s first quarter of the fiscal year ending July 31, 2022). This standard allows for a modified retrospective or fully retrospective method of transition. The Company will adopt ASU 2020-06 on August 1, 2022 and expects to use the modified retrospective method, and therefore financial information for periods before August 1, 2022 will remain unchanged. As a result of the adoption of ASU 2020-06, the Company expects that it will reclassify the equity component of its 0.0% Convertible Notes (as defined in Note 5, Long-Term Debt) to long-term debt, net and it will no longer record interest expense related to the amortization of the debt discount.</w:t>
      </w:r>
    </w:p>
    <w:p>
      <w:pPr>
        <w:spacing w:after="0" w:line="20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months ended October 31, 2021 and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 October 31,</w:t>
            </w:r>
          </w:p>
        </w:tc>
      </w:tr>
      <w:tr>
        <w:trPr>
          <w:trHeight w:val="209"/>
        </w:trPr>
        <w:tc>
          <w:tcPr>
            <w:tcW w:w="7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9"/>
                <w:szCs w:val="9"/>
                <w:b w:val="1"/>
                <w:bCs w:val="1"/>
                <w:color w:val="auto"/>
              </w:rPr>
              <w:t>(1)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Lift </w:t>
            </w:r>
            <w:r>
              <w:rPr>
                <w:rFonts w:ascii="Arial" w:cs="Arial" w:eastAsia="Arial" w:hAnsi="Arial"/>
                <w:sz w:val="23"/>
                <w:szCs w:val="23"/>
                <w:color w:val="auto"/>
                <w:vertAlign w:val="superscript"/>
              </w:rPr>
              <w:t>(2)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14,329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33,091</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1,473</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12,520</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30"/>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28,376</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r>
      <w:tr>
        <w:trPr>
          <w:trHeight w:val="230"/>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52,602</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38,970</w:t>
            </w: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109,300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99,479</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21,483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Managed condominium rooms</w:t>
            </w:r>
          </w:p>
        </w:tc>
        <w:tc>
          <w:tcPr>
            <w:tcW w:w="3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13,084</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9,329</w:t>
            </w: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Dining</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10,275</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5,109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30"/>
        </w:trPr>
        <w:tc>
          <w:tcPr>
            <w:tcW w:w="7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14,269</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r>
      <w:tr>
        <w:trPr>
          <w:trHeight w:val="223"/>
        </w:trPr>
        <w:tc>
          <w:tcPr>
            <w:tcW w:w="7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64,220</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30,850</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1,741</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65,961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32,053</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175,261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131,532</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Real Estate net revenue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175,576</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131,786</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hanging="9"/>
        <w:spacing w:after="0" w:line="267" w:lineRule="auto"/>
        <w:tabs>
          <w:tab w:leader="none" w:pos="42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months ended October 31, 2020 have been retrospectively adjusted to reflect current period presentation. See Note 9 for additional information.</w:t>
      </w:r>
    </w:p>
    <w:p>
      <w:pPr>
        <w:spacing w:after="0" w:line="120" w:lineRule="exact"/>
        <w:rPr>
          <w:rFonts w:ascii="Arial" w:cs="Arial" w:eastAsia="Arial" w:hAnsi="Arial"/>
          <w:sz w:val="21"/>
          <w:szCs w:val="21"/>
          <w:color w:val="auto"/>
          <w:vertAlign w:val="superscript"/>
        </w:rPr>
      </w:pPr>
    </w:p>
    <w:p>
      <w:pPr>
        <w:jc w:val="both"/>
        <w:ind w:left="260" w:hanging="9"/>
        <w:spacing w:after="0" w:line="242" w:lineRule="auto"/>
        <w:tabs>
          <w:tab w:leader="none" w:pos="45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 a result of the COVID-19 pandemic, the Company closed its North American destination mountain resorts, regional ski areas and retail stores early for the 2019/2020 North American ski season in March 2020 and subsequently announced a credit offer for all existing 2019/2020 North American ski season pass product holders to purchase 2020/2021 North American ski season pass products at a discount (the “Credit Offer”). The Credit Offer represented a separate performance obligation to which the Company allocated a transaction price of approximately $120.9 million, $15.4 million of which was recognized during the three months ended October 31, 2020 for Credit Offer discounts which were not redeemed prior to their expiration.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Deferred revenue balances of a short-term nature were $743.8 million and $456.5 million as of October 31, 2021 and July 31, 2021, respectively. Deferred revenue balances of a long-term nature, comprised primarily of long-term private club initiation fee revenue, was $121.0 million as of October 31, 2021 and July 31, 2021. For the three months ended October 31, 2021, the Company recognized approximately $45.4 million of revenue that was included in the deferred revenue balance as of July 31, 2021. As of October 31, 2021, the weighted average remaining period over which revenue for unsatisfied performance obligations on long-term private club contracts will be recognized was approximately 16 years. Trade receivable balances were $109.0 million and $345.4 million as of October 31, 2021 and July 31, 2021,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2021, $18.0 million of costs to obtain contracts with customers were recorded within other current assets on the Company’s Consolidated Condensed Balance Sheet. The amounts capitalized are subject to amortization generally beginning in the second quarter of fiscal 2022, commensurate with the revenue recognized for skier visits, and will be recorded within Mountain and Lodging operating expenses on the Company’s Consolidated Condensed Statement of Operations.</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October 31, 2021 and 2020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Three Months Ended October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r>
      <w:tr>
        <w:trPr>
          <w:trHeight w:val="183"/>
        </w:trPr>
        <w:tc>
          <w:tcPr>
            <w:tcW w:w="5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Diluted</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Net loss attributable to Vail Resorts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(139,332)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(139,332)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(153,766)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(153,766)</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40,414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40,414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40,213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40,213</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40,448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40,448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40,248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40,248</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40,448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40,448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40,248</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40,248</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0.5 million and 0.6 million for the three months ended October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On December 18,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of $407.17 per share of common stock, then the Company will calculate its diluted EPS as if all the notes were converted and the Company issued shares of its common stock to settle the excess value over the conversion price. However, if reflecting the 0.0% Convertible Notes in diluted EPS in this manner is anti-dilutive, or if the conversion value of the notes does not exceed their initial conversion amount for a reporting period, then the shares underlying the notes will not be reflected in the Company’s calculation of diluted EPS. For the three months ended October 31, 2021, the average price of Vail Shares did not exceed the conversion price and therefore there was no impact to diluted EPS during those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paid cash dividends of $0.88 per share ($35.6 million in the aggregate) during the three months ended October 31, 2021. The Company did not pay cash dividends during the three months ended October 31, 2020. On December 8, 2021, the Company’s Board of Directors approved a cash dividend of $0.88 per share payable on January 11, 2022 to stockholders of record as of December 28, 2021. Additionally, a Canadian dollar equivalent dividend on the Exchangeco Shares will be payable on January 11, 2022 to shareholders of record on December 28, 2021.</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October 31, 2021, July 31, 2021 and October 31, 2020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October 31, 2021</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July 31, 2021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October 31, 2020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1,140,625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1,187,500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89"/>
              </w:rPr>
              <w:t>2024</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0.0% Convertible Notes (b)</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8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(c)</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21,794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44,891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72,778</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EPR Secured Notes (d)</w:t>
            </w:r>
          </w:p>
        </w:tc>
        <w:tc>
          <w:tcPr>
            <w:tcW w:w="1480" w:type="dxa"/>
            <w:vAlign w:val="bottom"/>
          </w:tcPr>
          <w:p>
            <w:pPr>
              <w:jc w:val="center"/>
              <w:ind w:left="172"/>
              <w:spacing w:after="0"/>
              <w:rPr>
                <w:sz w:val="20"/>
                <w:szCs w:val="20"/>
                <w:color w:val="auto"/>
              </w:rPr>
            </w:pPr>
            <w:r>
              <w:rPr>
                <w:rFonts w:ascii="Arial" w:cs="Arial" w:eastAsia="Arial" w:hAnsi="Arial"/>
                <w:sz w:val="18"/>
                <w:szCs w:val="18"/>
                <w:color w:val="auto"/>
                <w:w w:val="90"/>
              </w:rPr>
              <w:t>2034-2036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114,162</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EB-5 Development Notes</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480" w:type="dxa"/>
            <w:vAlign w:val="bottom"/>
          </w:tcPr>
          <w:p>
            <w:pPr>
              <w:jc w:val="center"/>
              <w:ind w:left="172"/>
              <w:spacing w:after="0"/>
              <w:rPr>
                <w:sz w:val="20"/>
                <w:szCs w:val="20"/>
                <w:color w:val="auto"/>
              </w:rPr>
            </w:pPr>
            <w:r>
              <w:rPr>
                <w:rFonts w:ascii="Arial" w:cs="Arial" w:eastAsia="Arial" w:hAnsi="Arial"/>
                <w:sz w:val="18"/>
                <w:szCs w:val="18"/>
                <w:color w:val="auto"/>
                <w:w w:val="90"/>
              </w:rPr>
              <w:t>2027-2039</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52,575</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2063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353,266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351,820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347,481</w:t>
            </w: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0"/>
              </w:rPr>
              <w:t>2021-2033</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17,772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17,941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18,115</w:t>
            </w:r>
          </w:p>
        </w:tc>
      </w:tr>
      <w:tr>
        <w:trPr>
          <w:trHeight w:val="223"/>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2,911,069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2,948,514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2,444,111</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w w:val="98"/>
              </w:rPr>
              <w:t>Less: Unamortized premiums, discounts and debt issuance costs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91,691</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98,222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(7,457)</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114,795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114,117</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63,707</w:t>
            </w:r>
          </w:p>
        </w:tc>
      </w:tr>
      <w:tr>
        <w:trPr>
          <w:trHeight w:val="223"/>
        </w:trPr>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net</w:t>
            </w: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2,704,583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2,736,175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2,387,861</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580" w:hanging="329"/>
        <w:spacing w:after="0" w:line="253" w:lineRule="auto"/>
        <w:tabs>
          <w:tab w:leader="none" w:pos="57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18, 2020, Vail Holdings, Inc. (“VHI”), certain subsidiaries of the Company, as guarantors, Bank of America, N.A. (“Bank of America”), as administrative agent, and certain Lenders entered into a Fourth Amendment to the Vail Holdings Credit Agreement (the “Fourth Amendment”). Pursuant to the Fourth Amendment, among other terms, VHI was exempted from complying with certain financial maintenance covenants for fiscal quarters ending through January 31, 2022 (unless VHI made a one-time irrevocable election to terminate such exemption period prior to such date) (such period, the “Financial Covenants Temporary Waiver Period”) and the Company was prohibited from undertaking certain activities during such period. On October 29, 2021, VHI notified Bank of America of its intent to exit the Financial Covenants Temporary Waiver Period effective October 31, 2021. As a result, the Company is required to comply with the financial maintenance covenants in the Vail Holdings Credit Agreement starting with the fiscal quarter ended October 31, 2021 and, upon delivery of a certificate demonstrating compliance with the financial maintenance covenants for such quarter, will no longer be subject to the covenant modifications that were applicable during the temporary waiver period.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ind w:left="329"/>
        <w:spacing w:after="0" w:line="269" w:lineRule="auto"/>
        <w:rPr>
          <w:sz w:val="20"/>
          <w:szCs w:val="20"/>
          <w:color w:val="auto"/>
        </w:rPr>
      </w:pPr>
      <w:r>
        <w:rPr>
          <w:rFonts w:ascii="Arial" w:cs="Arial" w:eastAsia="Arial" w:hAnsi="Arial"/>
          <w:sz w:val="17"/>
          <w:szCs w:val="17"/>
          <w:color w:val="auto"/>
        </w:rPr>
        <w:t>As of October 31, 2021, the Vail Holdings Credit Agreement consists of a $500.0 million revolving credit facility and a term loan facility with $1.1 billion outstanding. The term loan facility is subject to quarterly amortization of principal of approximately $15.6 million,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2.50% as of October 31, 2021 (2.59% as of October 31, 2021).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(0.4% as of October 31, 2021).</w:t>
      </w:r>
    </w:p>
    <w:p>
      <w:pPr>
        <w:spacing w:after="0" w:line="209" w:lineRule="exact"/>
        <w:rPr>
          <w:sz w:val="20"/>
          <w:szCs w:val="20"/>
          <w:color w:val="auto"/>
        </w:rPr>
      </w:pPr>
    </w:p>
    <w:p>
      <w:pPr>
        <w:jc w:val="both"/>
        <w:ind w:left="329" w:hanging="329"/>
        <w:spacing w:after="0" w:line="257"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As of the issuance date, the estimated liability was determined to be $465.3 million and was recorded within long-term debt, net on the Company’s Consolidated Condensed Balance Sheet. The excess of the principal amount of the 0.0% Convertible Notes over the initial fair value of the liability component represented a debt discount of $109.7 million as of the issuance date and is being amortized to interest expense, net over the term. The balance of the unamortized debt discount was $92.2 million as of October 31, 2021.</w:t>
      </w:r>
    </w:p>
    <w:p>
      <w:pPr>
        <w:spacing w:after="0" w:line="202" w:lineRule="exact"/>
        <w:rPr>
          <w:rFonts w:ascii="Arial" w:cs="Arial" w:eastAsia="Arial" w:hAnsi="Arial"/>
          <w:sz w:val="17"/>
          <w:szCs w:val="17"/>
          <w:color w:val="auto"/>
        </w:rPr>
      </w:pPr>
    </w:p>
    <w:p>
      <w:pPr>
        <w:jc w:val="both"/>
        <w:ind w:left="329" w:hanging="329"/>
        <w:spacing w:after="0" w:line="271" w:lineRule="auto"/>
        <w:tabs>
          <w:tab w:leader="none" w:pos="326" w:val="left"/>
        </w:tabs>
        <w:numPr>
          <w:ilvl w:val="0"/>
          <w:numId w:val="8"/>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October 31, 2021, all borrowings under the Whistler Credit Agreement were made in Canadian dollars and by way of the issuance of bankers’ acceptances plus 2.00% (approximately 2.48% as of October 31, 2021). The Whistler Credit Agreement also includes a quarterly unused commitment fee based on the Consolidated Total Leverage Ratio, which as of October 31, 2021 is equal to 0.45% per annum.</w:t>
      </w:r>
    </w:p>
    <w:p>
      <w:pPr>
        <w:spacing w:after="0" w:line="205" w:lineRule="exact"/>
        <w:rPr>
          <w:rFonts w:ascii="Arial" w:cs="Arial" w:eastAsia="Arial" w:hAnsi="Arial"/>
          <w:sz w:val="17"/>
          <w:szCs w:val="17"/>
          <w:color w:val="auto"/>
        </w:rPr>
      </w:pPr>
    </w:p>
    <w:p>
      <w:pPr>
        <w:jc w:val="both"/>
        <w:ind w:left="329" w:hanging="329"/>
        <w:spacing w:after="0" w:line="263"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September 24, 2019, in conjunction with the acquisition of Peak Resorts, Inc.,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76" w:lineRule="exact"/>
        <w:rPr>
          <w:sz w:val="20"/>
          <w:szCs w:val="20"/>
          <w:color w:val="auto"/>
        </w:rPr>
      </w:pPr>
    </w:p>
    <w:p>
      <w:pPr>
        <w:ind w:left="969" w:hanging="416"/>
        <w:spacing w:after="0" w:line="277" w:lineRule="auto"/>
        <w:tabs>
          <w:tab w:leader="none" w:pos="9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October 31, 2021, interest on this note accrued at a rate of 11.38%.</w:t>
      </w:r>
    </w:p>
    <w:p>
      <w:pPr>
        <w:spacing w:after="0" w:line="62" w:lineRule="exact"/>
        <w:rPr>
          <w:sz w:val="20"/>
          <w:szCs w:val="20"/>
          <w:color w:val="auto"/>
        </w:rPr>
      </w:pPr>
    </w:p>
    <w:p>
      <w:pPr>
        <w:ind w:left="969" w:hanging="440"/>
        <w:spacing w:after="0" w:line="308" w:lineRule="auto"/>
        <w:tabs>
          <w:tab w:leader="none" w:pos="9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The Boston Mills/Brandywine Secured Note. </w:t>
      </w:r>
      <w:r>
        <w:rPr>
          <w:rFonts w:ascii="Arial" w:cs="Arial" w:eastAsia="Arial" w:hAnsi="Arial"/>
          <w:sz w:val="17"/>
          <w:szCs w:val="17"/>
          <w:color w:val="auto"/>
        </w:rPr>
        <w:t>The $23.3 million Boston Mills/Brandywine Secured Note provides for interest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maturity on December 1, 2034. As of October 31, 2021, interest on this note accrued at a rate of 11.07%.</w:t>
      </w:r>
    </w:p>
    <w:p>
      <w:pPr>
        <w:spacing w:after="0" w:line="38" w:lineRule="exact"/>
        <w:rPr>
          <w:rFonts w:ascii="Arial" w:cs="Arial" w:eastAsia="Arial" w:hAnsi="Arial"/>
          <w:sz w:val="17"/>
          <w:szCs w:val="17"/>
          <w:color w:val="auto"/>
        </w:rPr>
      </w:pPr>
    </w:p>
    <w:p>
      <w:pPr>
        <w:ind w:left="969" w:right="20" w:hanging="490"/>
        <w:spacing w:after="0" w:line="308" w:lineRule="auto"/>
        <w:tabs>
          <w:tab w:leader="none" w:pos="9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The Jack Frost/Big Boulder Secured Note. </w:t>
      </w:r>
      <w:r>
        <w:rPr>
          <w:rFonts w:ascii="Arial" w:cs="Arial" w:eastAsia="Arial" w:hAnsi="Arial"/>
          <w:sz w:val="17"/>
          <w:szCs w:val="17"/>
          <w:color w:val="auto"/>
        </w:rPr>
        <w:t>The $14.3 million Jack Frost/Big Boulder Secured Note provides for interest payments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its maturity on December 1, 2034. As of October 31, 2021, interest on this note accrued at a rate of 11.07%.</w:t>
      </w:r>
    </w:p>
    <w:p>
      <w:pPr>
        <w:spacing w:after="0" w:line="38" w:lineRule="exact"/>
        <w:rPr>
          <w:rFonts w:ascii="Arial" w:cs="Arial" w:eastAsia="Arial" w:hAnsi="Arial"/>
          <w:sz w:val="17"/>
          <w:szCs w:val="17"/>
          <w:color w:val="auto"/>
        </w:rPr>
      </w:pPr>
    </w:p>
    <w:p>
      <w:pPr>
        <w:ind w:left="969" w:hanging="415"/>
        <w:spacing w:after="0" w:line="277" w:lineRule="auto"/>
        <w:tabs>
          <w:tab w:leader="none" w:pos="954"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October 31, 2021, interest on this note accrued at a rate of 11.96%.</w:t>
      </w:r>
    </w:p>
    <w:p>
      <w:pPr>
        <w:spacing w:after="0" w:line="62" w:lineRule="exact"/>
        <w:rPr>
          <w:rFonts w:ascii="Arial" w:cs="Arial" w:eastAsia="Arial" w:hAnsi="Arial"/>
          <w:sz w:val="18"/>
          <w:szCs w:val="18"/>
          <w:color w:val="auto"/>
        </w:rPr>
      </w:pPr>
    </w:p>
    <w:p>
      <w:pPr>
        <w:ind w:left="969" w:right="20" w:hanging="365"/>
        <w:spacing w:after="0" w:line="277" w:lineRule="auto"/>
        <w:tabs>
          <w:tab w:leader="none" w:pos="954"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October 31, 2021, interest on this note accrued at a rate of 8.72%.</w:t>
      </w:r>
    </w:p>
    <w:p>
      <w:pPr>
        <w:spacing w:after="0" w:line="62" w:lineRule="exact"/>
        <w:rPr>
          <w:sz w:val="20"/>
          <w:szCs w:val="20"/>
          <w:color w:val="auto"/>
        </w:rPr>
      </w:pPr>
    </w:p>
    <w:p>
      <w:pPr>
        <w:jc w:val="both"/>
        <w:ind w:left="329"/>
        <w:spacing w:after="0" w:line="311" w:lineRule="auto"/>
        <w:rPr>
          <w:sz w:val="20"/>
          <w:szCs w:val="20"/>
          <w:color w:val="auto"/>
        </w:rPr>
      </w:pPr>
      <w:r>
        <w:rPr>
          <w:rFonts w:ascii="Arial" w:cs="Arial" w:eastAsia="Arial" w:hAnsi="Arial"/>
          <w:sz w:val="16"/>
          <w:szCs w:val="16"/>
          <w:color w:val="auto"/>
        </w:rPr>
        <w:t>In addition, Peak Resorts is required to maintain a debt service reserve account which amounts are applied to fund interest payments and other amounts due and payable to EPR. As of October 31, 2021, the Company had funded the EPR debt service reserve account in an amount equal to approximately $2.1 million, which was included in other current assets in the Company’s Consolidated Condensed Balance Sheet.</w:t>
      </w:r>
    </w:p>
    <w:p>
      <w:pPr>
        <w:spacing w:after="0" w:line="200" w:lineRule="exact"/>
        <w:rPr>
          <w:sz w:val="20"/>
          <w:szCs w:val="20"/>
          <w:color w:val="auto"/>
        </w:rPr>
      </w:pPr>
    </w:p>
    <w:p>
      <w:pPr>
        <w:spacing w:after="0" w:line="286"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5" w:right="3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October 31, 2021 reflected by fiscal year (August 1 through July 31)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(November 2021 through July 2022)</w:t>
            </w:r>
          </w:p>
        </w:tc>
        <w:tc>
          <w:tcPr>
            <w:tcW w:w="3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105,187</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2023</w:t>
            </w:r>
          </w:p>
        </w:tc>
        <w:tc>
          <w:tcPr>
            <w:tcW w:w="3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63,740</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63,798</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2025</w:t>
            </w:r>
          </w:p>
        </w:tc>
        <w:tc>
          <w:tcPr>
            <w:tcW w:w="3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1,575,677</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575,415</w:t>
            </w:r>
          </w:p>
        </w:tc>
      </w:tr>
      <w:tr>
        <w:trPr>
          <w:trHeight w:val="23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527,252</w:t>
            </w:r>
          </w:p>
        </w:tc>
      </w:tr>
      <w:tr>
        <w:trPr>
          <w:trHeight w:val="248"/>
        </w:trPr>
        <w:tc>
          <w:tcPr>
            <w:tcW w:w="6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2,911,069</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gross interest expense of $39.5 million and $35.4 million for the three months ended October 31, 2021 and 2020, respectively, of which $1.4 million and $0.7 million, respectively, was amortization of deferred financing costs. The Company was in compliance with all of its financial and operating covenants required to be maintained under its debt instruments for all periods presented.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$0.8 million and $0.5 million, respectively, of non-cash foreign currency gains on the intercompany loan to Whistler Blackcomb for the three months ended October 31, 2021 and 2020 on the Company’s Consolidated Condensed Statements of Operations.</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9"/>
              </w:rPr>
              <w:t>October 31, 2021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October 31, 2020</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757,625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756,517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752,259</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1,492,863</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1,496,402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1,475,857</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1,422,110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1,417,705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1,363,279</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309,119</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308,432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313,815</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123,228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122,778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99,077</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80,921</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80,328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80,552</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113,854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67,710</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105,866</w:t>
            </w: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4,299,720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4,249,872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4,190,705</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(2,237,398)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(2,181,996)</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(2,024,101)</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net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2,062,322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2,067,876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2,166,604</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October 31, 2021</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July 31, 2021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October 31, 2020</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116,501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98,261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36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743,809</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456,457</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559,323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43,773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54,286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136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45,439</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47,368</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39,625</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43,875</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35,263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6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36,036</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34,668</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36,185</w:t>
            </w:r>
          </w:p>
        </w:tc>
      </w:tr>
      <w:tr>
        <w:trPr>
          <w:trHeight w:val="229"/>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80,219</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89,169</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83,097</w:t>
            </w:r>
          </w:p>
        </w:tc>
      </w:tr>
      <w:tr>
        <w:trPr>
          <w:trHeight w:val="223"/>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accounts payable and accrued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1,109,652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815,472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846,614</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three months ended October 31, 2021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Mountain</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Goodwill, net</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2021</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1,738,836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42,211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1,781,047</w:t>
            </w: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Effects of changes in foreign currency exchange rates</w:t>
            </w:r>
          </w:p>
        </w:tc>
        <w:tc>
          <w:tcPr>
            <w:tcW w:w="1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9,484</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w:t>
            </w:r>
          </w:p>
        </w:tc>
      </w:tr>
      <w:tr>
        <w:trPr>
          <w:trHeight w:val="248"/>
        </w:trPr>
        <w:tc>
          <w:tcPr>
            <w:tcW w:w="5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Balance at October 31, 2021</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1,748,320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42,211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1,790,531</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measured at estimated fair value (all other assets and liabilities measured at fair value are immaterial)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October 31, 2021</w:t>
            </w:r>
          </w:p>
        </w:tc>
        <w:tc>
          <w:tcPr>
            <w:tcW w:w="1040" w:type="dxa"/>
            <w:vAlign w:val="bottom"/>
            <w:tcBorders>
              <w:bottom w:val="single" w:sz="8" w:color="auto"/>
            </w:tcBorders>
          </w:tcPr>
          <w:p>
            <w:pPr>
              <w:spacing w:after="0"/>
              <w:rPr>
                <w:sz w:val="16"/>
                <w:szCs w:val="16"/>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504,064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504,064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9,984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9,984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5,348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24,100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w:t>
            </w:r>
          </w:p>
        </w:tc>
      </w:tr>
      <w:tr>
        <w:trPr>
          <w:trHeight w:val="379"/>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Estimated Fair Value Measurement as of July 31, 2021</w:t>
            </w:r>
          </w:p>
        </w:tc>
        <w:tc>
          <w:tcPr>
            <w:tcW w:w="104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253,782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253,782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259,945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259,945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12,942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12,942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29,600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October 31, 2020</w:t>
            </w:r>
          </w:p>
        </w:tc>
        <w:tc>
          <w:tcPr>
            <w:tcW w:w="104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204,036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204,036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8,076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17,855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17,855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long-term liabilities on the Company’s Consolidated Condensed Balance Sheet as of October 31, 2021 and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three months ended October 31, 2021 and 2020 were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 and 2020, respectively</w:t>
            </w:r>
          </w:p>
        </w:tc>
        <w:tc>
          <w:tcPr>
            <w:tcW w:w="26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30"/>
        </w:trPr>
        <w:tc>
          <w:tcPr>
            <w:tcW w:w="6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w:t>
            </w:r>
          </w:p>
        </w:tc>
        <w:tc>
          <w:tcPr>
            <w:tcW w:w="2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October 31, 2021 and 2020, respectively</w:t>
            </w:r>
          </w:p>
        </w:tc>
        <w:tc>
          <w:tcPr>
            <w:tcW w:w="2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288" w:lineRule="auto"/>
        <w:rPr>
          <w:sz w:val="20"/>
          <w:szCs w:val="20"/>
          <w:color w:val="auto"/>
        </w:rPr>
      </w:pPr>
      <w:r>
        <w:rPr>
          <w:rFonts w:ascii="Arial" w:cs="Arial" w:eastAsia="Arial" w:hAnsi="Arial"/>
          <w:sz w:val="16"/>
          <w:szCs w:val="16"/>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11.0%,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$4.0 million to $5.9 million.</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three months ended October 31, 2021, the Company made a payment to the landlord for Contingent Consideration of approximately $7.5 million and recorded an increase of approximately $2.0 million. These changes resulted in an estimated fair value of the Contingent Consideration of approximately $24.1 million, which is reflected in other long-term liabilities in the Company’s Consolidated Condensed Balance Sheet.</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$1.9 million, $2.0 million and $2.1 million primarily within other long-term liabilities in the accompanying Consolidated Condensed Balance Sheets, as of October 31, 2021, July 31, 2021 and October 31, 2020,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2021, the Company had various letters of credit outstanding totaling $77.7 million, consisting of $53.4 million to support the Employee Housing Bonds and $24.3 million primarily for workers’ compensation, a wind energy purchase agreement and insurance-related deductibles. The Company also had surety bonds of $13.2 million as of October 31, 2021, primarily to provide collateral for its U.S. workers compensation self-insurance programs.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October 31, 2021, July 31, 2021 and October 31, 2020, the accruals for the above loss contingencies were not material individually or in the aggregate.</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August 1, 2021, the Company revised its segment reporting to move certain dining and golf operations from the Lodging segment to the Mountain segment. Segment reporting results for the prior year period have been adjusted retrospectively to conform to the current period presentation.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loss, net change in cash and cash equivalents or other financial statement data presented in the Consolidated Condensed Financial Statements as indicators of financial performance or liquidity.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following table presents financial information by reportable segment, which is used by management in evaluating performance and allocating resources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 October 31,</w:t>
            </w:r>
          </w:p>
        </w:tc>
      </w:tr>
      <w:tr>
        <w:trPr>
          <w:trHeight w:val="189"/>
        </w:trPr>
        <w:tc>
          <w:tcPr>
            <w:tcW w:w="7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Mountain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109,300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99,479</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65,961</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175,261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131,532</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175,576</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131,786</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221,778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188,625</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63,410</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Resort operating expense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285,188</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230,298</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1,470</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196"/>
        </w:trPr>
        <w:tc>
          <w:tcPr>
            <w:tcW w:w="78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segment operating expense</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286,658</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231,748</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(110,964)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(85,160)</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Resort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(108,413)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(94,780)</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196"/>
        </w:trPr>
        <w:tc>
          <w:tcPr>
            <w:tcW w:w="78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Reported EBITDA</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(109,537)</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(95,976)</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98,833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96,668</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Reconciliation from net loss attributable to Vail Resorts, Inc. to Total Reported EBITDA:</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(153,766)</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r>
      <w:tr>
        <w:trPr>
          <w:trHeight w:val="223"/>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(157,021)</w:t>
            </w: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(59,853)</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(37,478)</w:t>
            </w:r>
          </w:p>
        </w:tc>
      </w:tr>
      <w:tr>
        <w:trPr>
          <w:trHeight w:val="223"/>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benefit from income taxes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(194,499)</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61,489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62,628</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(8,867)</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Foreign currency gain on intercompany loans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39,545</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35,407</w:t>
            </w:r>
          </w:p>
        </w:tc>
      </w:tr>
      <w:tr>
        <w:trPr>
          <w:trHeight w:val="223"/>
        </w:trPr>
        <w:tc>
          <w:tcPr>
            <w:tcW w:w="7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(95,976)</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540" w:right="1400" w:hanging="5532"/>
        <w:spacing w:after="0" w:line="989" w:lineRule="auto"/>
        <w:tabs>
          <w:tab w:leader="none" w:pos="179"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months ended October 31, 2020 have been retrospectively adjusted to reflect current period presentation.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months ended October 31, 2021 and October 31, 2020. Since inception of its share repurchase program through October 31, 2021, the Company has repurchased 6,161,141 Vail Shares for approximately $404.4 million. As of October 31, 2021, 1,338,859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1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Seven Springs Mountain Resort, Hidden Valley Ski Resort and Laurel Mountain Ski Area</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8, 2021, the Company entered into a purchase agreement to acquire Seven Springs Mountain Resort, Hidden Valley Ski Resort and Laurel Mountain ski area in Pennsylvania from The Nutting Company for a cash purchase price of approximately $125.0 million, subject to certain adjustments. The Company will acquire all of the assets related to the mountain operations of the resorts, including base area skier services (food and beverage, retail and rental, lift ticket offices and ski and snowboard school facilities), as well as a hotel, conference center and related operations. The Company expects to fund the cash purchase price through cash on hand.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October 31, 2021 (“Form 10-Q”) as “we,” “us,” “our” or the “Company.”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2021 (“Form 10-K”) and the Consolidated Condensed Financial Statements as of October 31, 2021 and 2020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23, 2021.</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loss attributable to Vail Resorts, Inc. to Total Reported EBITDA and long-term debt, net to Net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37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46445" cy="3857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ongoing impacts of COVID-19 resulted in restrictions, limitations, or closures of our Australian ski area operations and North American summer operations for both the three months ended October 31, 2021 and 2020. Our Australian ski areas (Perisher, Mount Hotham and Falls Creek) each experienced periodic closures during their 2021 ski seasons as a result of COVID-19, although they were able to re-open in September 2021 to conclude their seasons. In the prior year, Mount Hotham and Falls Creek were closed for nearly all of their 2020 ski season as a result of COVID-19. These actions, trends, and the COVID-19 pandemic in general, had an adverse impact to our results of operations for both the three months ended October 31, 2021 and 2020, and could continue to have an adverse impact for the remainder of the year ending July 31, 2022 (“Fiscal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above, the ongoing impacts of COVID-19 resulted in restrictions, limitations, or closures of our North American summer operations for both the three months ended October 31, 2021 and 2020. In the prior year, GTLC was particularly impacted by the closures of Jackson Lake Lodge and Jenny Lake Lodge, as well as restrictions on guided activities, in-restaurant dining and the temporary closure of many facilities, among others. Restrictions and limitations continued into the first quarter of Fiscal 2022, although to a lesser degree, and could continue to have an adverse impact for the remainder of Fiscal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4" w:lineRule="exact"/>
        <w:rPr>
          <w:sz w:val="20"/>
          <w:szCs w:val="20"/>
          <w:color w:val="auto"/>
        </w:rPr>
      </w:pPr>
    </w:p>
    <w:p>
      <w:pPr>
        <w:jc w:val="both"/>
        <w:ind w:left="660" w:hanging="328"/>
        <w:spacing w:after="0" w:line="25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COVID-19 has led to travel restrictions and other adverse economic impacts in global and local economies. Our operations continue to be negatively impacted by COVID-19 and associated government-mandated restrictions, including vaccination requirements, travel restrictions, and mask and social distancing requirements. Additionally, we may impose our own COVID-19 related restrictions in addition to what is required by state and local governments in the interest of the safety of our guests, employees and resort communities. For example, for the 2021/2022 North American ski season, we announced that we would require face coverings in indoor settings, and guests age 12 and over will be required to show proof of COVID-19 vaccination to access indoor, on-mountain quick-service (cafeteria-style) restaurants. Additionally, the ongoing impacts of COVID-19 and associated regional shutdowns resulted in periodic closures of our Australian ski areas during their 2021 ski season. Although we are uncertain as to the ultimate severity and duration of the COVID-19 pandemic as well as the related global or other travel restrictions and other adverse impacts, we have experienced a negative change in performance and our future performance could also be negatively impacted. In addition, the North American economy may be impacted by economic challenges in North America or declining or slowing growth in economies outside of North America, accompanied by devaluation of currencies, rising inflation, trade tariffs and lower commodity prices. We cannot predict the ultimate impact that the global economic uncertainty as a result of COVID-19 will have on overall travel and leisure spending or more specifically, on our guest visitation, guest spending or other related trends for the 2021/2022 North American ski season.</w:t>
      </w:r>
    </w:p>
    <w:p>
      <w:pPr>
        <w:spacing w:after="0" w:line="212"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product sales for the 2021/2022 North American ski season increased approximately 47% in units and approximately 21% in sales dollars through December 5, 2021 as compared to the period in the prior year through December 6, 2020, without deducting for the value of any redeemed credits provided to certain North American pass product holders in the prior period. Pass product sales through December 5, 2021 for the 2021/2022 North American ski season increased approximately 76% in units and approximately 45% in sales dollars as compared to sales for the 2019/2020 North American ski season through December 8, 2019, with pass product sales adjusted to include Peak Resorts pass sales in both periods. Pass sales are adjusted to eliminate the impact of foreign currency by applying an exchange rate of $0.78 between the Canadian dollar and U.S. dollar in all periods for Whistler Blackcomb pass sales. We cannot predict the ultimate impact that sales of our pass products will have on total lift revenue or effective ticket price for the 2021/2022 North American ski season.</w:t>
      </w:r>
    </w:p>
    <w:p>
      <w:pPr>
        <w:spacing w:after="0" w:line="205" w:lineRule="exact"/>
        <w:rPr>
          <w:rFonts w:ascii="Arial" w:cs="Arial" w:eastAsia="Arial" w:hAnsi="Arial"/>
          <w:sz w:val="17"/>
          <w:szCs w:val="17"/>
          <w:color w:val="auto"/>
        </w:rPr>
      </w:pPr>
    </w:p>
    <w:p>
      <w:pPr>
        <w:jc w:val="both"/>
        <w:ind w:left="660" w:hanging="328"/>
        <w:spacing w:after="0" w:line="293"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Prior to the 2020/2021 North American ski season, we introduced Epic Coverage, which is included with the purchase of all pass products for no additional charge. Epic Coverage provides refunds in the event of certain resort closures and certain qualifying travel restrictions (e.g. for COVID-19), giving pass product holders a refund for any portion of the season that is lost due to qualifying circumstances. Additionally, Epic Coverage provides a refund for qualifying personal circumstances, including eligible injuries, job losses and many other personal events. The estimated amount of refunds reduces the amount of pass product revenue recognized. We believe our estimate of refund amounts are reasonable; however, actual results could vary materially from such estimates, and we could be required to refund significantly higher amounts than estimated.</w:t>
      </w:r>
    </w:p>
    <w:p>
      <w:pPr>
        <w:spacing w:after="0" w:line="191" w:lineRule="exact"/>
        <w:rPr>
          <w:rFonts w:ascii="Arial" w:cs="Arial" w:eastAsia="Arial" w:hAnsi="Arial"/>
          <w:sz w:val="16"/>
          <w:szCs w:val="16"/>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October 31, 2021, we had $1.5 billion of cash and cash equivalents, as well as $416.6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$83.3 million. Additionally, we have a credit facility which supports the liquidity needs of Whistler Blackcomb (the “Whistler Credit Agreement”). As of October 31, 2021, we had C$272.1 million ($219.6 million) available under the revolver component of the Whistler Credit Agreement (which represents the total commitment of C$300.0 million ($242.2 million) less outstanding borrowings of C$27.0 million ($21.8 million) and a letter of credit outstanding of C$0.8 million ($0.7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ind w:left="660"/>
        <w:spacing w:after="0" w:line="279" w:lineRule="auto"/>
        <w:rPr>
          <w:sz w:val="20"/>
          <w:szCs w:val="20"/>
          <w:color w:val="auto"/>
        </w:rPr>
      </w:pPr>
      <w:r>
        <w:rPr>
          <w:rFonts w:ascii="Arial" w:cs="Arial" w:eastAsia="Arial" w:hAnsi="Arial"/>
          <w:sz w:val="17"/>
          <w:szCs w:val="17"/>
          <w:color w:val="auto"/>
        </w:rPr>
        <w:t>We exited the Financial Covenants Temporary Waiver Period under the Vail Holdings Credit Agreement effective October 31, 2021. As a result, we are required to comply with the financial maintenance covenants in the Vail Holdings Credit Agreement starting with the fiscal quarter ended October 31, 2021 and, upon delivery of a certificate demonstrating compliance with the financial maintenance covenants for such quarter, will no longer be subject to the covenant modifications that were applicable during the temporary waiver period.</w:t>
      </w:r>
    </w:p>
    <w:p>
      <w:pPr>
        <w:spacing w:after="0" w:line="19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We believe that our existing cash and cash equivalents, availability under our credit agreements and the expected positive cash flow from operating activities of our Mountain and Lodging segments will continue to provide us with sufficient liquidity to fund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operating results for the three months ended October 31, 2021, compared to the three months ended October 31,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 October 31,</w:t>
            </w:r>
          </w:p>
        </w:tc>
      </w:tr>
      <w:tr>
        <w:trPr>
          <w:trHeight w:val="189"/>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Loss before benefit from income taxes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(202,374)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(194,499)</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(85,160)</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2,551</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(94,780)</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bl>
    <w:p>
      <w:pPr>
        <w:spacing w:after="0" w:line="80" w:lineRule="exact"/>
        <w:rPr>
          <w:sz w:val="20"/>
          <w:szCs w:val="20"/>
          <w:color w:val="auto"/>
        </w:rPr>
      </w:pPr>
    </w:p>
    <w:p>
      <w:pPr>
        <w:ind w:left="260" w:hanging="9"/>
        <w:spacing w:after="0" w:line="267" w:lineRule="auto"/>
        <w:tabs>
          <w:tab w:leader="none" w:pos="425"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months ended October 31, 2020 have been retrospectively adjusted to reflect current period presentation. See Notes to the Consolidated Condensed Financial Statements for additional information.</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COVID-19 in general and the associated periodic closures of our Australian ski areas had an adverse impact on our results of operations for both the three months ended October 31, 2021 and 2020, as further described below in our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2021 compared to the three months ended October 31, 2020</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Mountain segment operating results for the three months ended October 31, 2021 and 2020 are presented by category as follows (in thousands, except effective ticket price (“ETP”)). ETP is calculated as lift revenue divided by total skier visits for each applicable period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 October 31,</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6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5"/>
                <w:szCs w:val="5"/>
                <w:color w:val="auto"/>
              </w:rPr>
            </w:pPr>
          </w:p>
        </w:tc>
        <w:tc>
          <w:tcPr>
            <w:tcW w:w="12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14,329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33,091</w:t>
            </w:r>
          </w:p>
        </w:tc>
        <w:tc>
          <w:tcPr>
            <w:tcW w:w="188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1,473</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12,520</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3,068</w:t>
            </w:r>
          </w:p>
        </w:tc>
        <w:tc>
          <w:tcPr>
            <w:tcW w:w="1880" w:type="dxa"/>
            <w:vAlign w:val="bottom"/>
          </w:tcPr>
          <w:p>
            <w:pPr>
              <w:jc w:val="right"/>
              <w:spacing w:after="0"/>
              <w:rPr>
                <w:sz w:val="20"/>
                <w:szCs w:val="20"/>
                <w:color w:val="auto"/>
              </w:rPr>
            </w:pPr>
            <w:r>
              <w:rPr>
                <w:rFonts w:ascii="Arial" w:cs="Arial" w:eastAsia="Arial" w:hAnsi="Arial"/>
                <w:sz w:val="18"/>
                <w:szCs w:val="18"/>
                <w:color w:val="auto"/>
              </w:rPr>
              <w:t>308.1 %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28,376</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52,602</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109,300</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80,427</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14,623</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12,852</w:t>
            </w:r>
          </w:p>
        </w:tc>
        <w:tc>
          <w:tcPr>
            <w:tcW w:w="188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64,737</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61,991</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59,016</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221,778</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1,514</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ETP</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65.73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115.30</w:t>
            </w:r>
          </w:p>
        </w:tc>
        <w:tc>
          <w:tcPr>
            <w:tcW w:w="18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20" w:hanging="169"/>
        <w:spacing w:after="0"/>
        <w:tabs>
          <w:tab w:leader="none" w:pos="420"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Segment results for the three months ended October 31, 2020 have been retrospectively adjusted to reflect current period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$5.4 million and $4.8 million of stock-based compensation expense for the three months ended October 31, 2021 and 2020, respectively.</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first fiscal quarter historically results in negative Mountain Reported EBITDA, as our North American mountain resorts and ski areas generally do not open for ski operations until our second fiscal quarter, which begins in November. The first fiscal quarter generally consists of operating and administrative expenses, summer activities (including dining), retail/rental operations and the operations of our Australian ski areas, for which the winter season generally occurs from June through early October. Our operations during both the three months ended October 31, 2021 and 2020 were negatively impacted by periodic resort closures at our Australian ski areas due to regional lockdowns as a result of COVID-19. In the current year, all of our Australian ski areas experienced periodic closures, while in the prior year Falls Creek and Hotham experienced periodic closures and Perisher was open for the entire quarter.</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Mountain Reported EBITDA decreased $25.8 million, or 30.3%, primarily due to the prior year recognition of $15.4 million of revenue related to the expiration of unredeemed credits offered to 2019/2020 North American pass product holders who purchased 2020/2021 pass products, as well as decreased results at our Australian ski areas, primarily due to periodic COVID-19 related closures at Perisher in the current year. Additionally, Mountain Reported EBITDA decreased due to increased general &amp; administrative expenses resulting primarily due to COVID-19 related cost management in the prior year. These decreases were partially offset by an increase in demand for our North American summer business as a result of fewer COVID-19 related limitations and restrictions as compared to the prior year.</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Lift revenue decreased $18.8 million, or 56.7%, primarily due to the prior year recognition of $15.4 million of revenue related to the expiration of unredeemed credits offered to 2019/2020 North American pass product holders who purchased 2020/2021 pass products, which also resulted in a decrease in ETP. Lift revenue was also impacted by a decrease in lift revenue from Perisher, which experienced periodic closures in the current year compared to being open for the entire quarter in the prior 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Dining revenue increased $9.5 million, or 308.1%, and retail/rental revenue increased $6.1 million, or 27.2%, both primarily due to fewer COVID-19 related limitations and restrictions as compared to the prior year.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$13.6 million, or 35.0%, primarily due to fewer COVID-19 related limitations and restrictions as compared to the prior year.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 increased $33.2 million, or 17.6%, which was primarily attributable to cost discipline efforts associated with lower levels of North American summer operations in the prior year, including limitations, restrictions and closures resulting from COVID-19.</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Labor and labor-related benefits increased $13.6 million, or 20.4%, primarily due to increased staffing associated with improved North American summer business demand and COVID-19 related cost actions in the prior year including salary reductions, as well as a decrease of $2.3 million in tax credits associated with COVID-19 related legislation in Canada. Retail cost of sales increased $1.8 million, or 13.8%, compared to an increase in retail sales of 27.9%, reflecting increased margins on a lower mix of aged and discounted retail products. General and administrative expense increased $14.8 million, or</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29.6%, primarily due to an increase in allocated corporate overhead costs for all corporate functions, which was impacted by prior year COVID-19 related cost management and uncertainty, as well as a decrease in tax credits of approximately $2.6 million associated with COVID-19 related legislation in Canada and Australia. Other expense increased $3.0 million, or 5.0%, primarily due to increases in variable operating expenses associated with increased revenues.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Mountain equity investment income, net primarily includes our share of income from the operations of a real estate brokerage company. Mountain equity investment income from the real estate brokerage company decreased $2.5 million, or 62.0%, for the three months ended October 31, 2021 compared to the same period in the prior year due to a lower number of real estate sales and lower average price of those sales.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2021 compared to the three months ended October 31, 2020</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three months ended October 31, 2021 and 2020 are presented by category as follows (in thousands, except average daily rates (“ADR”) and revenue per available room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 October 31,</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line="20" w:lineRule="exact"/>
              <w:rPr>
                <w:sz w:val="1"/>
                <w:szCs w:val="1"/>
                <w:color w:val="auto"/>
              </w:rPr>
            </w:pPr>
          </w:p>
        </w:tc>
        <w:tc>
          <w:tcPr>
            <w:tcW w:w="12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21,483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7,365</w:t>
            </w:r>
          </w:p>
        </w:tc>
        <w:tc>
          <w:tcPr>
            <w:tcW w:w="1880" w:type="dxa"/>
            <w:vAlign w:val="bottom"/>
          </w:tcPr>
          <w:p>
            <w:pPr>
              <w:jc w:val="right"/>
              <w:spacing w:after="0"/>
              <w:rPr>
                <w:sz w:val="20"/>
                <w:szCs w:val="20"/>
                <w:color w:val="auto"/>
              </w:rPr>
            </w:pPr>
            <w:r>
              <w:rPr>
                <w:rFonts w:ascii="Arial" w:cs="Arial" w:eastAsia="Arial" w:hAnsi="Arial"/>
                <w:sz w:val="18"/>
                <w:szCs w:val="18"/>
                <w:color w:val="auto"/>
              </w:rPr>
              <w:t>191.7 %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13,084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10,275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1,093</w:t>
            </w:r>
          </w:p>
        </w:tc>
        <w:tc>
          <w:tcPr>
            <w:tcW w:w="1880" w:type="dxa"/>
            <w:vAlign w:val="bottom"/>
          </w:tcPr>
          <w:p>
            <w:pPr>
              <w:jc w:val="right"/>
              <w:spacing w:after="0"/>
              <w:rPr>
                <w:sz w:val="20"/>
                <w:szCs w:val="20"/>
                <w:color w:val="auto"/>
              </w:rPr>
            </w:pPr>
            <w:r>
              <w:rPr>
                <w:rFonts w:ascii="Arial" w:cs="Arial" w:eastAsia="Arial" w:hAnsi="Arial"/>
                <w:sz w:val="18"/>
                <w:szCs w:val="18"/>
                <w:color w:val="auto"/>
              </w:rPr>
              <w:t>840.1 %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5,109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14,269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64,220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65,961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27,649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12,497</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9,074</w:t>
            </w:r>
          </w:p>
        </w:tc>
        <w:tc>
          <w:tcPr>
            <w:tcW w:w="1880" w:type="dxa"/>
            <w:vAlign w:val="bottom"/>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21,523</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61,669</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40,470</w:t>
            </w:r>
          </w:p>
        </w:tc>
        <w:tc>
          <w:tcPr>
            <w:tcW w:w="1880" w:type="dxa"/>
            <w:vAlign w:val="bottom"/>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63,410</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274.51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204.44</w:t>
            </w:r>
          </w:p>
        </w:tc>
        <w:tc>
          <w:tcPr>
            <w:tcW w:w="1880" w:type="dxa"/>
            <w:vAlign w:val="bottom"/>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168.84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233.02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50.13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29.32</w:t>
            </w:r>
          </w:p>
        </w:tc>
        <w:tc>
          <w:tcPr>
            <w:tcW w:w="1880" w:type="dxa"/>
            <w:vAlign w:val="bottom"/>
          </w:tcPr>
          <w:p>
            <w:pPr>
              <w:jc w:val="right"/>
              <w:spacing w:after="0"/>
              <w:rPr>
                <w:sz w:val="20"/>
                <w:szCs w:val="20"/>
                <w:color w:val="auto"/>
              </w:rPr>
            </w:pPr>
            <w:r>
              <w:rPr>
                <w:rFonts w:ascii="Arial" w:cs="Arial" w:eastAsia="Arial" w:hAnsi="Arial"/>
                <w:sz w:val="18"/>
                <w:szCs w:val="18"/>
                <w:color w:val="auto"/>
              </w:rPr>
              <w:t>71.0 %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252.62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224.59</w:t>
            </w:r>
          </w:p>
        </w:tc>
        <w:tc>
          <w:tcPr>
            <w:tcW w:w="188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78.43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hanging="169"/>
        <w:spacing w:after="0"/>
        <w:tabs>
          <w:tab w:leader="none" w:pos="42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Segment results for the three months ended October 31, 2020 have been retrospectively adjusted to reflect current period presentation.</w:t>
      </w:r>
    </w:p>
    <w:p>
      <w:pPr>
        <w:spacing w:after="0" w:line="56" w:lineRule="exact"/>
        <w:rPr>
          <w:rFonts w:ascii="Arial" w:cs="Arial" w:eastAsia="Arial" w:hAnsi="Arial"/>
          <w:sz w:val="20"/>
          <w:szCs w:val="20"/>
          <w:color w:val="auto"/>
          <w:vertAlign w:val="superscript"/>
        </w:rPr>
      </w:pPr>
    </w:p>
    <w:p>
      <w:pPr>
        <w:ind w:left="260" w:hanging="9"/>
        <w:spacing w:after="0" w:line="219" w:lineRule="auto"/>
        <w:tabs>
          <w:tab w:leader="none" w:pos="459"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RevPAR for the three months ended October 31, 2021 increased compared to the prior comparative period primarily due to the greater impact of limitations and restrictions on North American summer operations resulting from COVID-19 in the prior year.</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Lodging Reported EBITDA includes $1.0 million and $0.9 million of stock-based compensation expense for the three months ended October 31, 2021 and 2020, respectively. Lodging Reported EBITDA increased $12.2 million, or 126.5%, primarily as a result of fewer COVID-19 capacity-related restrictions and limitations on our North American summer operations compared to the prior year as well as increased demand, partially offset by increased general and administrative expenses primarily due to COVID-19 related cost management in the prior year.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owned hotel rooms, managed condominium rooms, dining, golf and other revenue each increased primarily as a result of fewer COVID-19 related limitations and restrictions as compared to the prior year as well as increased demand.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7"/>
          <w:szCs w:val="17"/>
          <w:color w:val="auto"/>
        </w:rPr>
        <w:t>Operating expense (excluding reimbursed payroll costs) increased 52.4%. Labor and labor related benefits increased 49.6%, primarily due to increased staffing associated with improved North American summer business demand in the current year as a result of fewer COVID-19 related limitations and restrictions and increased demand, as well as the impact of salary reductions in the prior year. General and administrative expense increased 37.7% primarily due to higher allocated corporate overhead costs, which was impacted by prior year COVID-19 related cost management and uncertainty. Other expense increased 66.7%, primarily related to higher variable expenses associated with increased revenue.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2021 compared to the three months ended October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October 31, 2021 and 2020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580" w:type="dxa"/>
            <w:vAlign w:val="bottom"/>
          </w:tcPr>
          <w:p>
            <w:pPr>
              <w:spacing w:after="0"/>
              <w:rPr>
                <w:sz w:val="14"/>
                <w:szCs w:val="14"/>
                <w:color w:val="auto"/>
              </w:rPr>
            </w:pPr>
          </w:p>
        </w:tc>
        <w:tc>
          <w:tcPr>
            <w:tcW w:w="1900" w:type="dxa"/>
            <w:vAlign w:val="bottom"/>
          </w:tcPr>
          <w:p>
            <w:pPr>
              <w:jc w:val="center"/>
              <w:ind w:left="3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0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900" w:type="dxa"/>
            <w:vAlign w:val="bottom"/>
            <w:vMerge w:val="restart"/>
          </w:tcPr>
          <w:p>
            <w:pPr>
              <w:jc w:val="center"/>
              <w:ind w:left="36"/>
              <w:spacing w:after="0" w:line="135"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1"/>
        </w:trPr>
        <w:tc>
          <w:tcPr>
            <w:tcW w:w="600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8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1,226</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(1,124)</w:t>
            </w:r>
          </w:p>
        </w:tc>
        <w:tc>
          <w:tcPr>
            <w:tcW w:w="10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(1,196)</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close on any significant real estate transactions during the three months ended October 31, 2021 and 2020. Other operating expense for both the three months ended October 31, 2021 and 2020 was primarily comprised of general and administrative costs, such as labor and labor-related benefits, professional services and allocated corporate overhead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segment operating results, the following material items contributed to our overall financial results for the three months ended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 October 31,</w:t>
            </w:r>
          </w:p>
        </w:tc>
        <w:tc>
          <w:tcPr>
            <w:tcW w:w="184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7"/>
        </w:trPr>
        <w:tc>
          <w:tcPr>
            <w:tcW w:w="5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vMerge w:val="restart"/>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5"/>
                <w:szCs w:val="5"/>
                <w:color w:val="auto"/>
              </w:rPr>
            </w:pPr>
          </w:p>
        </w:tc>
        <w:tc>
          <w:tcPr>
            <w:tcW w:w="134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8,867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(39,545)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(35,407)</w:t>
            </w:r>
          </w:p>
        </w:tc>
        <w:tc>
          <w:tcPr>
            <w:tcW w:w="184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59,853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37,478</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29.6 %</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19.3 %</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 pts</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Gain (loss) on disposal of fixed assets and other, net. </w:t>
      </w:r>
      <w:r>
        <w:rPr>
          <w:rFonts w:ascii="Arial" w:cs="Arial" w:eastAsia="Arial" w:hAnsi="Arial"/>
          <w:sz w:val="16"/>
          <w:szCs w:val="16"/>
          <w:color w:val="auto"/>
        </w:rPr>
        <w:t>Gain (loss) on disposal of fixed assets and other, net for the three months ended October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$9.4 million compared to the same period in the prior year, primarily due to proceeds from the NPS related to a partial payment for leasehold surrender interest at GTLC associated with assets that have been fully depreciated by the Company. This payment was made at the request of the NPS.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months ended October 31, 2021 increased $4.1 million compared to the same period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primarily due to non-cash interest expense associated with amortization of the debt discount for the 0.0% Convertible Notes, which were issued in December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At the end of each interim period, the Company estimates the annual effective tax rate and applies that rate to its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months ended October 31, 2021 was 29.6% compared to 19.3% for the three months ended October 31, 2020.</w:t>
      </w:r>
    </w:p>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the effective tax rate for the three months ended October 31, 2021 compared to the three months ended October 31, 2020 was primarily due to the lesser impact from favorable permanent items and discrete items relative to the higher estimated pre-tax book income for the full fiscal year as compared to the prior year, including excess tax benefits of employee share award exercises and the statute closing on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loss attributable to Vail Resorts, Inc. to Total Reported EBITDA for the three months ended October 31, 2021 and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 October 31,</w:t>
            </w:r>
          </w:p>
        </w:tc>
      </w:tr>
      <w:tr>
        <w:trPr>
          <w:trHeight w:val="188"/>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(153,766)</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(157,021)</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(59,853)</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(37,478)</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benefit from income taxes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61,489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62,628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Foreign currency gain on intercompany loans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39,545</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35,407</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(95,976)</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(110,964)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(85,160)</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2,551</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Resort Reported EBITDA</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(108,413)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(94,780)</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(95,976)</w:t>
            </w: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hanging="9"/>
        <w:spacing w:after="0" w:line="267" w:lineRule="auto"/>
        <w:tabs>
          <w:tab w:leader="none" w:pos="425"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months ended October 31, 2020 have been retrospectively adjusted to reflect current period presentation. See Notes to the Consolidated Condensed Financial Statements for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long-term debt, net to Net Debt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October 31</w:t>
            </w:r>
          </w:p>
        </w:tc>
        <w:tc>
          <w:tcPr>
            <w:tcW w:w="116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2,704,583</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2,387,861</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114,795</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63,707</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2,819,378</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2,451,568</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1,468,380</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462,212</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1,350,998</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1,989,356</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three months ended October 31, 2021 and 2020 are presented by categories as follows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Three Months Ended October 31,</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349,021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111,993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600"/>
              <w:spacing w:after="0"/>
              <w:rPr>
                <w:sz w:val="20"/>
                <w:szCs w:val="20"/>
                <w:color w:val="auto"/>
              </w:rPr>
            </w:pPr>
            <w:r>
              <w:rPr>
                <w:rFonts w:ascii="Arial" w:cs="Arial" w:eastAsia="Arial" w:hAnsi="Arial"/>
                <w:sz w:val="18"/>
                <w:szCs w:val="18"/>
                <w:color w:val="auto"/>
              </w:rPr>
              <w:t>(39,857)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ind w:left="600"/>
              <w:spacing w:after="0"/>
              <w:rPr>
                <w:sz w:val="20"/>
                <w:szCs w:val="20"/>
                <w:color w:val="auto"/>
              </w:rPr>
            </w:pPr>
            <w:r>
              <w:rPr>
                <w:rFonts w:ascii="Arial" w:cs="Arial" w:eastAsia="Arial" w:hAnsi="Arial"/>
                <w:sz w:val="18"/>
                <w:szCs w:val="18"/>
                <w:color w:val="auto"/>
                <w:w w:val="92"/>
              </w:rPr>
              <w:t>(29,274)</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(84,734)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(12,684)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Historically, our operations generate seasonally low operating cash flow in the first fiscal quarter given that the first and the prior year’s fourth fiscal quarters have limited North American Mountain segment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2021 compared to the three months ended October 31, 2020</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generated $349.0 million of cash from operating activities during the three months ended October 31, 2021, an increase of $237.0 million compared to $112.0 million generated during the three months ended October 31, 2020. The increase in operating cash flows was primarily a result of an increase in pass product sales and associated accounts receivable collections during the three months ended October 31, 2021 compared to the prior year, which was impacted by the delayed timing of pass purchases and collections associated with COVID-19 in the prior year and the impact of credits offered to 2019/2020 North American pass product holders who purchased 2020/2021 pass products in the prior year. This increase was partially offset by (i) a decrease in accounts payable and accrued liabilities as compared to the beginning of the fiscal year, primarily associated with the lower level of operations as of the beginning of the prior fiscal year resulting from COVID-19, (ii) an increase in inventory purchases during the three months ended October 31, 2021 relative to the prior year and (iii) an increase in credit card fees paid of approximately $15.0 million associated with the increase in pass product sales collections.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three months ended October 31, 2021 increased by $10.6 million primarily due to an increase in capital expenditures of approximately $20.0 million as a result of the deferral of discretionary capital projects in the prior year related to the Company’s decision to prioritize near-term liquidity. This increase was partially offset by proceeds from the NPS related to a partial payment for leasehold surrender interest at GTLC associated with assets that have been fully depreciated by the Company.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increased by $72.1 million during the three months ended October 31, 2021 compared to the three months ended October 31, 2020, primarily due to an increase in net payments under the revolver component of our Whistler Credit Agreement of $37.3 million and an increase in dividends paid of $35.6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$1,468.4 million of cash and cash equivalents as of October 31, 2021, compared to $462.2 million as of October 31, 2020. The increase was primarily associated with Mountain and Lodging segment operating cash flows and the issuance of our $575.0 million 0.0% Convertible Notes in December 2020.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$1,468.4 million of cash and cash equivalents at October 31, 2021, we had $416.6 million available under the revolver component of our Vail Holdings Credit Agreement as of October 31, 2021 (which represents the total commitment of $500.0 million less certain letters of credit outstanding of $83.3 million). Additionally, we had C$272.1 million ($219.6 million) available under the revolver component of our Whistler Credit Agreement (which represents the total commitment of C$300.0 million ($242.2 million) less outstanding borrowings of C$27.0 million ($21.8 million) and a letter of credit outstanding of C$0.8 million ($0.7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LIBOR plus 1.50% and Bankers Acceptance Rate plus 1.75%,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6"/>
          <w:szCs w:val="16"/>
          <w:color w:val="auto"/>
        </w:rPr>
        <w:t>We currently anticipate we will spend approximately $115 million to $120 million on resort capital expenditures during calendar year 2021, excluding one-time items associated with integrations of $5 million and $12 million of reimbursable investments, as well as real estate related capital. Including these one-time items, we expect that our total capital plan will be approximately $135 million to $140 million. Included in these estimated capital expenditures are approximately $75 million to $80 million of maintenance capital expenditures, which are necessary to maintain appearance and level of service appropriate to our resort operations. Discretionary expenditures expected for calendar year 2021 include, among other projects, several investments which were previously deferred from calendar year 2020 as a result of COVID-19 and are subject to regulatory approvals, including the 250-acre lift-served terrain expansion in the McCoy Park area of Beaver Creek; a new four-person high speed lift to serve Peak 7 at Breckenridge; replacing the Peru lift at Keystone with a six-person high speed chairlift; replacing the Peachtree lift at Crested Butte with a new three-person fixed-grip lift; and an upgrade of the four-person Quantum lift at Okemo to a six-person high speed chairlift, relocating the existing four-person Quantum lift to replace the Green Ridge three-person fixed-grip chairlift. We also expect to continue to invest in company-wide technology enhancements to support our data driven approach, guest experience and corporate infrastructure which improve our scalability and efficiency as we work to optimize our processes, business analytics and cost discipline across the network, as well as upgrades to the infrastructure of our guest contact centers.</w:t>
      </w:r>
    </w:p>
    <w:p>
      <w:pPr>
        <w:spacing w:after="0" w:line="19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We had spent approximately $98 million for capital expenditures in calendar year 2021 as of October 31, 2021, leaving approximately $37 million to $42 million to spend in the remainder of calendar year 2021, including anticipated investments for integrations and real estate related projects.</w:t>
      </w:r>
    </w:p>
    <w:p>
      <w:pPr>
        <w:spacing w:after="0" w:line="16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expect our capital plan for calendar year 2022 will be approximately $315 million to $325 million, excluding approximately $3 million of one-time items associated with real estate related capital. This is approximately $150 million above our typical annual capital plan, based on inflation and previous additions for acquisitions, and includes approximately $20 million of incremental spending to complete the one-time capital plans associated with the Peak Resorts and Triple Peaks acquisitions. Including one-time real estate related capital, our total capital plan is expected to be approximately $318 million to $328 million. We currently plan to utilize cash on hand, borrowings available under our credit agreements and/or cash flow generated from future operations to provide the cash necessary to complete our capital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31, 2021, principal payments on the majority of our long-term debt ($2.7 billion of the total $2.9 billion debt outstanding as of October 31, 2021) are not due until fiscal year 2025 and beyond. As of October 31, 2021 and 2020, total long-term debt, net (including long-term debt due within one year) was $2.8 billion and $2.5 billion, respectively. Net Debt (defined as long-term debt, net plus long-term debt due within one year less cash and cash equivalents) decreased from $2.0 billion as of October 31, 2020 to $1.4 billion as of October 31, 2021, primarily due to Mountain and Lodging segment operating cash flows.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October 31, 2021, the Vail Holdings Credit Agreement provides for (i) a revolving loan facility in an aggregate principal amount of $500.0 million and (ii) a term loan facility of $1.1 billion. We expect that our liquidity needs in the near term will be met by continued use of cash on hand, operating cash flows and borrowings under the 6.25% Notes, the 0.0% Convertible Notes, the Vail Holdings Credit Agreement and the Whistler Credit Agreement.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exited the Financial Covenants Temporary Waiver Period under the Vail Holdings Credit Agreement effective October 31, 2021. As a result, we are required to comply with the financial maintenance covenants in the Vail Holdings Credit Agreement starting with the fiscal quarter ended October 31, 2021 and, upon delivery of a certificate demonstrating compliance with the financial maintenance covenants for such quarter, will no longer be subject to the covenant modifications that were applicable during the temporary waiver period.</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service requirements can be impacted by changing interest rates as we had approximately $0.8 billion of variable-rate debt outstanding as of October 31, 2021. A 100-basis point change in our borrowing rates would cause our annual interest payments to change by approximately $8.0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COVID-19, by managing our capital expenditures, variable operating expenses, the timing of new real estate development activity and the payment of cash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8, 2021, the Company’s Board of Directors approved a cash dividend of $0.88 per share payable on January 11, 2022 to stockholders of record as of December 28, 2021. Additionally, a Canadian dollar equivalent dividend on the Exchangeco Shares will be payable on January 11, 2022 to shareholders of record on December 28, 2021. For the three months ended October 31, 2021, we paid cash dividends of $0.88 per share ($35.6 million in the aggregate). We funded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We did not repurchase any Vail Shares during the three months ended October 31, 2021 and 2020. Since inception of this stock repurchase program through October 31, 2021, we have repurchased 6,161,141 Vail Shares at a cost of approximately $404.4 million. As of October 31, 2021, 1,338,859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 compliance with all restrictive financial covenants in our debt instruments as of October 31, 2021.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jc w:val="both"/>
        <w:ind w:left="820" w:hanging="650"/>
        <w:spacing w:after="0" w:line="255" w:lineRule="auto"/>
        <w:tabs>
          <w:tab w:leader="none" w:pos="81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Epic Coverage program;</w:t>
      </w:r>
    </w:p>
    <w:p>
      <w:pPr>
        <w:spacing w:after="0" w:line="2" w:lineRule="exact"/>
        <w:rPr>
          <w:rFonts w:ascii="Arial" w:cs="Arial" w:eastAsia="Arial" w:hAnsi="Arial"/>
          <w:sz w:val="18"/>
          <w:szCs w:val="18"/>
          <w:i w:val="1"/>
          <w:iCs w:val="1"/>
          <w:color w:val="auto"/>
        </w:rPr>
      </w:pPr>
    </w:p>
    <w:p>
      <w:pPr>
        <w:ind w:left="820" w:hanging="650"/>
        <w:spacing w:after="0" w:line="265" w:lineRule="auto"/>
        <w:tabs>
          <w:tab w:leader="none" w:pos="81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interruptions or disruptions of our information technology systems, data security or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 or with other recreational and leisure activities;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line="250" w:lineRule="auto"/>
        <w:tabs>
          <w:tab w:leader="none" w:pos="81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successfully integrate acquired businesses, or that acquired businesses may fail to perform in accordance with expectations;</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as compared to the U.S. dollar;</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laws, regulations or interpretations, or adverse determinations by taxing authorities;</w:t>
      </w:r>
    </w:p>
    <w:p>
      <w:pPr>
        <w:spacing w:after="0" w:line="9" w:lineRule="exact"/>
        <w:rPr>
          <w:rFonts w:ascii="Arial" w:cs="Arial" w:eastAsia="Arial" w:hAnsi="Arial"/>
          <w:sz w:val="18"/>
          <w:szCs w:val="18"/>
          <w:i w:val="1"/>
          <w:iCs w:val="1"/>
          <w:color w:val="auto"/>
        </w:rPr>
      </w:pPr>
    </w:p>
    <w:p>
      <w:pPr>
        <w:jc w:val="both"/>
        <w:ind w:left="820" w:hanging="650"/>
        <w:spacing w:after="0" w:line="250" w:lineRule="auto"/>
        <w:tabs>
          <w:tab w:leader="none" w:pos="81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October 31, 2021, we had approximately $0.8 billion of variable rate indebtedness (after taking into consideration $400.0 million in interest rate swaps which converts variable-rate debt to fixed-rate debt), representing approximately 27% of our total debt outstanding, at an average interest rate during the three months ended October 31, 2021 of approximately 2.6%. Based on variable-rate borrowings outstanding as of October 31, 2021, a 100-basis point (or 1.0%) change in our borrowing rates would result in our annual interest payments changing by approximately $8.0 million. Our market risk exposure fluctuates based on changes in underlying interest rates.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representing gains, and foreign currency gain on intercompany loans recognized in comprehensive loss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Three Months Ended October 31,</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15,137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gain on intercompany loans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831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three months ended October 31, 2021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40"/>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23, 2021, as of and for the year ended July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October 31, 2021, 33,697 Exchangeco Shares had not yet been exchanged into Vail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380" w:type="dxa"/>
            <w:vAlign w:val="bottom"/>
            <w:gridSpan w:val="6"/>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3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Vail Resorts, Inc. Management Incentive Plan.</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9720" w:type="dxa"/>
            <w:vAlign w:val="bottom"/>
            <w:gridSpan w:val="8"/>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Executive Employment Agreement, between Vail Resorts, Inc. and Kirsten A. Lynch effective November 1, 2021. (Incorporated by</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4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reference to Exhibit 10.1 on Form 8-K of Vail Resorts, Inc. filed on November 1, 2021) (File Number 001-09614).</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9720" w:type="dxa"/>
            <w:vAlign w:val="bottom"/>
            <w:gridSpan w:val="8"/>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Indemnification Agreement. (Incorporated by reference to Exhibit 10.1 on Form 8-K of Vail Resorts, Inc. filed on October 13,</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2021) (File Number 001-09614)</w:t>
              </w:r>
            </w:hyperlink>
          </w:p>
        </w:tc>
        <w:tc>
          <w:tcPr>
            <w:tcW w:w="73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72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2"/>
                <w:szCs w:val="22"/>
                <w:color w:val="auto"/>
              </w:rPr>
            </w:pPr>
          </w:p>
        </w:tc>
        <w:tc>
          <w:tcPr>
            <w:tcW w:w="25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40" w:hanging="1314"/>
        <w:spacing w:after="0" w:line="235" w:lineRule="auto"/>
        <w:tabs>
          <w:tab w:leader="none" w:pos="1340" w:val="left"/>
        </w:tabs>
        <w:numPr>
          <w:ilvl w:val="0"/>
          <w:numId w:val="20"/>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906 of the Sarbanes-Oxley Act of 2002.</w:t>
        </w:r>
      </w:hyperlink>
    </w:p>
    <w:p>
      <w:pPr>
        <w:spacing w:after="0" w:line="23"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Arial" w:cs="Arial" w:eastAsia="Arial" w:hAnsi="Arial"/>
                <w:sz w:val="18"/>
                <w:szCs w:val="18"/>
                <w:color w:val="auto"/>
              </w:rPr>
              <w:t>inline XBRL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Schema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20" w:right="3740" w:firstLine="6"/>
        <w:spacing w:after="0" w:line="606" w:lineRule="auto"/>
        <w:tabs>
          <w:tab w:leader="none" w:pos="13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*Management contracts and compensatory plans and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December 9, 2021</w:t>
            </w:r>
          </w:p>
        </w:tc>
        <w:tc>
          <w:tcPr>
            <w:tcW w:w="2400" w:type="dxa"/>
            <w:vAlign w:val="bottom"/>
          </w:tcPr>
          <w:p>
            <w:pPr>
              <w:ind w:left="18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22"/>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230"/>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December 9, 2021</w:t>
            </w:r>
          </w:p>
        </w:tc>
        <w:tc>
          <w:tcPr>
            <w:tcW w:w="2400" w:type="dxa"/>
            <w:vAlign w:val="bottom"/>
          </w:tcPr>
          <w:p>
            <w:pPr>
              <w:ind w:left="18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36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820" w:type="dxa"/>
            <w:vAlign w:val="bottom"/>
          </w:tcPr>
          <w:p>
            <w:pPr>
              <w:ind w:left="1300"/>
              <w:spacing w:after="0" w:line="176" w:lineRule="exact"/>
              <w:rPr>
                <w:sz w:val="20"/>
                <w:szCs w:val="20"/>
                <w:color w:val="auto"/>
              </w:rPr>
            </w:pPr>
            <w:r>
              <w:rPr>
                <w:rFonts w:ascii="Arial" w:cs="Arial" w:eastAsia="Arial" w:hAnsi="Arial"/>
                <w:sz w:val="18"/>
                <w:szCs w:val="18"/>
                <w:color w:val="auto"/>
              </w:rPr>
              <w:t>Vice President, Controller and</w:t>
            </w:r>
          </w:p>
        </w:tc>
      </w:tr>
      <w:tr>
        <w:trPr>
          <w:trHeight w:val="229"/>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891"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1706245</wp:posOffset>
            </wp:positionV>
            <wp:extent cx="3240405"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2404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00"/>
        <w:spacing w:after="0"/>
        <w:rPr>
          <w:sz w:val="20"/>
          <w:szCs w:val="20"/>
          <w:color w:val="auto"/>
        </w:rPr>
      </w:pPr>
      <w:r>
        <w:rPr>
          <w:rFonts w:ascii="Arial" w:cs="Arial" w:eastAsia="Arial" w:hAnsi="Arial"/>
          <w:sz w:val="39"/>
          <w:szCs w:val="39"/>
          <w:b w:val="1"/>
          <w:bCs w:val="1"/>
          <w:color w:val="auto"/>
        </w:rPr>
        <w:t>Management Incentive Plan</w:t>
      </w:r>
    </w:p>
    <w:p>
      <w:pPr>
        <w:spacing w:after="0" w:line="308" w:lineRule="exact"/>
        <w:rPr>
          <w:sz w:val="20"/>
          <w:szCs w:val="20"/>
          <w:color w:val="auto"/>
        </w:rPr>
      </w:pPr>
    </w:p>
    <w:p>
      <w:pPr>
        <w:jc w:val="center"/>
        <w:ind w:right="1100"/>
        <w:spacing w:after="0"/>
        <w:rPr>
          <w:sz w:val="20"/>
          <w:szCs w:val="20"/>
          <w:color w:val="auto"/>
        </w:rPr>
      </w:pPr>
      <w:r>
        <w:rPr>
          <w:rFonts w:ascii="Arial" w:cs="Arial" w:eastAsia="Arial" w:hAnsi="Arial"/>
          <w:sz w:val="43"/>
          <w:szCs w:val="43"/>
          <w:b w:val="1"/>
          <w:bCs w:val="1"/>
          <w:color w:val="auto"/>
        </w:rPr>
        <w:t>Grades 33 &amp; Above</w:t>
      </w:r>
    </w:p>
    <w:p>
      <w:pPr>
        <w:sectPr>
          <w:pgSz w:w="11900" w:h="16838" w:orient="portrait"/>
          <w:cols w:equalWidth="0" w:num="1">
            <w:col w:w="10120"/>
          </w:cols>
          <w:pgMar w:left="1440" w:top="89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Objective</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purpose of the Management Incentive Plan (the “Plan”) is to reinforce individual employee behaviors that contribute to the mission, values, growth and profitability of Vail Resorts, Inc. and its wholly owned subsidiaries (collectively, the “Company”) by: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Rewarding and recognizing performance in one or more of the following areas:</w:t>
      </w:r>
    </w:p>
    <w:p>
      <w:pPr>
        <w:spacing w:after="0" w:line="241" w:lineRule="exact"/>
        <w:rPr>
          <w:sz w:val="20"/>
          <w:szCs w:val="20"/>
          <w:color w:val="auto"/>
        </w:rPr>
      </w:pPr>
    </w:p>
    <w:p>
      <w:pPr>
        <w:jc w:val="both"/>
        <w:ind w:left="660" w:hanging="328"/>
        <w:spacing w:after="0" w:line="25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Financial</w:t>
      </w:r>
      <w:r>
        <w:rPr>
          <w:rFonts w:ascii="Arial" w:cs="Arial" w:eastAsia="Arial" w:hAnsi="Arial"/>
          <w:sz w:val="22"/>
          <w:szCs w:val="22"/>
          <w:color w:val="auto"/>
        </w:rPr>
        <w:t>: Financial results at the end of the fiscal year are compared to EBITDA targets determined at the beginning of</w:t>
      </w:r>
      <w:r>
        <w:rPr>
          <w:rFonts w:ascii="Arial" w:cs="Arial" w:eastAsia="Arial" w:hAnsi="Arial"/>
          <w:sz w:val="22"/>
          <w:szCs w:val="22"/>
          <w:b w:val="1"/>
          <w:bCs w:val="1"/>
          <w:color w:val="auto"/>
        </w:rPr>
        <w:t xml:space="preserve"> </w:t>
      </w:r>
      <w:r>
        <w:rPr>
          <w:rFonts w:ascii="Arial" w:cs="Arial" w:eastAsia="Arial" w:hAnsi="Arial"/>
          <w:sz w:val="22"/>
          <w:szCs w:val="22"/>
          <w:color w:val="auto"/>
        </w:rPr>
        <w:t>the fiscal year. EBITDA (Earnings before Interest, Taxes and Depreciation and Amortization excluding stock based compensation) results are consolidated into various divisions of the Company and are defined in the funding section below.</w:t>
      </w:r>
    </w:p>
    <w:p>
      <w:pPr>
        <w:spacing w:after="0" w:line="212"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Individual Employee Performance: Includes adherence to the Company’s mission and values.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Plan is effective and will remain in effect until amended or terminated. The Plan Year will run concurrently with the fiscal year under which the employee is governed.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All full-time employees of the Company at grade levels 33 and above during measurement period as identified in the Company’s compensation grade structures are eligible to participate in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Percentages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target bonus percentages for employees are determined by the Compensation Committee in its sole discretion on a yearly basis by the end of the first quarter of each fiscal year and while the attainment of EBITDA performance targets are substantially uncertain.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Incentives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eligible employee’s target bonus incentive is calculated based on the target bonus percentage of his or her annual salary as of the last day of the measurement period the employee was classified in a Grade 33 or above position, except where proration rules apply as defined in the Proration sections.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The funding at the end of the fiscal year is based on the final EBITDA results of the Company’s business divisions and the eligible employee’s incentive target amounts as determined by the Compensation Committee and as defined in </w:t>
      </w:r>
      <w:r>
        <w:rPr>
          <w:rFonts w:ascii="Arial" w:cs="Arial" w:eastAsia="Arial" w:hAnsi="Arial"/>
          <w:sz w:val="19"/>
          <w:szCs w:val="19"/>
          <w:u w:val="single" w:color="auto"/>
          <w:color w:val="auto"/>
        </w:rPr>
        <w:t>Exhibit A and B</w:t>
      </w:r>
      <w:r>
        <w:rPr>
          <w:rFonts w:ascii="Arial" w:cs="Arial" w:eastAsia="Arial" w:hAnsi="Arial"/>
          <w:sz w:val="19"/>
          <w:szCs w:val="19"/>
          <w:color w:val="auto"/>
        </w:rPr>
        <w:t>.</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EBITDA Results for the Company are based on overall Vail Resorts EBITDA which includes all Mountain resorts, Lodging divisions and Retail divisions combined.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all Vail Resorts Executives</w:t>
      </w:r>
      <w:r>
        <w:rPr>
          <w:rFonts w:ascii="Arial" w:cs="Arial" w:eastAsia="Arial" w:hAnsi="Arial"/>
          <w:sz w:val="22"/>
          <w:szCs w:val="22"/>
          <w:color w:val="auto"/>
        </w:rPr>
        <w:t>, the Plan is 100% funded based on Resort EBITDA.</w:t>
      </w:r>
    </w:p>
    <w:p>
      <w:pPr>
        <w:sectPr>
          <w:pgSz w:w="11900" w:h="16838" w:orient="portrait"/>
          <w:cols w:equalWidth="0" w:num="1">
            <w:col w:w="11240"/>
          </w:cols>
          <w:pgMar w:left="320" w:top="895"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22"/>
          <w:szCs w:val="22"/>
          <w:color w:val="auto"/>
        </w:rPr>
        <w:t>The maximum amount that may be earned as an award under the Plan for any Plan year by any one eligible employee shall be $4,000,000.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Variable</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At each fiscal year-end, the funding will be based on the percentage of EBITDA target achieved. The schedule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used to determine the percent of the target incentive funded by overall Vail Resorts EBITDA performance. The Compensation Committee will establish the Resort EBITDA performance targets and corresponding funding levels and may amend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by the end of the first quarter of each fiscal year and while the attainment of such goals is substantially uncertain. EBITDA results are rounded to the nearest whole percentage using simple rounding.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Performance Rating Variable</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For all employees excluding the Chief Executive Officer, the target incentive will be influenced based on individual performance.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Chief Executive Officer’s total bonus will be equal to, and based solely on, the funded target incentive amount.</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Individual performance for all employees participating in the Plan will be determined through the applicable fiscal year performance review process, which will be determined by the Chief Executive Officer. With the exception of promoted employees, the final performance score will determine the incentive payment with higher performing employees receiving larger rewards than their lower performing peers. For those employees promoted into a higher level position, any applicable incentive payments will be calculated by applying the Achieves Expectations performance variable to the incentive target for the new position.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Example Payout</w:t>
      </w:r>
    </w:p>
    <w:p>
      <w:pPr>
        <w:spacing w:after="0" w:line="22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Grade 33 Corporate employee</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$200,000 annual salary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Target incentive % - 42.5%</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Target incentive $ = $200,000 x 42.5% = $85,000</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Resort EBITDA results are at 101% of target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Resort EBITDA funding = 107.5%</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Accordingly, with the above, the funded incentive = 107.5% x $85,000 = $91,375.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above employee receives an individual performance rating of “Achieves Expectations.”</w:t>
      </w:r>
    </w:p>
    <w:p>
      <w:pPr>
        <w:spacing w:after="0" w:line="2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“Achieves Expectations” = 100% of funded incentive</w:t>
      </w:r>
    </w:p>
    <w:p>
      <w:pPr>
        <w:spacing w:after="0" w:line="8"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$91,375 x 100% - $91,375 payout.</w:t>
      </w:r>
    </w:p>
    <w:p>
      <w:pPr>
        <w:spacing w:after="0" w:line="202" w:lineRule="exact"/>
        <w:rPr>
          <w:sz w:val="20"/>
          <w:szCs w:val="20"/>
          <w:color w:val="auto"/>
        </w:rPr>
      </w:pPr>
    </w:p>
    <w:p>
      <w:pPr>
        <w:ind w:right="760"/>
        <w:spacing w:after="0" w:line="448" w:lineRule="auto"/>
        <w:rPr>
          <w:sz w:val="20"/>
          <w:szCs w:val="20"/>
          <w:color w:val="auto"/>
        </w:rPr>
      </w:pPr>
      <w:r>
        <w:rPr>
          <w:rFonts w:ascii="Arial" w:cs="Arial" w:eastAsia="Arial" w:hAnsi="Arial"/>
          <w:sz w:val="22"/>
          <w:szCs w:val="22"/>
          <w:color w:val="auto"/>
        </w:rPr>
        <w:t xml:space="preserve">Individual performance can multiple the incentive payout by 0% to 130% of the target amount as displayed on Exhibit B. </w:t>
      </w:r>
      <w:r>
        <w:rPr>
          <w:rFonts w:ascii="Arial" w:cs="Arial" w:eastAsia="Arial" w:hAnsi="Arial"/>
          <w:sz w:val="22"/>
          <w:szCs w:val="22"/>
          <w:b w:val="1"/>
          <w:bCs w:val="1"/>
          <w:color w:val="auto"/>
        </w:rPr>
        <w:t>Proration for New Hires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An employee hired into a position eligible for this Plan will receive a prorated incentive for the Plan Year based on the hire date and following schedule. Anyone hired after April 30 will not be eligible to receive an award for that fiscal year, except at the sole discretion of the CEO.</w:t>
      </w:r>
    </w:p>
    <w:p>
      <w:pPr>
        <w:sectPr>
          <w:pgSz w:w="11900" w:h="16838" w:orient="portrait"/>
          <w:cols w:equalWidth="0" w:num="1">
            <w:col w:w="11240"/>
          </w:cols>
          <w:pgMar w:left="320" w:top="901" w:right="339" w:bottom="1440" w:gutter="0" w:footer="0" w:header="0"/>
        </w:sectPr>
      </w:pPr>
    </w:p>
    <w:bookmarkStart w:id="41" w:name="page42"/>
    <w:bookmarkEnd w:id="41"/>
    <w:tbl>
      <w:tblPr>
        <w:tblLayout w:type="fixed"/>
        <w:tblInd w:w="2550" w:type="dxa"/>
        <w:tblCellMar>
          <w:top w:w="0" w:type="dxa"/>
          <w:left w:w="0" w:type="dxa"/>
          <w:bottom w:w="0" w:type="dxa"/>
          <w:right w:w="0" w:type="dxa"/>
        </w:tblCellMar>
      </w:tblPr>
      <w:tr>
        <w:trPr>
          <w:trHeight w:val="295"/>
        </w:trPr>
        <w:tc>
          <w:tcPr>
            <w:tcW w:w="4420" w:type="dxa"/>
            <w:vAlign w:val="bottom"/>
            <w:tcBorders>
              <w:top w:val="single" w:sz="8" w:color="auto"/>
              <w:left w:val="single" w:sz="8" w:color="auto"/>
              <w:bottom w:val="single" w:sz="8" w:color="auto"/>
              <w:right w:val="single" w:sz="8" w:color="auto"/>
            </w:tcBorders>
            <w:shd w:val="clear" w:color="auto" w:fill="DDD9C3"/>
          </w:tcPr>
          <w:p>
            <w:pPr>
              <w:ind w:left="40"/>
              <w:spacing w:after="0"/>
              <w:rPr>
                <w:sz w:val="20"/>
                <w:szCs w:val="20"/>
                <w:color w:val="auto"/>
              </w:rPr>
            </w:pPr>
            <w:r>
              <w:rPr>
                <w:rFonts w:ascii="Arial" w:cs="Arial" w:eastAsia="Arial" w:hAnsi="Arial"/>
                <w:sz w:val="22"/>
                <w:szCs w:val="22"/>
                <w:b w:val="1"/>
                <w:bCs w:val="1"/>
                <w:color w:val="auto"/>
              </w:rPr>
              <w:t>Month of Hire</w:t>
            </w:r>
          </w:p>
        </w:tc>
        <w:tc>
          <w:tcPr>
            <w:tcW w:w="1760" w:type="dxa"/>
            <w:vAlign w:val="bottom"/>
            <w:tcBorders>
              <w:top w:val="single" w:sz="8" w:color="auto"/>
              <w:bottom w:val="single" w:sz="8" w:color="auto"/>
              <w:right w:val="single" w:sz="8" w:color="auto"/>
            </w:tcBorders>
            <w:shd w:val="clear" w:color="auto" w:fill="DDD9C3"/>
          </w:tcPr>
          <w:p>
            <w:pPr>
              <w:jc w:val="right"/>
              <w:ind w:right="292"/>
              <w:spacing w:after="0"/>
              <w:rPr>
                <w:sz w:val="20"/>
                <w:szCs w:val="20"/>
                <w:color w:val="auto"/>
              </w:rPr>
            </w:pPr>
            <w:r>
              <w:rPr>
                <w:rFonts w:ascii="Arial" w:cs="Arial" w:eastAsia="Arial" w:hAnsi="Arial"/>
                <w:sz w:val="22"/>
                <w:szCs w:val="22"/>
                <w:b w:val="1"/>
                <w:bCs w:val="1"/>
                <w:color w:val="auto"/>
              </w:rPr>
              <w:t>Prorate %</w:t>
            </w:r>
          </w:p>
        </w:tc>
      </w:tr>
      <w:tr>
        <w:trPr>
          <w:trHeight w:val="277"/>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i w:val="1"/>
                <w:iCs w:val="1"/>
                <w:color w:val="auto"/>
              </w:rPr>
              <w:t>August, September, October</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100%</w:t>
            </w:r>
          </w:p>
        </w:tc>
      </w:tr>
      <w:tr>
        <w:trPr>
          <w:trHeight w:val="277"/>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i w:val="1"/>
                <w:iCs w:val="1"/>
                <w:color w:val="auto"/>
              </w:rPr>
              <w:t>November, December, January</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67%</w:t>
            </w:r>
          </w:p>
        </w:tc>
      </w:tr>
      <w:tr>
        <w:trPr>
          <w:trHeight w:val="277"/>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i w:val="1"/>
                <w:iCs w:val="1"/>
                <w:color w:val="auto"/>
              </w:rPr>
              <w:t>February, March, April</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33%</w:t>
            </w:r>
          </w:p>
        </w:tc>
      </w:tr>
      <w:tr>
        <w:trPr>
          <w:trHeight w:val="277"/>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i w:val="1"/>
                <w:iCs w:val="1"/>
                <w:color w:val="auto"/>
              </w:rPr>
              <w:t>May, June, July</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Internal Promotions</w:t>
      </w:r>
    </w:p>
    <w:p>
      <w:pPr>
        <w:spacing w:after="0" w:line="22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proration calculation for employees who have been promoted into a Plan eligible position will be based on number of days in each role and performance rating earned in each position. For the purposes of this plan, a promotion is defined as position change resulting in an increase in grade assignment and individual bonus target percentage.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Example of Prorated Bonus due to Promotion</w:t>
      </w:r>
    </w:p>
    <w:p>
      <w:pPr>
        <w:spacing w:after="0" w:line="281" w:lineRule="exact"/>
        <w:rPr>
          <w:sz w:val="20"/>
          <w:szCs w:val="20"/>
          <w:color w:val="auto"/>
        </w:rPr>
      </w:pPr>
    </w:p>
    <w:tbl>
      <w:tblPr>
        <w:tblLayout w:type="fixed"/>
        <w:tblInd w:w="510" w:type="dxa"/>
        <w:tblCellMar>
          <w:top w:w="0" w:type="dxa"/>
          <w:left w:w="0" w:type="dxa"/>
          <w:bottom w:w="0" w:type="dxa"/>
          <w:right w:w="0" w:type="dxa"/>
        </w:tblCellMar>
      </w:tblPr>
      <w:tr>
        <w:trPr>
          <w:trHeight w:val="243"/>
        </w:trPr>
        <w:tc>
          <w:tcPr>
            <w:tcW w:w="1060" w:type="dxa"/>
            <w:vAlign w:val="bottom"/>
            <w:tcBorders>
              <w:top w:val="single" w:sz="8" w:color="auto"/>
              <w:left w:val="single" w:sz="8" w:color="auto"/>
              <w:right w:val="single" w:sz="8" w:color="auto"/>
            </w:tcBorders>
            <w:shd w:val="clear" w:color="auto" w:fill="DDD9C3"/>
          </w:tcPr>
          <w:p>
            <w:pPr>
              <w:ind w:left="220"/>
              <w:spacing w:after="0" w:line="243" w:lineRule="exact"/>
              <w:rPr>
                <w:sz w:val="20"/>
                <w:szCs w:val="20"/>
                <w:color w:val="auto"/>
              </w:rPr>
            </w:pPr>
            <w:r>
              <w:rPr>
                <w:rFonts w:ascii="Arial" w:cs="Arial" w:eastAsia="Arial" w:hAnsi="Arial"/>
                <w:sz w:val="22"/>
                <w:szCs w:val="22"/>
                <w:b w:val="1"/>
                <w:bCs w:val="1"/>
                <w:color w:val="auto"/>
              </w:rPr>
              <w:t>Grade</w:t>
            </w:r>
          </w:p>
        </w:tc>
        <w:tc>
          <w:tcPr>
            <w:tcW w:w="1340" w:type="dxa"/>
            <w:vAlign w:val="bottom"/>
            <w:tcBorders>
              <w:top w:val="single" w:sz="8" w:color="auto"/>
              <w:right w:val="single" w:sz="8" w:color="auto"/>
            </w:tcBorders>
            <w:shd w:val="clear" w:color="auto" w:fill="DDD9C3"/>
          </w:tcPr>
          <w:p>
            <w:pPr>
              <w:jc w:val="right"/>
              <w:ind w:right="32"/>
              <w:spacing w:after="0" w:line="243" w:lineRule="exact"/>
              <w:rPr>
                <w:sz w:val="20"/>
                <w:szCs w:val="20"/>
                <w:color w:val="auto"/>
              </w:rPr>
            </w:pPr>
            <w:r>
              <w:rPr>
                <w:rFonts w:ascii="Arial" w:cs="Arial" w:eastAsia="Arial" w:hAnsi="Arial"/>
                <w:sz w:val="22"/>
                <w:szCs w:val="22"/>
                <w:b w:val="1"/>
                <w:bCs w:val="1"/>
                <w:color w:val="auto"/>
                <w:w w:val="94"/>
              </w:rPr>
              <w:t>Base Salary</w:t>
            </w:r>
          </w:p>
        </w:tc>
        <w:tc>
          <w:tcPr>
            <w:tcW w:w="1040" w:type="dxa"/>
            <w:vAlign w:val="bottom"/>
            <w:tcBorders>
              <w:top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94"/>
              </w:rPr>
              <w:t>Target %</w:t>
            </w:r>
          </w:p>
        </w:tc>
        <w:tc>
          <w:tcPr>
            <w:tcW w:w="1040" w:type="dxa"/>
            <w:vAlign w:val="bottom"/>
            <w:tcBorders>
              <w:top w:val="single" w:sz="8" w:color="auto"/>
              <w:right w:val="single" w:sz="8" w:color="auto"/>
            </w:tcBorders>
            <w:shd w:val="clear" w:color="auto" w:fill="DDD9C3"/>
          </w:tcPr>
          <w:p>
            <w:pPr>
              <w:jc w:val="right"/>
              <w:ind w:right="52"/>
              <w:spacing w:after="0" w:line="243" w:lineRule="exact"/>
              <w:rPr>
                <w:sz w:val="20"/>
                <w:szCs w:val="20"/>
                <w:color w:val="auto"/>
              </w:rPr>
            </w:pPr>
            <w:r>
              <w:rPr>
                <w:rFonts w:ascii="Arial" w:cs="Arial" w:eastAsia="Arial" w:hAnsi="Arial"/>
                <w:sz w:val="22"/>
                <w:szCs w:val="22"/>
                <w:b w:val="1"/>
                <w:bCs w:val="1"/>
                <w:color w:val="auto"/>
              </w:rPr>
              <w:t>Target $</w:t>
            </w:r>
          </w:p>
        </w:tc>
        <w:tc>
          <w:tcPr>
            <w:tcW w:w="1200" w:type="dxa"/>
            <w:vAlign w:val="bottom"/>
            <w:tcBorders>
              <w:top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92"/>
              </w:rPr>
              <w:t>Funding %</w:t>
            </w:r>
          </w:p>
        </w:tc>
        <w:tc>
          <w:tcPr>
            <w:tcW w:w="1660" w:type="dxa"/>
            <w:vAlign w:val="bottom"/>
            <w:tcBorders>
              <w:top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89"/>
              </w:rPr>
              <w:t>Performance</w:t>
            </w:r>
          </w:p>
        </w:tc>
        <w:tc>
          <w:tcPr>
            <w:tcW w:w="1360" w:type="dxa"/>
            <w:vAlign w:val="bottom"/>
            <w:tcBorders>
              <w:top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88"/>
              </w:rPr>
              <w:t># of Rounded</w:t>
            </w:r>
          </w:p>
        </w:tc>
        <w:tc>
          <w:tcPr>
            <w:tcW w:w="1580" w:type="dxa"/>
            <w:vAlign w:val="bottom"/>
            <w:tcBorders>
              <w:top w:val="single" w:sz="8" w:color="auto"/>
              <w:right w:val="single" w:sz="8" w:color="auto"/>
            </w:tcBorders>
            <w:shd w:val="clear" w:color="auto" w:fill="DDD9C3"/>
          </w:tcPr>
          <w:p>
            <w:pPr>
              <w:jc w:val="right"/>
              <w:ind w:right="292"/>
              <w:spacing w:after="0" w:line="243" w:lineRule="exact"/>
              <w:rPr>
                <w:sz w:val="20"/>
                <w:szCs w:val="20"/>
                <w:color w:val="auto"/>
              </w:rPr>
            </w:pPr>
            <w:r>
              <w:rPr>
                <w:rFonts w:ascii="Arial" w:cs="Arial" w:eastAsia="Arial" w:hAnsi="Arial"/>
                <w:sz w:val="22"/>
                <w:szCs w:val="22"/>
                <w:b w:val="1"/>
                <w:bCs w:val="1"/>
                <w:color w:val="auto"/>
              </w:rPr>
              <w:t>Prorated</w:t>
            </w:r>
          </w:p>
        </w:tc>
      </w:tr>
      <w:tr>
        <w:trPr>
          <w:trHeight w:val="282"/>
        </w:trPr>
        <w:tc>
          <w:tcPr>
            <w:tcW w:w="1060" w:type="dxa"/>
            <w:vAlign w:val="bottom"/>
            <w:tcBorders>
              <w:left w:val="single" w:sz="8" w:color="auto"/>
              <w:bottom w:val="single" w:sz="8" w:color="auto"/>
              <w:right w:val="single" w:sz="8" w:color="auto"/>
            </w:tcBorders>
            <w:shd w:val="clear" w:color="auto" w:fill="DDD9C3"/>
          </w:tcPr>
          <w:p>
            <w:pPr>
              <w:spacing w:after="0"/>
              <w:rPr>
                <w:sz w:val="24"/>
                <w:szCs w:val="24"/>
                <w:color w:val="auto"/>
              </w:rPr>
            </w:pPr>
          </w:p>
        </w:tc>
        <w:tc>
          <w:tcPr>
            <w:tcW w:w="1340" w:type="dxa"/>
            <w:vAlign w:val="bottom"/>
            <w:tcBorders>
              <w:bottom w:val="single" w:sz="8" w:color="auto"/>
              <w:right w:val="single" w:sz="8" w:color="auto"/>
            </w:tcBorders>
            <w:shd w:val="clear" w:color="auto" w:fill="DDD9C3"/>
          </w:tcPr>
          <w:p>
            <w:pPr>
              <w:spacing w:after="0"/>
              <w:rPr>
                <w:sz w:val="24"/>
                <w:szCs w:val="24"/>
                <w:color w:val="auto"/>
              </w:rPr>
            </w:pPr>
          </w:p>
        </w:tc>
        <w:tc>
          <w:tcPr>
            <w:tcW w:w="1040" w:type="dxa"/>
            <w:vAlign w:val="bottom"/>
            <w:tcBorders>
              <w:bottom w:val="single" w:sz="8" w:color="auto"/>
              <w:right w:val="single" w:sz="8" w:color="auto"/>
            </w:tcBorders>
            <w:shd w:val="clear" w:color="auto" w:fill="DDD9C3"/>
          </w:tcPr>
          <w:p>
            <w:pPr>
              <w:spacing w:after="0"/>
              <w:rPr>
                <w:sz w:val="24"/>
                <w:szCs w:val="24"/>
                <w:color w:val="auto"/>
              </w:rPr>
            </w:pPr>
          </w:p>
        </w:tc>
        <w:tc>
          <w:tcPr>
            <w:tcW w:w="1040" w:type="dxa"/>
            <w:vAlign w:val="bottom"/>
            <w:tcBorders>
              <w:bottom w:val="single" w:sz="8" w:color="auto"/>
              <w:right w:val="single" w:sz="8" w:color="auto"/>
            </w:tcBorders>
            <w:shd w:val="clear" w:color="auto" w:fill="DDD9C3"/>
          </w:tcPr>
          <w:p>
            <w:pPr>
              <w:spacing w:after="0"/>
              <w:rPr>
                <w:sz w:val="24"/>
                <w:szCs w:val="24"/>
                <w:color w:val="auto"/>
              </w:rPr>
            </w:pPr>
          </w:p>
        </w:tc>
        <w:tc>
          <w:tcPr>
            <w:tcW w:w="1200" w:type="dxa"/>
            <w:vAlign w:val="bottom"/>
            <w:tcBorders>
              <w:bottom w:val="single" w:sz="8" w:color="auto"/>
              <w:right w:val="single" w:sz="8" w:color="auto"/>
            </w:tcBorders>
            <w:shd w:val="clear" w:color="auto" w:fill="DDD9C3"/>
          </w:tcPr>
          <w:p>
            <w:pPr>
              <w:spacing w:after="0"/>
              <w:rPr>
                <w:sz w:val="24"/>
                <w:szCs w:val="24"/>
                <w:color w:val="auto"/>
              </w:rPr>
            </w:pPr>
          </w:p>
        </w:tc>
        <w:tc>
          <w:tcPr>
            <w:tcW w:w="166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3"/>
              </w:rPr>
              <w:t>Variable</w:t>
            </w:r>
          </w:p>
        </w:tc>
        <w:tc>
          <w:tcPr>
            <w:tcW w:w="136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1"/>
              </w:rPr>
              <w:t>Months</w:t>
            </w:r>
          </w:p>
        </w:tc>
        <w:tc>
          <w:tcPr>
            <w:tcW w:w="1580" w:type="dxa"/>
            <w:vAlign w:val="bottom"/>
            <w:tcBorders>
              <w:bottom w:val="single" w:sz="8" w:color="auto"/>
              <w:right w:val="single" w:sz="8" w:color="auto"/>
            </w:tcBorders>
            <w:shd w:val="clear" w:color="auto" w:fill="DDD9C3"/>
          </w:tcPr>
          <w:p>
            <w:pPr>
              <w:jc w:val="right"/>
              <w:ind w:right="372"/>
              <w:spacing w:after="0"/>
              <w:rPr>
                <w:sz w:val="20"/>
                <w:szCs w:val="20"/>
                <w:color w:val="auto"/>
              </w:rPr>
            </w:pPr>
            <w:r>
              <w:rPr>
                <w:rFonts w:ascii="Arial" w:cs="Arial" w:eastAsia="Arial" w:hAnsi="Arial"/>
                <w:sz w:val="22"/>
                <w:szCs w:val="22"/>
                <w:b w:val="1"/>
                <w:bCs w:val="1"/>
                <w:color w:val="auto"/>
              </w:rPr>
              <w:t>Payout</w:t>
            </w:r>
          </w:p>
        </w:tc>
      </w:tr>
      <w:tr>
        <w:trPr>
          <w:trHeight w:val="27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33 SVP</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42.5%</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$106,250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c>
          <w:tcPr>
            <w:tcW w:w="136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22"/>
                <w:szCs w:val="22"/>
                <w:color w:val="auto"/>
              </w:rPr>
              <w:t>92</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$26,781</w:t>
            </w:r>
          </w:p>
        </w:tc>
      </w:tr>
      <w:tr>
        <w:trPr>
          <w:trHeight w:val="27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32 VP</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$225,000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35.0%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$78,750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c>
          <w:tcPr>
            <w:tcW w:w="136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273</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$58,901</w:t>
            </w:r>
          </w:p>
        </w:tc>
      </w:tr>
      <w:tr>
        <w:trPr>
          <w:trHeight w:val="277"/>
        </w:trPr>
        <w:tc>
          <w:tcPr>
            <w:tcW w:w="1060" w:type="dxa"/>
            <w:vAlign w:val="bottom"/>
            <w:tcBorders>
              <w:left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2"/>
              </w:rPr>
              <w:t>Final Amount</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$85,682</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Leave of Absence</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Individual incentive determinations for employees who have a paid or unpaid leave of absence (this does not include vacation) in excess of one month during the Plan Year will be prorated to reflect the time on leave.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Payouts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 Payouts will be rounded to the nearest whole dollar amount.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of the payout under the Plan due to death or long-term disability under the Company long-term disability plan, such employee, if he or she would have otherwise received a payout under the Plan but for his or her death or disability, shall be entitled to receive a pro-rated payment for the portion of the fiscal year the employee was actively employed.</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an employee terminates employment and is subsequently rehired, eligibility under this Plan restarts with the employee’s rehire date.</w:t>
      </w:r>
    </w:p>
    <w:p>
      <w:pPr>
        <w:sectPr>
          <w:pgSz w:w="11900" w:h="16838" w:orient="portrait"/>
          <w:cols w:equalWidth="0" w:num="1">
            <w:col w:w="11240"/>
          </w:cols>
          <w:pgMar w:left="320" w:top="1186"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Material Restatement of Financial Results</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the event that the Board determines there has been a material restatement of publicly issued financial results from those previously issued to the public , the Board will review all incentive payments made to 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This will apply to all incentive payments made during the three-year period prior to the restatement, beginning with payments earned for the 2012 fiscal year. For purposes of this policy, the term “executive officers” has the meaning given in Rule 3b-7 under the Securities Exchange Act of 1934, as amended, and the term “incentive payments” means bonuses and awards under the Plan.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 Modification and Discontinuance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The EBITDA performance targets and corresponding funding levels shall be adjusted for acquisitions, divestitures, or board imposed unbudgeted expenses in the discretion of the Compensation Committee.</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no Plan payouts will be made until and unless the Compensation Committee has certified that the performance goals and all other material terms have been satisfied. The Compensation Committee has the sole discretion to modify the application of this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Continued Employment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Plan is not intended to and does not give any employee the right to continued employment with the Company. The Plan does not create a contract of employment with any employee and does not alter the at-will nature of employee’s employment with the Company.</w:t>
      </w:r>
    </w:p>
    <w:p>
      <w:pPr>
        <w:sectPr>
          <w:pgSz w:w="11900" w:h="16838" w:orient="portrait"/>
          <w:cols w:equalWidth="0" w:num="1">
            <w:col w:w="11240"/>
          </w:cols>
          <w:pgMar w:left="320" w:top="895" w:right="33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EBITDA Funding Matrix*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(*Actual funding percentages round to one-hundredth of one percent for achievement percentage and funding percentage)</w:t>
      </w:r>
    </w:p>
    <w:p>
      <w:pPr>
        <w:spacing w:after="0" w:line="269" w:lineRule="exact"/>
        <w:rPr>
          <w:sz w:val="20"/>
          <w:szCs w:val="20"/>
          <w:color w:val="auto"/>
        </w:rPr>
      </w:pPr>
    </w:p>
    <w:tbl>
      <w:tblPr>
        <w:tblLayout w:type="fixed"/>
        <w:tblInd w:w="1390" w:type="dxa"/>
        <w:tblCellMar>
          <w:top w:w="0" w:type="dxa"/>
          <w:left w:w="0" w:type="dxa"/>
          <w:bottom w:w="0" w:type="dxa"/>
          <w:right w:w="0" w:type="dxa"/>
        </w:tblCellMar>
      </w:tblPr>
      <w:tr>
        <w:trPr>
          <w:trHeight w:val="243"/>
        </w:trPr>
        <w:tc>
          <w:tcPr>
            <w:tcW w:w="3920" w:type="dxa"/>
            <w:vAlign w:val="bottom"/>
            <w:tcBorders>
              <w:top w:val="single" w:sz="8" w:color="auto"/>
              <w:left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91"/>
              </w:rPr>
              <w:t>Percent of the EBITDA Target Obtained</w:t>
            </w:r>
          </w:p>
        </w:tc>
        <w:tc>
          <w:tcPr>
            <w:tcW w:w="3880" w:type="dxa"/>
            <w:vAlign w:val="bottom"/>
            <w:tcBorders>
              <w:top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89"/>
              </w:rPr>
              <w:t>Percent of Incentive Target Funded</w:t>
            </w:r>
          </w:p>
        </w:tc>
      </w:tr>
      <w:tr>
        <w:trPr>
          <w:trHeight w:val="282"/>
        </w:trPr>
        <w:tc>
          <w:tcPr>
            <w:tcW w:w="3920" w:type="dxa"/>
            <w:vAlign w:val="bottom"/>
            <w:tcBorders>
              <w:left w:val="single" w:sz="8" w:color="auto"/>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88"/>
              </w:rPr>
              <w:t>for the Division</w:t>
            </w:r>
          </w:p>
        </w:tc>
        <w:tc>
          <w:tcPr>
            <w:tcW w:w="388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1"/>
              </w:rPr>
              <w:t>Grade 33+</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&lt;80%</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80%</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15.00%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81%</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16.00%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82%</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17.00%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18.00%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19.00%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86%</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21.00%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87%</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22.00%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88%</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23.00%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89%</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24.00%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90%</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25.00%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91%</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30.00%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92%</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35.00%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40.00%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45.00%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50.00%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96%</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60.00%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97%</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70.00%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98%</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80.00%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99%</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90.00%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100.00%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107.50%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115.00%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122.50%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130.00%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137.50%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106%</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145.00%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107%</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152.50%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108%</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160.00%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109%</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167.50%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110%</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175.00%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111%</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177.50%</w:t>
            </w:r>
          </w:p>
        </w:tc>
      </w:tr>
    </w:tbl>
    <w:p>
      <w:pPr>
        <w:sectPr>
          <w:pgSz w:w="11900" w:h="16838" w:orient="portrait"/>
          <w:cols w:equalWidth="0" w:num="1">
            <w:col w:w="10540"/>
          </w:cols>
          <w:pgMar w:left="680" w:top="882" w:right="679" w:bottom="1440" w:gutter="0" w:footer="0" w:header="0"/>
        </w:sectPr>
      </w:pPr>
    </w:p>
    <w:bookmarkStart w:id="44" w:name="page45"/>
    <w:bookmarkEnd w:id="44"/>
    <w:p>
      <w:pPr>
        <w:spacing w:after="0" w:line="1" w:lineRule="exact"/>
        <w:rPr>
          <w:sz w:val="20"/>
          <w:szCs w:val="20"/>
          <w:color w:val="auto"/>
        </w:rPr>
      </w:pPr>
    </w:p>
    <w:tbl>
      <w:tblPr>
        <w:tblLayout w:type="fixed"/>
        <w:tblInd w:w="630" w:type="dxa"/>
        <w:tblCellMar>
          <w:top w:w="0" w:type="dxa"/>
          <w:left w:w="0" w:type="dxa"/>
          <w:bottom w:w="0" w:type="dxa"/>
          <w:right w:w="0" w:type="dxa"/>
        </w:tblCellMar>
      </w:tblPr>
      <w:tr>
        <w:trPr>
          <w:trHeight w:val="243"/>
        </w:trPr>
        <w:tc>
          <w:tcPr>
            <w:tcW w:w="3920" w:type="dxa"/>
            <w:vAlign w:val="bottom"/>
            <w:tcBorders>
              <w:top w:val="single" w:sz="8" w:color="auto"/>
              <w:left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91"/>
              </w:rPr>
              <w:t>Percent of the EBITDA Target Obtained</w:t>
            </w:r>
          </w:p>
        </w:tc>
        <w:tc>
          <w:tcPr>
            <w:tcW w:w="3880" w:type="dxa"/>
            <w:vAlign w:val="bottom"/>
            <w:tcBorders>
              <w:top w:val="single" w:sz="8" w:color="auto"/>
              <w:right w:val="single" w:sz="8" w:color="auto"/>
            </w:tcBorders>
            <w:shd w:val="clear" w:color="auto" w:fill="DDD9C3"/>
          </w:tcPr>
          <w:p>
            <w:pPr>
              <w:jc w:val="center"/>
              <w:spacing w:after="0" w:line="243" w:lineRule="exact"/>
              <w:rPr>
                <w:sz w:val="20"/>
                <w:szCs w:val="20"/>
                <w:color w:val="auto"/>
              </w:rPr>
            </w:pPr>
            <w:r>
              <w:rPr>
                <w:rFonts w:ascii="Arial" w:cs="Arial" w:eastAsia="Arial" w:hAnsi="Arial"/>
                <w:sz w:val="22"/>
                <w:szCs w:val="22"/>
                <w:b w:val="1"/>
                <w:bCs w:val="1"/>
                <w:color w:val="auto"/>
                <w:w w:val="89"/>
              </w:rPr>
              <w:t>Percent of Incentive Target Funded</w:t>
            </w:r>
          </w:p>
        </w:tc>
      </w:tr>
      <w:tr>
        <w:trPr>
          <w:trHeight w:val="282"/>
        </w:trPr>
        <w:tc>
          <w:tcPr>
            <w:tcW w:w="3920" w:type="dxa"/>
            <w:vAlign w:val="bottom"/>
            <w:tcBorders>
              <w:left w:val="single" w:sz="8" w:color="auto"/>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88"/>
              </w:rPr>
              <w:t>for the Division</w:t>
            </w:r>
          </w:p>
        </w:tc>
        <w:tc>
          <w:tcPr>
            <w:tcW w:w="388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1"/>
              </w:rPr>
              <w:t>Grade 33+</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112%</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180.00%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113%</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182.50%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114%</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185.00%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115%</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187.50%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116%</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190.00%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117%</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192.50%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118%</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195.00%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119%</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197.50%</w:t>
            </w:r>
          </w:p>
        </w:tc>
      </w:tr>
      <w:tr>
        <w:trPr>
          <w:trHeight w:val="277"/>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&gt;=120%</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200.00%</w:t>
            </w:r>
          </w:p>
        </w:tc>
      </w:tr>
    </w:tbl>
    <w:p>
      <w:pPr>
        <w:sectPr>
          <w:pgSz w:w="11900" w:h="16838" w:orient="portrait"/>
          <w:cols w:equalWidth="0" w:num="1">
            <w:col w:w="9019"/>
          </w:cols>
          <w:pgMar w:left="1440" w:top="1132" w:right="1440" w:bottom="1440" w:gutter="0" w:footer="0" w:header="0"/>
        </w:sectPr>
      </w:pPr>
    </w:p>
    <w:bookmarkStart w:id="45" w:name="page46"/>
    <w:bookmarkEnd w:id="45"/>
    <w:p>
      <w:pPr>
        <w:ind w:left="5020"/>
        <w:spacing w:after="0"/>
        <w:rPr>
          <w:sz w:val="20"/>
          <w:szCs w:val="20"/>
          <w:color w:val="auto"/>
        </w:rPr>
      </w:pPr>
      <w:r>
        <w:rPr>
          <w:rFonts w:ascii="Arial" w:cs="Arial" w:eastAsia="Arial" w:hAnsi="Arial"/>
          <w:sz w:val="22"/>
          <w:szCs w:val="22"/>
          <w:b w:val="1"/>
          <w:bCs w:val="1"/>
          <w:u w:val="single" w:color="auto"/>
          <w:color w:val="auto"/>
        </w:rPr>
        <w:t>Exhibit B</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Performance Rating Variable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illustrates how an individual’s performance rating will apply to the calculation of the overall Management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Incentive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141605</wp:posOffset>
            </wp:positionV>
            <wp:extent cx="5631815" cy="1329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31815" cy="1329055"/>
                    </a:xfrm>
                    <a:prstGeom prst="rect">
                      <a:avLst/>
                    </a:prstGeom>
                    <a:noFill/>
                  </pic:spPr>
                </pic:pic>
              </a:graphicData>
            </a:graphic>
          </wp:anchor>
        </w:drawing>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Rating Chart</w:t>
      </w:r>
    </w:p>
    <w:p>
      <w:pPr>
        <w:spacing w:after="0" w:line="27" w:lineRule="exact"/>
        <w:rPr>
          <w:sz w:val="20"/>
          <w:szCs w:val="20"/>
          <w:color w:val="auto"/>
        </w:rPr>
      </w:pPr>
    </w:p>
    <w:tbl>
      <w:tblPr>
        <w:tblLayout w:type="fixed"/>
        <w:tblInd w:w="1040" w:type="dxa"/>
        <w:tblCellMar>
          <w:top w:w="0" w:type="dxa"/>
          <w:left w:w="0" w:type="dxa"/>
          <w:bottom w:w="0" w:type="dxa"/>
          <w:right w:w="0" w:type="dxa"/>
        </w:tblCellMar>
      </w:tblPr>
      <w:tr>
        <w:trPr>
          <w:trHeight w:val="280"/>
        </w:trPr>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Rating</w:t>
            </w:r>
          </w:p>
        </w:tc>
        <w:tc>
          <w:tcPr>
            <w:tcW w:w="44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22"/>
                <w:szCs w:val="22"/>
                <w:b w:val="1"/>
                <w:bCs w:val="1"/>
                <w:color w:val="auto"/>
              </w:rPr>
              <w:t>% Incentive Influenced</w:t>
            </w:r>
          </w:p>
        </w:tc>
      </w:tr>
      <w:tr>
        <w:trPr>
          <w:trHeight w:val="275"/>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Greatly Exceeds Expectations</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130%</w:t>
            </w:r>
          </w:p>
        </w:tc>
      </w:tr>
      <w:tr>
        <w:trPr>
          <w:trHeight w:val="277"/>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Exceeds Expectations</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120%</w:t>
            </w:r>
          </w:p>
        </w:tc>
      </w:tr>
      <w:tr>
        <w:trPr>
          <w:trHeight w:val="277"/>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Achieves Expectations</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77"/>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Meets Most Expectations</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77"/>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Meets Some Expectations</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ectPr>
          <w:pgSz w:w="11900" w:h="16838" w:orient="portrait"/>
          <w:cols w:equalWidth="0" w:num="1">
            <w:col w:w="10920"/>
          </w:cols>
          <w:pgMar w:left="480" w:top="882" w:right="4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9, 2021</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9,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October 31, 2021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9, 2021</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9,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2"/>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Roman"/>
      <w:start w:val="2"/>
    </w:lvl>
    <w:lvl w:ilvl="1">
      <w:lvlJc w:val="left"/>
      <w:lvlText w:val="%2."/>
      <w:numFmt w:val="lowerRoman"/>
      <w:start w:val="4"/>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32"/>
    </w:lvl>
  </w:abstractNum>
  <w:abstractNum w:abstractNumId="20">
    <w:nsid w:val="6763845E"/>
    <w:multiLevelType w:val="hybridMultilevel"/>
    <w:lvl w:ilvl="0">
      <w:lvlJc w:val="left"/>
      <w:lvlText w:val="%1"/>
      <w:numFmt w:val="decimal"/>
      <w:start w:val="104"/>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8" Type="http://schemas.openxmlformats.org/officeDocument/2006/relationships/hyperlink" Target="http://www.sec.gov/Archives/edgar/data/0000812011/000081201121000128/lynchemploymentagreement.htm" TargetMode="External"/><Relationship Id="rId49" Type="http://schemas.openxmlformats.org/officeDocument/2006/relationships/hyperlink" Target="http://www.sec.gov/Archives/edgar/data/812011/000081201121000118/formofindemnification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2021-12-09T15:14:38Z</dcterms:created>
  <dcterms:modified xsi:type="dcterms:W3CDTF">2021-12-09T15:14:38Z</dcterms:modified>
</cp:coreProperties>
</file>