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jc w:val="center"/>
        <w:ind w:left="4320" w:right="1220" w:hanging="3105"/>
        <w:spacing w:after="0" w:line="407" w:lineRule="auto"/>
        <w:tabs>
          <w:tab w:leader="none" w:pos="14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July 31, 2019</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1240" w:hanging="210"/>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406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47675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7675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Vail Resorts,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2150"/>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576"/>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370"/>
              <w:spacing w:after="0"/>
              <w:rPr>
                <w:sz w:val="20"/>
                <w:szCs w:val="20"/>
                <w:color w:val="auto"/>
              </w:rPr>
            </w:pPr>
            <w:r>
              <w:rPr>
                <w:rFonts w:ascii="Arial" w:cs="Arial" w:eastAsia="Arial" w:hAnsi="Arial"/>
                <w:sz w:val="18"/>
                <w:szCs w:val="18"/>
                <w:b w:val="1"/>
                <w:bCs w:val="1"/>
                <w:color w:val="auto"/>
              </w:rPr>
              <w:t>80021</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(Address of principal executive offices)</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31750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6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31750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23" w:lineRule="exact"/>
        <w:rPr>
          <w:sz w:val="24"/>
          <w:szCs w:val="24"/>
          <w:color w:val="auto"/>
        </w:rPr>
      </w:pPr>
    </w:p>
    <w:p>
      <w:pPr>
        <w:ind w:right="1780"/>
        <w:spacing w:after="0" w:line="32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x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128"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40"/>
          </w:cols>
          <w:pgMar w:left="240" w:top="1125" w:right="219" w:bottom="1440" w:gutter="0" w:footer="0" w:header="0"/>
        </w:sectPr>
      </w:pPr>
    </w:p>
    <w:bookmarkStart w:id="1" w:name="page2"/>
    <w:bookmarkEnd w:id="1"/>
    <w:p>
      <w:pPr>
        <w:jc w:val="both"/>
        <w:spacing w:after="0" w:line="271" w:lineRule="auto"/>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5"/>
          <w:szCs w:val="15"/>
          <w:color w:val="auto"/>
        </w:rPr>
        <w:t>(§ 232.405 of this chapter)</w:t>
      </w:r>
      <w:r>
        <w:rPr>
          <w:rFonts w:ascii="Arial" w:cs="Arial" w:eastAsia="Arial" w:hAnsi="Arial"/>
          <w:sz w:val="17"/>
          <w:szCs w:val="17"/>
          <w:color w:val="auto"/>
        </w:rPr>
        <w:t xml:space="preserve">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vMerge w:val="restart"/>
          </w:tcPr>
          <w:p>
            <w:pPr>
              <w:ind w:left="480"/>
              <w:spacing w:after="0"/>
              <w:rPr>
                <w:sz w:val="20"/>
                <w:szCs w:val="20"/>
                <w:color w:val="auto"/>
              </w:rPr>
            </w:pPr>
            <w:r>
              <w:rPr>
                <w:rFonts w:ascii="Arial" w:cs="Arial" w:eastAsia="Arial" w:hAnsi="Arial"/>
                <w:sz w:val="18"/>
                <w:szCs w:val="18"/>
                <w:color w:val="auto"/>
              </w:rPr>
              <w:t>x</w:t>
            </w:r>
          </w:p>
        </w:tc>
        <w:tc>
          <w:tcPr>
            <w:tcW w:w="4380" w:type="dxa"/>
            <w:vAlign w:val="bottom"/>
          </w:tcPr>
          <w:p>
            <w:pPr>
              <w:ind w:left="158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4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58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380" w:type="dxa"/>
            <w:vAlign w:val="bottom"/>
            <w:vMerge w:val="restart"/>
          </w:tcPr>
          <w:p>
            <w:pPr>
              <w:ind w:left="158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43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Yes x No</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$188.26 per share as reported on the New York Stock Exchange Composite Tape on January 31, 2019 (the last business day of the registrant’s most recently completed second fiscal quarter) was $7,480,638,929.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23, 2019, 40,285,628 shares of the registrant’s common stock were outstanding.</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to be filed with the Securities and Exchange Commission within 120 days of July 31, 2019 are incorporated by reference herein into Part III, Items 10 through 14, of this Annual Report.</w:t>
      </w:r>
    </w:p>
    <w:p>
      <w:pPr>
        <w:sectPr>
          <w:pgSz w:w="11900" w:h="16838" w:orient="portrait"/>
          <w:cols w:equalWidth="0" w:num="1">
            <w:col w:w="11420"/>
          </w:cols>
          <w:pgMar w:left="240" w:top="117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6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20" w:type="dxa"/>
            <w:vAlign w:val="bottom"/>
            <w:gridSpan w:val="10"/>
            <w:shd w:val="clear" w:color="auto" w:fill="CCEEFF"/>
          </w:tcPr>
          <w:p>
            <w:pPr>
              <w:jc w:val="center"/>
              <w:ind w:right="4040"/>
              <w:spacing w:after="0" w:line="202" w:lineRule="exact"/>
              <w:rPr>
                <w:rFonts w:ascii="Arial" w:cs="Arial" w:eastAsia="Arial" w:hAnsi="Arial"/>
                <w:sz w:val="18"/>
                <w:szCs w:val="18"/>
                <w:b w:val="1"/>
                <w:bCs w:val="1"/>
                <w:color w:val="0000FF"/>
                <w:w w:val="98"/>
              </w:rPr>
            </w:pPr>
            <w:hyperlink w:anchor="page6">
              <w:r>
                <w:rPr>
                  <w:rFonts w:ascii="Arial" w:cs="Arial" w:eastAsia="Arial" w:hAnsi="Arial"/>
                  <w:sz w:val="18"/>
                  <w:szCs w:val="18"/>
                  <w:b w:val="1"/>
                  <w:bCs w:val="1"/>
                  <w:color w:val="0000FF"/>
                  <w:w w:val="98"/>
                </w:rPr>
                <w:t>PART I</w:t>
              </w:r>
            </w:hyperlink>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1.</w:t>
            </w:r>
          </w:p>
        </w:tc>
        <w:tc>
          <w:tcPr>
            <w:tcW w:w="3780" w:type="dxa"/>
            <w:vAlign w:val="bottom"/>
            <w:tcBorders>
              <w:top w:val="single" w:sz="8" w:color="CCEEFF"/>
            </w:tcBorders>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FF"/>
            </w:tcBorders>
            <w:gridSpan w:val="2"/>
          </w:tcPr>
          <w:p>
            <w:pPr>
              <w:spacing w:after="0"/>
              <w:rPr>
                <w:sz w:val="17"/>
                <w:szCs w:val="17"/>
                <w:color w:val="auto"/>
              </w:rPr>
            </w:pPr>
          </w:p>
        </w:tc>
        <w:tc>
          <w:tcPr>
            <w:tcW w:w="4040" w:type="dxa"/>
            <w:vAlign w:val="bottom"/>
            <w:tcBorders>
              <w:top w:val="single" w:sz="8" w:color="CCEEFF"/>
            </w:tcBorders>
            <w:gridSpan w:val="8"/>
          </w:tcPr>
          <w:p>
            <w:pPr>
              <w:spacing w:after="0"/>
              <w:rPr>
                <w:sz w:val="17"/>
                <w:szCs w:val="17"/>
                <w:color w:val="auto"/>
              </w:rPr>
            </w:pPr>
          </w:p>
        </w:tc>
        <w:tc>
          <w:tcPr>
            <w:tcW w:w="1380" w:type="dxa"/>
            <w:vAlign w:val="bottom"/>
            <w:tcBorders>
              <w:top w:val="single" w:sz="8" w:color="CCEEFF"/>
            </w:tcBorders>
            <w:gridSpan w:val="5"/>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8400" w:type="dxa"/>
            <w:vAlign w:val="bottom"/>
            <w:gridSpan w:val="27"/>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8400" w:type="dxa"/>
            <w:vAlign w:val="bottom"/>
            <w:gridSpan w:val="27"/>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740" w:type="dxa"/>
            <w:vAlign w:val="bottom"/>
            <w:gridSpan w:val="3"/>
            <w:shd w:val="clear" w:color="auto" w:fill="CCEEFF"/>
          </w:tcPr>
          <w:p>
            <w:pPr>
              <w:spacing w:after="0" w:line="202"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7660" w:type="dxa"/>
            <w:vAlign w:val="bottom"/>
            <w:gridSpan w:val="24"/>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400" w:type="dxa"/>
            <w:vAlign w:val="bottom"/>
            <w:gridSpan w:val="27"/>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400" w:type="dxa"/>
            <w:vAlign w:val="bottom"/>
            <w:gridSpan w:val="27"/>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3"/>
        </w:trPr>
        <w:tc>
          <w:tcPr>
            <w:tcW w:w="164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gridSpan w:val="12"/>
          </w:tcPr>
          <w:p>
            <w:pPr>
              <w:jc w:val="center"/>
              <w:ind w:right="3980"/>
              <w:spacing w:after="0" w:line="202"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w:t>
              </w:r>
            </w:hyperlink>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8400" w:type="dxa"/>
            <w:vAlign w:val="bottom"/>
            <w:gridSpan w:val="27"/>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w:t>
              </w:r>
            </w:hyperlink>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16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Item 5.</w:t>
            </w:r>
          </w:p>
        </w:tc>
        <w:tc>
          <w:tcPr>
            <w:tcW w:w="7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Securities</w:t>
              </w:r>
            </w:hyperlink>
          </w:p>
        </w:tc>
        <w:tc>
          <w:tcPr>
            <w:tcW w:w="6600" w:type="dxa"/>
            <w:vAlign w:val="bottom"/>
            <w:tcBorders>
              <w:top w:val="single" w:sz="8" w:color="0000EE"/>
            </w:tcBorders>
            <w:gridSpan w:val="24"/>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5"/>
            <w:shd w:val="clear" w:color="auto" w:fill="CCEEFF"/>
          </w:tcPr>
          <w:p>
            <w:pPr>
              <w:jc w:val="right"/>
              <w:ind w:right="20"/>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8400" w:type="dxa"/>
            <w:vAlign w:val="bottom"/>
            <w:gridSpan w:val="27"/>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400" w:type="dxa"/>
            <w:vAlign w:val="bottom"/>
            <w:gridSpan w:val="27"/>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7A.</w:t>
            </w:r>
          </w:p>
        </w:tc>
        <w:tc>
          <w:tcPr>
            <w:tcW w:w="6460" w:type="dxa"/>
            <w:vAlign w:val="bottom"/>
            <w:gridSpan w:val="2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1940" w:type="dxa"/>
            <w:vAlign w:val="bottom"/>
            <w:gridSpan w:val="4"/>
          </w:tcPr>
          <w:p>
            <w:pPr>
              <w:spacing w:after="0"/>
              <w:rPr>
                <w:sz w:val="17"/>
                <w:szCs w:val="17"/>
                <w:color w:val="auto"/>
              </w:rPr>
            </w:pPr>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3340" w:type="dxa"/>
            <w:vAlign w:val="bottom"/>
            <w:gridSpan w:val="14"/>
            <w:shd w:val="clear" w:color="auto" w:fill="CCEEFF"/>
          </w:tcPr>
          <w:p>
            <w:pPr>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5060" w:type="dxa"/>
            <w:vAlign w:val="bottom"/>
            <w:gridSpan w:val="13"/>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59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9.</w:t>
            </w:r>
          </w:p>
        </w:tc>
        <w:tc>
          <w:tcPr>
            <w:tcW w:w="8400" w:type="dxa"/>
            <w:vAlign w:val="bottom"/>
            <w:gridSpan w:val="27"/>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1780" w:type="dxa"/>
            <w:vAlign w:val="bottom"/>
            <w:gridSpan w:val="9"/>
            <w:shd w:val="clear" w:color="auto" w:fill="CCEEFF"/>
          </w:tcPr>
          <w:p>
            <w:pPr>
              <w:spacing w:after="0" w:line="202"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Controls and Procedures</w:t>
              </w:r>
            </w:hyperlink>
          </w:p>
        </w:tc>
        <w:tc>
          <w:tcPr>
            <w:tcW w:w="6620" w:type="dxa"/>
            <w:vAlign w:val="bottom"/>
            <w:gridSpan w:val="18"/>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9B.</w:t>
            </w:r>
          </w:p>
        </w:tc>
        <w:tc>
          <w:tcPr>
            <w:tcW w:w="1780" w:type="dxa"/>
            <w:vAlign w:val="bottom"/>
            <w:gridSpan w:val="9"/>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6620" w:type="dxa"/>
            <w:vAlign w:val="bottom"/>
            <w:gridSpan w:val="18"/>
          </w:tcPr>
          <w:p>
            <w:pPr>
              <w:spacing w:after="0"/>
              <w:rPr>
                <w:sz w:val="17"/>
                <w:szCs w:val="17"/>
                <w:color w:val="auto"/>
              </w:rPr>
            </w:pPr>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60" w:type="dxa"/>
            <w:vAlign w:val="bottom"/>
            <w:gridSpan w:val="13"/>
            <w:shd w:val="clear" w:color="auto" w:fill="CCEEFF"/>
          </w:tcPr>
          <w:p>
            <w:pPr>
              <w:jc w:val="center"/>
              <w:ind w:right="3580"/>
              <w:spacing w:after="0" w:line="202" w:lineRule="exact"/>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PART III</w:t>
              </w:r>
            </w:hyperlink>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8400" w:type="dxa"/>
            <w:vAlign w:val="bottom"/>
            <w:gridSpan w:val="2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8400" w:type="dxa"/>
            <w:vAlign w:val="bottom"/>
            <w:gridSpan w:val="27"/>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138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8400" w:type="dxa"/>
            <w:vAlign w:val="bottom"/>
            <w:gridSpan w:val="2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Certain Relationships and Related Transactions, and Director Independence</w:t>
              </w:r>
            </w:hyperlink>
          </w:p>
        </w:tc>
        <w:tc>
          <w:tcPr>
            <w:tcW w:w="2940" w:type="dxa"/>
            <w:vAlign w:val="bottom"/>
            <w:tcBorders>
              <w:bottom w:val="single" w:sz="8" w:color="CCEEFF"/>
            </w:tcBorders>
            <w:gridSpan w:val="5"/>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02">
              <w:r>
                <w:rPr>
                  <w:rFonts w:ascii="Arial" w:cs="Arial" w:eastAsia="Arial" w:hAnsi="Arial"/>
                  <w:sz w:val="18"/>
                  <w:szCs w:val="18"/>
                  <w:color w:val="0000FF"/>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8400" w:type="dxa"/>
            <w:vAlign w:val="bottom"/>
            <w:gridSpan w:val="2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Accounting Fees and Services</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6"/>
            <w:shd w:val="clear" w:color="auto" w:fill="CCEEFF"/>
          </w:tcPr>
          <w:p>
            <w:pPr>
              <w:jc w:val="center"/>
              <w:spacing w:after="0" w:line="202" w:lineRule="exact"/>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PART IV</w:t>
              </w:r>
            </w:hyperlink>
          </w:p>
        </w:tc>
        <w:tc>
          <w:tcPr>
            <w:tcW w:w="3960" w:type="dxa"/>
            <w:vAlign w:val="bottom"/>
            <w:tcBorders>
              <w:bottom w:val="single" w:sz="8" w:color="CCEEFF"/>
            </w:tcBorders>
            <w:gridSpan w:val="6"/>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15.</w:t>
            </w:r>
          </w:p>
        </w:tc>
        <w:tc>
          <w:tcPr>
            <w:tcW w:w="8400" w:type="dxa"/>
            <w:vAlign w:val="bottom"/>
            <w:gridSpan w:val="2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Exhibits, Financial Statement Schedules</w:t>
              </w:r>
            </w:hyperlink>
          </w:p>
        </w:tc>
        <w:tc>
          <w:tcPr>
            <w:tcW w:w="1380" w:type="dxa"/>
            <w:vAlign w:val="bottom"/>
            <w:gridSpan w:val="5"/>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Form 10-K Summary</w:t>
              </w:r>
            </w:hyperlink>
          </w:p>
        </w:tc>
        <w:tc>
          <w:tcPr>
            <w:tcW w:w="6840" w:type="dxa"/>
            <w:vAlign w:val="bottom"/>
            <w:tcBorders>
              <w:bottom w:val="single" w:sz="8" w:color="CCEEFF"/>
            </w:tcBorders>
            <w:gridSpan w:val="20"/>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459"/>
        </w:trPr>
        <w:tc>
          <w:tcPr>
            <w:tcW w:w="1640" w:type="dxa"/>
            <w:vAlign w:val="bottom"/>
          </w:tcPr>
          <w:p>
            <w:pPr>
              <w:spacing w:after="0"/>
              <w:rPr>
                <w:sz w:val="24"/>
                <w:szCs w:val="24"/>
                <w:color w:val="auto"/>
              </w:rPr>
            </w:pPr>
          </w:p>
        </w:tc>
        <w:tc>
          <w:tcPr>
            <w:tcW w:w="4360" w:type="dxa"/>
            <w:vAlign w:val="bottom"/>
            <w:gridSpan w:val="19"/>
          </w:tcPr>
          <w:p>
            <w:pPr>
              <w:jc w:val="center"/>
              <w:ind w:left="369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Hotham, Falls Creek, Peak Resorts or future acquisitions;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I, Item 1A,”Risk Factors” in this document.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5" w:name="page6"/>
    <w:bookmarkEnd w:id="5"/>
    <w:p>
      <w:pPr>
        <w:spacing w:after="0" w:line="501" w:lineRule="auto"/>
        <w:rPr>
          <w:sz w:val="20"/>
          <w:szCs w:val="20"/>
          <w:color w:val="auto"/>
        </w:rPr>
      </w:pPr>
      <w:r>
        <w:rPr>
          <w:rFonts w:ascii="Arial" w:cs="Arial" w:eastAsia="Arial" w:hAnsi="Arial"/>
          <w:sz w:val="18"/>
          <w:szCs w:val="18"/>
          <w:b w:val="1"/>
          <w:bCs w:val="1"/>
          <w:color w:val="auto"/>
        </w:rPr>
        <w:t>PART I ITEM 1.</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317" w:lineRule="exact"/>
        <w:rPr>
          <w:sz w:val="20"/>
          <w:szCs w:val="20"/>
          <w:color w:val="auto"/>
        </w:rPr>
      </w:pPr>
    </w:p>
    <w:p>
      <w:pPr>
        <w:sectPr>
          <w:pgSz w:w="11900" w:h="16838" w:orient="portrait"/>
          <w:cols w:equalWidth="0" w:num="2">
            <w:col w:w="660" w:space="640"/>
            <w:col w:w="10120"/>
          </w:cols>
          <w:pgMar w:left="240" w:top="1013" w:right="239" w:bottom="1440" w:gutter="0" w:footer="0" w:header="0"/>
        </w:sect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86%, 14% and 0%, respectively, of our net revenue for our fiscal year ended July 31, 2019 (“Fiscal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2019, our Mountain segment operates seventeen world-class mountain resort properties and three urban ski areas, as well as ancillary services, primarily including:</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ski school,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dining,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retail/rental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Lodging segment includes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owned and/or managed luxury hotels under our RockResorts brand, as well as other strategic lodging properties,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owned and/or managed condominiums located in proximity to our mountain resorts,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National Park Service (“NPS”) concessionaire properties, including Grand Teton Lodge Company (“GTLC”), which operates destination resorts at Grand Teton National Park,</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Colorado resort ground transportation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mountain resort golf courses.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refer to “Resort” as the combination of the Mountain and Lodging segments. Our Real Estate segment owns, develops and sells real estate in and around our resort communities.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Peak Resorts Acquisition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2019, through a wholly-owned subsidiary, we acquired 100 percent of the outstanding stock of Peak Resorts, Inc. (“Peak Resorts”) at a purchase price of $11.00 per share or approximately $265 million. Through the acquisition we added 17 U.S. ski areas to our network of resorts, which are located near major metropolitan areas including New York, Boston, Washington D.C., Baltimore, Philadelphia, Cleveland, St. Louis, Kansas City, and Louisville.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newly acquired resorts in the Northeast include Mount Snow in Vermont; Hunter Mountain in New York; and Attitash Mountain Resort, Wildcat Mountain and Crotched Mountain in New Hampshire. In the Mid-Atlantic, the newly acquired resorts include Liberty Mountain Resort, Roundtop Mountain Resort, Whitetail Resort, Jack Frost and Big Boulder in Pennsylvania. In the Midwest, the newly acquired resorts include Alpine Valley, Boston Mills, Brandywine and Mad River Mountain in Ohio; Hidden Valley and Snow Creek in Missouri; and Paoli Peaks in Indiana.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ski areas owned by Peak Resorts offer a breadth of activities, services and amenities, including skiing, snowboarding, terrain parks, tubing, dining, lodging, equipment rentals and sales, ski and snowboard instruction, mountain biking, golf and other summer activities. Due to the timing of closing, we have not incorporated information pertaining to Peak Resorts throughout Part I, Item I, Business, unless explicitly noted. For additional information, see the Notes to the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3"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Mountain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world-class mountain resorts and urban ski areas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3550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*Denotes a mountain resort or urban ski area that was acquired subsequent to Fiscal 2019 in the Peak Resorts transaction and therefore is not included in the consolidated financial results of the Company as of or for the year ended July 31,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and Utah Resorts (Rocky Mountain Region)</w:t>
      </w:r>
    </w:p>
    <w:p>
      <w:pPr>
        <w:spacing w:after="0" w:line="158"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Breckenridge Ski Resort (“Breckenridge”) - the most visited mountain resort in the United States (“U.S.”) for the 2018/2019 ski season with five interconnected peaks offering an expansive variety of terrain for every skill level, including access to above tree line intermediate and expert terrain, and progressive and award-winning terrain parks.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Vail Mountain Resort (“Vail Mountain”) - the second most visited mountain resort in the U.S. for the 2018/2019 ski season. Vail Mountain offers some of the most expansive and varied terrain in North America with approximately 5,300 skiable acres including seven world renowned back bowls and the resort’s rustic Blue Sky Basin.</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Park City Resort (“Park City”) - the third most visited mountain resort in the U.S. for the 2018/2019 ski season and the largest by acreage in the U.S. Park City offers 7,300 acres of skiable terrain for every type of skier and snowboarder and offers guests an outstanding ski experience with fine dining, ski school, retail and lodging.</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Keystone Resort (“Keystone”) - the fifth most visited mountain resort in the U.S. for the 2018/2019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Beaver Creek Resort (“Beaver Creek”) - the tenth most visited mountain resort in the U.S. for the 2018/2019 ski season. Beaver Creek is a European-style resort with multiple villages and also includes a world renowned children’s ski school program focused on providing a first-class experience with unique amenities such as a dedicated children’s gondola.</w:t>
      </w:r>
    </w:p>
    <w:p>
      <w:pPr>
        <w:sectPr>
          <w:pgSz w:w="11900" w:h="16838" w:orient="portrait"/>
          <w:cols w:equalWidth="0" w:num="1">
            <w:col w:w="11420"/>
          </w:cols>
          <w:pgMar w:left="240" w:top="133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37" w:right="239" w:bottom="1440" w:gutter="0" w:footer="0" w:header="0"/>
          <w:type w:val="continuous"/>
        </w:sectPr>
      </w:pPr>
    </w:p>
    <w:bookmarkStart w:id="7" w:name="page8"/>
    <w:bookmarkEnd w:id="7"/>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Crested Butte Mountain Resort (“Crested Butte”) - acquired in September 2018, Crested Butte is located in southwest Colorado and includes over 1,500 skiable acres and over 3,000 feet of vertical drop. Crested Butte is known for its historic town, iconic mountain peaks and legendary skiing and riding terrain.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Lake Tahoe Resorts</w:t>
      </w:r>
    </w:p>
    <w:p>
      <w:pPr>
        <w:spacing w:after="0" w:line="117"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Heavenly Mountain Resort (“Heavenly”) - the eleventh most visited mountain resort in the U.S. for the 2018/2019 ski season. Heavenly is located near the South Shore of Lake Tahoe with over 4,800 skiable acres, straddling the border of California and Nevada and offers unique and spectacular views of Lake Tahoe. Heavenly offers great nightlife, including its proximity to several casinos.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Northstar Resort (“Northstar”) - Northstar, located near the North Shore of Lake Tahoe,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acres of terrain.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Northeast Resorts</w:t>
      </w:r>
    </w:p>
    <w:p>
      <w:pPr>
        <w:spacing w:after="0" w:line="117"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Stowe Mountain Resort (“Stowe”) - acquired in June 2017, Stowe is a premier mountain resort located in Northern Vermont which offers high-end lodging and dining options. The mountain offers 116 trails on 485 skiable acres, with a variety of terrain for skiers of all skill levels.</w:t>
      </w:r>
    </w:p>
    <w:p>
      <w:pPr>
        <w:spacing w:after="0" w:line="146"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Okemo Mountain Resort (“Okemo”) - acquired in September 2018, Okemo is located in southern Vermont, approximately three hours from Boston and four hours from New York City, and has developed a reputation for superior guest service, snow quality, grooming, terrain parks and family programs. Okemo offers 667 acres of skiable terrain with the most vertical feet of skiing in southern Vermont.</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Mount Sunapee Resort - (“Mount Sunapee”) - acquired in September 2018, Mount Sunapee is the premier ski area in southern New Hampshire, located approximately 90 minutes from Boston. Mount Sunapee is a family-focused ski area overlooking Lake Sunapee, with excellent snowmaking and grooming across its 230 skiable acres with a variety of terrain for skiers of all skill levels, including four terrain parks.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Resort</w:t>
      </w:r>
    </w:p>
    <w:p>
      <w:pPr>
        <w:spacing w:after="0" w:line="117" w:lineRule="exact"/>
        <w:rPr>
          <w:sz w:val="20"/>
          <w:szCs w:val="20"/>
          <w:color w:val="auto"/>
        </w:rPr>
      </w:pPr>
    </w:p>
    <w:p>
      <w:pPr>
        <w:ind w:left="660" w:right="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Stevens Pass Resort (“Stevens Pass”) - acquired in August 2018, Stevens Pass is located less than 85 miles from Seattle and sits on the crest of Washington State’s Cascade Range. Stevens Pass offers 1,125 acres of skiable terrain, including 52 runs and numerous bowls, glades and faces.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Urban Ski Areas</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Afton Alps Ski Area (“Afton Alps”), located near the Minneapolis/St. Paul metropolitan area, is the largest ski area near a major city in the Midwest and offers 48 trails, with night skiing, riding and tubing. Mount Brighton Ski Area (“Mt. Brighton”), located near Detroit, offers 26 trails with night skiing and riding. Wilmot Mountain (“Wilmot” ), located in southern Wisconsin, is near the Chicago metropolitan area and offers 25 trails, four terrain parks, a ski and snowboard school, a ski racing program and a tubing hill.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Resorts</w:t>
      </w:r>
    </w:p>
    <w:p>
      <w:pPr>
        <w:spacing w:after="0" w:line="117"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Whistler Blackcomb (“Whistler Blackcomb”) - acquired in October 2016 and located in the Coast Mountains of British Columbia, Canada, approximately 85 miles from the Vancouver International Airport, Whistler Blackcomb is the most visited and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9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Perisher Ski Resort (“Perisher”) - located in New South Wales, Australia, Perisher provides accessibility, significant lodging and the market’s most skiable acreage for the country’s largest cities, including Sydney, Melbourne, Adelaide,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8" w:name="page9"/>
    <w:bookmarkEnd w:id="8"/>
    <w:p>
      <w:pPr>
        <w:ind w:left="660"/>
        <w:spacing w:after="0" w:line="357" w:lineRule="auto"/>
        <w:rPr>
          <w:sz w:val="20"/>
          <w:szCs w:val="20"/>
          <w:color w:val="auto"/>
        </w:rPr>
      </w:pPr>
      <w:r>
        <w:rPr>
          <w:rFonts w:ascii="Arial" w:cs="Arial" w:eastAsia="Arial" w:hAnsi="Arial"/>
          <w:sz w:val="17"/>
          <w:szCs w:val="17"/>
          <w:color w:val="auto"/>
        </w:rPr>
        <w:t>Canberra and Brisbane. Perisher offers over 3,000 skiable acres on seven peaks and includes the resort areas known as Perisher Valley, Smiggin Holes, Blue Cow and Guthega, along with ski school, lodging, food and beverage, retail/rental and transportation operations.</w:t>
      </w:r>
    </w:p>
    <w:p>
      <w:pPr>
        <w:spacing w:after="0" w:line="121"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Falls Creek Alpine Resort (“Falls Creek”) - acquired in April 2019, Falls Creek is the largest ski resort in Victoria, Australia with over 1,100 skiable acres. Falls Creek features a variety of terrain that is well suited to families and first-timers. Additionally, the resort provides a variety of different lodging properties alongside restaurants, bars, and nightlife offerings.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Hotham Alpine Resort (“Hotham”) - acquired in April 2019 and located in Victoria, Australia. Hotham is considered the “Powder Capital” of Australia, and is the only resort in the Southern Hemisphere where the village is located on top of the mountain, providing outstanding views and ski-in, ski-out opportunities from anywhere in the village with over 790 skiable acres.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resorts in Colorado, Utah, Lake Tahoe, Vermont, New Hampshire, Washington State and British Columbia, Canada are year-round mountain resorts that provide a comprehensive resort experience to a diverse clientele with an attractive demographic profile. Our resorts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section above titled “Peak Resorts Acquisition” for our recently completed acquisition of Peak Resorts, which has not been incorporated in detail into this Part I of our Form 10-K, unless explicitly noted.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Ski Industry/Competition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approximately 770 ski areas in North America with approximately 475 in the U.S., ranging from small ski area operations that service day skiers to large resorts that attract both day skiers and destination resort guests looking for a comprehensive vacation experience. We have a large presence in the Rocky Mountain region and the Lake Tahoe region, and also operate resorts in the Pacific Northwest and Northeast. During the 2018/2019 North American ski season, combined skier visits for all ski areas in North America were approximately 79.7 million. Our North American mountain resorts and urban ski areas, owned as of July 31, 2019, had approximately 13.8 million skier visits during the 2018/2019 ski season representing approximately 17.3% of North American skier visits.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35 years, which has and should continue to allow the best-positioned destination resorts to benefit from future industry growth. Our resorts compete with other major destination mountain resorts, including, among others, Aspen Snowmass, Copper Mountain, Mammoth, Deer Valley, Snowbird, Squaw Valley USA, Killington, Sierra at Tahoe, Steamboat, Jackson Hole and Winter Park, as well as other ski areas in Colorado, California, Nevada, Utah, the Pacific Northwest, the Northeast, Southwest and British Columbia, Canada, and other destination ski areas worldwide as well as non-ski related vacation options and destinations. Additionally, our pass products compete with other multi-resort frequency and pass products in North America, including the IKON Pass, the Mountain Collective Pass and various regional and local pass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ski industry statistics stated in this section have been derived primarily from data published by Colorado Ski Country USA, Canadian Ski Council, Kottke National End of Season Survey 2018/2019 (the “Kottke Survey”) as well as other industry publications.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Competitive Strengths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premier resorts and business model differentiate our Company from the rest of the ski industry. We have iconic, branded mountain resorts in important ski destinations in Colorado, Utah, Lake Tahoe, the Northeast and the Pacific Northwest, including British Columbia, Canada. Through our sales of pass products, we provide our guests with a strong value proposition in return for guests committing to ski at our resorts prior to, or very early into the ski season, which we believe attracts more guests to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44" w:right="239" w:bottom="1440" w:gutter="0" w:footer="0" w:header="0"/>
        </w:sectPr>
      </w:pPr>
    </w:p>
    <w:bookmarkStart w:id="9" w:name="page10"/>
    <w:bookmarkEnd w:id="9"/>
    <w:p>
      <w:pPr>
        <w:jc w:val="both"/>
        <w:spacing w:after="0" w:line="302" w:lineRule="auto"/>
        <w:rPr>
          <w:sz w:val="20"/>
          <w:szCs w:val="20"/>
          <w:color w:val="auto"/>
        </w:rPr>
      </w:pPr>
      <w:r>
        <w:rPr>
          <w:rFonts w:ascii="Arial" w:cs="Arial" w:eastAsia="Arial" w:hAnsi="Arial"/>
          <w:sz w:val="16"/>
          <w:szCs w:val="16"/>
          <w:color w:val="auto"/>
        </w:rPr>
        <w:t>resorts. We believe we invest in more capital improvements than our competitors and we create synergies by operating multiple resorts, which enhances our profitability by enabling customers to access our network of resorts with our pass products. Most of our mountain resorts located in the U.S. typically rank in the most visited ski resorts in the U.S. (five of the top ten for the 2018/2019 U.S. ski season), and most of our mountain resorts consistently rank in the top ranked ski resorts in North America according to industry surveys, which we attribute to our mountain resorts’ ability to provide a high-quality experience.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contribute directly to each resort’s success: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Exceptional Mountain Experience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World-Class Mountain Resorts and Integrated Base Resort Areas</w:t>
      </w:r>
    </w:p>
    <w:p>
      <w:pPr>
        <w:spacing w:after="0" w:line="117" w:lineRule="exact"/>
        <w:rPr>
          <w:rFonts w:ascii="Arial" w:cs="Arial" w:eastAsia="Arial" w:hAnsi="Arial"/>
          <w:sz w:val="18"/>
          <w:szCs w:val="18"/>
          <w:color w:val="auto"/>
        </w:rPr>
      </w:pPr>
    </w:p>
    <w:p>
      <w:pPr>
        <w:jc w:val="both"/>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Snow Conditions</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resorts in the Rocky Mountain region of Colorado and Utah, the Sierra Nevada Mountains in Lake Tahoe and the Coast Mountains in British Columbia, Canada receive average annual snowfall between 20 and 39 feet. Even in these areas which receive abundant snowfall, we have invested in significant snowmaking systems that help provide a more consistent experience, especially in the early season. Our calendar year 2019 capital plan includes a significant investment in our snowmaking systems in Colorado that will transform the early-season terrain experience at Vail, Keystone and Beaver Creek. Our mountain resorts in the Northeast U.S. and in Australia receive less snowfall than our western North American mountain resorts, but we have invested in snowmaking operations at these resorts in order to provide a consistent experience for our guests. Additionally, we provide several hundred acres of groomed terrain at each of our mountain resorts with extensive fleets of snow grooming equipment.</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Lift Service</w:t>
      </w:r>
    </w:p>
    <w:p>
      <w:pPr>
        <w:spacing w:after="0" w:line="117"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We systematically upgrade our lifts and put in new lifts to increase uphill capacity and streamline skier traffic to maximize the guest experience. In the past several years, we have installed several high speed chairlifts and gondolas across our mountain resorts, including a new 10-person gondola running from the base to the top of Blackcomb Mountain, replacing the Wizard and Solar four person chairs with a single state-of-the-art gondola; upgrading the four-person Emerald express chairlift to a high speed six-person chairlift on Whistler Mountain; upgrading the three-person fixed grip Catskinner chairlift to a four-person high speed lift at Blackcomb Mountain; upgrading the fixed grip High Meadow chair to a four person high speed lift at the Canyons area of Park City; replacing the Galaxy two-person chairlift with a three-person chairlift at Heavenly, new high speed, six-passenger chairlift replacements for each of the Northwoods lift at Vail Mountain, the Peak 10 Falcon SuperChair at Breckenridge and the Montezuma lift at Keystone; a new high speed, four person chair replacement for the Drink of Water chair at Beaver Creek; a high speed quad replacement for the Sun Up chairlift at Vail Mountain and several lift replacements at Wilmot. For the 2019/2020 ski season, planned upgrades to various chairlifts include the Daisy and Brooks lifts at Stevens Pass; the Teocalli lift at Crested Butte; the Tombstone lift at Park City and completion of the new Leichardt lift at Perisher.</w:t>
      </w:r>
    </w:p>
    <w:p>
      <w:pPr>
        <w:spacing w:after="0" w:line="18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Terrain Parks</w:t>
      </w:r>
    </w:p>
    <w:p>
      <w:pPr>
        <w:spacing w:after="0" w:line="117"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Our mountain resorts and urban ski areas are committed to leading the industry in terrain park design, education and events for the growing segment of freestyle skiers and snowboarders. Each of our mountain resorts has multiple terrain parks that include progressively-challenging features. These park structures, coupled with freestyle ski school programs, promote systematic learning from basic to professional skills.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Extraordinary Service and Amenities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Commitment to the Guest Experience</w:t>
      </w:r>
    </w:p>
    <w:p>
      <w:pPr>
        <w:spacing w:after="0" w:line="117"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create a customer-focused environment. We offer EpicMix, an online and mobile application that, through radio frequency technology, captures a guest’s activity on the mountain (e.g. number of ski days, vertical feet skied and chairlift activity), allows a guest to share his or her experience, photos and accomplishments with family and friends on social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7" w:right="239" w:bottom="1440" w:gutter="0" w:footer="0" w:header="0"/>
        </w:sectPr>
      </w:pPr>
    </w:p>
    <w:bookmarkStart w:id="10" w:name="page11"/>
    <w:bookmarkEnd w:id="10"/>
    <w:p>
      <w:pPr>
        <w:jc w:val="both"/>
        <w:ind w:left="328"/>
        <w:spacing w:after="0" w:line="254" w:lineRule="auto"/>
        <w:rPr>
          <w:sz w:val="20"/>
          <w:szCs w:val="20"/>
          <w:color w:val="auto"/>
        </w:rPr>
      </w:pPr>
      <w:r>
        <w:rPr>
          <w:rFonts w:ascii="Arial" w:cs="Arial" w:eastAsia="Arial" w:hAnsi="Arial"/>
          <w:sz w:val="18"/>
          <w:szCs w:val="18"/>
          <w:color w:val="auto"/>
        </w:rPr>
        <w:t>networks, allows guests to access real time lift line wait times and allows our ski school instructors to certify the attainment of certain skills and ski levels. We also introduced the world’s first digital mountain assistant (“EMMA”), which uses artificial intelligence and natural language processing to offer information on everything from grooming, lift line wait times and parking, in addition to recommendations on rentals, lessons and dining options. For the 2019/2020 North American ski season, we plan to make technology investments to increase lift ticket express fulfillment capacity through new mobile technology across our 17 North American resorts to allow skiers and snowboarders who purchased lift tickets in advance on-line to bypass the ticket window entirely. Additionally, we are focused on improving the guest ski/snowboard rental experience with the development of a new “pod” concept in several of our high-volume locations where the guest is no longer required to wait in a number of different lines during their rental experience.</w:t>
      </w:r>
    </w:p>
    <w:p>
      <w:pPr>
        <w:spacing w:after="0" w:line="192" w:lineRule="exact"/>
        <w:rPr>
          <w:sz w:val="20"/>
          <w:szCs w:val="20"/>
          <w:color w:val="auto"/>
        </w:rPr>
      </w:pPr>
    </w:p>
    <w:p>
      <w:pPr>
        <w:jc w:val="both"/>
        <w:ind w:left="328"/>
        <w:spacing w:after="0" w:line="264" w:lineRule="auto"/>
        <w:rPr>
          <w:sz w:val="20"/>
          <w:szCs w:val="20"/>
          <w:color w:val="auto"/>
        </w:rPr>
      </w:pPr>
      <w:r>
        <w:rPr>
          <w:rFonts w:ascii="Arial" w:cs="Arial" w:eastAsia="Arial" w:hAnsi="Arial"/>
          <w:sz w:val="18"/>
          <w:szCs w:val="18"/>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spacing w:after="0" w:line="181" w:lineRule="exact"/>
        <w:rPr>
          <w:sz w:val="20"/>
          <w:szCs w:val="20"/>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 Pass &amp; Epic Day Pass Products</w:t>
      </w:r>
    </w:p>
    <w:p>
      <w:pPr>
        <w:spacing w:after="0" w:line="117" w:lineRule="exact"/>
        <w:rPr>
          <w:rFonts w:ascii="Arial" w:cs="Arial" w:eastAsia="Arial" w:hAnsi="Arial"/>
          <w:sz w:val="18"/>
          <w:szCs w:val="18"/>
          <w:color w:val="auto"/>
        </w:rPr>
      </w:pPr>
    </w:p>
    <w:p>
      <w:pPr>
        <w:jc w:val="both"/>
        <w:ind w:left="328"/>
        <w:spacing w:after="0" w:line="286" w:lineRule="auto"/>
        <w:rPr>
          <w:rFonts w:ascii="Arial" w:cs="Arial" w:eastAsia="Arial" w:hAnsi="Arial"/>
          <w:sz w:val="18"/>
          <w:szCs w:val="18"/>
          <w:color w:val="auto"/>
        </w:rPr>
      </w:pPr>
      <w:r>
        <w:rPr>
          <w:rFonts w:ascii="Arial" w:cs="Arial" w:eastAsia="Arial" w:hAnsi="Arial"/>
          <w:sz w:val="16"/>
          <w:szCs w:val="16"/>
          <w:color w:val="auto"/>
        </w:rPr>
        <w:t>We offer a variety of pass products, primarily season pass and Epic Day Pass products, for all of our mountain resorts and urban ski areas that are marketed towards both out-of-state and international (“Destination”) guests as well as in-state and local (“Local”) guests. These pass products are available for purchase prior to the start of the ski season, offering our guests a better value in exchange for their commitment to ski at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Our pass products generated approximately 47% of our total lift revenue for Fiscal 2019. In addition, our pass products attract new guests to our mountain resorts and urban ski areas. Sales of pass products are a key component of our overall Mountain segment revenue and help create strong synergies among our mountain resorts and urban ski areas. Our pass products range from providing access for a certain number of days to one or a combination of our mountain resorts and urban ski areas to our Epic Pass which provides unrestricted and unlimited access to all our mountain resorts and urban ski areas. Additionally, beginning with the 2019/2020 North American pass product selling season, we are offering the Epic Day Pass, a customizable one to seven day pass product, purchased in advance of the season, for those skiers and riders who expect to ski a certain number of days during the season. All of our various pass product options can be found on our consumer website www.snow.com. Information on our websites does not constitute part of this document.</w:t>
      </w:r>
    </w:p>
    <w:p>
      <w:pPr>
        <w:spacing w:after="0" w:line="174" w:lineRule="exact"/>
        <w:rPr>
          <w:rFonts w:ascii="Arial" w:cs="Arial" w:eastAsia="Arial" w:hAnsi="Arial"/>
          <w:sz w:val="18"/>
          <w:szCs w:val="18"/>
          <w:color w:val="auto"/>
        </w:rPr>
      </w:pPr>
    </w:p>
    <w:p>
      <w:pPr>
        <w:jc w:val="both"/>
        <w:ind w:left="328"/>
        <w:spacing w:after="0" w:line="285" w:lineRule="auto"/>
        <w:rPr>
          <w:rFonts w:ascii="Arial" w:cs="Arial" w:eastAsia="Arial" w:hAnsi="Arial"/>
          <w:sz w:val="18"/>
          <w:szCs w:val="18"/>
          <w:color w:val="auto"/>
        </w:rPr>
      </w:pPr>
      <w:r>
        <w:rPr>
          <w:rFonts w:ascii="Arial" w:cs="Arial" w:eastAsia="Arial" w:hAnsi="Arial"/>
          <w:sz w:val="16"/>
          <w:szCs w:val="16"/>
          <w:color w:val="auto"/>
        </w:rPr>
        <w:t>As part of our continued strategy to drive pass product sales and create a stronger connection between key skier markets and our iconic destination mountain resorts, we have continued to expand our portfolio of properties in recent years. In April 2019, we acquired Falls Creek and Hotham, located in Victoria, Australia, expanding our portfolio of Australian ski resorts to complement Perisher, which we acquired in June 2015. Australia is an important international ski market, estimated to generate more than one million skier visits annually to resorts in North America, Japan and Europe. Stevens Pass in Washington State, acquired in August 2018, is located 85 miles from Seattle and 250 miles from Whistler Blackcomb, a world-renowned international skiing destination which receives more than two million skier visits each year, which we acquired in October 2016. We have also made strategic acquisitions of mountain resorts located in the Northeast U.S. recently, including Okemo in Vermont (acquired in September 2018), Mount Sunapee in New Hampshire (acquired in September 2018) and Stowe in Vermont (acquired in June 2017). These resorts are premier, high-end ski resorts for skiers and snowboarders on the East Coast, which draw visitors from New York City, Boston and the broader Northeast skier population. Additionally, our urban ski areas are strategically positioned near key U.S. population centers; Wilmot in Wisconsin near the Chicago and Milwaukee metropolitan areas, Afton Alps in Minnesota near Minneapolis/St. Paul and Mt. Brighton in Michigan near Detroit. This close proximity to major Midwestern skier markets allows guests to visit regularly during the week, including popular night skiing, or on the weekends. These cities offer major airports with routine direct flights to Denver, San Francisco, Salt Lake City and Vancouver. Additionally, we enter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and Skirama Dolomiti in Italy, which further increases the value proposition of our pass products.</w:t>
      </w:r>
    </w:p>
    <w:p>
      <w:pPr>
        <w:spacing w:after="0" w:line="200" w:lineRule="exact"/>
        <w:rPr>
          <w:sz w:val="20"/>
          <w:szCs w:val="20"/>
          <w:color w:val="auto"/>
        </w:rPr>
      </w:pPr>
    </w:p>
    <w:p>
      <w:pPr>
        <w:spacing w:after="0" w:line="22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8"/>
          </w:cols>
          <w:pgMar w:left="572" w:top="1017" w:right="239" w:bottom="1440" w:gutter="0" w:footer="0" w:header="0"/>
        </w:sectPr>
      </w:pPr>
    </w:p>
    <w:bookmarkStart w:id="11" w:name="page12"/>
    <w:bookmarkEnd w:id="1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Premier Ski Schools</w:t>
      </w:r>
    </w:p>
    <w:p>
      <w:pPr>
        <w:spacing w:after="0" w:line="117"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Our mountain resorts are home to some of the highest quality and most widely recognized ski and snowboard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Dining</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Our resorts provide a variety of quality on-mountain and base village dining venues, ranging from top-rated fine dining restaurants to trailside express food service outlets. We operate approximately 215 dining venues at our mountain resorts and urban ski areas.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Retail/Rental</w:t>
      </w:r>
    </w:p>
    <w:p>
      <w:pPr>
        <w:spacing w:after="0" w:line="117"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We have approximately 290 retail/rental locations specializing in sporting goods including ski, snowboard and cycling equipment. In addition to providing a major retail/rental presence at each of our mountain resorts, we also have retail/rental locations throughout the Colorado Front Range and at other Colorado and California ski resorts, as well as the San Francisco Bay Area, Salt Lake City and Minneapolis. Many of the locations in the Colorado Front Range and in the San Francisco Bay Area also offer prime venues for selling our pass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On-Mountain Activities</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We are a ski industry leader in providing comprehensive destination vacation experiences, including on-mountain activities designed to appeal to a broad range of interests. In addition to our exceptional ski experiences, guests can choose from a variety of non-ski related activities such as snowtubing, snowshoeing, guided snowmobile and scenic snow cat tours, backcountry expeditions, horse-drawn sleigh rides and high altitude dining. During the summer season, our mountain resorts offer non-ski related recreational activities and provide guests with a wide array of options including scenic chairlift and gondola rides; mountain biking; horseback riding; guided hiking; 4x4 Jeep tours; and our Epic Discovery program at Vail Mountain, Heavenly and Breckenridge.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Lodging and Real Estate</w:t>
      </w:r>
    </w:p>
    <w:p>
      <w:pPr>
        <w:spacing w:after="0" w:line="117"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High quality lodging options are an integral part of providing a complete resort experience. Our owned and managed hotels and resorts proximate to our mountain resorts, including six RockResorts branded properties and a significant inventory of managed condominium units, provide numerous accommodation options for our mountain resort guests. More recently, our real estate efforts have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Lodging segment includes the following operations, which collectively offer a wide range of services to guests (additional property details provided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Owned and managed lodging properties, including those under our luxury hotel management company, RockResorts;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Managed condominium units which are in and around our mountain resorts in Colorado, Lake Tahoe, Utah, Vermont and British Columbia, Canada;</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NPS concessionaire properties in and near Grand Teton National Park in Wyoming;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resort ground transportation company in Colorado;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Company-owned mountain resort golf courses including five in Colorado, one in Wyoming and two in Vermont, as well as two Company-operated mountain golf courses; one in Lake Tahoe, California and one in Park City, Utah.</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Lodging segment currently includes approximately 5,500 owned and managed hotel rooms and condominium units. Our lodging strategy seeks to complement and enhance our mountain resort operations through our ownership or management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6"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lodging properties and condominiums proximate to our mountain resorts and selective management of luxury resorts in premier destination locations.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portfolio of owned or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Industry/Market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Starwood’s Luxury Collection hotels. Our other hotels are categorized in the upper upscale and upscale segments of the hotel market. The luxury and upper upscale segments consist of approximately 754,000 rooms at approximately 2,300 properties in the U.S. as of July 2019. For Fiscal 2019, our owned hotels, which include a combination of certain RockResort hotels as well as other hotels in proximity to our mountain resorts, had an overall ADR of $256.50 a paid occupancy rate of 68.4% and revenue per available room (“RevPAR”) of $175.45, as compared to the upper upscale segment’s ADR of $188.88, a paid occupancy rate of 73.9% and RevPAR of $139.50. We believe that this comparison to the upper upscale segment is appropriate as our mix of owned hotels include those in the luxury and upper upscale segments, as well as certain of our hotels that fall in the upscale segment. The highly seasonal nature of our lodging properties generally results in lower average occupancy as compared to the upper upscale segment of the lodging industry as a whole.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Starwood’s Luxury Collection and Westin. Our properties also compete for convention and conference business across the national market. We believe we are highly competitive in the resort hotel niche for the following reasons:</w:t>
      </w:r>
    </w:p>
    <w:p>
      <w:pPr>
        <w:spacing w:after="0" w:line="6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hotels are located in unique, highly desirable resort destinations;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hotel portfolio has achieved some of the most prestigious hotel designations in the world, including two properties in our portfolio that are currently rated as AAA 4-Diamond;</w:t>
      </w: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of our hotels (both owned and managed) are designed to provide a look that feels indigenous to their surroundings, enhancing the guest’s vacation experience;</w:t>
      </w:r>
    </w:p>
    <w:p>
      <w:pPr>
        <w:jc w:val="both"/>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jc w:val="both"/>
        <w:ind w:left="980" w:hanging="324"/>
        <w:spacing w:after="0" w:line="25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 Projects at our owned properties completed over the past several years include extensive refurbishments and upgrades to the Grand Summit Hotel, Colter Bay Village Cabins, and DoubleTree by Hilton Breckenridge. Additionally, we have completed guest room renovations at the Keystone Lodge and The Pines Lodge.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National Park Concessionaire Properties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GTLC, which is based in the Jackson Hole area in Wyoming and operates within Grand Teton National Park under a 15-year concessionaire agreement with the NPS that expires December 31, 2021. We also own Flagg Ranch, located in Moran, Wyoming and centrally located between Yellowstone National Park and Grand Teton National Park on the John D. Rockefeller, Jr. Memorial Parkway (the “Parkway”). Flagg Ranch operates under a 15-year concessionaire agreement with the NPS that expires October 31, 2026. GTLC also owns Jackson Hole Golf &amp; Tennis Club (“JHG&amp;TC”), located outside Grand Teton National Park near Jackson, Wyoming. GTLC’s operations within Grand Teton National Park and JHG&amp;TC have operating seasons that generally run from June through the end of September.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primarily compete with such companies as Aramark Parks &amp; Resorts, Delaware North Companies Parks &amp; Resorts, Forever Resorts and Xanterra Parks</w:t>
      </w:r>
    </w:p>
    <w:p>
      <w:pPr>
        <w:spacing w:after="0" w:line="46" w:lineRule="exact"/>
        <w:rPr>
          <w:sz w:val="20"/>
          <w:szCs w:val="20"/>
          <w:color w:val="auto"/>
        </w:rPr>
      </w:pPr>
    </w:p>
    <w:p>
      <w:pPr>
        <w:jc w:val="both"/>
        <w:ind w:firstLine="8"/>
        <w:spacing w:after="0" w:line="252" w:lineRule="auto"/>
        <w:tabs>
          <w:tab w:leader="none" w:pos="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Resorts in retaining and obtaining NPS concessionaire agreements. Four full-service concessionaires provide accommodations within Grand Teton National Park, including GTLC.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RV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Segment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We believe that, due to the low carrying cost of our real estate land investments, we are well situated to promote future projects with third-party developers while limiting our financial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Mountain segment’s marketing and sales efforts are increasingly oriented around data analytics to drive targeted and personalized marketing to our existing and prospective guests. We capture guest data on the vast majority of guest transactions through our pass product sales program, e-commerce platforms including mobile lift ticket sales, the EpicMix application and operational processes at our lift ticket windows. We promote our resorts using guest-centric marketing campaigns via email and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We also enter into strategic alliances with companies to enhance the guest experience at our resorts, as well as to create opportunities for cross-marketing.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We also promote comprehensive vacation experiences through various package offerings and promotions (combining lodging, lift tickets, ski school lessons, ski rental equipment, transportation and dining), all of which are designed to drive traffic to our websites and central reservations call center.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17" w:right="23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color w:val="auto"/>
        </w:rPr>
        <w:t>Across both the Mountain and Lodging segments, sales made through our websites and call center allow us to transact directly with our guests, enabling us to further expand our customer base for future analytics and guest-centric marketing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ten golf courses: The Canyons Golf Course at Park City, The Beaver Creek Golf Club, The Keystone Ranch Golf Course, The River Course at Keystone, JHG&amp;TC near Jackson, Wyoming, The Northstar Resort Golf Course, the Tom Fazio and Greg Norman courses at Red Sky Ranch near the Beaver Creek Resort and the Okemo Valley Golf Club and Tater Hill Golf Club in Vermont.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Stewardship and Social Responsibility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Environmental stewardship is a core philosophy for us. Our resorts operate in some of the world’s greatest natural environments, and we are compelled to care for and conserve them. Through our corporate social responsibility and sustainability program, Epic Promise, we focus on resource conservation, forest health and building stronger local communities through contributions to local non-profit organizations. Our environmental stewardship efforts are diverse and touch nearly every area of our operations. In 2017, we launched our Commitment to Zero, a pledge to have a zero net operating footprint by 2030. This commitment includes achieving zero net emissions by finding operational energy efficiencies, investing in renewable energy and investing in offsets and other emissions reduction projects, zero waste to landfills by diverting 100 percent of waste from our operations and zero net operating impact to forests and habitat by restoring an acre of forest for every acre displaced by our operations.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a result of this commitment, Vail Resorts was accepted as the first travel and tourism company into </w:t>
      </w:r>
      <w:r>
        <w:rPr>
          <w:rFonts w:ascii="Arial" w:cs="Arial" w:eastAsia="Arial" w:hAnsi="Arial"/>
          <w:sz w:val="16"/>
          <w:szCs w:val="16"/>
          <w:i w:val="1"/>
          <w:iCs w:val="1"/>
          <w:color w:val="auto"/>
        </w:rPr>
        <w:t>RE100</w:t>
      </w:r>
      <w:r>
        <w:rPr>
          <w:rFonts w:ascii="Arial" w:cs="Arial" w:eastAsia="Arial" w:hAnsi="Arial"/>
          <w:sz w:val="16"/>
          <w:szCs w:val="16"/>
          <w:color w:val="auto"/>
        </w:rPr>
        <w:t>, a collaborative initiative uniting more than 100 global and influential businesses which are committed to 100 percent renewable electricity. In addition, we have partnered with several organizations to help raise resources for local environmental programs, including The Nature Conservancy, the National Forest Foundation, The Tahoe Fund, Mountain Trails Foundation in Park City and the EnviroFund at Whistler Blackcomb. We encourage our employees to help protect the environment and support their local community with over 26,000 volunteer hours donated annually. Our charitable giving focuses on supporting education and youth programs, encouraging innovation in, and implementation of, environmental stewardship practices and enhancing the quality of life in the communities in which we operate.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our EpicPromise Foundation (the “Foundation”), which was established in 2015, is a charitable foundation funded by annual contributions from the Company and its employees. The Foundation supports Vail Resorts’ employees and their families via grants for emergency relief and scholarships. For more information on both the Foundation and our environmental stewardship, visit www.EpicPromise.com. Information on our websites does not constitute part of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fiscal year end, we employed approximately 6,600 year-round employees. During the height of our most recent operating seasons, we employed approximately 31,900 additional seasonal employees. In addition, we employed approximately 400 year-round employees and 100 seasonal employees on behalf of the owners of our managed hotel properties. We consider our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17" w:right="239" w:bottom="1440" w:gutter="0" w:footer="0" w:header="0"/>
        </w:sectPr>
      </w:pPr>
    </w:p>
    <w:bookmarkStart w:id="15" w:name="page16"/>
    <w:bookmarkEnd w:id="15"/>
    <w:p>
      <w:pPr>
        <w:jc w:val="both"/>
        <w:spacing w:after="0" w:line="242" w:lineRule="auto"/>
        <w:rPr>
          <w:sz w:val="20"/>
          <w:szCs w:val="20"/>
          <w:color w:val="auto"/>
        </w:rPr>
      </w:pPr>
      <w:r>
        <w:rPr>
          <w:rFonts w:ascii="Arial" w:cs="Arial" w:eastAsia="Arial" w:hAnsi="Arial"/>
          <w:sz w:val="17"/>
          <w:szCs w:val="17"/>
          <w:color w:val="auto"/>
        </w:rPr>
        <w:t xml:space="preserve">In the highly competitive industry in which we operate, trademarks, service marks, trade names and logos are very important in the sales and marketing of our mountain resorts and urban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Arial" w:cs="Arial" w:eastAsia="Arial" w:hAnsi="Arial"/>
          <w:sz w:val="17"/>
          <w:szCs w:val="17"/>
          <w:i w:val="1"/>
          <w:iCs w:val="1"/>
          <w:color w:val="auto"/>
        </w:rPr>
        <w:t>Epic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Epic Pass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Vail Resorts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Vail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Beaver Creek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Breckenridge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Keystone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Heavenly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The Company also owns Canadian and U.S. trademark registrations for the </w:t>
      </w:r>
      <w:r>
        <w:rPr>
          <w:rFonts w:ascii="Arial" w:cs="Arial" w:eastAsia="Arial" w:hAnsi="Arial"/>
          <w:sz w:val="17"/>
          <w:szCs w:val="17"/>
          <w:i w:val="1"/>
          <w:iCs w:val="1"/>
          <w:color w:val="auto"/>
        </w:rPr>
        <w:t>Whistler Blackcomb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name and logo. The Company licenses the right to use the federally registered trademark </w:t>
      </w:r>
      <w:r>
        <w:rPr>
          <w:rFonts w:ascii="Arial" w:cs="Arial" w:eastAsia="Arial" w:hAnsi="Arial"/>
          <w:sz w:val="17"/>
          <w:szCs w:val="17"/>
          <w:i w:val="1"/>
          <w:iCs w:val="1"/>
          <w:color w:val="auto"/>
        </w:rPr>
        <w:t>Northstar California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from CLP Northstar, LLC.</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Forest Service Resorts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operations of Breckenridge, Vail Mountain, Keystone, Beaver Creek, Crested Butte, Stevens Pass, Heavenly and Kirkwood are conducted primarily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Use Permits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Forest Service Resorts operates under a SUP, and the acreage and expiration date information for each SUP is as follows:</w:t>
      </w:r>
    </w:p>
    <w:p>
      <w:pPr>
        <w:spacing w:after="0" w:line="289"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Forest Service Resort</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Acres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2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Breckenridge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5,702</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95"/>
              </w:rPr>
              <w:t>Vail Mountain</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12,353</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December 1, 2031</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8,376</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9"/>
              </w:rPr>
              <w:t>Beaver Creek</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3,849</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Crested Butte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4,350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27, 2058</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3"/>
              </w:rPr>
              <w:t>Stevens Pass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2,443</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August 15, 2058</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Heavenly</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7,050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1, 2042</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99"/>
              </w:rPr>
              <w:t>Kirkwood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2,330</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1, 2052</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season passes, ski school lessons, food and beverage, certain summer activities, equipment rentals and retail merchandise.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33" w:right="2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Development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Land Resorts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operations of Park City, Northstar, Afton Alps, Mt. Brighton and Wilmot are conducted primarily on private land and are not under the jurisdiction of the Forest Service (collectively, the “Private Land Resorts”). While Beaver Creek also operates on Forest Service land, a significant portion of the skiable terrain, primarily in the lower main mountain, Western Hillside, Bachelor Gulch and Arrowhead Mountain areas, is located on land that we own.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not governed by federal regulation, the Private Land Resorts may be governed by local laws and regulations. For example, specific projects and master development plans at Northstar require approval by Placer County, California. Additionally, a portion of Park City is part of the Canyons Specially Planned Area (“SPA”) pursuant to a Summit County, Utah ordinance adopted in 1998, and a Development Agreement and Master Development Plan with affected property owners, developers and the county, the most recent versions of which were adopted in 1999. Other land use within the SPA is within the jurisdiction of Summit County, Utah. Land use at Park City is within the jurisdiction of Summit County, Utah and Park City Municipal Corporation. The portions of the resort located within Park City Municipal Corporation are subject to a Development Agreement with the municipality, the most recent version of which was entered into in 1998.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Whistler Blackcomb</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is made up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the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Northeast Resorts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season passes, food and beverage, summer activities and retail merchandise. We are obligated to indemnify the State of Vermont from third-party claims arising out of our operations under the lease.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season passes, food and beverage, summer activities and retail merchandise. We are obligated to indemnify the State of New Hampshire from third-party claims arising out of our operations under the 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Australian Resorts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Perisher</w:t>
      </w:r>
      <w:r>
        <w:rPr>
          <w:rFonts w:ascii="Arial" w:cs="Arial" w:eastAsia="Arial" w:hAnsi="Arial"/>
          <w:sz w:val="18"/>
          <w:szCs w:val="18"/>
          <w:color w:val="auto"/>
        </w:rPr>
        <w:t>: Perisher is located in the Kosciuszko National Park, the largest national park in New South Wales, Australia. The resort includes four villages</w:t>
      </w:r>
      <w:r>
        <w:rPr>
          <w:rFonts w:ascii="Arial" w:cs="Arial" w:eastAsia="Arial" w:hAnsi="Arial"/>
          <w:sz w:val="18"/>
          <w:szCs w:val="18"/>
          <w:i w:val="1"/>
          <w:iCs w:val="1"/>
          <w:color w:val="auto"/>
        </w:rPr>
        <w:t xml:space="preserve"> </w:t>
      </w:r>
      <w:r>
        <w:rPr>
          <w:rFonts w:ascii="Arial" w:cs="Arial" w:eastAsia="Arial" w:hAnsi="Arial"/>
          <w:sz w:val="18"/>
          <w:szCs w:val="18"/>
          <w:color w:val="auto"/>
        </w:rPr>
        <w:t>(Perisher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Falls Creek and Hotham: </w:t>
      </w:r>
      <w:r>
        <w:rPr>
          <w:rFonts w:ascii="Arial" w:cs="Arial" w:eastAsia="Arial" w:hAnsi="Arial"/>
          <w:sz w:val="16"/>
          <w:szCs w:val="16"/>
          <w:color w:val="auto"/>
        </w:rPr>
        <w:t>Falls Creek and Hotham are located in the Alpine National Park in Victoria, Australia. Falls Creek and Hotham both operate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Crown land permanently reserved under the </w:t>
      </w:r>
      <w:r>
        <w:rPr>
          <w:rFonts w:ascii="Arial" w:cs="Arial" w:eastAsia="Arial" w:hAnsi="Arial"/>
          <w:sz w:val="16"/>
          <w:szCs w:val="16"/>
          <w:i w:val="1"/>
          <w:iCs w:val="1"/>
          <w:color w:val="auto"/>
        </w:rPr>
        <w:t>Crown Land (Reserves) Act 1978</w:t>
      </w:r>
      <w:r>
        <w:rPr>
          <w:rFonts w:ascii="Arial" w:cs="Arial" w:eastAsia="Arial" w:hAnsi="Arial"/>
          <w:sz w:val="16"/>
          <w:szCs w:val="16"/>
          <w:color w:val="auto"/>
        </w:rPr>
        <w:t xml:space="preserve"> (Vic), with the exception of three small parcels of freehold land within the Hotham resort area. Each resort is subject to the </w:t>
      </w:r>
      <w:r>
        <w:rPr>
          <w:rFonts w:ascii="Arial" w:cs="Arial" w:eastAsia="Arial" w:hAnsi="Arial"/>
          <w:sz w:val="16"/>
          <w:szCs w:val="16"/>
          <w:i w:val="1"/>
          <w:iCs w:val="1"/>
          <w:color w:val="auto"/>
        </w:rPr>
        <w:t>Alpine Resorts (Management) Act 1997</w:t>
      </w:r>
      <w:r>
        <w:rPr>
          <w:rFonts w:ascii="Arial" w:cs="Arial" w:eastAsia="Arial" w:hAnsi="Arial"/>
          <w:sz w:val="16"/>
          <w:szCs w:val="16"/>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33"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Alpine Resorts (Management) Regulations 2009</w:t>
      </w:r>
      <w:r>
        <w:rPr>
          <w:rFonts w:ascii="Arial" w:cs="Arial" w:eastAsia="Arial" w:hAnsi="Arial"/>
          <w:sz w:val="17"/>
          <w:szCs w:val="17"/>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also own and operate the Hotham Airport. The regulation of aviation safety in Australia is governed by the </w:t>
      </w:r>
      <w:r>
        <w:rPr>
          <w:rFonts w:ascii="Arial" w:cs="Arial" w:eastAsia="Arial" w:hAnsi="Arial"/>
          <w:sz w:val="18"/>
          <w:szCs w:val="18"/>
          <w:i w:val="1"/>
          <w:iCs w:val="1"/>
          <w:color w:val="auto"/>
        </w:rPr>
        <w:t>Civil Aviation Act 1988</w:t>
      </w:r>
      <w:r>
        <w:rPr>
          <w:rFonts w:ascii="Arial" w:cs="Arial" w:eastAsia="Arial" w:hAnsi="Arial"/>
          <w:sz w:val="18"/>
          <w:szCs w:val="18"/>
          <w:color w:val="auto"/>
        </w:rPr>
        <w:t xml:space="preserve"> (Cth) (the “CAA”), and regulations and standards made pursuant to the CAA, including the </w:t>
      </w:r>
      <w:r>
        <w:rPr>
          <w:rFonts w:ascii="Arial" w:cs="Arial" w:eastAsia="Arial" w:hAnsi="Arial"/>
          <w:sz w:val="18"/>
          <w:szCs w:val="18"/>
          <w:i w:val="1"/>
          <w:iCs w:val="1"/>
          <w:color w:val="auto"/>
        </w:rPr>
        <w:t>Civil Aviation Regulations 1988</w:t>
      </w:r>
      <w:r>
        <w:rPr>
          <w:rFonts w:ascii="Arial" w:cs="Arial" w:eastAsia="Arial" w:hAnsi="Arial"/>
          <w:sz w:val="18"/>
          <w:szCs w:val="18"/>
          <w:color w:val="auto"/>
        </w:rPr>
        <w:t xml:space="preserve"> (Cth) and </w:t>
      </w:r>
      <w:r>
        <w:rPr>
          <w:rFonts w:ascii="Arial" w:cs="Arial" w:eastAsia="Arial" w:hAnsi="Arial"/>
          <w:sz w:val="18"/>
          <w:szCs w:val="18"/>
          <w:i w:val="1"/>
          <w:iCs w:val="1"/>
          <w:color w:val="auto"/>
        </w:rPr>
        <w:t>Civil Aviation Safety Regulations 1998</w:t>
      </w:r>
      <w:r>
        <w:rPr>
          <w:rFonts w:ascii="Arial" w:cs="Arial" w:eastAsia="Arial" w:hAnsi="Arial"/>
          <w:sz w:val="18"/>
          <w:szCs w:val="18"/>
          <w:color w:val="auto"/>
        </w:rPr>
        <w:t xml:space="preserve"> (Cth).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Concessionaire Agreements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expires on December 31, 2021, and we pay a fee to the NPS of a percentage of the majority of our sales occurring in Grand Teton National Park.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2026, and we pay a fee to the NPS of a percentage of the majority of our sales occurring in the Parkway.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expiration of these concession contracts, we will have the opportunity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NPS may also terminate the concession contract for breach, following notice and a 15 day cure period or if it believes termination is necessary to protect visitors or resources within the Grand Teton National Park.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Environmental Policy Act; California Environmental Quality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NEPA requires an assessment of the environmental impacts of “significant” proposed actions on National Forest land, such as expansion of a ski area, installation of new lifts or snowmaking facilities or construction of new trails or buildings. We must comply with NEPA when seeking Forest Service approval of such improvements, except in limited cases where projects are not expected to have environmental impacts, which can be submitted to a Categorical Exclusion. The Forest Service is responsible for preparing and compiling the required environmental studies, usually through third-party consultants. NEPA allows for different types of environmental studies, depending on, among other factors, the scope and size of the expected impact of the proposed project. An Environmental Assessment (“EA”) is typically used for projects where the environmental impacts are expected to be limited. For projects with more significant expected impacts, an Environmental Impact Statement (“EIS”) is more commonly required. An EIS is more detailed and broader in scope than an EA.</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requisite environmental study, the Forest Service is required to analyze alternatives to the proposed action (including not taking the proposed action), as well as impacts that may be unavoidable. Following completion of the requisite environmental study, the Forest Service may decide not to approve the proposed action or may decide to approve an alternative. In either case, we may be forced to abandon or alter our development or expansion plans.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Proposed actions at Kirkwood, Northstar and certain portions of Heavenly may also be subject to the California Environmental Quality Act (“CEQA”), which is similar to NEPA in that it requires the California governmental entity approving any proposed action at Kirkwood, Northstar, or on the California portion of Heavenly to study potential environmental impacts. Projects with significant expected impacts require an Environmental Impact Report while more limited projects may be approved based on a Mitigated Negative Declaration.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Forest &amp; Range Practices Act and Watershed Sustainability Act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Forest &amp; Range Practices Act (“FRPA”) is the principal legislation that governs mountain resorts in British Columbia, including Whistler Blackcomb. The FRPA outlines how all forest and range practices and resource-based activities are to be conducted on Crown (Public) land in British Columbia, while ensuring protection of everything in and on the lands, such as plants, animals and ecosystems. All forest and range licensees’ activities are governed by FRPA and its regulations during all stages of planning, road building, logging, and reforestation, including removing timber for ski trail development. The FRPA is mostly based on self-compliance and does not specifically express standards for ski area development. Whistler Blackcomb is also subject to the Watershed Sustainability Act (“WSA”), which is the principal law for managing the diversion and use of water resources in British Columbia and is applicable to Whistler Blackcomb’s use of water for drinking consumption and snowmaking. The WSA requires Whistler Blackcomb to obtain certain approvals and conduct monitoring of its streams.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Vermont Land Use and Development 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in Vermont, the operations of Stowe and Okemo are subject to Vermont’s state-wide Land Use and Development Act known as “Act 250.” Act 250, administered by the Vermont Agency of Natural Resources, regulates the impacts of development to, among other things, waterways, air, wildlife and earth resources using ten criteria that are designed to safeguard the environment, community life and aesthetic character of Vermont. Stowe and Okemo each have a Master Plan detailing the development considerations within the resort boundary. All projects within each resort’s Master Plan have completed or will need to complete the Act 250 review process at the project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Planning and Assessment Act 1979 (NSW, Australia)</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Environmental Planning and Assessment Act 1979 (NSW) (“EPA Act”) is the principal legislation regulating land use and development in New South Wales, Australia. Perisher relies on a suite of planning approvals (and existing use rights) granted under the EPA Act to operate the resort. Various types of development that facilitate commercial ski resort operations are also permitted to be carried out without planning approval pursuant to the State Environmental Planning Policy (Kosciusko National Park - Alpine Resorts) 2007 and the Snowy River Local Environmental Plan 2013. Strategic planning documents have been adopted to provide a framework for the assessment and approval of future development at the resort, including the Perisher Range Resorts Master Plan, Perisher Blue Ski Resort Ski Slope Master Plan and Kosciuszko National Park Plan of Management. Perisher holds a number of environmental approvals to regulate its operations, including an environment protection license for the sewage treatment plant at Bullock’s Flat and a suite of licenses for the storage of diesel, heating oil and propane in storage tanks across the resort. Perisher implemented an Environmental Management System to manage compliance with the environmental regulatory framework, and mitigate potential environmental risks arising from its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 Protection Act 1970 and the Environment Protection and Biodiversity Conservation Act 1999 (Victoria, Australia)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Falls Creek and Hotham are subject to the </w:t>
      </w:r>
      <w:r>
        <w:rPr>
          <w:rFonts w:ascii="Arial" w:cs="Arial" w:eastAsia="Arial" w:hAnsi="Arial"/>
          <w:sz w:val="18"/>
          <w:szCs w:val="18"/>
          <w:i w:val="1"/>
          <w:iCs w:val="1"/>
          <w:color w:val="auto"/>
        </w:rPr>
        <w:t>Environment Protection Act 1970</w:t>
      </w:r>
      <w:r>
        <w:rPr>
          <w:rFonts w:ascii="Arial" w:cs="Arial" w:eastAsia="Arial" w:hAnsi="Arial"/>
          <w:sz w:val="18"/>
          <w:szCs w:val="18"/>
          <w:color w:val="auto"/>
        </w:rPr>
        <w:t xml:space="preserve"> (Vic) (“EP Act”) and the </w:t>
      </w:r>
      <w:r>
        <w:rPr>
          <w:rFonts w:ascii="Arial" w:cs="Arial" w:eastAsia="Arial" w:hAnsi="Arial"/>
          <w:sz w:val="18"/>
          <w:szCs w:val="18"/>
          <w:i w:val="1"/>
          <w:iCs w:val="1"/>
          <w:color w:val="auto"/>
        </w:rPr>
        <w:t>Environment Protection and Biodiversity Conservation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1999 </w:t>
      </w:r>
      <w:r>
        <w:rPr>
          <w:rFonts w:ascii="Arial" w:cs="Arial" w:eastAsia="Arial" w:hAnsi="Arial"/>
          <w:sz w:val="18"/>
          <w:szCs w:val="18"/>
          <w:color w:val="auto"/>
        </w:rPr>
        <w:t>(Cth) (“EPBC Act”). The EP Act sets out a system of requirements for approvals and licenses for certain premises where activities may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the environment. It also contains policies relating to pollution. Approval is required under the EPBC Act if an action is likely to have a significant impact on a matter of national environmental significance.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 Local and Other Regulations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Water and Snowmaking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supply of water for operation of our ski areas for domestic and snowmaking purposes and for real estate development. Availability of water depends on existence of adequate water rights, as well as physical delivery of the water when and where it is needed. To provide a level of predictability in dates of operation and favorable snow surface conditions at our ski areas, we rely on snowmaking, which requires a significant volume of water, most of which is viewed as a non-consumptive use. Approximately 80% of the water is returned to the watershed at spring runoff. Examples of our water sources include: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33" w:right="239" w:bottom="1440" w:gutter="0" w:footer="0" w:header="0"/>
        </w:sectPr>
      </w:pPr>
    </w:p>
    <w:bookmarkStart w:id="20" w:name="page21"/>
    <w:bookmarkEnd w:id="20"/>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Colorado, we own or have ownership interests in water rights in reservoir companies, reservoirs, surface streams, groundwater wells and other sources.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Park City receives water for snowmaking from the Park City Municipal Corporation and Summit Water Distribution Company pursuant to various long-term agreements.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Whistler Blackcomb receives water rights used for snowmaking through licenses from the Province which describe annual allowable volumes on a number of its mountain creeks, and Whistler Blackcomb typically uses only a small percentage of its licensed water.</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Heavenly’s primary sources of water purchased for domestic and snowmaking uses are the South Tahoe Public Utility District and Kingsbury General Improvement District, which are California and Nevada utilities, respectively.</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Northstar obtains water through a cooperative arrangement with the Northstar Community Services District (“NCSD”). Together with the NCSD, we, through our lease with affiliates of EPR Properties, control surface water rights that we use for snowmaking.</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Kirkwood co-owns with the Forest Service surface water rights sufficient for current and planned snowmaking at the resort. Kirkwood’s water is stored in nearby Caples Lake under contract with its owner/operator.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Afton Alps, Mt. Brighton and Wilmot rely on on-site water wells and reservoirs for snowmaking.</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Perisher is subject to the Water Act of 1912 (NSW) (“NSW Water Act”), which regulates the use of water sources (such as rivers, lakes and groundwater aquifers) in the Kosciuszko National Park. Perisher relies on six water licenses issued under the NSW Water Act and a water extraction agreement with an independent third party for the purposes of extracting water for snowmaking.</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Falls Creek and Hotham are subject to the </w:t>
      </w:r>
      <w:r>
        <w:rPr>
          <w:rFonts w:ascii="Arial" w:cs="Arial" w:eastAsia="Arial" w:hAnsi="Arial"/>
          <w:sz w:val="18"/>
          <w:szCs w:val="18"/>
          <w:i w:val="1"/>
          <w:iCs w:val="1"/>
          <w:color w:val="auto"/>
        </w:rPr>
        <w:t>Water Act 1989</w:t>
      </w:r>
      <w:r>
        <w:rPr>
          <w:rFonts w:ascii="Arial" w:cs="Arial" w:eastAsia="Arial" w:hAnsi="Arial"/>
          <w:sz w:val="18"/>
          <w:szCs w:val="18"/>
          <w:color w:val="auto"/>
        </w:rPr>
        <w:t xml:space="preserve"> (Vic) (the “Vic Water Act”), which regulates the use of water resources and entitlements in Victoria. Falls Creek and Hotham each relies on a water diversion license issued under the Vic Water Act, which authorizes them to take and use water from a specified waterway to operate works and for snowmaking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Arial" w:cs="Arial" w:eastAsia="Arial" w:hAnsi="Arial"/>
          <w:sz w:val="17"/>
          <w:szCs w:val="17"/>
          <w:u w:val="single" w:color="auto"/>
          <w:color w:val="auto"/>
        </w:rPr>
        <w:t>www.vailresorts.com</w:t>
      </w:r>
      <w:r>
        <w:rPr>
          <w:rFonts w:ascii="Arial" w:cs="Arial" w:eastAsia="Arial" w:hAnsi="Arial"/>
          <w:sz w:val="17"/>
          <w:szCs w:val="17"/>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any materials we file with the SEC can be obtained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SEC’s public reference room at 100 F Street, N.E., Washington, D.C. 20549. Information on the operation of the public reference room is available by calling the SEC at 1-800-SEC-0330.</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We are subject to the risk of prolonged weakness in general economic conditions including adverse effects on the overall travel and leisure related industries. </w:t>
      </w:r>
      <w:r>
        <w:rPr>
          <w:rFonts w:ascii="Arial" w:cs="Arial" w:eastAsia="Arial" w:hAnsi="Arial"/>
          <w:sz w:val="17"/>
          <w:szCs w:val="17"/>
          <w:color w:val="auto"/>
        </w:rPr>
        <w:t>Skiing, travel and tourism are discretionary recreational activities that can entail a relatively high cost of participation and may be adversely</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by economic slowdown or recession. Economic conditions in North America, Europe and parts of the rest of the world, including high unemployment, erosion of consumer confidence, sovereign debt issues and financial instability in the global markets, may potentially have negative effects on the travel and leisure industry and on our results of operations. As a result of these and other economic uncertainties, we have previously experienced and may experience in the future, among other items, a change in booking trends such that guest reservations are made much closer to the actual date of stay, a decrease in the length of stay and/or a decrease in group bookings. We cannot predict what impact these uncertainties may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that are available at a discount to the single day lift tickets. In the event of a decrease in visitation and overall guest spending we may be required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it could impact the volume of international visitation.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7"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b w:val="1"/>
          <w:bCs w:val="1"/>
          <w:color w:val="auto"/>
        </w:rPr>
        <w:t xml:space="preserve">We are vulnerable to unfavorable weather conditions and the impact of natural disasters. </w:t>
      </w:r>
      <w:r>
        <w:rPr>
          <w:rFonts w:ascii="Arial" w:cs="Arial" w:eastAsia="Arial" w:hAnsi="Arial"/>
          <w:sz w:val="17"/>
          <w:szCs w:val="17"/>
          <w:color w:val="auto"/>
        </w:rPr>
        <w:t>Our ability to attract guests to our resorts is influenced by</w:t>
      </w:r>
      <w:r>
        <w:rPr>
          <w:rFonts w:ascii="Arial" w:cs="Arial" w:eastAsia="Arial" w:hAnsi="Arial"/>
          <w:sz w:val="17"/>
          <w:szCs w:val="17"/>
          <w:b w:val="1"/>
          <w:bCs w:val="1"/>
          <w:color w:val="auto"/>
        </w:rPr>
        <w:t xml:space="preserve"> </w:t>
      </w:r>
      <w:r>
        <w:rPr>
          <w:rFonts w:ascii="Arial" w:cs="Arial" w:eastAsia="Arial" w:hAnsi="Arial"/>
          <w:sz w:val="17"/>
          <w:szCs w:val="17"/>
          <w:color w:val="auto"/>
        </w:rPr>
        <w:t>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mountain resorts. In the past 20 years, our resorts in the Rocky Mountain region of Colorado and Utah, the Sierra Nevada Mountains in Lake Tahoe and the Coast Mountains in British Columbia, Canada have averaged between 20 and 39 feet of annual snowfall, which is significantly in excess of the average for North American ski resorts. However, there can be no assurance that our resorts will receive seasonal snowfalls near their historical average in the future. As an example of weather variability, during the 2017/2018 season, we experienced historically low snowfall across our western U.S. resorts for the first half of the ski season, with snowfall in Vail, Beaver Creek and Park City through January 31, 2018 at the lowest levels recorded in over 30 years while Tahoe was more than 50% below the 20-year average. During the 2018/2019 ski season, however, our western U.S. resorts experienced above-average snowfall. Past snowfall levels or consistency of snow conditions can impact the levels of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typically prevail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increased weather variability and/or warmer overall temperatures, which would likely adversely affect skier visits and our revenue and profits.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Failure to maintain the integrity and security of our internal, employee or guest data could result in damages to our reputation and subject us to costs, fines or lawsuits. </w:t>
      </w:r>
      <w:r>
        <w:rPr>
          <w:rFonts w:ascii="Arial" w:cs="Arial" w:eastAsia="Arial" w:hAnsi="Arial"/>
          <w:sz w:val="18"/>
          <w:szCs w:val="18"/>
          <w:color w:val="auto"/>
        </w:rPr>
        <w:t>Our business relies on the use of large volumes of data. We collect and retain guest data, including credit card numbers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information, for various business purposes, including transactional marketing and promotional purposes. We also maintain personal information about our employees. We store and use data in a variety of information systems, including some systems maintained by service providers. Maintaining the integrity and security of that data can be costly and is critical to our business, and our guests and employees have a high expectation that we will adequately protect their personal information.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Cyber-attacks could disrupt our business. </w:t>
      </w:r>
      <w:r>
        <w:rPr>
          <w:rFonts w:ascii="Arial" w:cs="Arial" w:eastAsia="Arial" w:hAnsi="Arial"/>
          <w:sz w:val="16"/>
          <w:szCs w:val="16"/>
          <w:color w:val="auto"/>
        </w:rPr>
        <w:t>Despite our efforts, information networks and systems are vulnerable to service interruptions or to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breaches from inadvertent or intentional actions by our employees or vendors, or from attacks by malicious third parties. In recent years, there has been a rise in the number of sophisticated cyber-attacks on network and information systems, and as a result, the risks associated with such an event continue to increase. We have experienced cybersecurity threats and incidents, none of which has been material to us to date. We have taken, and continue to take, steps to address these concerns by implementing security and internal controls. However, there can be no assurance that a system interruption, security breach or unauthorized access will not occur. Cyber threats and attacks are constantly evolving and becoming more sophisticated, which increases the difficulty and cost of detecting and defending against them. Cyber threats and attacks can have cascading impacts across networks, systems and operations. Those events may include process breakdowns, security architecture or design vulnerabilities, or may result from the acts of third parties, such as computer hackings, cyber-attacks, computer viruses, worms or other destructive or disruptive software, denial of service attacks, malicious social engineering or other malicious activities.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29"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reputational harm to us. These events also could result in large expenditures to repair or replace the damaged properties, products, services, networks or information systems to protect them from similar events in the future.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Leisure and business travel are particularly susceptible to various factors outside of our control, including terrorism, the uncertainty of military conflicts, outbreaks of contagious diseases, the cost and availability of travel options and change in consumer preferences. </w:t>
      </w:r>
      <w:r>
        <w:rPr>
          <w:rFonts w:ascii="Arial" w:cs="Arial" w:eastAsia="Arial" w:hAnsi="Arial"/>
          <w:sz w:val="16"/>
          <w:szCs w:val="16"/>
          <w:color w:val="auto"/>
        </w:rPr>
        <w:t>Our business is sensitive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willingness of our guests to travel. Acts of terrorism, the spread of contagious diseases,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and availability of air services could cause a decrease in visitation by Destination guests to our resorts. A significant portion of our guests also travel by vehicle and higher gasoline prices could adversely impact our guests’ willingness to travel to our resorts. Higher cost of travel may also affect the amount that guests are willing to spend at our resorts and could negatively impact our revenue particularly for lodging, ski school, dining and retail/rental.</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success depends on our ability to attract visitors to our ski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Our business is highly seasonal. </w:t>
      </w:r>
      <w:r>
        <w:rPr>
          <w:rFonts w:ascii="Arial" w:cs="Arial" w:eastAsia="Arial" w:hAnsi="Arial"/>
          <w:sz w:val="17"/>
          <w:szCs w:val="17"/>
          <w:color w:val="auto"/>
        </w:rPr>
        <w:t>Our mountain and lodging operations are highly seasonal in nature. Peak operating season for our North American</w:t>
      </w:r>
      <w:r>
        <w:rPr>
          <w:rFonts w:ascii="Arial" w:cs="Arial" w:eastAsia="Arial" w:hAnsi="Arial"/>
          <w:sz w:val="17"/>
          <w:szCs w:val="17"/>
          <w:b w:val="1"/>
          <w:bCs w:val="1"/>
          <w:color w:val="auto"/>
        </w:rPr>
        <w:t xml:space="preserve"> </w:t>
      </w:r>
      <w:r>
        <w:rPr>
          <w:rFonts w:ascii="Arial" w:cs="Arial" w:eastAsia="Arial" w:hAnsi="Arial"/>
          <w:sz w:val="17"/>
          <w:szCs w:val="17"/>
          <w:color w:val="auto"/>
        </w:rPr>
        <w:t>mountain resorts is from late November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2019, approximately 80%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2019 accounted for approximately 47%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mountain resorts and urban ski areas. If we were to experience an adverse event or realize a significant deterioration in our operating results during our peak periods (our fiscal second and third quarters) we would be unable to fully recover any significant declines due to the seasonality of our business. Operating results for any three-month period are not necessarily indicative of the results that may be achieved for any subsequent quarter or for a full fiscal year (see Notes to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Forest Service authorized year-round recreational activities, which allows our mountain resorts on Forest Service land to offer more summer-season recreational opportunities, including our Epic Discovery program that we launched at Heavenly, Vail and Breckenridge. We anticipate that as these summer activities mature, and with Whistler Blackcomb’s robust summer activities and the activities at our other resorts, we could realize incremental summer guest visitation and revenue. However, our summer activities may not generate the projected revenue and profit margins we expect, and even if our future plans are successful, we do not expect that these enhanced summer operations will fully mitigate the seasonal losses that our mountain operations experience from late spring to late fall.</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We face significant competition. </w:t>
      </w:r>
      <w:r>
        <w:rPr>
          <w:rFonts w:ascii="Arial" w:cs="Arial" w:eastAsia="Arial" w:hAnsi="Arial"/>
          <w:sz w:val="17"/>
          <w:szCs w:val="17"/>
          <w:color w:val="auto"/>
        </w:rPr>
        <w:t>The ski resort and lodging industries are highly competitive. The number of U.S. skier visits has generally ranged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51 million and 61 million annually over the last decade, with approximately 59.3 million visits for the 2018/2019 U.S. ski season. There are approximately 475 ski areas in the U.S. that serve local and destination guests, and these ski areas can be more or less impacted by weather conditions based on their location and snowmaking capabilities. The factors that we believe are important to customers include:</w:t>
      </w:r>
    </w:p>
    <w:p>
      <w:pPr>
        <w:spacing w:after="0" w:line="169" w:lineRule="exact"/>
        <w:rPr>
          <w:sz w:val="20"/>
          <w:szCs w:val="20"/>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to population centers;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cost of transportation to ski areas;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quality of lodging options in resort areas;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 of travel to ski areas (including direct flights by major airlines);</w:t>
      </w:r>
    </w:p>
    <w:p>
      <w:pPr>
        <w:spacing w:after="0" w:line="9" w:lineRule="exact"/>
        <w:rPr>
          <w:rFonts w:ascii="Arial" w:cs="Arial" w:eastAsia="Arial" w:hAnsi="Arial"/>
          <w:sz w:val="18"/>
          <w:szCs w:val="18"/>
          <w:color w:val="auto"/>
        </w:rPr>
      </w:pPr>
    </w:p>
    <w:p>
      <w:pPr>
        <w:ind w:left="1040" w:hanging="411"/>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of lift tickets and/or pass products and the magnitude, quality and price of related ancillary services (ski school, dining and retail/rental), amenities and lodging;</w:t>
      </w: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snowmaking facilities;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6" w:right="239" w:bottom="1440" w:gutter="0" w:footer="0" w:header="0"/>
        </w:sectPr>
      </w:pPr>
    </w:p>
    <w:bookmarkStart w:id="23" w:name="page24"/>
    <w:bookmarkEnd w:id="23"/>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and quality of skiing and snowboarding offered;</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duration of the ski season;</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competing options for our guests, including other major resorts in Colorado, Utah, California, Nevada, the Pacific Northwest, Northeast, Southwest and British Columbia, Canada,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The high fixed cost structure of mountain resort operations can result in significantly lower margins if revenues decline. </w:t>
      </w:r>
      <w:r>
        <w:rPr>
          <w:rFonts w:ascii="Arial" w:cs="Arial" w:eastAsia="Arial" w:hAnsi="Arial"/>
          <w:sz w:val="17"/>
          <w:szCs w:val="17"/>
          <w:color w:val="auto"/>
        </w:rPr>
        <w:t>The cost structure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increases in wages and other labor costs, energy, healthcare, insurance, transportation and fuel, property taxes, minimum lease payments and other expenses included in our fixed cost structure may also reduce our margin, profits and cash flows.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We may not be able to fund resort capital expenditures. </w:t>
      </w:r>
      <w:r>
        <w:rPr>
          <w:rFonts w:ascii="Arial" w:cs="Arial" w:eastAsia="Arial" w:hAnsi="Arial"/>
          <w:sz w:val="17"/>
          <w:szCs w:val="17"/>
          <w:color w:val="auto"/>
        </w:rPr>
        <w:t>We regularly expend capital to construct, maintain and renovate our mountain resorts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forces beyond our control. We currently anticipate we will spend approximately $139 million to $143 million on resort capital expenditures during calendar year 2019, excluding one-time items associated with integrations, the one-time Triple Peaks and Stevens Pass transformation plan, real estate related capital and reimbursable investments. We expect that our total calendar year 2019 capital plan will be approximately $190 million to $195 million, which includes $18 million of reimbursable investments associated with insurance recoveries and tenant improvements; $14 million in the first phase of a two-year, $35 million investment program for these newly acquired resorts, $7 million in capital for the integration of Triple Peaks and Stevens Pass, $2 million in capital for the integration of Peak Resorts and $1 million in capital for the integration of Falls Creek and Hotham. The calendar year 2019 capital plan also includes $3 million of investment related to our sustainability commitment focused on energy efficiency opportunities in snowmaking as well as other electrical and lighting applications. 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costs, or that we will be able to obtain sufficient financing on adequate terms, or at all. Our ability to generate cash flow and to obtain third-party financing will depend upon many factors, including:</w:t>
      </w:r>
    </w:p>
    <w:p>
      <w:pPr>
        <w:spacing w:after="0" w:line="189" w:lineRule="exact"/>
        <w:rPr>
          <w:sz w:val="20"/>
          <w:szCs w:val="20"/>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the resort industry, the ski industry and the capital markets;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and regulatory matters affecting our operations and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inability to generate sufficient cash flows from operations or to obtain adequate third-party financing could cause us to delay or abandon certain projects and/or plans.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A disruption in our water supply would impact our snowmaking capabilities and operations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operations are heavily dependent upon our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17" w:right="239" w:bottom="1440" w:gutter="0" w:footer="0" w:header="0"/>
        </w:sectPr>
      </w:pPr>
    </w:p>
    <w:bookmarkStart w:id="24" w:name="page25"/>
    <w:bookmarkEnd w:id="24"/>
    <w:p>
      <w:pPr>
        <w:jc w:val="both"/>
        <w:spacing w:after="0" w:line="274" w:lineRule="auto"/>
        <w:rPr>
          <w:sz w:val="20"/>
          <w:szCs w:val="20"/>
          <w:color w:val="auto"/>
        </w:rPr>
      </w:pPr>
      <w:r>
        <w:rPr>
          <w:rFonts w:ascii="Arial" w:cs="Arial" w:eastAsia="Arial" w:hAnsi="Arial"/>
          <w:sz w:val="17"/>
          <w:szCs w:val="17"/>
          <w:b w:val="1"/>
          <w:bCs w:val="1"/>
          <w:color w:val="auto"/>
        </w:rPr>
        <w:t xml:space="preserve">We rely on various government permits and landlord approvals at our U.S. resorts. </w:t>
      </w:r>
      <w:r>
        <w:rPr>
          <w:rFonts w:ascii="Arial" w:cs="Arial" w:eastAsia="Arial" w:hAnsi="Arial"/>
          <w:sz w:val="17"/>
          <w:szCs w:val="17"/>
          <w:color w:val="auto"/>
        </w:rPr>
        <w:t>Our U.S. resort operations require permits and approvals from</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federal, state and local authorities, including the Forest Service, U.S. Army Corps of Engineers, the States of Vermont and New Hampshire and NPS. Virtually all of our ski trails and related activities, including our current and proposed comprehensive summer activities plan, at Vail Mountain, Breckenridge, Keystone, Crested Butte, Stevens Pass, Heavenly, Kirkwood, and a majority of Beaver Creek are located on National Forest land. The Forest Service has granted us permits to use these lands, but maintains the right to review and approve many operational matters, as well as the location, design and construction of improvements in these areas. Currently, our permits expire on the following dates:</w:t>
      </w:r>
    </w:p>
    <w:p>
      <w:pPr>
        <w:spacing w:after="0" w:line="200" w:lineRule="exact"/>
        <w:rPr>
          <w:sz w:val="20"/>
          <w:szCs w:val="20"/>
          <w:color w:val="auto"/>
        </w:rPr>
      </w:pPr>
    </w:p>
    <w:p>
      <w:pPr>
        <w:spacing w:after="0" w:line="352"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Forest Service Resort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7"/>
        </w:trPr>
        <w:tc>
          <w:tcPr>
            <w:tcW w:w="2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Breckenridge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5"/>
              </w:rPr>
              <w:t>Vail Mountain</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December 1, 2031</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0"/>
              </w:rPr>
              <w:t>Beaver Creek</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Crested Butte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27, 2058</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83"/>
              </w:rPr>
              <w:t>Stevens Pass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August 15, 2058</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Heavenly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May 1, 2042</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7"/>
              </w:rPr>
              <w:t>Kirkwood</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1, 2052</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Stowe and Okemo are partially located on land we lease from the State of Vermont, and Mount Sunapee is located on land we lease from the State of New Hampshire. We are required to seek approval from such states for certain developments and improvements made to the resort. Our Northstar and Park City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and allows for six 50-year renewal options. Additionally, GTLC and Flagg Ranch operate under concessionaire agreements with the NPS that expire on December 31, 2021 and October 31, 2026, respectively. There is no guarantee that at the end of the initial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 and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We rely on foreign government leases and landlord approvals, and are subject to certain related laws and regulations, at our international resorts. </w:t>
      </w:r>
      <w:r>
        <w:rPr>
          <w:rFonts w:ascii="Arial" w:cs="Arial" w:eastAsia="Arial" w:hAnsi="Arial"/>
          <w:sz w:val="17"/>
          <w:szCs w:val="17"/>
          <w:color w:val="auto"/>
        </w:rPr>
        <w:t>Our international resort operations require permits and approvals from certain foreign authorities, including the Province of British Columbia and the New South Wales and Victoria, Australia governments.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3"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on those portions of such resort.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We are subject to extensive environmental and health and safety laws and regulations in the ordinary course of business. </w:t>
      </w:r>
      <w:r>
        <w:rPr>
          <w:rFonts w:ascii="Arial" w:cs="Arial" w:eastAsia="Arial" w:hAnsi="Arial"/>
          <w:sz w:val="16"/>
          <w:szCs w:val="16"/>
          <w:color w:val="auto"/>
        </w:rPr>
        <w:t>Our operations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The NEPA and CEQA require the Forest Service, or other governmental entities, to study any proposal for potential environmental impacts and include various alternatives in its analysis. Our ski area improvement proposals may not be approved or may be approved with modifications that substantially increase the cost or decrease the desirability of implementing the project. Our facilities are subject to risks associated with mold and other indoor building contaminants. From time to time our operations are subject to inspections by environmental regulators or other regulatory agencies. We are also subject to worker health and safety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Changes in security and privacy laws and regulations could increase our operating costs, increase our exposure to fines and litigation, and adversely affect our ability to market our products, properties and services effectively</w:t>
      </w:r>
      <w:r>
        <w:rPr>
          <w:rFonts w:ascii="Arial" w:cs="Arial" w:eastAsia="Arial" w:hAnsi="Arial"/>
          <w:sz w:val="17"/>
          <w:szCs w:val="17"/>
          <w:color w:val="auto"/>
        </w:rPr>
        <w:t>. The information, security, and privacy requirements imposed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and governmental regulation and the requirements of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or otherwise impact our ability to market our products, properties and services to our guests. Additionally, we rely on a variety of direct marketing techniques, including email marketing, online advertising, and postal mailings. Changes in U.S. or international law affecting marketing, solicitation or privacy, could adversely affect our marketing activities and force changes in our marketing strategy or increase the costs of marketing.</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We rely on information technology to operate our businesses and maintain our competitiveness, and any failure to adapt to technological developments or industry trends could harm our business or competitive position. </w:t>
      </w:r>
      <w:r>
        <w:rPr>
          <w:rFonts w:ascii="Arial" w:cs="Arial" w:eastAsia="Arial" w:hAnsi="Arial"/>
          <w:sz w:val="17"/>
          <w:szCs w:val="17"/>
          <w:color w:val="auto"/>
        </w:rPr>
        <w:t>We depend on the use of sophisticated information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Our future success also depends on our ability to adapt our infrastructure to meet rapidly evolving consumer trends and demands and to respond to competitive service and product offerings. In addition, we may not be able to maintain our existing systems or replace or introduce new technologies and systems as quickly as we would like or in a cost-effective manner. Delays or difficulties implementing new or enhanced systems may keep us from achieving the desired results in a timely manner, to the extent anticipated, or at all. Any interruptions, outages or delays in our systems, or deterioration in their performance, could impair our ability to process transactions and could decrease the quality of service we offer to our guests. Also, we may be unable to devote adequate financial resources to new technologies and systems in the future. If any of these events occur, our business and financial performance could suffer.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We depend on a seasonal workforce. </w:t>
      </w:r>
      <w:r>
        <w:rPr>
          <w:rFonts w:ascii="Arial" w:cs="Arial" w:eastAsia="Arial" w:hAnsi="Arial"/>
          <w:sz w:val="17"/>
          <w:szCs w:val="17"/>
          <w:color w:val="auto"/>
        </w:rPr>
        <w:t>Our mountain and lodging operations are highly dependent on a large seasonal workforce. We recruit year-round to fill</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thousands of seasonal staffing needs each season and work to manage seasonal wages and the timing of the hiring process to ensure the appropriate workforce is in place. Furthermore, we cannot guarantee that we will be able to recruit and hire adequate seasonal personnel as the business requires. Immigration law reform could also impact our workforce because we recruit and hire foreign nationals as part of our seasonal workforce. Increased seasonal wages or an inadequate workforce could have an adverse impact on our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17" w:right="2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b w:val="1"/>
          <w:bCs w:val="1"/>
          <w:color w:val="auto"/>
        </w:rPr>
        <w:t xml:space="preserve">We are subject to risks associated with our workforce, including increased labor costs. </w:t>
      </w:r>
      <w:r>
        <w:rPr>
          <w:rFonts w:ascii="Arial" w:cs="Arial" w:eastAsia="Arial" w:hAnsi="Arial"/>
          <w:sz w:val="16"/>
          <w:szCs w:val="16"/>
          <w:color w:val="auto"/>
        </w:rPr>
        <w:t>We are subject to various federal, state and foreign laws</w:t>
      </w:r>
      <w:r>
        <w:rPr>
          <w:rFonts w:ascii="Arial" w:cs="Arial" w:eastAsia="Arial" w:hAnsi="Arial"/>
          <w:sz w:val="16"/>
          <w:szCs w:val="16"/>
          <w:b w:val="1"/>
          <w:bCs w:val="1"/>
          <w:color w:val="auto"/>
        </w:rPr>
        <w:t xml:space="preserve"> </w:t>
      </w:r>
      <w:r>
        <w:rPr>
          <w:rFonts w:ascii="Arial" w:cs="Arial" w:eastAsia="Arial" w:hAnsi="Arial"/>
          <w:sz w:val="16"/>
          <w:szCs w:val="16"/>
          <w:color w:val="auto"/>
        </w:rPr>
        <w:t>governing matters such as minimum wage requirements, overtime compensation and other working conditions, work authorization requirements, discrimination and family and medical leave. Labor costs and labor-related benefits are primary components in the cost of our operations. Labor shortages, affordable employee housing shortages and increased employee turnover and health care mandates could also increase our labor costs and labor-related benefits. As minimum wage rates increase, including further potential federal and state legislative changes to the minimum wage rate, we may need to increase not only the wages of our minimum wage employees but also the wages paid to employees at wage rates that are above the minimum wage.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If we do not retain our key personnel, our business may suffer. </w:t>
      </w:r>
      <w:r>
        <w:rPr>
          <w:rFonts w:ascii="Arial" w:cs="Arial" w:eastAsia="Arial" w:hAnsi="Arial"/>
          <w:sz w:val="18"/>
          <w:szCs w:val="18"/>
          <w:color w:val="auto"/>
        </w:rPr>
        <w:t>The success of our business is heavily dependent on the leadership of key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including our senior executive officers. If any of these persons were to leave, it could be difficult to replace them, and our business could be harmed. We do not maintain “key-man” life insurance on any of our employees.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We are subject to litigation in the ordinary course of business. </w:t>
      </w:r>
      <w:r>
        <w:rPr>
          <w:rFonts w:ascii="Arial" w:cs="Arial" w:eastAsia="Arial" w:hAnsi="Arial"/>
          <w:sz w:val="16"/>
          <w:szCs w:val="16"/>
          <w:color w:val="auto"/>
        </w:rPr>
        <w:t>We are, from time to time, subject to various asserted or unasserted legal proceedings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claims. Any such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assure you that the outcome of all current or future litigation will not have a material adverse effect on us and our results of operations.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Our business depends on the quality and reputation of our brands, and any deterioration in the quality or reputation of these brands could have an adverse impact on our business. </w:t>
      </w:r>
      <w:r>
        <w:rPr>
          <w:rFonts w:ascii="Arial" w:cs="Arial" w:eastAsia="Arial" w:hAnsi="Arial"/>
          <w:sz w:val="18"/>
          <w:szCs w:val="18"/>
          <w:color w:val="auto"/>
        </w:rPr>
        <w:t>A negative public image or other adverse events could affect the reputation of one or more of our mountain resorts,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destination resorts, hotel properties and other businesses or more generally impact the reputation of our brands.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There is a risk of accidents occurring at our mountain resorts or competing mountain resorts which may reduce visitation and negatively impact our operations. </w:t>
      </w:r>
      <w:r>
        <w:rPr>
          <w:rFonts w:ascii="Arial" w:cs="Arial" w:eastAsia="Arial" w:hAnsi="Arial"/>
          <w:sz w:val="17"/>
          <w:szCs w:val="17"/>
          <w:color w:val="auto"/>
        </w:rPr>
        <w:t>Our ability to attract and retain guests depends, in part, upon the external perceptions of the Company, the quality and safety of our resorts,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activities, including summer activities, and our corporate and management integrity. While we maintain and promote an on-mountain safety program, there are inherent risks associated with our resort activities.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The considerable expansion in the use of social media over recent years has compounded the impact of negative publicity. If any such incident occurs during a time of high seasonal demand, the effect could disproportionately impact our results of operations.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Our acquisitions, including Hotham, Falls Creek or Peak Resorts, might not be successful. </w:t>
      </w:r>
      <w:r>
        <w:rPr>
          <w:rFonts w:ascii="Arial" w:cs="Arial" w:eastAsia="Arial" w:hAnsi="Arial"/>
          <w:sz w:val="18"/>
          <w:szCs w:val="18"/>
          <w:color w:val="auto"/>
        </w:rPr>
        <w:t>We have acquired, and may continue to acquire,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92" w:lineRule="exact"/>
        <w:rPr>
          <w:sz w:val="20"/>
          <w:szCs w:val="20"/>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evaluation of the synergies and/or long-term benefits of an acquired business;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integrate acquired businesses into our operations as planned;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our management’s attention;</w:t>
      </w:r>
    </w:p>
    <w:p>
      <w:pPr>
        <w:spacing w:after="0" w:line="9" w:lineRule="exact"/>
        <w:rPr>
          <w:rFonts w:ascii="Arial" w:cs="Arial" w:eastAsia="Arial" w:hAnsi="Arial"/>
          <w:sz w:val="18"/>
          <w:szCs w:val="18"/>
          <w:color w:val="auto"/>
        </w:rPr>
      </w:pPr>
    </w:p>
    <w:p>
      <w:pPr>
        <w:ind w:left="1040" w:right="340" w:hanging="411"/>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expenditures (including legal, accounting and due diligence expenses, higher administrative costs to support the acquired entities, information technology, personnel and other integration expenses);</w:t>
      </w: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increased debt leverage;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issuance of dilutive equity securities;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arising from acquisition activity;</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goodwill or other intangible asset impairments;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13" w:right="239" w:bottom="1440" w:gutter="0" w:footer="0" w:header="0"/>
        </w:sectPr>
      </w:pPr>
    </w:p>
    <w:bookmarkStart w:id="27" w:name="page28"/>
    <w:bookmarkEnd w:id="27"/>
    <w:p>
      <w:pPr>
        <w:ind w:left="1040" w:hanging="41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problems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We have recently acquired companies that were not subject to rules and regulations promulgated under the Sarbanes-Oxley Act of 2002, as amended (“Sarbanes-Oxley”), and, therefore, they may lack the internal controls of a U.S. public company, which could ultimately affect our ability to ensure compliance with the requirements of Section 404 of Sarbanes-Oxley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recently acquired companies that were not previously subject to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2019 did not include certain elements of the internal controls of Stevens Pass, Triple Peaks, Hotham and Falls Creek, all of which were acquired during our fiscal year ended July 31, 2019.</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management will continue to review and evaluate the effectiveness of our internal controls in light of these acquisitions,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the Sarbanes-Oxley Act.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Our international operations subject us to additional risks. </w:t>
      </w:r>
      <w:r>
        <w:rPr>
          <w:rFonts w:ascii="Arial" w:cs="Arial" w:eastAsia="Arial" w:hAnsi="Arial"/>
          <w:sz w:val="18"/>
          <w:szCs w:val="18"/>
          <w:color w:val="auto"/>
        </w:rPr>
        <w:t>As a result of the acquisitions of Perisher, Whistler Blackcomb, Hotham and Falls Creek,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future international acquisitions, we have increased our operations outside of the United States. We are accordingly subject to a number of risks relating to doing business internationally, any of which could significantly harm our business. These risks include:</w:t>
      </w:r>
    </w:p>
    <w:p>
      <w:pPr>
        <w:spacing w:after="0" w:line="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 on the transfer of funds to and from foreign countries, including potentially negative 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political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compliance with international laws and regulations (including anti-corruption regulations, such as the U.S. Foreign Corrupt Practices Act);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security;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 treaties and policies.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Exchange rate fluctuations could result in significant foreign currency gains and losses and affect our business results. </w:t>
      </w:r>
      <w:r>
        <w:rPr>
          <w:rFonts w:ascii="Arial" w:cs="Arial" w:eastAsia="Arial" w:hAnsi="Arial"/>
          <w:sz w:val="18"/>
          <w:szCs w:val="18"/>
          <w:color w:val="auto"/>
        </w:rPr>
        <w:t>We are exposed to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risk because the results of Whistler Blackcomb, Hotham, Falls Creek and Perisher are reported in their local currencies, which we then translate to U.S. dollars for inclusion in our consolidated financial statements. As a result, changes in foreign exchange rates, in particular between the Canadian dollar,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Whistler Blackcomb, Hotham, Falls Creek and Perisher grow and if we acquire other international resorts.</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We are subject to accounting and tax regulations and use certain estimates and judgments that may differ significantly from actual results, including adverse determinations by tax authorities. </w:t>
      </w:r>
      <w:r>
        <w:rPr>
          <w:rFonts w:ascii="Arial" w:cs="Arial" w:eastAsia="Arial" w:hAnsi="Arial"/>
          <w:sz w:val="16"/>
          <w:szCs w:val="16"/>
          <w:color w:val="auto"/>
        </w:rPr>
        <w:t>Implementation of existing and future legislation, rulings, standards and interpretations from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Standards Board (“FASB”)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For example, the Tax Cuts and Jobs Act (the “Tax Act”) was enacted on December 22, 2017 and resulted in broad and significantly complex changes that impacted the corporate tax rate, our deferred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income taxes and the taxation of our foreign earnings. The comprehensive impact of the Tax Act is subject to future guidance and interpretations by the U.S. Treasury Department, the Internal Revenue Service and other standard-setting bodies, which could impact our effective tax rate and may have adverse or uncertain effects on our business and financial condition.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the examination of tax returns and other tax matters by the Internal Revenue Service (“IRS”) and other tax authorities and governmental bodies. We regularly assesses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Capital Structure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Our stock price is highly volatile. </w:t>
      </w:r>
      <w:r>
        <w:rPr>
          <w:rFonts w:ascii="Arial" w:cs="Arial" w:eastAsia="Arial" w:hAnsi="Arial"/>
          <w:sz w:val="18"/>
          <w:szCs w:val="18"/>
          <w:color w:val="auto"/>
        </w:rPr>
        <w:t>The market price of our stock is highly volatile and subject to wide fluctuations in response to factors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some of which are beyond our control:</w:t>
      </w:r>
    </w:p>
    <w:p>
      <w:pPr>
        <w:spacing w:after="0" w:line="166" w:lineRule="exact"/>
        <w:rPr>
          <w:sz w:val="20"/>
          <w:szCs w:val="20"/>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securities analysts and investors;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in valuations, including our real estate held for sale;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overall travel, gaming, hospitality and leisure industries;</w:t>
      </w:r>
    </w:p>
    <w:p>
      <w:pPr>
        <w:spacing w:after="0" w:line="9" w:lineRule="exact"/>
        <w:rPr>
          <w:rFonts w:ascii="Arial" w:cs="Arial" w:eastAsia="Arial" w:hAnsi="Arial"/>
          <w:sz w:val="18"/>
          <w:szCs w:val="18"/>
          <w:color w:val="auto"/>
        </w:rPr>
      </w:pPr>
    </w:p>
    <w:p>
      <w:pPr>
        <w:ind w:left="1040" w:hanging="411"/>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 or such guidance provided by us;</w:t>
      </w:r>
    </w:p>
    <w:p>
      <w:pPr>
        <w:ind w:left="1040" w:right="20" w:hanging="411"/>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securities;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trading and volume fluctuations;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 factors as discussed herein;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unforeseen events</w:t>
      </w:r>
    </w:p>
    <w:p>
      <w:pPr>
        <w:spacing w:after="0" w:line="21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Stock markets in the U.S. have often experienced extreme price and volume fluctuations. Market fluctuations, as well as general political and economic conditions including acts of terrorism, military conflicts, prolonged economic uncertainty, a recession or interest rate or currency rate fluctuations, could adversely affect the market price of our stock.</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We cannot provide assurance that we will continue to increase dividend payments and/or pay dividends. </w:t>
      </w:r>
      <w:r>
        <w:rPr>
          <w:rFonts w:ascii="Arial" w:cs="Arial" w:eastAsia="Arial" w:hAnsi="Arial"/>
          <w:sz w:val="16"/>
          <w:szCs w:val="16"/>
          <w:color w:val="auto"/>
        </w:rPr>
        <w:t>In fiscal 2011,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On March 7, 2019, our Board of Directors approved an increase to our quarterly cash dividend to $1.76 per share, subject to quarterly declaration. This dividend is anticipated to be funded through cash flow from operations, available cash on hand and borrowings under the revolver portion of the Eighth Amended and Restated Credit Agreement (“Vail Holdings Credit Agreement”). Although we anticipate paying regular quarterly dividends on our common stock for the foreseeable future,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senior credit facility,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Anti-takeover provisions affecting us could prevent or delay a change of control that is beneficial to our stockholders. </w:t>
      </w:r>
      <w:r>
        <w:rPr>
          <w:rFonts w:ascii="Arial" w:cs="Arial" w:eastAsia="Arial" w:hAnsi="Arial"/>
          <w:sz w:val="18"/>
          <w:szCs w:val="18"/>
          <w:color w:val="auto"/>
        </w:rPr>
        <w:t>Provisions of our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84" w:lineRule="exact"/>
        <w:rPr>
          <w:sz w:val="20"/>
          <w:szCs w:val="20"/>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defer or prevent a change in control of our Company;</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discourage bids for our securities at a premium over the market price;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market price of, and the voting and other rights of the holders of our securities; 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17" w:right="239" w:bottom="1440" w:gutter="0" w:footer="0" w:header="0"/>
        </w:sectPr>
      </w:pPr>
    </w:p>
    <w:bookmarkStart w:id="29" w:name="page30"/>
    <w:bookmarkEnd w:id="29"/>
    <w:p>
      <w:pPr>
        <w:ind w:left="1040" w:hanging="41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impede the ability of the holders of our securities to change our management.</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Our indebtedness could adversely affect our financial health and prevent us from fulfilling our obligations. </w:t>
      </w:r>
      <w:r>
        <w:rPr>
          <w:rFonts w:ascii="Arial" w:cs="Arial" w:eastAsia="Arial" w:hAnsi="Arial"/>
          <w:sz w:val="17"/>
          <w:szCs w:val="17"/>
          <w:color w:val="auto"/>
        </w:rPr>
        <w:t>As of July 31, 2019, we had $1,580.1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of outstanding indebtedness, which includes $340.3 million for the Canyons Lease obligation. This amount also consisted of $914.4 million of borrowings from the term loan facility under the Vail Holdings Credit Agreement, $208.0 million of borrowings under the revolver portion of the Vail Holdings Credit Agreement, and $45.5 million of borrowings under Whistler Blackcomb’s credit facility. In August 2018, we entered into our Eighth Amended and Restated Credit Agreement and increased the term loan facility by approximately $265.6 million, of which $70.0 million was borrowed on August 15, 2018 in connection with the closing of the Stevens Pass acquisition with the remainder borrowed on September 27, 2018 in connection with the closing of the Triple Peaks acquisition. In April 2019, we entered into a First Amendment to our Eighth Amended and Restated Credit Agreement and increased the revolving loan facility to $500.0 million. Additionally, on September 23, 2019, we entered into a Second Amendment to our Eighth Amended and Restated Credit Agreement, which increased the term loan facility by approximately $335.6 million in connection with the closing of the Peak Resorts acquisition and to prepay certain portions of the debt assumed in connection with such acquisition. Our borrowings under the Vail Holdings Credit Agreement are subject to interest rate changes substantially increasing our risk to changes in interest rates. Borrowings under the Vail Holdings Credit Agreement, including the term loan facility, currently bear interest at a rate of LIBOR plus 1.25% on an annual basis. Interest rate margins may fluctuate based upon the ratio of our Net Funded Debt to Adjusted EBITDA on a trailing four-quarter basis. We also have, on a cumulative basis, minimum lease payment obligations under operating leases of approximately $335.1 million as of July 31, 2019. Our level of indebtedness and minimum lease payment obligations could have important consequences. For example, it could:</w:t>
      </w:r>
    </w:p>
    <w:p>
      <w:pPr>
        <w:spacing w:after="0" w:line="187" w:lineRule="exact"/>
        <w:rPr>
          <w:sz w:val="20"/>
          <w:szCs w:val="20"/>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jc w:val="both"/>
        <w:ind w:left="1040" w:hanging="411"/>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able to incur substantial additional indebtedness in the future. The terms of our senior credit facility do not fully prohibit us from doing so. If we incur additional debt, the related risks that we face could intensify.</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Restrictions imposed by the terms of our indebtedness may prevent or limit our future business plans. </w:t>
      </w:r>
      <w:r>
        <w:rPr>
          <w:rFonts w:ascii="Arial" w:cs="Arial" w:eastAsia="Arial" w:hAnsi="Arial"/>
          <w:sz w:val="17"/>
          <w:szCs w:val="17"/>
          <w:color w:val="auto"/>
        </w:rPr>
        <w:t>The operating and financial restrictions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in our credit agreements may adversely affect our ability to finance future operations or capital needs or to engage in other business activities and strategic initiatives that may be in our long-term best interests. For example, the credit agreements contain a number of restrictive covenants that impose significant operating and financial restrictions on us, including restrictions on our ability to, among other things:</w:t>
      </w:r>
    </w:p>
    <w:p>
      <w:pPr>
        <w:spacing w:after="0" w:line="169" w:lineRule="exact"/>
        <w:rPr>
          <w:sz w:val="20"/>
          <w:szCs w:val="20"/>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debt or sell preferred stock;</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repurchase our stock and make other restricted payments;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sales of assets and subsidiary stock;</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sales-leaseback transactions;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guarantees of debt;</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all or substantially all of our assets or enter into merger or consolidation transactions;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there can be no assurance that we will meet the financial covenants contained in our credit agreements. If we breach any of these restrictions or covenants, or suffer a material adverse change which restricts our borrowing ability under our senior credit facility, we would not be able to borrow funds thereunder without a waiver. Any inability to borrow could have an adverse effect on our business, financial condition and results of operations. In addition, a breach, if uncured, could cause a default under the senior credit facility and our other debt. Our indebtedness may then become immediately due and payable. We may not have or be able to obtain sufficient funds to make these accelerated payments.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16" w:right="239" w:bottom="144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6"/>
          <w:szCs w:val="16"/>
          <w:b w:val="1"/>
          <w:b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March 2006, our Board of Directors approved a share repurchase program, authorizing the Company to repurchase up to 3,000,000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 July 2008, the Board of Directors increased the authorization by an additional 3,000,000 shares, and in December 2015, the Board increased the authorization by an additional 1,500,000 shares for a total authorization to repurchase shares of up to 7,500,000 shares. Since inception of its share repurchase program through July 31, 2019, the Company has repurchased 5,904,723 shares at a cost of approximately $358.0 million. As of July 31, 2019, 1,595,277 shares remained available to repurchase under the existing share repurchase program which has no expiration date.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properties that we own or lease for use in our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2540" w:type="dxa"/>
            <w:vAlign w:val="bottom"/>
          </w:tcPr>
          <w:p>
            <w:pPr>
              <w:ind w:left="1340"/>
              <w:spacing w:after="0"/>
              <w:rPr>
                <w:sz w:val="20"/>
                <w:szCs w:val="20"/>
                <w:color w:val="auto"/>
              </w:rPr>
            </w:pPr>
            <w:r>
              <w:rPr>
                <w:rFonts w:ascii="Arial" w:cs="Arial" w:eastAsia="Arial" w:hAnsi="Arial"/>
                <w:sz w:val="16"/>
                <w:szCs w:val="16"/>
                <w:b w:val="1"/>
                <w:bCs w:val="1"/>
                <w:color w:val="auto"/>
              </w:rPr>
              <w:t>Ownership</w:t>
            </w:r>
          </w:p>
        </w:tc>
        <w:tc>
          <w:tcPr>
            <w:tcW w:w="5160" w:type="dxa"/>
            <w:vAlign w:val="bottom"/>
          </w:tcPr>
          <w:p>
            <w:pPr>
              <w:ind w:left="400"/>
              <w:spacing w:after="0"/>
              <w:rPr>
                <w:sz w:val="20"/>
                <w:szCs w:val="20"/>
                <w:color w:val="auto"/>
              </w:rPr>
            </w:pPr>
            <w:r>
              <w:rPr>
                <w:rFonts w:ascii="Arial" w:cs="Arial" w:eastAsia="Arial" w:hAnsi="Arial"/>
                <w:sz w:val="16"/>
                <w:szCs w:val="16"/>
                <w:b w:val="1"/>
                <w:bCs w:val="1"/>
                <w:color w:val="auto"/>
              </w:rPr>
              <w:t>Use</w:t>
            </w:r>
          </w:p>
        </w:tc>
      </w:tr>
      <w:tr>
        <w:trPr>
          <w:trHeight w:val="33"/>
        </w:trPr>
        <w:tc>
          <w:tcPr>
            <w:tcW w:w="37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3"/>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Afton Alps, MN</w:t>
            </w:r>
          </w:p>
        </w:tc>
        <w:tc>
          <w:tcPr>
            <w:tcW w:w="25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Ski resort operations, including ski lifts, ski trails, golf course,</w:t>
            </w:r>
          </w:p>
        </w:tc>
      </w:tr>
      <w:tr>
        <w:trPr>
          <w:trHeight w:val="219"/>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220"/>
        </w:trPr>
        <w:tc>
          <w:tcPr>
            <w:tcW w:w="3720" w:type="dxa"/>
            <w:vAlign w:val="bottom"/>
          </w:tcPr>
          <w:p>
            <w:pPr>
              <w:ind w:left="40"/>
              <w:spacing w:after="0"/>
              <w:rPr>
                <w:sz w:val="20"/>
                <w:szCs w:val="20"/>
                <w:color w:val="auto"/>
              </w:rPr>
            </w:pPr>
            <w:r>
              <w:rPr>
                <w:rFonts w:ascii="Arial" w:cs="Arial" w:eastAsia="Arial" w:hAnsi="Arial"/>
                <w:sz w:val="16"/>
                <w:szCs w:val="16"/>
                <w:color w:val="auto"/>
              </w:rPr>
              <w:t>Arrowhead Mountain, CO</w:t>
            </w:r>
          </w:p>
        </w:tc>
        <w:tc>
          <w:tcPr>
            <w:tcW w:w="2540" w:type="dxa"/>
            <w:vAlign w:val="bottom"/>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3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improvements, property management and commercial space</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BC Housing RiverEdge, CO</w:t>
            </w:r>
          </w:p>
        </w:tc>
        <w:tc>
          <w:tcPr>
            <w:tcW w:w="25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26% 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Employee housing facilities</w:t>
            </w:r>
          </w:p>
        </w:tc>
      </w:tr>
      <w:tr>
        <w:trPr>
          <w:trHeight w:val="220"/>
        </w:trPr>
        <w:tc>
          <w:tcPr>
            <w:tcW w:w="3720" w:type="dxa"/>
            <w:vAlign w:val="bottom"/>
          </w:tcPr>
          <w:p>
            <w:pPr>
              <w:ind w:left="40"/>
              <w:spacing w:after="0"/>
              <w:rPr>
                <w:sz w:val="20"/>
                <w:szCs w:val="20"/>
                <w:color w:val="auto"/>
              </w:rPr>
            </w:pPr>
            <w:r>
              <w:rPr>
                <w:rFonts w:ascii="Arial" w:cs="Arial" w:eastAsia="Arial" w:hAnsi="Arial"/>
                <w:sz w:val="16"/>
                <w:szCs w:val="16"/>
                <w:color w:val="auto"/>
              </w:rPr>
              <w:t>Bachelor Gulch Village, CO</w:t>
            </w:r>
          </w:p>
        </w:tc>
        <w:tc>
          <w:tcPr>
            <w:tcW w:w="2540" w:type="dxa"/>
            <w:vAlign w:val="bottom"/>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3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improvements, property management and commercial space</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Beaver Creek Resort, CO</w:t>
            </w:r>
          </w:p>
        </w:tc>
        <w:tc>
          <w:tcPr>
            <w:tcW w:w="25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3"/>
        </w:trPr>
        <w:tc>
          <w:tcPr>
            <w:tcW w:w="37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2"/>
              </w:rPr>
              <w:t>improvements, property management, commercial space and real estate</w:t>
            </w:r>
          </w:p>
        </w:tc>
      </w:tr>
      <w:tr>
        <w:trPr>
          <w:trHeight w:val="219"/>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held for sale or development</w:t>
            </w:r>
          </w:p>
        </w:tc>
      </w:tr>
      <w:tr>
        <w:trPr>
          <w:trHeight w:val="220"/>
        </w:trPr>
        <w:tc>
          <w:tcPr>
            <w:tcW w:w="3720" w:type="dxa"/>
            <w:vAlign w:val="bottom"/>
          </w:tcPr>
          <w:p>
            <w:pPr>
              <w:ind w:left="40"/>
              <w:spacing w:after="0"/>
              <w:rPr>
                <w:sz w:val="20"/>
                <w:szCs w:val="20"/>
                <w:color w:val="auto"/>
              </w:rPr>
            </w:pPr>
            <w:r>
              <w:rPr>
                <w:rFonts w:ascii="Arial" w:cs="Arial" w:eastAsia="Arial" w:hAnsi="Arial"/>
                <w:sz w:val="16"/>
                <w:szCs w:val="16"/>
                <w:color w:val="auto"/>
              </w:rPr>
              <w:t>Beaver Creek Mountain, CO (3,849</w:t>
            </w:r>
          </w:p>
        </w:tc>
        <w:tc>
          <w:tcPr>
            <w:tcW w:w="2540" w:type="dxa"/>
            <w:vAlign w:val="bottom"/>
          </w:tcPr>
          <w:p>
            <w:pPr>
              <w:ind w:left="1340"/>
              <w:spacing w:after="0"/>
              <w:rPr>
                <w:sz w:val="20"/>
                <w:szCs w:val="20"/>
                <w:color w:val="auto"/>
              </w:rPr>
            </w:pPr>
            <w:r>
              <w:rPr>
                <w:rFonts w:ascii="Arial" w:cs="Arial" w:eastAsia="Arial" w:hAnsi="Arial"/>
                <w:sz w:val="16"/>
                <w:szCs w:val="16"/>
                <w:color w:val="auto"/>
              </w:rPr>
              <w:t>SUP</w:t>
            </w:r>
          </w:p>
        </w:tc>
        <w:tc>
          <w:tcPr>
            <w:tcW w:w="5160" w:type="dxa"/>
            <w:vAlign w:val="bottom"/>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06"/>
        </w:trPr>
        <w:tc>
          <w:tcPr>
            <w:tcW w:w="3720" w:type="dxa"/>
            <w:vAlign w:val="bottom"/>
          </w:tcPr>
          <w:p>
            <w:pPr>
              <w:ind w:left="40"/>
              <w:spacing w:after="0"/>
              <w:rPr>
                <w:sz w:val="20"/>
                <w:szCs w:val="20"/>
                <w:color w:val="auto"/>
              </w:rPr>
            </w:pPr>
            <w:r>
              <w:rPr>
                <w:rFonts w:ascii="Arial" w:cs="Arial" w:eastAsia="Arial" w:hAnsi="Arial"/>
                <w:sz w:val="16"/>
                <w:szCs w:val="16"/>
                <w:color w:val="auto"/>
              </w:rPr>
              <w:t>acres)</w:t>
            </w:r>
          </w:p>
        </w:tc>
        <w:tc>
          <w:tcPr>
            <w:tcW w:w="254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Beaver Creek Mountain Resort, CO</w:t>
            </w:r>
          </w:p>
        </w:tc>
        <w:tc>
          <w:tcPr>
            <w:tcW w:w="25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3"/>
              </w:rPr>
              <w:t>Golf course, clubhouse, commercial space and residential condominium</w:t>
            </w:r>
          </w:p>
        </w:tc>
      </w:tr>
      <w:tr>
        <w:trPr>
          <w:trHeight w:val="219"/>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units</w:t>
            </w:r>
          </w:p>
        </w:tc>
      </w:tr>
      <w:tr>
        <w:trPr>
          <w:trHeight w:val="220"/>
        </w:trPr>
        <w:tc>
          <w:tcPr>
            <w:tcW w:w="3720" w:type="dxa"/>
            <w:vAlign w:val="bottom"/>
          </w:tcPr>
          <w:p>
            <w:pPr>
              <w:ind w:left="40"/>
              <w:spacing w:after="0"/>
              <w:rPr>
                <w:sz w:val="20"/>
                <w:szCs w:val="20"/>
                <w:color w:val="auto"/>
              </w:rPr>
            </w:pPr>
            <w:r>
              <w:rPr>
                <w:rFonts w:ascii="Arial" w:cs="Arial" w:eastAsia="Arial" w:hAnsi="Arial"/>
                <w:sz w:val="16"/>
                <w:szCs w:val="16"/>
                <w:color w:val="auto"/>
              </w:rPr>
              <w:t>Breckenridge Ski Resort, CO</w:t>
            </w:r>
          </w:p>
        </w:tc>
        <w:tc>
          <w:tcPr>
            <w:tcW w:w="2540" w:type="dxa"/>
            <w:vAlign w:val="bottom"/>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3"/>
        </w:trPr>
        <w:tc>
          <w:tcPr>
            <w:tcW w:w="3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w w:val="92"/>
              </w:rPr>
              <w:t>improvements, property management, commercial space and real estate</w:t>
            </w:r>
          </w:p>
        </w:tc>
      </w:tr>
      <w:tr>
        <w:trPr>
          <w:trHeight w:val="206"/>
        </w:trPr>
        <w:tc>
          <w:tcPr>
            <w:tcW w:w="3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held for sale or development</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Breckenridge Mountain, CO (5,702</w:t>
            </w:r>
          </w:p>
        </w:tc>
        <w:tc>
          <w:tcPr>
            <w:tcW w:w="25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SUP</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acres)</w:t>
            </w: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r>
      <w:tr>
        <w:trPr>
          <w:trHeight w:val="224"/>
        </w:trPr>
        <w:tc>
          <w:tcPr>
            <w:tcW w:w="3720" w:type="dxa"/>
            <w:vAlign w:val="bottom"/>
          </w:tcPr>
          <w:p>
            <w:pPr>
              <w:ind w:left="40"/>
              <w:spacing w:after="0"/>
              <w:rPr>
                <w:sz w:val="20"/>
                <w:szCs w:val="20"/>
                <w:color w:val="auto"/>
              </w:rPr>
            </w:pPr>
            <w:r>
              <w:rPr>
                <w:rFonts w:ascii="Arial" w:cs="Arial" w:eastAsia="Arial" w:hAnsi="Arial"/>
                <w:sz w:val="16"/>
                <w:szCs w:val="16"/>
                <w:color w:val="auto"/>
              </w:rPr>
              <w:t>Breckenridge Terrace, CO</w:t>
            </w:r>
          </w:p>
        </w:tc>
        <w:tc>
          <w:tcPr>
            <w:tcW w:w="2540" w:type="dxa"/>
            <w:vAlign w:val="bottom"/>
          </w:tcPr>
          <w:p>
            <w:pPr>
              <w:ind w:left="1340"/>
              <w:spacing w:after="0"/>
              <w:rPr>
                <w:sz w:val="20"/>
                <w:szCs w:val="20"/>
                <w:color w:val="auto"/>
              </w:rPr>
            </w:pPr>
            <w:r>
              <w:rPr>
                <w:rFonts w:ascii="Arial" w:cs="Arial" w:eastAsia="Arial" w:hAnsi="Arial"/>
                <w:sz w:val="16"/>
                <w:szCs w:val="16"/>
                <w:color w:val="auto"/>
              </w:rPr>
              <w:t>50% Owned</w:t>
            </w:r>
          </w:p>
        </w:tc>
        <w:tc>
          <w:tcPr>
            <w:tcW w:w="5160" w:type="dxa"/>
            <w:vAlign w:val="bottom"/>
          </w:tcPr>
          <w:p>
            <w:pPr>
              <w:ind w:left="400"/>
              <w:spacing w:after="0"/>
              <w:rPr>
                <w:sz w:val="20"/>
                <w:szCs w:val="20"/>
                <w:color w:val="auto"/>
              </w:rPr>
            </w:pPr>
            <w:r>
              <w:rPr>
                <w:rFonts w:ascii="Arial" w:cs="Arial" w:eastAsia="Arial" w:hAnsi="Arial"/>
                <w:sz w:val="16"/>
                <w:szCs w:val="16"/>
                <w:color w:val="auto"/>
              </w:rPr>
              <w:t>Employee housing facilities</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Broomfield, CO</w:t>
            </w:r>
          </w:p>
        </w:tc>
        <w:tc>
          <w:tcPr>
            <w:tcW w:w="25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Leased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Corporate offices</w:t>
            </w:r>
          </w:p>
        </w:tc>
      </w:tr>
      <w:tr>
        <w:trPr>
          <w:trHeight w:val="224"/>
        </w:trPr>
        <w:tc>
          <w:tcPr>
            <w:tcW w:w="3720" w:type="dxa"/>
            <w:vAlign w:val="bottom"/>
          </w:tcPr>
          <w:p>
            <w:pPr>
              <w:ind w:left="40"/>
              <w:spacing w:after="0"/>
              <w:rPr>
                <w:sz w:val="20"/>
                <w:szCs w:val="20"/>
                <w:color w:val="auto"/>
              </w:rPr>
            </w:pPr>
            <w:r>
              <w:rPr>
                <w:rFonts w:ascii="Arial" w:cs="Arial" w:eastAsia="Arial" w:hAnsi="Arial"/>
                <w:sz w:val="16"/>
                <w:szCs w:val="16"/>
                <w:color w:val="auto"/>
              </w:rPr>
              <w:t>Colter Bay Village, WY</w:t>
            </w:r>
          </w:p>
        </w:tc>
        <w:tc>
          <w:tcPr>
            <w:tcW w:w="7700" w:type="dxa"/>
            <w:vAlign w:val="bottom"/>
            <w:gridSpan w:val="2"/>
          </w:tcPr>
          <w:p>
            <w:pPr>
              <w:ind w:left="1340"/>
              <w:spacing w:after="0"/>
              <w:rPr>
                <w:sz w:val="20"/>
                <w:szCs w:val="20"/>
                <w:color w:val="auto"/>
              </w:rPr>
            </w:pPr>
            <w:r>
              <w:rPr>
                <w:rFonts w:ascii="Arial" w:cs="Arial" w:eastAsia="Arial" w:hAnsi="Arial"/>
                <w:sz w:val="16"/>
                <w:szCs w:val="16"/>
                <w:color w:val="auto"/>
              </w:rPr>
              <w:t>Concessionaire contract Lodging and dining facilities</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Crested Butte Mountain Resort, CO</w:t>
            </w:r>
          </w:p>
        </w:tc>
        <w:tc>
          <w:tcPr>
            <w:tcW w:w="25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Buildings, other improvements and land used for operation of Crested</w:t>
            </w:r>
          </w:p>
        </w:tc>
      </w:tr>
      <w:tr>
        <w:trPr>
          <w:trHeight w:val="206"/>
        </w:trPr>
        <w:tc>
          <w:tcPr>
            <w:tcW w:w="37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Butte Mountain Resort</w:t>
            </w:r>
          </w:p>
        </w:tc>
      </w:tr>
      <w:tr>
        <w:trPr>
          <w:trHeight w:val="33"/>
        </w:trPr>
        <w:tc>
          <w:tcPr>
            <w:tcW w:w="3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1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1780" w:type="dxa"/>
            <w:vAlign w:val="bottom"/>
          </w:tcPr>
          <w:p>
            <w:pPr>
              <w:ind w:left="600"/>
              <w:spacing w:after="0"/>
              <w:rPr>
                <w:sz w:val="20"/>
                <w:szCs w:val="20"/>
                <w:color w:val="auto"/>
              </w:rPr>
            </w:pPr>
            <w:r>
              <w:rPr>
                <w:rFonts w:ascii="Arial" w:cs="Arial" w:eastAsia="Arial" w:hAnsi="Arial"/>
                <w:sz w:val="16"/>
                <w:szCs w:val="16"/>
                <w:b w:val="1"/>
                <w:bCs w:val="1"/>
                <w:color w:val="auto"/>
              </w:rPr>
              <w:t>Ownership</w:t>
            </w:r>
          </w:p>
        </w:tc>
        <w:tc>
          <w:tcPr>
            <w:tcW w:w="5180" w:type="dxa"/>
            <w:vAlign w:val="bottom"/>
          </w:tcPr>
          <w:p>
            <w:pPr>
              <w:ind w:left="420"/>
              <w:spacing w:after="0"/>
              <w:rPr>
                <w:sz w:val="20"/>
                <w:szCs w:val="20"/>
                <w:color w:val="auto"/>
              </w:rPr>
            </w:pPr>
            <w:r>
              <w:rPr>
                <w:rFonts w:ascii="Arial" w:cs="Arial" w:eastAsia="Arial" w:hAnsi="Arial"/>
                <w:sz w:val="16"/>
                <w:szCs w:val="16"/>
                <w:b w:val="1"/>
                <w:bCs w:val="1"/>
                <w:color w:val="auto"/>
              </w:rPr>
              <w:t>Use</w:t>
            </w:r>
          </w:p>
        </w:tc>
      </w:tr>
      <w:tr>
        <w:trPr>
          <w:trHeight w:val="33"/>
        </w:trPr>
        <w:tc>
          <w:tcPr>
            <w:tcW w:w="4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ind w:left="40"/>
              <w:spacing w:after="0"/>
              <w:rPr>
                <w:sz w:val="20"/>
                <w:szCs w:val="20"/>
                <w:color w:val="auto"/>
              </w:rPr>
            </w:pPr>
            <w:r>
              <w:rPr>
                <w:rFonts w:ascii="Arial" w:cs="Arial" w:eastAsia="Arial" w:hAnsi="Arial"/>
                <w:sz w:val="16"/>
                <w:szCs w:val="16"/>
                <w:color w:val="auto"/>
              </w:rPr>
              <w:t>Crested Butte Mountain Resort, CO (4,350 acres)</w:t>
            </w:r>
          </w:p>
        </w:tc>
        <w:tc>
          <w:tcPr>
            <w:tcW w:w="1780" w:type="dxa"/>
            <w:vAlign w:val="bottom"/>
          </w:tcPr>
          <w:p>
            <w:pPr>
              <w:ind w:left="600"/>
              <w:spacing w:after="0"/>
              <w:rPr>
                <w:sz w:val="20"/>
                <w:szCs w:val="20"/>
                <w:color w:val="auto"/>
              </w:rPr>
            </w:pPr>
            <w:r>
              <w:rPr>
                <w:rFonts w:ascii="Arial" w:cs="Arial" w:eastAsia="Arial" w:hAnsi="Arial"/>
                <w:sz w:val="16"/>
                <w:szCs w:val="16"/>
                <w:color w:val="auto"/>
              </w:rPr>
              <w:t>SUP</w:t>
            </w:r>
          </w:p>
        </w:tc>
        <w:tc>
          <w:tcPr>
            <w:tcW w:w="5180" w:type="dxa"/>
            <w:vAlign w:val="bottom"/>
          </w:tcPr>
          <w:p>
            <w:pPr>
              <w:ind w:left="4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33"/>
        </w:trPr>
        <w:tc>
          <w:tcPr>
            <w:tcW w:w="4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Double Tree by Hilton Breckenridge, CO</w:t>
            </w:r>
          </w:p>
        </w:tc>
        <w:tc>
          <w:tcPr>
            <w:tcW w:w="1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Owned</w:t>
            </w: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Lodging, dining and conference facilities</w:t>
            </w: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color w:val="auto"/>
              </w:rPr>
              <w:t>Eagle-Vail, CO</w:t>
            </w:r>
          </w:p>
        </w:tc>
        <w:tc>
          <w:tcPr>
            <w:tcW w:w="1780" w:type="dxa"/>
            <w:vAlign w:val="bottom"/>
          </w:tcPr>
          <w:p>
            <w:pPr>
              <w:ind w:left="600"/>
              <w:spacing w:after="0"/>
              <w:rPr>
                <w:sz w:val="20"/>
                <w:szCs w:val="20"/>
                <w:color w:val="auto"/>
              </w:rPr>
            </w:pPr>
            <w:r>
              <w:rPr>
                <w:rFonts w:ascii="Arial" w:cs="Arial" w:eastAsia="Arial" w:hAnsi="Arial"/>
                <w:sz w:val="16"/>
                <w:szCs w:val="16"/>
                <w:color w:val="auto"/>
              </w:rPr>
              <w:t>Owned</w:t>
            </w:r>
          </w:p>
        </w:tc>
        <w:tc>
          <w:tcPr>
            <w:tcW w:w="5180" w:type="dxa"/>
            <w:vAlign w:val="bottom"/>
          </w:tcPr>
          <w:p>
            <w:pPr>
              <w:ind w:left="420"/>
              <w:spacing w:after="0"/>
              <w:rPr>
                <w:sz w:val="20"/>
                <w:szCs w:val="20"/>
                <w:color w:val="auto"/>
              </w:rPr>
            </w:pPr>
            <w:r>
              <w:rPr>
                <w:rFonts w:ascii="Arial" w:cs="Arial" w:eastAsia="Arial" w:hAnsi="Arial"/>
                <w:sz w:val="16"/>
                <w:szCs w:val="16"/>
                <w:color w:val="auto"/>
              </w:rPr>
              <w:t>Warehouse facility</w:t>
            </w:r>
          </w:p>
        </w:tc>
      </w:tr>
      <w:tr>
        <w:trPr>
          <w:trHeight w:val="33"/>
        </w:trPr>
        <w:tc>
          <w:tcPr>
            <w:tcW w:w="4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Edwards, CO</w:t>
            </w:r>
          </w:p>
        </w:tc>
        <w:tc>
          <w:tcPr>
            <w:tcW w:w="1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Leased</w:t>
            </w: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Administrative offices</w:t>
            </w:r>
          </w:p>
        </w:tc>
      </w:tr>
      <w:tr>
        <w:trPr>
          <w:trHeight w:val="220"/>
        </w:trPr>
        <w:tc>
          <w:tcPr>
            <w:tcW w:w="4460" w:type="dxa"/>
            <w:vAlign w:val="bottom"/>
          </w:tcPr>
          <w:p>
            <w:pPr>
              <w:ind w:left="40"/>
              <w:spacing w:after="0"/>
              <w:rPr>
                <w:sz w:val="20"/>
                <w:szCs w:val="20"/>
                <w:color w:val="auto"/>
              </w:rPr>
            </w:pPr>
            <w:r>
              <w:rPr>
                <w:rFonts w:ascii="Arial" w:cs="Arial" w:eastAsia="Arial" w:hAnsi="Arial"/>
                <w:sz w:val="16"/>
                <w:szCs w:val="16"/>
                <w:color w:val="auto"/>
              </w:rPr>
              <w:t>Falls Creek Alpine Resort, Victoria, Australia (1,112 acres)</w:t>
            </w:r>
          </w:p>
        </w:tc>
        <w:tc>
          <w:tcPr>
            <w:tcW w:w="1780" w:type="dxa"/>
            <w:vAlign w:val="bottom"/>
          </w:tcPr>
          <w:p>
            <w:pPr>
              <w:ind w:left="600"/>
              <w:spacing w:after="0"/>
              <w:rPr>
                <w:sz w:val="20"/>
                <w:szCs w:val="20"/>
                <w:color w:val="auto"/>
              </w:rPr>
            </w:pPr>
            <w:r>
              <w:rPr>
                <w:rFonts w:ascii="Arial" w:cs="Arial" w:eastAsia="Arial" w:hAnsi="Arial"/>
                <w:sz w:val="16"/>
                <w:szCs w:val="16"/>
                <w:color w:val="auto"/>
              </w:rPr>
              <w:t>Leased</w:t>
            </w:r>
          </w:p>
        </w:tc>
        <w:tc>
          <w:tcPr>
            <w:tcW w:w="5180" w:type="dxa"/>
            <w:vAlign w:val="bottom"/>
          </w:tcPr>
          <w:p>
            <w:pPr>
              <w:ind w:left="42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4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180" w:type="dxa"/>
            <w:vAlign w:val="bottom"/>
          </w:tcPr>
          <w:p>
            <w:pPr>
              <w:ind w:left="420"/>
              <w:spacing w:after="0"/>
              <w:rPr>
                <w:sz w:val="20"/>
                <w:szCs w:val="20"/>
                <w:color w:val="auto"/>
              </w:rPr>
            </w:pPr>
            <w:r>
              <w:rPr>
                <w:rFonts w:ascii="Arial" w:cs="Arial" w:eastAsia="Arial" w:hAnsi="Arial"/>
                <w:sz w:val="16"/>
                <w:szCs w:val="16"/>
                <w:color w:val="auto"/>
              </w:rPr>
              <w:t>improvements</w:t>
            </w:r>
          </w:p>
        </w:tc>
      </w:tr>
      <w:tr>
        <w:trPr>
          <w:trHeight w:val="33"/>
        </w:trPr>
        <w:tc>
          <w:tcPr>
            <w:tcW w:w="446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Headwaters Lodge &amp; Cabins at Flagg Ranch, WY</w:t>
            </w:r>
          </w:p>
        </w:tc>
        <w:tc>
          <w:tcPr>
            <w:tcW w:w="6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Concessionaire contract Lodging and dining facilities</w:t>
            </w:r>
          </w:p>
        </w:tc>
      </w:tr>
      <w:tr>
        <w:trPr>
          <w:trHeight w:val="220"/>
        </w:trPr>
        <w:tc>
          <w:tcPr>
            <w:tcW w:w="4460" w:type="dxa"/>
            <w:vAlign w:val="bottom"/>
          </w:tcPr>
          <w:p>
            <w:pPr>
              <w:ind w:left="40"/>
              <w:spacing w:after="0"/>
              <w:rPr>
                <w:sz w:val="20"/>
                <w:szCs w:val="20"/>
                <w:color w:val="auto"/>
              </w:rPr>
            </w:pPr>
            <w:r>
              <w:rPr>
                <w:rFonts w:ascii="Arial" w:cs="Arial" w:eastAsia="Arial" w:hAnsi="Arial"/>
                <w:sz w:val="16"/>
                <w:szCs w:val="16"/>
                <w:color w:val="auto"/>
              </w:rPr>
              <w:t>Heavenly Mountain Resort, CA &amp; NV</w:t>
            </w:r>
          </w:p>
        </w:tc>
        <w:tc>
          <w:tcPr>
            <w:tcW w:w="1780" w:type="dxa"/>
            <w:vAlign w:val="bottom"/>
          </w:tcPr>
          <w:p>
            <w:pPr>
              <w:ind w:left="600"/>
              <w:spacing w:after="0"/>
              <w:rPr>
                <w:sz w:val="20"/>
                <w:szCs w:val="20"/>
                <w:color w:val="auto"/>
              </w:rPr>
            </w:pPr>
            <w:r>
              <w:rPr>
                <w:rFonts w:ascii="Arial" w:cs="Arial" w:eastAsia="Arial" w:hAnsi="Arial"/>
                <w:sz w:val="16"/>
                <w:szCs w:val="16"/>
                <w:color w:val="auto"/>
              </w:rPr>
              <w:t>Owned</w:t>
            </w:r>
          </w:p>
        </w:tc>
        <w:tc>
          <w:tcPr>
            <w:tcW w:w="5180" w:type="dxa"/>
            <w:vAlign w:val="bottom"/>
          </w:tcPr>
          <w:p>
            <w:pPr>
              <w:ind w:left="42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4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180" w:type="dxa"/>
            <w:vAlign w:val="bottom"/>
          </w:tcPr>
          <w:p>
            <w:pPr>
              <w:ind w:left="420"/>
              <w:spacing w:after="0"/>
              <w:rPr>
                <w:sz w:val="20"/>
                <w:szCs w:val="20"/>
                <w:color w:val="auto"/>
              </w:rPr>
            </w:pPr>
            <w:r>
              <w:rPr>
                <w:rFonts w:ascii="Arial" w:cs="Arial" w:eastAsia="Arial" w:hAnsi="Arial"/>
                <w:sz w:val="16"/>
                <w:szCs w:val="16"/>
                <w:color w:val="auto"/>
              </w:rPr>
              <w:t>improvements and commercial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Heavenly Mountain, CA &amp; NV</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(7,050 acres)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Hotham Alpine Resort, Victoria, Australia (791 acres)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Hotham Airport, Victoria, Australia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Jackson Hole Golf &amp; Tennis Club,</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Jackson Lake Lodge, WY</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Jenny Lake Lodge, WY</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Keystone Conference Center, CO</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Keystone Lodge, CO</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Keystone Resort, CO</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Keystone Mountain, CO (8,376 acres)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Keystone Ranch, CO</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Kirkwood Mountain Resort, CA</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Kirkwood Mountain, CA (2,330 acres)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Mount Sunapee Resort, NH (850 acres)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Mt. Brighton, MI</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Mt. Mansfield, VT (approximately 1,400 acres)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Northstar California Resort, CA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(7,200 acres)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Northstar Village, CA</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Okemo Mountain Resort, VT</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Okemo Mountain, VT (1,223 acres)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Okemo Valley Golf Club, VT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Park City Mountain, UT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(8,900 acres)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Leased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3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33020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Regional airport</w:t>
      </w:r>
    </w:p>
    <w:p>
      <w:pPr>
        <w:spacing w:after="0" w:line="7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Golf course, clubhouse, tennis and dining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163830</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5" w:lineRule="exact"/>
        <w:rPr>
          <w:sz w:val="20"/>
          <w:szCs w:val="20"/>
          <w:color w:val="auto"/>
        </w:rPr>
      </w:pPr>
    </w:p>
    <w:p>
      <w:pPr>
        <w:ind w:right="2080"/>
        <w:spacing w:after="0" w:line="357" w:lineRule="auto"/>
        <w:rPr>
          <w:sz w:val="20"/>
          <w:szCs w:val="20"/>
          <w:color w:val="auto"/>
        </w:rPr>
      </w:pPr>
      <w:r>
        <w:rPr>
          <w:rFonts w:ascii="Arial" w:cs="Arial" w:eastAsia="Arial" w:hAnsi="Arial"/>
          <w:sz w:val="15"/>
          <w:szCs w:val="15"/>
          <w:color w:val="auto"/>
        </w:rPr>
        <w:t>Concessionaire contract Lodging, dining and conference facilities Concessionaire contract Lodging and dining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-10160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Conference facility</w:t>
      </w:r>
    </w:p>
    <w:p>
      <w:pPr>
        <w:spacing w:after="0" w:line="7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Lodging, spa, dining and conference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34925</wp:posOffset>
            </wp:positionV>
            <wp:extent cx="724662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53"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34" w:lineRule="exact"/>
        <w:rPr>
          <w:sz w:val="20"/>
          <w:szCs w:val="20"/>
          <w:color w:val="auto"/>
        </w:rPr>
      </w:pPr>
    </w:p>
    <w:p>
      <w:pPr>
        <w:ind w:left="1600" w:right="20"/>
        <w:spacing w:after="0" w:line="288" w:lineRule="auto"/>
        <w:rPr>
          <w:sz w:val="20"/>
          <w:szCs w:val="20"/>
          <w:color w:val="auto"/>
        </w:rPr>
      </w:pPr>
      <w:r>
        <w:rPr>
          <w:rFonts w:ascii="Arial" w:cs="Arial" w:eastAsia="Arial" w:hAnsi="Arial"/>
          <w:sz w:val="16"/>
          <w:szCs w:val="16"/>
          <w:color w:val="auto"/>
        </w:rPr>
        <w:t>improvements, commercial space, property management, dining and real estate held for sale or development</w:t>
      </w:r>
    </w:p>
    <w:p>
      <w:pPr>
        <w:spacing w:after="0" w:line="14"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34925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Golf course, clubhouse and dining facilities</w:t>
      </w:r>
    </w:p>
    <w:p>
      <w:pPr>
        <w:spacing w:after="0" w:line="73"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3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improvements, property management and commercial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33020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73"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Leased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34"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improvements and commercial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33020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Ski resort operations, including ski lifts, ski trails, golf course,</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clubhouse, buildings, commercial space and other improvements</w:t>
      </w:r>
    </w:p>
    <w:p>
      <w:pPr>
        <w:spacing w:after="0" w:line="69"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Leased</w:t>
      </w:r>
      <w:r>
        <w:rPr>
          <w:sz w:val="20"/>
          <w:szCs w:val="20"/>
          <w:color w:val="auto"/>
        </w:rPr>
        <w:tab/>
      </w:r>
      <w:r>
        <w:rPr>
          <w:rFonts w:ascii="Arial" w:cs="Arial" w:eastAsia="Arial" w:hAnsi="Arial"/>
          <w:sz w:val="15"/>
          <w:szCs w:val="15"/>
          <w:color w:val="auto"/>
        </w:rPr>
        <w:t>Ski trails, ski lifts, buildings and other improvements used for operation</w:t>
      </w:r>
    </w:p>
    <w:p>
      <w:pPr>
        <w:spacing w:after="0" w:line="34"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of Stowe Mountain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33020</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4"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5"/>
          <w:szCs w:val="15"/>
          <w:color w:val="auto"/>
        </w:rPr>
        <w:t>Ski trails, ski lifts, golf course, commercial space, dining facilities,</w:t>
      </w:r>
    </w:p>
    <w:p>
      <w:pPr>
        <w:ind w:left="1600"/>
        <w:spacing w:after="0"/>
        <w:rPr>
          <w:sz w:val="20"/>
          <w:szCs w:val="20"/>
          <w:color w:val="auto"/>
        </w:rPr>
      </w:pPr>
      <w:r>
        <w:rPr>
          <w:rFonts w:ascii="Arial" w:cs="Arial" w:eastAsia="Arial" w:hAnsi="Arial"/>
          <w:sz w:val="16"/>
          <w:szCs w:val="16"/>
          <w:color w:val="auto"/>
        </w:rPr>
        <w:t>buildings and other improvements</w:t>
      </w:r>
    </w:p>
    <w:p>
      <w:pPr>
        <w:spacing w:after="0" w:line="34"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4"/>
          <w:szCs w:val="14"/>
          <w:color w:val="auto"/>
        </w:rPr>
        <w:t>Commercial space, ski resort operations, dining facilities, buildings,</w:t>
      </w:r>
    </w:p>
    <w:p>
      <w:pPr>
        <w:jc w:val="center"/>
        <w:ind w:right="120"/>
        <w:spacing w:after="0"/>
        <w:rPr>
          <w:sz w:val="20"/>
          <w:szCs w:val="20"/>
          <w:color w:val="auto"/>
        </w:rPr>
      </w:pPr>
      <w:r>
        <w:rPr>
          <w:rFonts w:ascii="Arial" w:cs="Arial" w:eastAsia="Arial" w:hAnsi="Arial"/>
          <w:sz w:val="16"/>
          <w:szCs w:val="16"/>
          <w:color w:val="auto"/>
        </w:rPr>
        <w:t>property management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26035</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9"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3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improvements, property management and commercial space</w:t>
      </w:r>
    </w:p>
    <w:p>
      <w:pPr>
        <w:spacing w:after="0" w:line="6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Leased</w:t>
      </w:r>
      <w:r>
        <w:rPr>
          <w:sz w:val="20"/>
          <w:szCs w:val="20"/>
          <w:color w:val="auto"/>
        </w:rPr>
        <w:tab/>
      </w:r>
      <w:r>
        <w:rPr>
          <w:rFonts w:ascii="Arial" w:cs="Arial" w:eastAsia="Arial" w:hAnsi="Arial"/>
          <w:sz w:val="16"/>
          <w:szCs w:val="16"/>
          <w:color w:val="auto"/>
        </w:rPr>
        <w:t>Ski resort operations, including ski lifts, ski trails, dining facilities,</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33020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Golf course, dining facilities and commercial space</w:t>
      </w:r>
    </w:p>
    <w:p>
      <w:pPr>
        <w:spacing w:after="0" w:line="48"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5"/>
          <w:szCs w:val="15"/>
          <w:color w:val="auto"/>
        </w:rPr>
        <w:t>Ski resort operations including ski lifts, ski trails, buildings, commercial</w:t>
      </w:r>
    </w:p>
    <w:p>
      <w:pPr>
        <w:ind w:left="1600"/>
        <w:spacing w:after="0"/>
        <w:rPr>
          <w:sz w:val="20"/>
          <w:szCs w:val="20"/>
          <w:color w:val="auto"/>
        </w:rPr>
      </w:pPr>
      <w:r>
        <w:rPr>
          <w:rFonts w:ascii="Arial" w:cs="Arial" w:eastAsia="Arial" w:hAnsi="Arial"/>
          <w:sz w:val="15"/>
          <w:szCs w:val="15"/>
          <w:color w:val="auto"/>
        </w:rPr>
        <w:t>space, dining facilities, property management, conference facilities and</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other improvements (including areas previously referred to as Canyons</w:t>
      </w:r>
    </w:p>
    <w:p>
      <w:pPr>
        <w:spacing w:after="0" w:line="3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Resort, UT)</w:t>
      </w:r>
    </w:p>
    <w:p>
      <w:pPr>
        <w:spacing w:after="0" w:line="200" w:lineRule="exact"/>
        <w:rPr>
          <w:sz w:val="20"/>
          <w:szCs w:val="20"/>
          <w:color w:val="auto"/>
        </w:rPr>
      </w:pPr>
    </w:p>
    <w:p>
      <w:pPr>
        <w:sectPr>
          <w:pgSz w:w="11900" w:h="16838" w:orient="portrait"/>
          <w:cols w:equalWidth="0" w:num="2">
            <w:col w:w="4340" w:space="720"/>
            <w:col w:w="6360"/>
          </w:cols>
          <w:pgMar w:left="240" w:top="1179" w:right="239" w:bottom="1440" w:gutter="0" w:footer="0" w:header="0"/>
          <w:type w:val="continuous"/>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79" w:right="239" w:bottom="1440" w:gutter="0" w:footer="0" w:header="0"/>
          <w:type w:val="continuous"/>
        </w:sectPr>
      </w:pPr>
    </w:p>
    <w:bookmarkStart w:id="32" w:name="page33"/>
    <w:bookmarkEnd w:id="32"/>
    <w:p>
      <w:pPr>
        <w:ind w:left="40"/>
        <w:spacing w:after="0"/>
        <w:tabs>
          <w:tab w:leader="none" w:pos="4980" w:val="left"/>
          <w:tab w:leader="none" w:pos="66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b w:val="1"/>
          <w:bCs w:val="1"/>
          <w:color w:val="auto"/>
        </w:rPr>
        <w:t>Ownership</w:t>
      </w:r>
      <w:r>
        <w:rPr>
          <w:sz w:val="20"/>
          <w:szCs w:val="20"/>
          <w:color w:val="auto"/>
        </w:rPr>
        <w:tab/>
      </w:r>
      <w:r>
        <w:rPr>
          <w:rFonts w:ascii="Arial" w:cs="Arial" w:eastAsia="Arial" w:hAnsi="Arial"/>
          <w:sz w:val="13"/>
          <w:szCs w:val="13"/>
          <w:b w:val="1"/>
          <w:bCs w:val="1"/>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Park City Mountain, UT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(220 acres)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Perisher Ski Resort, NSW, Australia</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(3,335 acres)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 Cliffs Lodge, CA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68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trails, ski lifts, dining facilities, commercial space, buildings, real</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estate held for sale or development and other improvements</w:t>
      </w:r>
    </w:p>
    <w:p>
      <w:pPr>
        <w:spacing w:after="0" w:line="123" w:lineRule="exact"/>
        <w:rPr>
          <w:sz w:val="20"/>
          <w:szCs w:val="20"/>
          <w:color w:val="auto"/>
        </w:rPr>
      </w:pPr>
    </w:p>
    <w:p>
      <w:pPr>
        <w:ind w:left="1700" w:right="540" w:hanging="1699"/>
        <w:spacing w:after="0" w:line="369" w:lineRule="auto"/>
        <w:tabs>
          <w:tab w:leader="none" w:pos="1680" w:val="left"/>
        </w:tabs>
        <w:rPr>
          <w:sz w:val="20"/>
          <w:szCs w:val="20"/>
          <w:color w:val="auto"/>
        </w:rPr>
      </w:pPr>
      <w:r>
        <w:rPr>
          <w:rFonts w:ascii="Arial" w:cs="Arial" w:eastAsia="Arial" w:hAnsi="Arial"/>
          <w:sz w:val="14"/>
          <w:szCs w:val="14"/>
          <w:color w:val="auto"/>
        </w:rPr>
        <w:t>Owned/Leased/Licensed</w:t>
        <w:tab/>
        <w:t>Ski trails, ski lifts, dining facilities, commercial space, railway, buildings, lodging, conference facilities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635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tabs>
          <w:tab w:leader="none" w:pos="1680" w:val="left"/>
        </w:tabs>
        <w:rPr>
          <w:sz w:val="20"/>
          <w:szCs w:val="20"/>
          <w:color w:val="auto"/>
        </w:rPr>
      </w:pPr>
      <w:r>
        <w:rPr>
          <w:rFonts w:ascii="Arial" w:cs="Arial" w:eastAsia="Arial" w:hAnsi="Arial"/>
          <w:sz w:val="14"/>
          <w:szCs w:val="14"/>
          <w:color w:val="auto"/>
        </w:rPr>
        <w:t>Leased</w:t>
      </w:r>
      <w:r>
        <w:rPr>
          <w:sz w:val="20"/>
          <w:szCs w:val="20"/>
          <w:color w:val="auto"/>
        </w:rPr>
        <w:tab/>
      </w:r>
      <w:r>
        <w:rPr>
          <w:rFonts w:ascii="Arial" w:cs="Arial" w:eastAsia="Arial" w:hAnsi="Arial"/>
          <w:sz w:val="14"/>
          <w:szCs w:val="14"/>
          <w:color w:val="auto"/>
        </w:rPr>
        <w:t>Dining facilities, ski resort operations, commercial space, administrative</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offices</w:t>
      </w:r>
    </w:p>
    <w:p>
      <w:pPr>
        <w:spacing w:after="0" w:line="69" w:lineRule="exact"/>
        <w:rPr>
          <w:sz w:val="20"/>
          <w:szCs w:val="20"/>
          <w:color w:val="auto"/>
        </w:rPr>
      </w:pPr>
    </w:p>
    <w:p>
      <w:pPr>
        <w:sectPr>
          <w:pgSz w:w="11900" w:h="16838" w:orient="portrait"/>
          <w:cols w:equalWidth="0" w:num="2">
            <w:col w:w="4280" w:space="720"/>
            <w:col w:w="6420"/>
          </w:cols>
          <w:pgMar w:left="240" w:top="117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760" w:type="dxa"/>
            <w:vAlign w:val="bottom"/>
          </w:tcPr>
          <w:p>
            <w:pPr>
              <w:ind w:left="40"/>
              <w:spacing w:after="0"/>
              <w:rPr>
                <w:sz w:val="20"/>
                <w:szCs w:val="20"/>
                <w:color w:val="auto"/>
              </w:rPr>
            </w:pPr>
            <w:r>
              <w:rPr>
                <w:rFonts w:ascii="Arial" w:cs="Arial" w:eastAsia="Arial" w:hAnsi="Arial"/>
                <w:sz w:val="16"/>
                <w:szCs w:val="16"/>
                <w:color w:val="auto"/>
              </w:rPr>
              <w:t>Red Sky Ranch, CO</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w w:val="95"/>
              </w:rPr>
              <w:t>Golf courses, clubhouses, dining facilities and real estate held for sale</w:t>
            </w:r>
          </w:p>
        </w:tc>
      </w:tr>
      <w:tr>
        <w:trPr>
          <w:trHeight w:val="206"/>
        </w:trPr>
        <w:tc>
          <w:tcPr>
            <w:tcW w:w="4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Arial" w:cs="Arial" w:eastAsia="Arial" w:hAnsi="Arial"/>
                <w:sz w:val="16"/>
                <w:szCs w:val="16"/>
                <w:color w:val="auto"/>
              </w:rPr>
              <w:t>or development</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River Course at Keystone, CO</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Golf course and clubhouse</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Seasons at Avon, CO</w:t>
            </w:r>
          </w:p>
        </w:tc>
        <w:tc>
          <w:tcPr>
            <w:tcW w:w="1740" w:type="dxa"/>
            <w:vAlign w:val="bottom"/>
          </w:tcPr>
          <w:p>
            <w:pPr>
              <w:ind w:left="240"/>
              <w:spacing w:after="0"/>
              <w:rPr>
                <w:sz w:val="20"/>
                <w:szCs w:val="20"/>
                <w:color w:val="auto"/>
              </w:rPr>
            </w:pPr>
            <w:r>
              <w:rPr>
                <w:rFonts w:ascii="Arial" w:cs="Arial" w:eastAsia="Arial" w:hAnsi="Arial"/>
                <w:sz w:val="16"/>
                <w:szCs w:val="16"/>
                <w:color w:val="auto"/>
              </w:rPr>
              <w:t>Leased/50% Owned</w:t>
            </w:r>
          </w:p>
        </w:tc>
        <w:tc>
          <w:tcPr>
            <w:tcW w:w="4920" w:type="dxa"/>
            <w:vAlign w:val="bottom"/>
          </w:tcPr>
          <w:p>
            <w:pPr>
              <w:ind w:left="200"/>
              <w:spacing w:after="0"/>
              <w:rPr>
                <w:sz w:val="20"/>
                <w:szCs w:val="20"/>
                <w:color w:val="auto"/>
              </w:rPr>
            </w:pPr>
            <w:r>
              <w:rPr>
                <w:rFonts w:ascii="Arial" w:cs="Arial" w:eastAsia="Arial" w:hAnsi="Arial"/>
                <w:sz w:val="16"/>
                <w:szCs w:val="16"/>
                <w:color w:val="auto"/>
              </w:rPr>
              <w:t>Administrative offices and commercial space</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SSI Venture, LLC (“VRR”) Properties; CO, CA, NV, UT, MN &amp; BC,</w:t>
            </w:r>
          </w:p>
        </w:tc>
        <w:tc>
          <w:tcPr>
            <w:tcW w:w="1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Owned/Leased</w:t>
            </w: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Approximately 260 rental and retail stores (of which approximately 125</w:t>
            </w:r>
          </w:p>
        </w:tc>
      </w:tr>
      <w:tr>
        <w:trPr>
          <w:trHeight w:val="20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1740" w:type="dxa"/>
            <w:vAlign w:val="bottom"/>
            <w:shd w:val="clear" w:color="auto" w:fill="CCEEFF"/>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stores are currently held under lease) for recreational products, and 6</w:t>
            </w:r>
          </w:p>
        </w:tc>
      </w:tr>
      <w:tr>
        <w:trPr>
          <w:trHeight w:val="219"/>
        </w:trPr>
        <w:tc>
          <w:tcPr>
            <w:tcW w:w="47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leased warehouses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Ski Tip Lodge, CO</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rPr>
              <w:t>Lodging and dining facilities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Stevens Pass, WA</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Employee housing and guest parking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Stevens Pass Mountain, WA (2,443 acres)</w:t>
            </w:r>
          </w:p>
        </w:tc>
        <w:tc>
          <w:tcPr>
            <w:tcW w:w="1740" w:type="dxa"/>
            <w:vAlign w:val="bottom"/>
          </w:tcPr>
          <w:p>
            <w:pPr>
              <w:ind w:left="240"/>
              <w:spacing w:after="0"/>
              <w:rPr>
                <w:sz w:val="20"/>
                <w:szCs w:val="20"/>
                <w:color w:val="auto"/>
              </w:rPr>
            </w:pPr>
            <w:r>
              <w:rPr>
                <w:rFonts w:ascii="Arial" w:cs="Arial" w:eastAsia="Arial" w:hAnsi="Arial"/>
                <w:sz w:val="16"/>
                <w:szCs w:val="16"/>
                <w:color w:val="auto"/>
              </w:rPr>
              <w:t>SUP</w:t>
            </w:r>
          </w:p>
        </w:tc>
        <w:tc>
          <w:tcPr>
            <w:tcW w:w="4920" w:type="dxa"/>
            <w:vAlign w:val="bottom"/>
          </w:tcPr>
          <w:p>
            <w:pPr>
              <w:ind w:left="200"/>
              <w:spacing w:after="0"/>
              <w:rPr>
                <w:sz w:val="20"/>
                <w:szCs w:val="20"/>
                <w:color w:val="auto"/>
              </w:rPr>
            </w:pPr>
            <w:r>
              <w:rPr>
                <w:rFonts w:ascii="Arial" w:cs="Arial" w:eastAsia="Arial" w:hAnsi="Arial"/>
                <w:sz w:val="16"/>
                <w:szCs w:val="16"/>
                <w:color w:val="auto"/>
              </w:rPr>
              <w:t>Ski trails, ski lifts, buildings and other improvements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Stevens Pass Ski Resort, WA</w:t>
            </w:r>
          </w:p>
        </w:tc>
        <w:tc>
          <w:tcPr>
            <w:tcW w:w="1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9"/>
        </w:trPr>
        <w:tc>
          <w:tcPr>
            <w:tcW w:w="47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improvements and commercial space</w:t>
            </w:r>
          </w:p>
        </w:tc>
      </w:tr>
      <w:tr>
        <w:trPr>
          <w:trHeight w:val="220"/>
        </w:trPr>
        <w:tc>
          <w:tcPr>
            <w:tcW w:w="4760" w:type="dxa"/>
            <w:vAlign w:val="bottom"/>
          </w:tcPr>
          <w:p>
            <w:pPr>
              <w:ind w:left="40"/>
              <w:spacing w:after="0"/>
              <w:rPr>
                <w:sz w:val="20"/>
                <w:szCs w:val="20"/>
                <w:color w:val="auto"/>
              </w:rPr>
            </w:pPr>
            <w:r>
              <w:rPr>
                <w:rFonts w:ascii="Arial" w:cs="Arial" w:eastAsia="Arial" w:hAnsi="Arial"/>
                <w:sz w:val="16"/>
                <w:szCs w:val="16"/>
                <w:color w:val="auto"/>
              </w:rPr>
              <w:t>Stowe Mountain Resort, VT</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6"/>
        </w:trPr>
        <w:tc>
          <w:tcPr>
            <w:tcW w:w="4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Arial" w:cs="Arial" w:eastAsia="Arial" w:hAnsi="Arial"/>
                <w:sz w:val="16"/>
                <w:szCs w:val="16"/>
                <w:color w:val="auto"/>
              </w:rPr>
              <w:t>improvements and commercial space</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Tater Hill Golf Course, VT</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Golf course, clubhouse and dining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The Arrabelle at Vail Square, CO</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rPr>
              <w:t>Lodging, spa, dining and conference facilities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Lodge at Vail, CO</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Lodging, spa, dining and conference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The Osprey at Beaver Creek, CO</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rPr>
              <w:t>Lodging, dining and conference facilities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Tarnes at Beaver Creek, CO</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31% 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Employee housing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Tenderfoot Housing, CO</w:t>
            </w:r>
          </w:p>
        </w:tc>
        <w:tc>
          <w:tcPr>
            <w:tcW w:w="1740" w:type="dxa"/>
            <w:vAlign w:val="bottom"/>
          </w:tcPr>
          <w:p>
            <w:pPr>
              <w:ind w:left="240"/>
              <w:spacing w:after="0"/>
              <w:rPr>
                <w:sz w:val="20"/>
                <w:szCs w:val="20"/>
                <w:color w:val="auto"/>
              </w:rPr>
            </w:pPr>
            <w:r>
              <w:rPr>
                <w:rFonts w:ascii="Arial" w:cs="Arial" w:eastAsia="Arial" w:hAnsi="Arial"/>
                <w:sz w:val="16"/>
                <w:szCs w:val="16"/>
                <w:color w:val="auto"/>
              </w:rPr>
              <w:t>50% Owned</w:t>
            </w:r>
          </w:p>
        </w:tc>
        <w:tc>
          <w:tcPr>
            <w:tcW w:w="4920" w:type="dxa"/>
            <w:vAlign w:val="bottom"/>
          </w:tcPr>
          <w:p>
            <w:pPr>
              <w:ind w:left="200"/>
              <w:spacing w:after="0"/>
              <w:rPr>
                <w:sz w:val="20"/>
                <w:szCs w:val="20"/>
                <w:color w:val="auto"/>
              </w:rPr>
            </w:pPr>
            <w:r>
              <w:rPr>
                <w:rFonts w:ascii="Arial" w:cs="Arial" w:eastAsia="Arial" w:hAnsi="Arial"/>
                <w:sz w:val="16"/>
                <w:szCs w:val="16"/>
                <w:color w:val="auto"/>
              </w:rPr>
              <w:t>Employee housing facilities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Pines Lodge at Beaver Creek, CO</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Lodging, dining and conference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The Village Hotel, Breckenridge, CO</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rPr>
              <w:t>Lodging, dining, conference facilities and commercial space</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Vail Mountain, CO</w:t>
            </w:r>
          </w:p>
        </w:tc>
        <w:tc>
          <w:tcPr>
            <w:tcW w:w="1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3"/>
        </w:trPr>
        <w:tc>
          <w:tcPr>
            <w:tcW w:w="4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19"/>
        </w:trPr>
        <w:tc>
          <w:tcPr>
            <w:tcW w:w="47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held for sale or development</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Vail Mountain, CO (12,353 acres)</w:t>
            </w:r>
          </w:p>
        </w:tc>
        <w:tc>
          <w:tcPr>
            <w:tcW w:w="1740" w:type="dxa"/>
            <w:vAlign w:val="bottom"/>
          </w:tcPr>
          <w:p>
            <w:pPr>
              <w:ind w:left="240"/>
              <w:spacing w:after="0"/>
              <w:rPr>
                <w:sz w:val="20"/>
                <w:szCs w:val="20"/>
                <w:color w:val="auto"/>
              </w:rPr>
            </w:pPr>
            <w:r>
              <w:rPr>
                <w:rFonts w:ascii="Arial" w:cs="Arial" w:eastAsia="Arial" w:hAnsi="Arial"/>
                <w:sz w:val="16"/>
                <w:szCs w:val="16"/>
                <w:color w:val="auto"/>
              </w:rPr>
              <w:t>SUP</w:t>
            </w:r>
          </w:p>
        </w:tc>
        <w:tc>
          <w:tcPr>
            <w:tcW w:w="4920" w:type="dxa"/>
            <w:vAlign w:val="bottom"/>
          </w:tcPr>
          <w:p>
            <w:pPr>
              <w:ind w:left="200"/>
              <w:spacing w:after="0"/>
              <w:rPr>
                <w:sz w:val="20"/>
                <w:szCs w:val="20"/>
                <w:color w:val="auto"/>
              </w:rPr>
            </w:pPr>
            <w:r>
              <w:rPr>
                <w:rFonts w:ascii="Arial" w:cs="Arial" w:eastAsia="Arial" w:hAnsi="Arial"/>
                <w:sz w:val="16"/>
                <w:szCs w:val="16"/>
                <w:color w:val="auto"/>
              </w:rPr>
              <w:t>Ski trails, ski lifts, buildings and other improvements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Whistler Blackcomb Resort, BC, Canada</w:t>
            </w:r>
          </w:p>
        </w:tc>
        <w:tc>
          <w:tcPr>
            <w:tcW w:w="1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75% Owned</w:t>
            </w: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3"/>
        </w:trPr>
        <w:tc>
          <w:tcPr>
            <w:tcW w:w="4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19"/>
        </w:trPr>
        <w:tc>
          <w:tcPr>
            <w:tcW w:w="47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held for sale or development</w:t>
            </w:r>
          </w:p>
        </w:tc>
      </w:tr>
      <w:tr>
        <w:trPr>
          <w:trHeight w:val="220"/>
        </w:trPr>
        <w:tc>
          <w:tcPr>
            <w:tcW w:w="4760" w:type="dxa"/>
            <w:vAlign w:val="bottom"/>
          </w:tcPr>
          <w:p>
            <w:pPr>
              <w:ind w:left="40"/>
              <w:spacing w:after="0"/>
              <w:rPr>
                <w:sz w:val="20"/>
                <w:szCs w:val="20"/>
                <w:color w:val="auto"/>
              </w:rPr>
            </w:pPr>
            <w:r>
              <w:rPr>
                <w:rFonts w:ascii="Arial" w:cs="Arial" w:eastAsia="Arial" w:hAnsi="Arial"/>
                <w:sz w:val="16"/>
                <w:szCs w:val="16"/>
                <w:color w:val="auto"/>
              </w:rPr>
              <w:t>Whistler Mountain and Blackcomb Mountain, BC, Canada</w:t>
            </w:r>
          </w:p>
        </w:tc>
        <w:tc>
          <w:tcPr>
            <w:tcW w:w="1740" w:type="dxa"/>
            <w:vAlign w:val="bottom"/>
          </w:tcPr>
          <w:p>
            <w:pPr>
              <w:ind w:left="240"/>
              <w:spacing w:after="0"/>
              <w:rPr>
                <w:sz w:val="20"/>
                <w:szCs w:val="20"/>
                <w:color w:val="auto"/>
              </w:rPr>
            </w:pPr>
            <w:r>
              <w:rPr>
                <w:rFonts w:ascii="Arial" w:cs="Arial" w:eastAsia="Arial" w:hAnsi="Arial"/>
                <w:sz w:val="16"/>
                <w:szCs w:val="16"/>
                <w:color w:val="auto"/>
              </w:rPr>
              <w:t>MDA</w:t>
            </w:r>
          </w:p>
        </w:tc>
        <w:tc>
          <w:tcPr>
            <w:tcW w:w="4920" w:type="dxa"/>
            <w:vAlign w:val="bottom"/>
          </w:tcPr>
          <w:p>
            <w:pPr>
              <w:ind w:left="200"/>
              <w:spacing w:after="0"/>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6"/>
        </w:trPr>
        <w:tc>
          <w:tcPr>
            <w:tcW w:w="4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Arial" w:cs="Arial" w:eastAsia="Arial" w:hAnsi="Arial"/>
                <w:sz w:val="16"/>
                <w:szCs w:val="16"/>
                <w:color w:val="auto"/>
              </w:rPr>
              <w:t>improvements</w:t>
            </w:r>
          </w:p>
        </w:tc>
      </w:tr>
      <w:tr>
        <w:trPr>
          <w:trHeight w:val="3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Whistler Blackcomb Resort, BC, Canada</w:t>
            </w: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Leased</w:t>
            </w:r>
          </w:p>
        </w:tc>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Employee housing facilities</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Wilmot Mountain, WI</w:t>
            </w:r>
          </w:p>
        </w:tc>
        <w:tc>
          <w:tcPr>
            <w:tcW w:w="1740" w:type="dxa"/>
            <w:vAlign w:val="bottom"/>
          </w:tcPr>
          <w:p>
            <w:pPr>
              <w:ind w:left="240"/>
              <w:spacing w:after="0"/>
              <w:rPr>
                <w:sz w:val="20"/>
                <w:szCs w:val="20"/>
                <w:color w:val="auto"/>
              </w:rPr>
            </w:pPr>
            <w:r>
              <w:rPr>
                <w:rFonts w:ascii="Arial" w:cs="Arial" w:eastAsia="Arial" w:hAnsi="Arial"/>
                <w:sz w:val="16"/>
                <w:szCs w:val="16"/>
                <w:color w:val="auto"/>
              </w:rPr>
              <w:t>Owned</w:t>
            </w:r>
          </w:p>
        </w:tc>
        <w:tc>
          <w:tcPr>
            <w:tcW w:w="4920" w:type="dxa"/>
            <w:vAlign w:val="bottom"/>
          </w:tcPr>
          <w:p>
            <w:pPr>
              <w:ind w:left="200"/>
              <w:spacing w:after="0"/>
              <w:rPr>
                <w:sz w:val="20"/>
                <w:szCs w:val="20"/>
                <w:color w:val="auto"/>
              </w:rPr>
            </w:pPr>
            <w:r>
              <w:rPr>
                <w:rFonts w:ascii="Arial" w:cs="Arial" w:eastAsia="Arial" w:hAnsi="Arial"/>
                <w:sz w:val="16"/>
                <w:szCs w:val="16"/>
                <w:color w:val="auto"/>
              </w:rPr>
              <w:t>Ski trails, ski lifts, buildings and other improvements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Many of our properties are used across all segments in complementary and interdependent ways.</w:t>
      </w:r>
    </w:p>
    <w:p>
      <w:pPr>
        <w:spacing w:after="0" w:line="225" w:lineRule="exact"/>
        <w:rPr>
          <w:sz w:val="20"/>
          <w:szCs w:val="20"/>
          <w:color w:val="auto"/>
        </w:rPr>
      </w:pPr>
    </w:p>
    <w:p>
      <w:pPr>
        <w:jc w:val="both"/>
        <w:ind w:firstLine="8"/>
        <w:spacing w:after="0" w:line="259" w:lineRule="auto"/>
        <w:tabs>
          <w:tab w:leader="none" w:pos="4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operations of Northstar are conducted on land and with operating assets owned by affiliates of EPR Properties under operating leases which were assumed by us. The leases provide for the payment of a minimum annual base rent with periodic increases in base rent over the lease term. In addition, the leases provide for the payment of percentage rent based on a percentage of gross revenues generated at the property over certain thresholds. The initial term of the leases expires in fiscal 2027, and is subject to three 10-year renewal options.</w:t>
      </w:r>
    </w:p>
    <w:p>
      <w:pPr>
        <w:spacing w:after="0" w:line="186" w:lineRule="exact"/>
        <w:rPr>
          <w:rFonts w:ascii="Arial" w:cs="Arial" w:eastAsia="Arial" w:hAnsi="Arial"/>
          <w:sz w:val="18"/>
          <w:szCs w:val="18"/>
          <w:color w:val="auto"/>
        </w:rPr>
      </w:pPr>
    </w:p>
    <w:p>
      <w:pPr>
        <w:ind w:firstLine="8"/>
        <w:spacing w:after="0" w:line="277" w:lineRule="auto"/>
        <w:tabs>
          <w:tab w:leader="none" w:pos="3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operations of portions of Park City are conducted pursuant to a long-term lease on land and with certain operating assets owned by TCFC LeaseCo, LLC and TCFC PropCo, LLC. The lease provides for the payment of a minimum annual base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79" w:right="239" w:bottom="1440" w:gutter="0" w:footer="0" w:header="0"/>
          <w:type w:val="continuous"/>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rent with periodic increases in base rent over the lease term and participating contingent payments of a percentage of the amount by which EBITDA for resort operations exceeds certain thresholds, also subject to periodic increases over the lease term. The initial term of the lease expires in fiscal 2063 and is subject to six 50-year renewal options. Additionally, in connection with the lease, we entered into certain ancillary agreements with third parties, including leases and easements, allowing for various resort operations.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2019, depending on permits and weather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1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Dividend Policy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“MTN.” As of September 23, 2019, 40,285,628 shares of common stock were outstanding, held by approximately 270 holders of record.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on the high and low sales prices of our common stock on the NYSE and the quarterly cash dividends declared per share of common stock for each quarterly period for the two most recently completed fiscal years.</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Cash</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vMerge w:val="restart"/>
          </w:tcPr>
          <w:p>
            <w:pPr>
              <w:jc w:val="right"/>
              <w:ind w:right="750"/>
              <w:spacing w:after="0"/>
              <w:rPr>
                <w:sz w:val="20"/>
                <w:szCs w:val="20"/>
                <w:color w:val="auto"/>
              </w:rPr>
            </w:pPr>
            <w:r>
              <w:rPr>
                <w:rFonts w:ascii="Arial" w:cs="Arial" w:eastAsia="Arial" w:hAnsi="Arial"/>
                <w:sz w:val="18"/>
                <w:szCs w:val="18"/>
                <w:b w:val="1"/>
                <w:bCs w:val="1"/>
                <w:color w:val="auto"/>
              </w:rPr>
              <w:t>Market Price Per Share</w:t>
            </w: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Dividends</w:t>
            </w:r>
          </w:p>
        </w:tc>
        <w:tc>
          <w:tcPr>
            <w:tcW w:w="0" w:type="dxa"/>
            <w:vAlign w:val="bottom"/>
          </w:tcPr>
          <w:p>
            <w:pPr>
              <w:spacing w:after="0"/>
              <w:rPr>
                <w:sz w:val="1"/>
                <w:szCs w:val="1"/>
                <w:color w:val="auto"/>
              </w:rPr>
            </w:pPr>
          </w:p>
        </w:tc>
      </w:tr>
      <w:tr>
        <w:trPr>
          <w:trHeight w:val="167"/>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vMerge w:val="restart"/>
          </w:tcPr>
          <w:p>
            <w:pPr>
              <w:jc w:val="center"/>
              <w:ind w:right="190"/>
              <w:spacing w:after="0" w:line="194" w:lineRule="exact"/>
              <w:rPr>
                <w:sz w:val="20"/>
                <w:szCs w:val="20"/>
                <w:color w:val="auto"/>
              </w:rPr>
            </w:pPr>
            <w:r>
              <w:rPr>
                <w:rFonts w:ascii="Arial" w:cs="Arial" w:eastAsia="Arial" w:hAnsi="Arial"/>
                <w:sz w:val="18"/>
                <w:szCs w:val="18"/>
                <w:b w:val="1"/>
                <w:bCs w:val="1"/>
                <w:color w:val="auto"/>
                <w:w w:val="92"/>
              </w:rPr>
              <w:t>Declared</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July 31, 2019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249.67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209.78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30,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January 31, 2019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286.40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177.92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302.76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2018</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31,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April 30, 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236.23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200.68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31,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237.77</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October 31, 2017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232.71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209.80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2019, our Board of Directors approved a 20% increase to our quarterly cash dividend to an annual rate of $7.04 per share, subject to quarterly declaration. This dividend is anticipated to be funded through cash flow from operations, available cash on hand and borrowings under the revolver portion of our Eighth Amended and Restated Credit Agreement (the “Vail Holdings Credit Agreement”). Subject to the discretion of our Board of Directors, applicable law and contractual restrictions, we anticipate paying regular quarterly dividends on our common stock for the foreseeable future. The amount, if any, of the dividends to be paid in the future will depend upon our available cash on hand, anticipated cash needs, overall financial condition, restrictions contained in the Vail Holdings Credit Agreement, future prospects for earnings and cash flows, as well as other factors considered relevant by our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did not repurchase any shares of common stock during the fourth quarter of the year ended July 31, 2019 (“Fiscal 2019”).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2019, the Company has repurchased 5,904,723 shares at a cost of approximately $358.0 million. As of July 31, 2019, 1,595,277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return graph below is presented for the period from the beginning of our fiscal year ended July 31, 2015 through the end of Fiscal 2019. The comparison assumes that $100 was invested at the beginning of the period in our common stock (“MTN”),</w:t>
      </w:r>
    </w:p>
    <w:p>
      <w:pPr>
        <w:sectPr>
          <w:pgSz w:w="11900" w:h="16838" w:orient="portrait"/>
          <w:cols w:equalWidth="0" w:num="1">
            <w:col w:w="11420"/>
          </w:cols>
          <w:pgMar w:left="240" w:top="101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013" w:right="239" w:bottom="1440" w:gutter="0" w:footer="0" w:header="0"/>
          <w:type w:val="continuous"/>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-48895</wp:posOffset>
            </wp:positionV>
            <wp:extent cx="4922520" cy="296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presents selected historical consolidated financial data derived from our Consolidated Financial Statements for the periods indicated. The financial data for our fiscal years ended and as of July 31, 2015 through July 31, 2019 should be read in conjunction with those Consolidated Financial Statements, related notes thereto and Management’s Discussion and Analysis of Financial Condition and Results of Operations. The table presented below is unaudited. The data presented below is in thousands, except for diluted net income per share attributable to Vail Resorts, Inc., cash dividends declared per share, effective ticket price (“ETP”), average daily rate (“ADR”) and revenue per available room (“RevPAR”) amounts.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1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Year Ended July 31,</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2019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64"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5"/>
                <w:szCs w:val="25"/>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2017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2016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w w:val="97"/>
              </w:rPr>
              <w:t xml:space="preserve">2015 </w:t>
            </w:r>
            <w:r>
              <w:rPr>
                <w:rFonts w:ascii="Arial" w:cs="Arial" w:eastAsia="Arial" w:hAnsi="Arial"/>
                <w:sz w:val="25"/>
                <w:szCs w:val="25"/>
                <w:color w:val="auto"/>
                <w:w w:val="97"/>
                <w:vertAlign w:val="superscript"/>
              </w:rPr>
              <w:t>(1)</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2,271,575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2,011,553</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1,907,218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1,601,286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1,399,924</w:t>
            </w: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1,571,738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1,396,023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1,322,841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1,152,496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1,058,432</w:t>
            </w: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(223,568)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(206,713)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(205,121)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(165,811)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(77,304)</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(68,725)</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(30,807)</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(40,360)</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(61,185)</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398,965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340,092</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348,449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242,619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149,328</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Income and Dividends: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323,493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401,230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231,718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149,454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114,610</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attributable to Vail Resorts, Inc. </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301,163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379,898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210,553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149,754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114,754</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0"/>
              </w:rPr>
              <w:t xml:space="preserve">Diluted net income per share attributable to Vail Resorts, Inc. </w:t>
            </w:r>
            <w:r>
              <w:rPr>
                <w:rFonts w:ascii="Arial" w:cs="Arial" w:eastAsia="Arial" w:hAnsi="Arial"/>
                <w:sz w:val="25"/>
                <w:szCs w:val="25"/>
                <w:color w:val="auto"/>
                <w:w w:val="90"/>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5.046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2.865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Mountain</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Skier visits</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14,998</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12,047</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10,032</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8,466</w:t>
            </w:r>
          </w:p>
        </w:tc>
      </w:tr>
      <w:tr>
        <w:trPr>
          <w:trHeight w:val="270"/>
        </w:trPr>
        <w:tc>
          <w:tcPr>
            <w:tcW w:w="470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ETP </w:t>
            </w:r>
            <w:r>
              <w:rPr>
                <w:rFonts w:ascii="Arial" w:cs="Arial" w:eastAsia="Arial" w:hAnsi="Arial"/>
                <w:sz w:val="25"/>
                <w:szCs w:val="25"/>
                <w:color w:val="auto"/>
                <w:vertAlign w:val="superscript"/>
              </w:rPr>
              <w:t>(4)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68.89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71.31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67.93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65.59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63.37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Lodging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20"/>
              <w:spacing w:after="0" w:line="270" w:lineRule="exact"/>
              <w:rPr>
                <w:sz w:val="20"/>
                <w:szCs w:val="20"/>
                <w:color w:val="auto"/>
              </w:rPr>
            </w:pPr>
            <w:r>
              <w:rPr>
                <w:rFonts w:ascii="Arial" w:cs="Arial" w:eastAsia="Arial" w:hAnsi="Arial"/>
                <w:sz w:val="18"/>
                <w:szCs w:val="18"/>
                <w:color w:val="auto"/>
              </w:rPr>
              <w:t>ADR</w:t>
            </w:r>
            <w:r>
              <w:rPr>
                <w:rFonts w:ascii="Arial" w:cs="Arial" w:eastAsia="Arial" w:hAnsi="Arial"/>
                <w:sz w:val="25"/>
                <w:szCs w:val="25"/>
                <w:color w:val="auto"/>
                <w:vertAlign w:val="superscript"/>
              </w:rPr>
              <w:t>(5)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300.47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300.90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302.80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280.38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270.84</w:t>
            </w: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RevPAR</w:t>
            </w:r>
            <w:r>
              <w:rPr>
                <w:rFonts w:ascii="Arial" w:cs="Arial" w:eastAsia="Arial" w:hAnsi="Arial"/>
                <w:sz w:val="25"/>
                <w:szCs w:val="25"/>
                <w:color w:val="auto"/>
                <w:vertAlign w:val="superscript"/>
              </w:rPr>
              <w:t>(6)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121.81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127.95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122.61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Real Estate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Real estate held for sale and investment</w:t>
            </w:r>
            <w:r>
              <w:rPr>
                <w:rFonts w:ascii="Arial" w:cs="Arial" w:eastAsia="Arial" w:hAnsi="Arial"/>
                <w:sz w:val="25"/>
                <w:szCs w:val="25"/>
                <w:color w:val="auto"/>
                <w:vertAlign w:val="superscript"/>
              </w:rPr>
              <w:t>(7)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101,021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103,405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111,088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Balance Sheet Data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108,850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117,389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67,897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35,459</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4,426,077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4,064,984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4,110,718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2,482,018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2,487,292</w:t>
            </w: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Long-term debt, net (including long-term debt due within one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1,576,260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1,272,732</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1,272,421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700,263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814,501</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1,467,410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1,094,587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1,155,032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632,366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779,042</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Vail Resorts, Inc. stockholders’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1,500,627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1,589,434</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1,571,156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874,540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866,568</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Notes to Selected Financial Data:</w:t>
      </w:r>
    </w:p>
    <w:p>
      <w:pPr>
        <w:spacing w:after="0" w:line="113" w:lineRule="exact"/>
        <w:rPr>
          <w:sz w:val="20"/>
          <w:szCs w:val="20"/>
          <w:color w:val="auto"/>
        </w:rPr>
      </w:pPr>
    </w:p>
    <w:p>
      <w:pPr>
        <w:jc w:val="both"/>
        <w:ind w:left="660" w:hanging="652"/>
        <w:spacing w:after="0" w:line="269" w:lineRule="auto"/>
        <w:tabs>
          <w:tab w:leader="none" w:pos="66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We have made several mountain resort acquisitions during the past five years, which impacts comparability between years, including Falls Creek and Hotham (acquired April 2019); Crested Butte, Mount Sunapee and Okemo (acquired September 2018); Stevens Pass (acquired August 2018); Stowe (acquired June 2017); Whistler Blackcomb (acquired October 2016); Perisher (acquired June 2015) and Park City Mountain Resort (acquired September 2014).</w:t>
      </w:r>
    </w:p>
    <w:p>
      <w:pPr>
        <w:spacing w:after="0" w:line="1" w:lineRule="exact"/>
        <w:rPr>
          <w:rFonts w:ascii="Arial" w:cs="Arial" w:eastAsia="Arial" w:hAnsi="Arial"/>
          <w:sz w:val="15"/>
          <w:szCs w:val="15"/>
          <w:i w:val="1"/>
          <w:iCs w:val="1"/>
          <w:color w:val="auto"/>
        </w:rPr>
      </w:pPr>
    </w:p>
    <w:p>
      <w:pPr>
        <w:jc w:val="both"/>
        <w:ind w:left="660" w:hanging="652"/>
        <w:spacing w:after="0" w:line="281" w:lineRule="auto"/>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Net income, net income attributable to Vail Resorts, Inc. and diluted net income per share attributable to Vail Resorts, Inc. were positively impacted during the year ended July 31, 2018 as a result of one-time tax benefits related to comprehensive U.S. tax legislation, which also resulted in a decreased federal U.S. corporate tax rate prospectively from January 1, 2018, and excess tax benefits from employee share award exercises, as discussed subsequently in this document.</w:t>
      </w:r>
    </w:p>
    <w:p>
      <w:pPr>
        <w:spacing w:after="0" w:line="1" w:lineRule="exact"/>
        <w:rPr>
          <w:rFonts w:ascii="Arial" w:cs="Arial" w:eastAsia="Arial" w:hAnsi="Arial"/>
          <w:sz w:val="14"/>
          <w:szCs w:val="14"/>
          <w:i w:val="1"/>
          <w:iCs w:val="1"/>
          <w:color w:val="auto"/>
        </w:rPr>
      </w:pPr>
    </w:p>
    <w:p>
      <w:pPr>
        <w:ind w:left="660" w:right="2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 skier visit represents a person purchasing a ticket or utilizing a pass to access a mountain resort or urban ski area for any part of one day during a winter ski season and includes complimentary access.</w:t>
      </w:r>
    </w:p>
    <w:p>
      <w:pPr>
        <w:ind w:left="660" w:hanging="652"/>
        <w:spacing w:after="0"/>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ETP is calculated by dividing lift revenue by total skier visits during the respective periods.</w:t>
      </w:r>
    </w:p>
    <w:p>
      <w:pPr>
        <w:spacing w:after="0" w:line="5" w:lineRule="exact"/>
        <w:rPr>
          <w:rFonts w:ascii="Arial" w:cs="Arial" w:eastAsia="Arial" w:hAnsi="Arial"/>
          <w:sz w:val="16"/>
          <w:szCs w:val="16"/>
          <w:i w:val="1"/>
          <w:iCs w:val="1"/>
          <w:color w:val="auto"/>
        </w:rPr>
      </w:pPr>
    </w:p>
    <w:p>
      <w:pPr>
        <w:ind w:left="66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ADR is calculated by dividing total room revenue (includes both owned room and managed condominium unit revenue) by the number of occupied rooms during the respective periods.</w:t>
      </w:r>
    </w:p>
    <w:p>
      <w:pPr>
        <w:ind w:left="66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RevPAR is calculated by dividing total room revenue (includes both owned room and managed condominium unit revenue) by the number of rooms that are available to guests during the respective periods.</w:t>
      </w:r>
    </w:p>
    <w:p>
      <w:pPr>
        <w:ind w:left="660" w:hanging="652"/>
        <w:spacing w:after="0"/>
        <w:tabs>
          <w:tab w:leader="none" w:pos="66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Real estate held for sale and investment includes all land, development costs and other improvements associated with real estate held for sale and investment.</w:t>
      </w:r>
    </w:p>
    <w:p>
      <w:pPr>
        <w:spacing w:after="0" w:line="16" w:lineRule="exact"/>
        <w:rPr>
          <w:rFonts w:ascii="Arial" w:cs="Arial" w:eastAsia="Arial" w:hAnsi="Arial"/>
          <w:sz w:val="15"/>
          <w:szCs w:val="15"/>
          <w:i w:val="1"/>
          <w:iCs w:val="1"/>
          <w:color w:val="auto"/>
        </w:rPr>
      </w:pPr>
    </w:p>
    <w:p>
      <w:pPr>
        <w:ind w:left="660" w:hanging="652"/>
        <w:spacing w:after="0"/>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Cash and cash equivalents exclude restricted cash.</w:t>
      </w:r>
    </w:p>
    <w:p>
      <w:pPr>
        <w:sectPr>
          <w:pgSz w:w="11900" w:h="16838" w:orient="portrait"/>
          <w:cols w:equalWidth="0" w:num="1">
            <w:col w:w="11420"/>
          </w:cols>
          <w:pgMar w:left="240" w:top="117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75" w:right="239" w:bottom="1440" w:gutter="0" w:footer="0" w:header="0"/>
          <w:type w:val="continuous"/>
        </w:sectPr>
      </w:pPr>
    </w:p>
    <w:bookmarkStart w:id="37" w:name="page38"/>
    <w:bookmarkEnd w:id="37"/>
    <w:p>
      <w:pPr>
        <w:ind w:left="1300" w:hanging="1292"/>
        <w:spacing w:after="0" w:line="255" w:lineRule="auto"/>
        <w:tabs>
          <w:tab w:leader="none" w:pos="652"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We adopted a new accounting pronouncement as of July 31, 2016, which requires that deferred tax assets and liabilities be classified as noncurrent on the balance sheet. This adoption was applied prospectively and, as such, prior periods have not been adjusted.</w:t>
      </w:r>
    </w:p>
    <w:p>
      <w:pPr>
        <w:spacing w:after="0" w:line="1" w:lineRule="exact"/>
        <w:rPr>
          <w:rFonts w:ascii="Arial" w:cs="Arial" w:eastAsia="Arial" w:hAnsi="Arial"/>
          <w:sz w:val="16"/>
          <w:szCs w:val="16"/>
          <w:i w:val="1"/>
          <w:iCs w:val="1"/>
          <w:color w:val="auto"/>
        </w:rPr>
      </w:pPr>
    </w:p>
    <w:p>
      <w:pPr>
        <w:ind w:left="1300" w:right="20" w:hanging="1292"/>
        <w:spacing w:after="0" w:line="252" w:lineRule="auto"/>
        <w:tabs>
          <w:tab w:leader="none" w:pos="652"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Net Debt, a non-GAAP financial measure, is defined as long-term debt, net plus long-term debt due within one year less cash and cash equivalents. Refer to the end of the Results of Operations section of Item 7. “Management’s Discussion and Analysis of Financial Condition and Results of Operations” for a reconciliation of Net Debt to long-term debt, net.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21" w:right="239" w:bottom="1440" w:gutter="0" w:footer="0" w:header="0"/>
        </w:sectPr>
      </w:pPr>
    </w:p>
    <w:bookmarkStart w:id="38" w:name="page39"/>
    <w:bookmarkEnd w:id="38"/>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defined under generally accepted accounting principles (“GAAP”). We utilize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income attributable to Vail Resorts, Inc. and Net Debt to long-term debt, net.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86%, 14% and 0%, respectively, of our net revenue for Fiscal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Mountain segment, as of July 31, 2019, was comprised of the operations of seventeen mountain resort properties and three urban ski areas including: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Mountain Resorts: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Crested Butte Mountain Resort (“Crested Butte”)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Mount Sunapee Resort (“Mount Sunapee”)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Park City Resort (“Park City”)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Okemo Mountain Resort (“Okemo”)</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Stevens Pass Mountain Resort (“Stevens Pass”)</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Falls Creek Alpine Resort (“Falls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Hotham Alpine Resort (“Hotham”)</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Urban Ski Areas: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Afton Alps Ski Area (“Afton Alps”)</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Mount Brighton Ski Area (“Mt. Brighton”)</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Wilmot Mountain (“Wilmot”)</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resorts, including lodging and transportation operations. Mountain segment revenue is seasonal, with the majority of revenue earned from our North American mountain resorts and ski areas occurring in our second and third fiscal quarters and the majority of revenue earned from our Australian resorts occurring in our first and fourth fiscal quarters. Our North American mountain resorts were open for business for the 2018/2019 ski season primarily from mid-November through mid-April, which is the peak operating season for the Mountain segment. Our single largest source of Mountain segment revenue is the sale of lift tickets (including pass products), which represented approximately 53%, 51% and 51% of Mountain segment net revenue for Fiscal 2019, the fiscal year ended July 31, 2018 (“Fiscal 2018”) and the fiscal year ended July 31, 2017 (“Fiscal 2017”), respectively.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demographic mix of guests, which impacts the price points at which various products are purchased. The demographic mix of guests that visit our North American mountain resorts is divided into two primary categories: (1) out-of-state and international (“Destination”) guests and (2) in-state and local (“Local”) guests. For the 2018/2019 North American ski season, Destination guests comprised approximately 57% of our North American mountain resort skier visits, while Local guests comprised approximately 43% of our North American mountain resort skier visits, which compares to approximately 59% and 41%, respectively, for the 2017/2018 North American ski season. Destination guests generally purchase our higher-priced lift ticket products and utilize more ancillary services such as ski school, dining and retail/rental, as well as lodging at or around our mountain resorts. Destination guest visitation during a ski season is less likely to be impacted by changes in the weather during the current ski season, but may be more impacted by adverse economic conditions, the global geopolitical climate or weather conditions in the immediately preceding ski season. Local guests tend to be more value-oriented and weather sensitive.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variety of pass products for all of our mountain resorts and ski areas (collectively, “Resorts”), marketed towards both Destination and Local guests. Our pass product offerings range from providing access to one or a combination of our Resorts to our Epic Pass, which allows pass holders unlimited and unrestricted access to all of our Resorts. Additionally, beginning with the 2019/2020 North American ski season, we are offering the Epic Day Pass, a customizable one to seven day pass product, purchased in advance of the season, for those skiers and riders who expect to ski a certain number of days during the season. Our pass program provides a compelling value proposition to our guests, which in turn assists us in developing a loyal base of customers who commit</w:t>
      </w:r>
    </w:p>
    <w:p>
      <w:pPr>
        <w:sectPr>
          <w:pgSz w:w="11900" w:h="16838" w:orient="portrait"/>
          <w:cols w:equalWidth="0" w:num="1">
            <w:col w:w="11420"/>
          </w:cols>
          <w:pgMar w:left="240" w:top="1017"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017" w:right="239" w:bottom="1440" w:gutter="0" w:footer="0" w:header="0"/>
          <w:type w:val="continuous"/>
        </w:sectPr>
      </w:pPr>
    </w:p>
    <w:bookmarkStart w:id="40" w:name="page41"/>
    <w:bookmarkEnd w:id="40"/>
    <w:p>
      <w:pPr>
        <w:jc w:val="both"/>
        <w:spacing w:after="0" w:line="270" w:lineRule="auto"/>
        <w:rPr>
          <w:sz w:val="20"/>
          <w:szCs w:val="20"/>
          <w:color w:val="auto"/>
        </w:rPr>
      </w:pPr>
      <w:r>
        <w:rPr>
          <w:rFonts w:ascii="Arial" w:cs="Arial" w:eastAsia="Arial" w:hAnsi="Arial"/>
          <w:sz w:val="17"/>
          <w:szCs w:val="17"/>
          <w:color w:val="auto"/>
        </w:rPr>
        <w:t>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and Skirama Dolomiti in Italy,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Statements of Operations throughout the ski season primarily based on historical visitation (see Notes to Consolidated Financial Statements).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Lift revenue consists of pass product lift revenue (“pass revenue”) and non-pass product lift revenue (“non-pass revenue”). Approximately 47%, 47% and 43% of total lift revenue was derived from pass revenue for Fiscal 2019, Fiscal 2018 and Fiscal 2017,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dining operations. As such, profit margins can fluctuate greatly based on the level of revenues associated with visitation.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Grand Teton Lodging Company (“GTLC”); (iv) a Colorado resort ground transportation company and (v) mountain resort golf courses.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70%, 68% and 68% of Lodging segment net revenue (excluding Lodging segment revenue associated with reimbursement of payroll costs) for Fiscal 2019, Fiscal 2018 and Fiscal 2017,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We have identified the following significant factors (as well as uncertainties associated with such factors) that could impact our future financial performance:</w:t>
      </w:r>
    </w:p>
    <w:p>
      <w:pPr>
        <w:spacing w:after="0" w:line="140" w:lineRule="exact"/>
        <w:rPr>
          <w:sz w:val="20"/>
          <w:szCs w:val="20"/>
          <w:color w:val="auto"/>
        </w:rPr>
      </w:pPr>
    </w:p>
    <w:p>
      <w:pPr>
        <w:jc w:val="both"/>
        <w:ind w:left="820" w:hanging="650"/>
        <w:spacing w:after="0" w:line="264"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In March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17" w:right="239" w:bottom="1440" w:gutter="0" w:footer="0" w:header="0"/>
        </w:sectPr>
      </w:pPr>
    </w:p>
    <w:bookmarkStart w:id="41" w:name="page42"/>
    <w:bookmarkEnd w:id="41"/>
    <w:p>
      <w:pPr>
        <w:jc w:val="both"/>
        <w:ind w:left="650"/>
        <w:spacing w:after="0" w:line="301" w:lineRule="auto"/>
        <w:rPr>
          <w:sz w:val="20"/>
          <w:szCs w:val="20"/>
          <w:color w:val="auto"/>
        </w:rPr>
      </w:pPr>
      <w:r>
        <w:rPr>
          <w:rFonts w:ascii="Arial" w:cs="Arial" w:eastAsia="Arial" w:hAnsi="Arial"/>
          <w:sz w:val="18"/>
          <w:szCs w:val="18"/>
          <w:color w:val="auto"/>
        </w:rPr>
        <w:t>2019, we began our early pass product sales program for the 2019/2020 North American ski season. Through September 22, 2019, North American ski season pass sales increased approximately 14% in units and approximately 15% in sales dollars as compared to the period in the prior year through September 23, 2018, including Military Pass sales in both periods. Pass sales exclude Peak Resorts pass sales in both periods and are adjusted to eliminate the impact of foreign currency by applying an exchange rate of $0.75 between the Canadian dollar and U.S. dollar in both periods for Whistler Blackcomb pass sales. Excluding sales of Military Passes, season pass sales increased approximately 13% in units and 14% in sales dollars over the comparable prior year period. We cannot predict if this favorable trend will continue for the entire duration of the fall 2019 North American pass sales campaign, nor can we predict the overall impact that pass product sales will have on lift revenue for the 2019/2020 North American ski season.</w:t>
      </w:r>
    </w:p>
    <w:p>
      <w:pPr>
        <w:spacing w:after="0" w:line="165" w:lineRule="exact"/>
        <w:rPr>
          <w:sz w:val="20"/>
          <w:szCs w:val="20"/>
          <w:color w:val="auto"/>
        </w:rPr>
      </w:pPr>
    </w:p>
    <w:p>
      <w:pPr>
        <w:jc w:val="both"/>
        <w:ind w:left="650" w:hanging="650"/>
        <w:spacing w:after="0" w:line="312"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Fiscal 2019, our lift revenue was favorably impacted by non-pass price increases at our mountain resorts that were implemented for the 2018/2019 North American ski season. Non-pass prices for the 2019/2020 North American ski season have not yet been finalized; and, as such, there can be no assurances as to the level of price increases, if any, which will occur and the impact that pricing may have on visitation or revenue.</w:t>
      </w:r>
    </w:p>
    <w:p>
      <w:pPr>
        <w:spacing w:after="0" w:line="146" w:lineRule="exact"/>
        <w:rPr>
          <w:rFonts w:ascii="Arial" w:cs="Arial" w:eastAsia="Arial" w:hAnsi="Arial"/>
          <w:sz w:val="16"/>
          <w:szCs w:val="16"/>
          <w:color w:val="auto"/>
        </w:rPr>
      </w:pPr>
    </w:p>
    <w:p>
      <w:pPr>
        <w:jc w:val="both"/>
        <w:ind w:left="650" w:hanging="650"/>
        <w:spacing w:after="0" w:line="270"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Fiscal 2019 results for our Mountain segment showed improvement over Fiscal 2018 largely due to strong pass sales growth for the 2018/2019 North American ski season, strong growth in visitation and spending at our western U.S. resorts and the incremental operations of Stevens Pass, Triple Peaks and Falls Creek/Hotham (acquired in August 2018, September 2018 and April 2019, respectively). After the challenging early season period for Destination visitation during the 2018/2019 North American ski season, our results for the remainder of the season were largely in line with our original expectations, with strong growth in visitation and spending compared to the prior year, including a strong finish to the season with good conditions across our western U.S. destination resorts. However, we continued experiencing relative weakness in international visitation compared to the prior year, particularly at Whistler Blackcomb. We cannot predict whether our resorts will experience normal snowfall conditions for the upcoming 2019/2020 North American ski season nor can we estimate the impact there may be to advance bookings, guest travel, pass product sales, lift revenue (excluding pass products), retail/rental sales or other ancillary services revenue next ski season as a result of past snowfall conditions.</w:t>
      </w:r>
    </w:p>
    <w:p>
      <w:pPr>
        <w:spacing w:after="0" w:line="177" w:lineRule="exact"/>
        <w:rPr>
          <w:rFonts w:ascii="Arial" w:cs="Arial" w:eastAsia="Arial" w:hAnsi="Arial"/>
          <w:sz w:val="17"/>
          <w:szCs w:val="17"/>
          <w:color w:val="auto"/>
        </w:rPr>
      </w:pPr>
    </w:p>
    <w:p>
      <w:pPr>
        <w:jc w:val="both"/>
        <w:ind w:left="650" w:hanging="650"/>
        <w:spacing w:after="0" w:line="255"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into calendar year 2019,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fluctuating commodity prices. Given these economic uncertainties, we cannot predict what the impact of the overall North American or global economy will be on overall travel and leisure spending or more specifically, on our guest visitation, guest spending or other related trends for the upcoming 2019/2020 North American ski season.</w:t>
      </w:r>
    </w:p>
    <w:p>
      <w:pPr>
        <w:spacing w:after="0" w:line="193" w:lineRule="exact"/>
        <w:rPr>
          <w:rFonts w:ascii="Arial" w:cs="Arial" w:eastAsia="Arial" w:hAnsi="Arial"/>
          <w:sz w:val="18"/>
          <w:szCs w:val="18"/>
          <w:color w:val="auto"/>
        </w:rPr>
      </w:pPr>
    </w:p>
    <w:p>
      <w:pPr>
        <w:jc w:val="both"/>
        <w:ind w:left="650" w:hanging="650"/>
        <w:spacing w:after="0" w:line="267"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of July 31, 2019, we had $108.9 million in cash and cash equivalents, as well as $214.4 million available under the revolver component of the Vail Holdings Credit Agreement (which represents the total commitment of $500.0 million less outstanding borrowings of $208.0 million and certain letters of credit outstanding of $77.6 million). Additionally, we have a credit facility which supports the liquidity needs of Whistler Blackcomb (the “Whistler Credit Agreement”). As of July 31, 2019 we had C$239.1 million ($181.2 million) available under the revolver component of the Whistler Credit Agreement (which represents the total commitment of C$300.0 million ($227.3 million) less outstanding borrowings of C$60.0 million ($45.4 million) and a letter of credit outstanding of C$0.9 million ($0.7 million)). On August 15, 2018, we amended our Vail Holdings Credit Agreement in the form of an Eighth Amended and Restated Credit Agreement to provide for an incremental term loan of $265.6 million, increasing the capacity of the term loan to $950.0 million, to fund the acquisitions of Stevens Pass and Triple Peaks, as discussed and defined below. Subsequently, on April 15, 2019, we entered into the First Amendment to the Eighth Amended and Restated Credit Agreement which primarily extended the maturity date for the outstanding term loans and revolver facility to April 15, 2024, increased the amount of dividends we are permitted to pay in each fiscal quarter under the agreement and increased the amount of the revolver facility from $400.0 million to $500.0 million. Additionally, on September 23, 2019, we entered into the Second Amendment to the Eighth Amended and Restated Credit Agreement which increased the term loan facility by approximately $335.6 million to fund the acquisition of Peak Resorts and to prepay certain portions of the debt assumed in connection with the acquisition, as discussed and defined below, and extended the maturity date for the outstanding term loans and revolver facility to September 23, 2024. During Fiscal 2019, we also entered into an amendment of the Whistler Credit Agreement which extended the maturity date of the revolving credit facility to December 2023. No other material terms of the Whistler Credit Agreement were altered.</w:t>
      </w:r>
    </w:p>
    <w:p>
      <w:pPr>
        <w:spacing w:after="0" w:line="192" w:lineRule="exact"/>
        <w:rPr>
          <w:rFonts w:ascii="Arial" w:cs="Arial" w:eastAsia="Arial" w:hAnsi="Arial"/>
          <w:sz w:val="17"/>
          <w:szCs w:val="17"/>
          <w:color w:val="auto"/>
        </w:rPr>
      </w:pPr>
    </w:p>
    <w:p>
      <w:pPr>
        <w:ind w:left="650"/>
        <w:spacing w:after="0" w:line="277" w:lineRule="auto"/>
        <w:rPr>
          <w:rFonts w:ascii="Arial" w:cs="Arial" w:eastAsia="Arial" w:hAnsi="Arial"/>
          <w:sz w:val="17"/>
          <w:szCs w:val="17"/>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w:t>
      </w:r>
    </w:p>
    <w:p>
      <w:pPr>
        <w:spacing w:after="0" w:line="197"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50"/>
          </w:cols>
          <w:pgMar w:left="410" w:top="1044" w:right="239" w:bottom="1440" w:gutter="0" w:footer="0" w:header="0"/>
        </w:sectPr>
      </w:pPr>
    </w:p>
    <w:bookmarkStart w:id="42" w:name="page43"/>
    <w:bookmarkEnd w:id="42"/>
    <w:p>
      <w:pPr>
        <w:jc w:val="both"/>
        <w:ind w:left="820"/>
        <w:spacing w:after="0" w:line="286" w:lineRule="auto"/>
        <w:rPr>
          <w:sz w:val="20"/>
          <w:szCs w:val="20"/>
          <w:color w:val="auto"/>
        </w:rPr>
      </w:pPr>
      <w:r>
        <w:rPr>
          <w:rFonts w:ascii="Arial" w:cs="Arial" w:eastAsia="Arial" w:hAnsi="Arial"/>
          <w:sz w:val="17"/>
          <w:szCs w:val="17"/>
          <w:color w:val="auto"/>
        </w:rPr>
        <w:t>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66" w:lineRule="exact"/>
        <w:rPr>
          <w:sz w:val="20"/>
          <w:szCs w:val="20"/>
          <w:color w:val="auto"/>
        </w:rPr>
      </w:pPr>
    </w:p>
    <w:p>
      <w:pPr>
        <w:jc w:val="both"/>
        <w:ind w:left="820" w:hanging="650"/>
        <w:spacing w:after="0" w:line="290"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September 24, 2019, through a wholly-owned subsidiary, we acquired 100 percent of the outstanding stock of Peak Resorts, Inc. (“Peak Resorts”) at a purchase price of $11.00 per share or approximately $265 million. Through the acquisition we added 17 U.S. ski areas to our network of resorts located near major metropolitan areas including New York, Boston, Washington D.C., Baltimore, Philadelphia, Cleveland, St. Louis, Kansas City, and Louisville. The ski areas owned by Peak Resorts offer a breadth of activities, services and amenities, including skiing, snowboarding, terrain parks, tubing, dining, lodging, equipment rentals and sales, ski and snowboard instruction, mountain biking, golf and other summer activities. We funded the cash purchase price through incremental term loan borrowings, as discussed above, in conjunction with our September 23, 2019 amendment of the Vail Holdings Credit Agreement. We expect that the acquisition of Peak Resorts will positively contribute to our results of operations; however, we cannot predict the ultimate impact the new resorts will have on our future results of operations.</w:t>
      </w:r>
    </w:p>
    <w:p>
      <w:pPr>
        <w:spacing w:after="0" w:line="166" w:lineRule="exact"/>
        <w:rPr>
          <w:rFonts w:ascii="Arial" w:cs="Arial" w:eastAsia="Arial" w:hAnsi="Arial"/>
          <w:sz w:val="16"/>
          <w:szCs w:val="16"/>
          <w:color w:val="auto"/>
        </w:rPr>
      </w:pPr>
    </w:p>
    <w:p>
      <w:pPr>
        <w:jc w:val="both"/>
        <w:ind w:left="820" w:hanging="650"/>
        <w:spacing w:after="0" w:line="25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April 4, 2019, through a wholly-owned subsidiary, we acquired ski field leases and related infrastructure used to operate two resorts in Victoria, Australia. We acquired Australian Alpine Enterprises Holdings Pty. Ltd and all related corporate entities that operate the Falls Creek and Hotham resorts from Living and Leisure Australia Group, a subsidiary of Merlin Entertainments, for a purchase price of approximately AU$178.9 million ($127.4 million), after adjustments for certain agreed-upon terms, including an increase in the purchase price for operating losses incurred for the period from December 29, 2018 through closing. The acquisition included the ski school, retail/rental, reservation and property management operations at both resort areas and we funded the cash purchase price through cash on-hand. We expect that the acquisition of Falls Creek and Hotham will positively contribute to our results of operations; however, we cannot predict the ultimate impact the new resorts will have on our future results of operations.</w:t>
      </w:r>
    </w:p>
    <w:p>
      <w:pPr>
        <w:spacing w:after="0" w:line="192" w:lineRule="exact"/>
        <w:rPr>
          <w:rFonts w:ascii="Arial" w:cs="Arial" w:eastAsia="Arial" w:hAnsi="Arial"/>
          <w:sz w:val="18"/>
          <w:szCs w:val="18"/>
          <w:color w:val="auto"/>
        </w:rPr>
      </w:pPr>
    </w:p>
    <w:p>
      <w:pPr>
        <w:jc w:val="both"/>
        <w:ind w:left="820" w:hanging="650"/>
        <w:spacing w:after="0" w:line="287"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August 15, 2018, through a wholly-owned subsidiary, we acquired Stevens Pass Resort in the State of Washington from Ski Resort Holdings, LLC for a total purchase price of $64.0 million. We borrowed $70.0 million on August 15, 2018 under the term loan of our Vail Holdings Credit Agreement, as discussed above, primarily to fund the acquisition of Stevens Pass. Additionally, on September 27, 2018, we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satisfy the remaining obligations for the leases that all three resorts had with Ski Resort Holdings, with funds provided by us. Accordingly, the total purchase price, including the repayment of lease obligations, was $229.1 million, for which we utilized cash on hand and borrowed $195.6 million under the term loan of our Vail Holdings Credit Agreement to fund the transaction and associated acquisition related expenses. We expect that the acquisitions of Stevens Pass and Triple Peaks will positively contribute to our results of operations; however, we cannot predict whether we will realize all of the synergies expected from the operations of Stevens Pass and Triple Peaks and the ultimate impact the new resorts will have on our future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Shown below is a summary of operating results for Fiscal 2019, Fiscal 2018 and Fiscal 2017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Year Ended July 31,</w:t>
            </w: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1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678,594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591,605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566,338</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28,100</w:t>
            </w:r>
          </w:p>
        </w:tc>
        <w:tc>
          <w:tcPr>
            <w:tcW w:w="2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25,006</w:t>
            </w:r>
          </w:p>
        </w:tc>
        <w:tc>
          <w:tcPr>
            <w:tcW w:w="5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27,087</w:t>
            </w:r>
          </w:p>
        </w:tc>
      </w:tr>
      <w:tr>
        <w:trPr>
          <w:trHeight w:val="27"/>
        </w:trPr>
        <w:tc>
          <w:tcPr>
            <w:tcW w:w="4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21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706,694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616,611</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593,425</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Reported EBITDA</w:t>
            </w:r>
          </w:p>
        </w:tc>
        <w:tc>
          <w:tcPr>
            <w:tcW w:w="2100" w:type="dxa"/>
            <w:vAlign w:val="bottom"/>
            <w:tcBorders>
              <w:top w:val="single" w:sz="8" w:color="auto"/>
            </w:tcBorders>
            <w:gridSpan w:val="2"/>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21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398,965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340,092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348,449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1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301,163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379,898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210,553</w:t>
            </w:r>
          </w:p>
        </w:tc>
      </w:tr>
      <w:tr>
        <w:trPr>
          <w:trHeight w:val="702"/>
        </w:trPr>
        <w:tc>
          <w:tcPr>
            <w:tcW w:w="474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A discussion of segment results, including reconciliations of segment Reported EBITDA to net income attributable to Vail Resorts, Inc., and other items can be found below.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sections titled “Fiscal 2019 compared to Fiscal 2018” and “Fiscal 2018 compared to Fiscal 2017” in each of the Mountain and Lodging segment discussions below provide comparisons of financial and operating performance for Fiscal 2019 to Fiscal 2018 and Fiscal 2018 to Fiscal 2017, respectively, unless otherwise noted. The operating results reported above do not include any results from the Peak Resorts acquisition as the closing of that transaction occurred on September 24, 2019, and the results of those operations will be reflected prospectively from the closing date in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Mountain segment operating results for Fiscal 2019, Fiscal 2018 and Fiscal 2017 are presented by category as follows (in thousands, except ETP):</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Ended July 31,</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2019/2018</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2018/2017</w:t>
            </w:r>
          </w:p>
        </w:tc>
      </w:tr>
      <w:tr>
        <w:trPr>
          <w:trHeight w:val="27"/>
        </w:trPr>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1,033,234</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880,293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818,341</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17.4 %</w:t>
            </w:r>
          </w:p>
        </w:tc>
        <w:tc>
          <w:tcPr>
            <w:tcW w:w="12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215,060</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189,910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177,748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13.2 %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181,837</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161,402</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150,587</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12.7 %</w:t>
            </w:r>
          </w:p>
        </w:tc>
        <w:tc>
          <w:tcPr>
            <w:tcW w:w="120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320,267</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296,466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293,428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205,803</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194,851</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171,682</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5.6 %</w:t>
            </w:r>
          </w:p>
        </w:tc>
        <w:tc>
          <w:tcPr>
            <w:tcW w:w="120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7"/>
        </w:trPr>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1,956,201</w:t>
            </w: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1,722,922</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1,611,786</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13.5 %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169"/>
        </w:trPr>
        <w:tc>
          <w:tcPr>
            <w:tcW w:w="34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507,811</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443,891</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403,020</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14.4 %</w:t>
            </w:r>
          </w:p>
        </w:tc>
        <w:tc>
          <w:tcPr>
            <w:tcW w:w="120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111,198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112,902</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9.2 %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Resort related fees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96,240</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87,111</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83,503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10.5 %</w:t>
            </w:r>
          </w:p>
        </w:tc>
        <w:tc>
          <w:tcPr>
            <w:tcW w:w="12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233,159</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214,090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199,582</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8.9 %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320,915</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276,550</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248,324</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16.0 %</w:t>
            </w:r>
          </w:p>
        </w:tc>
        <w:tc>
          <w:tcPr>
            <w:tcW w:w="120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1,279,567</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1,132,840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1,047,331</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13.0 %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1,960</w:t>
            </w:r>
          </w:p>
        </w:tc>
        <w:tc>
          <w:tcPr>
            <w:tcW w:w="4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1,523</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28.7 %</w:t>
            </w: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678,594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591,605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566,338</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14.7 %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3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14,998</w:t>
            </w:r>
          </w:p>
        </w:tc>
        <w:tc>
          <w:tcPr>
            <w:tcW w:w="4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12,345</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9"/>
                <w:szCs w:val="19"/>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21.5 %</w:t>
            </w: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71.31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3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$16.5 million, $15.7 million and $15.0 million of stock-based compensation expense for Fiscal 2019, Fiscal 2018 and Fiscal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Fiscal 2018</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results reflect an increase in Mountain Reported EBITDA of $87.0 million, or 14.7%, primarily as a result of strong North American pass sales growth for the 2018/2019 North American ski season, strong growth in visitation and spending at our western U.S. resorts and the incremental operations of Stevens Pass, Triple Peaks and Falls Creek/Hotham (acquired in August 2018, September 2018 and April 2019, respectively). Although our Destination guest visitation was less than expected in the pre-holiday period, results from the key holiday weeks through the spring were largely in line with our original expectations, which, when combined with incremental skier visits from Stevens Pass, Triple Peaks and Falls Creek/Hotham, resulted in an increase in total skier visitation of 21.5%. Operating results from Whistler Blackcomb and Perisher, which are translated from Canadian dollars and Australian dollars, respectively, to U.S. dollars, were adversely affected by a decrease in the Canadian and Australian dollar exchange rates relative to the U.S. dollar as compared to prior year, resulting in a decline in Mountain Reported EBITDA of approximately $8 million, which the Company calculated on a constant currency basis by applying current period foreign exchange rates to the prior period results. Additionally, Fiscal 2019 and Fiscal 2018 results include $16.4 million and $10.2 million of acquisition and integration related expenses, respectively.</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017" w:right="239" w:bottom="1440" w:gutter="0" w:footer="0" w:header="0"/>
          <w:type w:val="continuous"/>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Lift revenue increased $152.9 million, or 17.4%, due to increases in both pass revenue and non-pass revenue, as well as incremental revenue from Triple Peaks, Stevens Pass, Falls Creek and Hotham. Pass revenue increased 16.8%, which was driven by a combination of an increase in pricing and units sold and was also favorably impacted by increased pass sales to Destination guests as well as military guests through the introduction of the Military Epic Pass. Non-pass revenue increased 17.9% primarily due to incremental non-pass skier visitation at Triple Peaks, Stevens Pass, Falls Creek and Hotham, and increased non-pass visitation at our western U.S. resorts, which benefited from improved conditions as compared to the prior year and an increase in total non-pass ETP of 4.9%. Total ETP decreased $2.42, or 3.4%, primarily due to higher skier visitation by season pass holders, lower ETP from the acquired Triple Peaks, Stevens Pass, Falls Creek and Hotham resorts and the new Military Epic Pass, partially offset by price increases in both our lift ticket and pass products.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Ski school revenue increased $25.2 million, or 13.2%, and dining revenue increased $20.4 million, or 12.7%, primarily as a result of incremental revenue at Triple Peaks, Stevens Pass, Falls Creek and Hotham and increased revenue at our other U.S. resorts primarily as a result of higher skier visitation.</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Retail/rental revenue increased $23.8 million, or 8.0%, of which retail revenue increased $13.6 million, or 6.7%, and rental revenue increased $10.2 million, or 11.0%. The increase in both retail revenue and rental revenue was primarily attributable to higher sales volumes at stores proximate to our western U.S. resorts and other stores in Colorado, as well as incremental revenue from Triple Peaks, Stevens Pass, Falls Creek and Hotham. These increases were partially offset by removing the low-margin golf product line from our Colorado city stores, store closures and a decrease in sales at Whistler Blackcomb.</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resort lodging and transportation revenue. For Fiscal 2019, other revenue increased $11.0 million, or 5.6%, primarily attributable to incremental revenue from Triple Peaks, Stevens Pass, Falls Creek and Hotham, as well as increases in marketing revenue and mountain activities and services revenue.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increased $146.7 million, or 13.0%, which was primarily attributable to the inclusion of Triple Peaks, Stevens Pass, Falls Creek and Hotham, whose operating expenses were recorded prospectively from their respective dates of acquisition. Additionally, operating expense includes $16.4 million and $10.2 million of acquisition and integration related expenses for Fiscal 2019 and Fiscal 2018, respectively.</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and labor-related benefits increased 14.4% primarily due to incremental labor expenses from Triple Peaks, Stevens Pass, Falls Creek and Hotham and increased staffing levels at our western U.S. resorts as compared to the prior year due to historic low snowfall during the prior year period, as well as wage increases associated with our minimum wage initiatives, which were in excess of our historical minimum wage increases, and higher variable compensation accruals. Retail cost of sales increased 9.2% compared to an increase in retail sales of 6.7%. Resort related fees increased 10.5% primarily due to incremental expenses from Triple Peaks and Stevens Pass as well as increases in revenue on which those fees are based. General and administrative expense increased 8.9% primarily due to incremental expenses from Triple Peaks, Stevens Pass, Falls Creek and Hotham, an increase in variable compensation accruals and an increase in allocated corporate overhead costs primarily associated with marketing and information technology. Other expense increased 16.0% primarily due to incremental expenses from Triple Peaks, Stevens Pass, Falls Creek and Hotham, as well as increases in season pass alliance expense, acquisition and integration related expenses, employee housing expense, fuel expense and rent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compared to Fiscal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reflected an increase in Mountain Reported EBITDA of $25.3 million, or 4.5%, primarily as a result of strong North American pass sales growth for the 2017/2018 North American ski season and the incremental operations of Stowe (acquired in June 2017). Our results across all lines of business at our western U.S. resorts during Fiscal 2018 were impacted by challenging ski conditions as a result of historically low snowfall for the first half of the 2017/2018 ski season, although conditions progressively improved during the third quarter of Fiscal 2018. Total skier visitation increased 2.5%, which was primarily the result of incremental skier visitation at Stowe and an increase in skier visitation at Whistler Blackcomb and Perisher, partially offset by lower skier visitation to our western U.S. resorts. The Fiscal 2018 and Fiscal 2017 results included $10.2 million and $10.8 million of acquisition and integration related expenses,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16" w:right="239" w:bottom="1440" w:gutter="0" w:footer="0" w:header="0"/>
        </w:sectPr>
      </w:pPr>
    </w:p>
    <w:bookmarkStart w:id="45" w:name="page46"/>
    <w:bookmarkEnd w:id="45"/>
    <w:p>
      <w:pPr>
        <w:jc w:val="both"/>
        <w:spacing w:after="0" w:line="293" w:lineRule="auto"/>
        <w:rPr>
          <w:sz w:val="20"/>
          <w:szCs w:val="20"/>
          <w:color w:val="auto"/>
        </w:rPr>
      </w:pPr>
      <w:r>
        <w:rPr>
          <w:rFonts w:ascii="Arial" w:cs="Arial" w:eastAsia="Arial" w:hAnsi="Arial"/>
          <w:sz w:val="16"/>
          <w:szCs w:val="16"/>
          <w:color w:val="auto"/>
        </w:rPr>
        <w:t>Lift revenue increased $62.0 million, or 7.6%, primarily due to an increase in pass revenue and incremental revenue from Stowe. Pass revenue increased 17.7%, which was driven by a combination of an increase in both pricing and units sold, which was favorably impacted by increased pass sales to Destination guests. Non-pass revenue was flat, which was primarily the result of incremental non-pass revenue from Stowe and an increase in non-pass revenue from Whistler Blackcomb, as well as an increase in ETP excluding season pass holders of 2.4%, offset by a decrease in non-pass skier visitation at our western U.S. resorts. Total ETP increased $3.38, or 5.0%, primarily due to price increases in both our lift ticket products and pass products and slightly lower average visitation by pass product holders during the 2017/2018 North American ski season as compared with the 2016/2017 North American ski season.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Ski school revenue increased $12.2 million, or 6.8%, primarily as a result of increased revenue at Whistler Blackcomb and Park City, as well as incremental revenue from Stowe. Dining revenue increased $10.8 million, or 7.2%, primarily as a result of incremental revenue from Stowe and increased revenue from Whistler Blackcomb, reflecting a full year of operations as compared to Fiscal 2017, which included operations from the date of acquisition, October 17, 2016, through July 31, 2017. However, these increases were partially offset by lower revenue at our western U.S. resorts, which experienced delays in the opening of certain on-mountain dining venues as a result of challenging weather conditions for the first half of the 2017/2018 North American ski season.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Retail/rental revenue increased $3.0 million, or 1.0%, of which rental revenue increased $2.9 million, or 3.2%, and retail revenue was relatively flat. Both rental and retail revenue were positively impacted by an increase in revenue at Whistler Blackcomb and incremental revenue from Stowe, partially offset by decreased revenue at stores proximate to our western U.S. resorts and other city stores.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Fiscal 2018, other revenue increased $23.2 million, or 13.5%, primarily attributable to incremental summer activities and events revenue at Whistler Blackcomb and the inclusion of Stowe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for Fiscal 2018 increased $85.5 million, or 8.2%, which was primarily attributable to the inclusion of Stowe operations and incremental operating expenses from Whistler Blackcomb as a result of reflecting a full year of operations as compared to Fiscal 2017, which included operations from the date of acquisition, October 17, 2016, through July 31,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and labor-related benefits increased 10.1% primarily due to incremental expense from Whistler Blackcomb and Stowe, as well as normal wage adjustments, partially offset by lower performance-based variable compensation. Resort related fees increased 4.3% primarily due to higher revenue on which those fees are based and incremental expenses from Stowe. General and administrative expense increased 7.3% due to higher corporate overhead costs, including incremental expenses from Stowe, partially offset by lower estimated performance-based variable compensation. Other expense increased 11.4% primarily due to incremental expenses from Whistler Blackcomb and Stowe, as well as increases in repairs and maintenance expense, utilities expense (primarily related to increased snowmaking operations), food and beverage cost of sales commensurate with increases in dining revenue and property taxes, partially offset by a decrease in rent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1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Lodging segment operating results for Fiscal 2019, Fiscal 2018 and Fiscal 2017 are presented by category as follows (in thousands, except ADR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Ended July 31,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2019/2018</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2018/2017</w:t>
            </w:r>
          </w:p>
        </w:tc>
      </w:tr>
      <w:tr>
        <w:trPr>
          <w:trHeight w:val="27"/>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64,826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65,252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63,939</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(0.7)%</w:t>
            </w:r>
          </w:p>
        </w:tc>
        <w:tc>
          <w:tcPr>
            <w:tcW w:w="12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70,198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65,694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Dining</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53,730</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48,554</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48,449</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10.7 %</w:t>
            </w:r>
          </w:p>
        </w:tc>
        <w:tc>
          <w:tcPr>
            <w:tcW w:w="12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21,111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22,173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Golf</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19,648</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18,110</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17,837</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8.5 %</w:t>
            </w:r>
          </w:p>
        </w:tc>
        <w:tc>
          <w:tcPr>
            <w:tcW w:w="12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54,617</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47,577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46,238</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7"/>
        </w:trPr>
        <w:tc>
          <w:tcPr>
            <w:tcW w:w="3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300,332</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270,802</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264,330</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10.9 %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14,330</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13,841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14,184</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3.5 %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314,662</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284,643</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278,514</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10.5 %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135,940</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121,733</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117,183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11.7 %</w:t>
            </w:r>
          </w:p>
        </w:tc>
        <w:tc>
          <w:tcPr>
            <w:tcW w:w="12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37,716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37,217</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9.4 %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95,036</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86,347</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82,843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10.1 %</w:t>
            </w:r>
          </w:p>
        </w:tc>
        <w:tc>
          <w:tcPr>
            <w:tcW w:w="12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272,232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245,796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237,243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14,330</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13,841</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3.5 %</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286,562</w:t>
            </w: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259,637</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251,427</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10.4 %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5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28,100</w:t>
            </w:r>
          </w:p>
        </w:tc>
        <w:tc>
          <w:tcPr>
            <w:tcW w:w="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25,006</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27,087</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12.4 %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3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ADR</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256.50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250.50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2.4 %</w:t>
            </w:r>
          </w:p>
        </w:tc>
        <w:tc>
          <w:tcPr>
            <w:tcW w:w="12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3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173.34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324.34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336.29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RevPar</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116.26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(7.4)%</w:t>
            </w:r>
          </w:p>
        </w:tc>
        <w:tc>
          <w:tcPr>
            <w:tcW w:w="12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Owned hotel and managed condominium</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32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statistics (combined)</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ADR</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300.47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300.90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302.80</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3240" w:type="dxa"/>
            <w:vAlign w:val="bottom"/>
          </w:tcPr>
          <w:p>
            <w:pPr>
              <w:ind w:left="380"/>
              <w:spacing w:after="0"/>
              <w:rPr>
                <w:sz w:val="20"/>
                <w:szCs w:val="20"/>
                <w:color w:val="auto"/>
              </w:rPr>
            </w:pPr>
            <w:r>
              <w:rPr>
                <w:rFonts w:ascii="Arial" w:cs="Arial" w:eastAsia="Arial" w:hAnsi="Arial"/>
                <w:sz w:val="18"/>
                <w:szCs w:val="18"/>
                <w:color w:val="auto"/>
              </w:rPr>
              <w:t>RevPar</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121.81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131.08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127.95</w:t>
            </w:r>
          </w:p>
        </w:tc>
        <w:tc>
          <w:tcPr>
            <w:tcW w:w="100" w:type="dxa"/>
            <w:vAlign w:val="bottom"/>
          </w:tcPr>
          <w:p>
            <w:pPr>
              <w:spacing w:after="0"/>
              <w:rPr>
                <w:sz w:val="23"/>
                <w:szCs w:val="23"/>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(7.1)%</w:t>
            </w:r>
          </w:p>
        </w:tc>
        <w:tc>
          <w:tcPr>
            <w:tcW w:w="1200" w:type="dxa"/>
            <w:vAlign w:val="bottom"/>
          </w:tcPr>
          <w:p>
            <w:pPr>
              <w:jc w:val="right"/>
              <w:spacing w:after="0"/>
              <w:rPr>
                <w:sz w:val="20"/>
                <w:szCs w:val="20"/>
                <w:color w:val="auto"/>
              </w:rPr>
            </w:pPr>
            <w:r>
              <w:rPr>
                <w:rFonts w:ascii="Arial" w:cs="Arial" w:eastAsia="Arial" w:hAnsi="Arial"/>
                <w:sz w:val="18"/>
                <w:szCs w:val="18"/>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firstLine="8"/>
        <w:spacing w:after="0" w:line="273" w:lineRule="auto"/>
        <w:tabs>
          <w:tab w:leader="none" w:pos="145" w:val="left"/>
        </w:tabs>
        <w:numPr>
          <w:ilvl w:val="0"/>
          <w:numId w:val="40"/>
        </w:numPr>
        <w:rPr>
          <w:rFonts w:ascii="Arial" w:cs="Arial" w:eastAsia="Arial" w:hAnsi="Arial"/>
          <w:sz w:val="9"/>
          <w:szCs w:val="9"/>
          <w:color w:val="auto"/>
        </w:rPr>
      </w:pPr>
      <w:r>
        <w:rPr>
          <w:rFonts w:ascii="Arial" w:cs="Arial" w:eastAsia="Arial" w:hAnsi="Arial"/>
          <w:sz w:val="14"/>
          <w:szCs w:val="14"/>
          <w:color w:val="auto"/>
        </w:rPr>
        <w:t>Owned hotel and managed condominium statistics (combined) for Fiscal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Lodging Reported EBITDA includes $3.2 million of stock-based compensation expense for each of Fiscal 2019, Fiscal 2018 and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Lodging Reported EBITDA for Fiscal 2019 increased $3.1 million, or 12.4%, primarily due to the incremental operations of Triple Peaks.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from managed condominium rooms increased $16.1 million, or 22.8%, primarily due to incremental revenue from Okemo and Crested Butte, as well as revenue from incremental managed Tahoe lodging properties that we did not manage in the prior year. Dining revenue increased $5.2 million, or 10.7%, primarily due to incremental revenue from our Okemo and Crested Butte lodging properties and an increase in dining revenue at our Park City lodging properties. Golf revenue increased $1.5 million, or 8.5%, primarily due to incremental revenue from our golf courses at Okemo, as well as higher revenue at our golf courses in Beaver Creek and at GTLC. Other revenue increased $7.0 million, or 14.8%, primarily due to an increase in allocated corporate</w:t>
      </w:r>
    </w:p>
    <w:p>
      <w:pPr>
        <w:sectPr>
          <w:pgSz w:w="11900" w:h="16838" w:orient="portrait"/>
          <w:cols w:equalWidth="0" w:num="1">
            <w:col w:w="11420"/>
          </w:cols>
          <w:pgMar w:left="240" w:top="1017"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017" w:right="239" w:bottom="1440" w:gutter="0" w:footer="0" w:header="0"/>
          <w:type w:val="continuous"/>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revenue, incremental revenue from our lodging properties at Okemo and Crested Butte, a business interruption insurance recovery related to a closed event facility in Breckenridge and increases in ancillary revenue.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 (excluding reimbursed payroll costs) increased 10.8%. Labor and labor-related benefits increased 11.7%, primarily due to incremental labor expenses from Okemo, Crested Butte and the incremental managed Tahoe lodging properties that we did not manage in the prior year, as well as wage increases associated with our minimum wage initiatives, which were in excess of our historical minimum wage increases. General and administrative expense increased 9.4% due to higher corporate overhead costs. Other expense increased 10.1% primarily due to incremental expenses from Okemo and Crested Butte, as well as an increase in variable operating expenses associated with increases in revenue.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compared to Fiscal 2017</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for Fiscal 2018 decreased $2.1 million, or 7.7% primarily due to general cost increases and a one-time benefit recorded in Fiscal 2017 for association fees with respect to a lodging property at Park City.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owned hotel rooms increased $1.3 million, or 2.1%, primarily due to an increase in occupancy at Flagg Ranch, which incurred an early closure in Fiscal 2017 as a result of a forest fire in Grand Teton National Park, as well as an increase in revenue at GTLC, partially offset by decreased revenue at our owned Colorado lodging properties as a result of lower winter visitation. Revenue from managed condominium rooms increased $4.5 million, or 6.9%, primarily due to increased revenue at our Colorado managed properties as a result of increased demand, partially offset by a decrease in ADR, as well as incremental revenue from a Park City lodging property which was temporally closed for renovations in the prior year. Additionally, managed condominium rooms revenue was positively impacted by incremental revenue at Whistler Blackcomb.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Transportation revenue decreased $1.1 million, or 4.8%, primarily due to decreased passenger volume. Other revenue increased $1.3 million, or 2.9%, primarily due to increases in conference services revenue and ancillary revenue, partially offset by a business interruption insurance recovery recorded in Fiscal 2017 related to the early closure of our Flagg Ranch property in September 2016, as discussed above.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$8.6 million, or 3.6%. Labor and labor-related benefits increased $4.6 million, or 3.9%, primarily resulting from higher labor expense for Park City and Flagg Ranch, which were both closed for a portion of the prior year period, incremental expenses from Whistler Blackcomb and normal wage increases, partially offset by lower performance-based variable compensation. Other expense increased $3.5 million, or 4.2%, primarily due to a one-time benefit for association fees with respect to a lodging property at Park City that was recorded in Fiscal 2017, as well as increases in variable operating expenses and an increase in property taxes.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Real Estate segment operating results for Fiscal 2019, Fiscal 2018 and Fiscal 2017 are presented by category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July 31,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2019/2018</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2018/2017</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3,988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16,918</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37"/>
        </w:trPr>
        <w:tc>
          <w:tcPr>
            <w:tcW w:w="3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sales (including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3,927</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(99.7)%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5,596</w:t>
            </w:r>
          </w:p>
        </w:tc>
        <w:tc>
          <w:tcPr>
            <w:tcW w:w="4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1,568.8 %</w:t>
            </w: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5,609</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3,546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58.2 %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Gain on sale of real property</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12.6 %</w:t>
            </w: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(351.1)%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339.8 %</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closed on two land sales during the third quarter of Fiscal 2019 with third party developers at Keystone (One River Run site) and Breckenridge (East Peak 8 site) for proceeds of approximately $16.0 million, including $4.8 million associated with the sale of density for the Breckenridge property. The land parcel sales were accounted for as financing arrangements as a result of the Company’s continuing involvement with the underlying assets that were sold, including but not limited to, the obligation to repurchase finished commercial space from the development projects upon completion. As a result, the estimated gain of $3.6 million associated with the East Peak 8 site and the estimated loss of $3.2 million associated with the One River Run site will be deferred until the Company no longer maintains continuing involvement. Additionally, the Company’s future obligation to repurchase finished commercial space in the two completed projects, as well as other related capital spending, will result in total estimated capital expenditures of up to approximately $9.5 million in future fiscal years.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net operating expense of $5.6 million was primarily comprised of general and administrative costs, such as labor and labor-related benefits, professional services and allocated corporate overhead costs. Real Estate Reported EBITDA also included a gain on sale of real property of $0.6 million for the sale of land parcels.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we closed on the sales of development land parcels for $3.5 million which were recorded within Real Estate net revenue.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net operating expense included the recognition of a $5.5 million benefit (non-cash in the period) related to a legal 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professional services and allocated corporate costs. Real Estate Reported EBITDA also included a gain on sale of real property of $0.5 million for the sale of a land parcel.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Estate segment net revenue was primarily driven by the closing of four condominium units at The Ritz-Carlton Residences, Vail ($13.6 million of revenue with an average selling price of $3.4 million and an average price per square foot of $1,345) and two condominium units at One Ski Hill Place in Breckenridge ($2.3 million of revenue with an average sales price of $1.1 million and an average price per square foot of $983). The average price per square foot of both of these projects is driven by their premier locations and the comprehensive and exclusive amenities related to these projects. All remaining condominium units were sold in Fiscal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 included cost of sales of $13.4 million resulting from the closing of four condominium units at The Ritz-Carlton Residences, Vail (average cost per square foot of $1,131) and two condominium units at One Ski Hill Place (average cost per square foot of $838). Additionally, sales commissions of approximately $1.0 million were incurred commensurate with revenue recognized. Other operating expense of $9.5 million was primarily comprised of a $4.3 million one-time charge related to the resolution of a financial contingency to the Town of Vail for incremental parking capacity, as well as general and administrative costs, which includes marketing expense for the real estate available for sale, carrying costs for units available for sale and overhead costs, such as labor and labor-related benefits, professional services and allocated corporate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7"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In addition, we recorded a gain on sale of real property of $6.5 million for a land parcel in Breckenridge which sold for $9.3 million during Fiscal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items contributed to our overall financial position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July 31,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1"/>
              </w:rPr>
              <w:t>Percentage Increase/(Decrease)</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2019/2018</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2018/2017</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(218,117)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(16,300)</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(389.5)%</w:t>
            </w:r>
          </w:p>
        </w:tc>
        <w:tc>
          <w:tcPr>
            <w:tcW w:w="1220" w:type="dxa"/>
            <w:vAlign w:val="bottom"/>
          </w:tcPr>
          <w:p>
            <w:pPr>
              <w:jc w:val="right"/>
              <w:spacing w:after="0"/>
              <w:rPr>
                <w:sz w:val="20"/>
                <w:szCs w:val="20"/>
                <w:color w:val="auto"/>
              </w:rPr>
            </w:pPr>
            <w:r>
              <w:rPr>
                <w:rFonts w:ascii="Arial" w:cs="Arial" w:eastAsia="Arial" w:hAnsi="Arial"/>
                <w:sz w:val="18"/>
                <w:szCs w:val="18"/>
                <w:color w:val="auto"/>
              </w:rPr>
              <w:t>111.4 %</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3,086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58.7 %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(79,496)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(54,089)</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25.7 %</w:t>
            </w:r>
          </w:p>
        </w:tc>
        <w:tc>
          <w:tcPr>
            <w:tcW w:w="122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68.2 %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benefit from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(75,472)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61,138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(116,731)</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223.4 %</w:t>
            </w:r>
          </w:p>
        </w:tc>
        <w:tc>
          <w:tcPr>
            <w:tcW w:w="1220" w:type="dxa"/>
            <w:vAlign w:val="bottom"/>
          </w:tcPr>
          <w:p>
            <w:pPr>
              <w:jc w:val="right"/>
              <w:spacing w:after="0"/>
              <w:rPr>
                <w:sz w:val="20"/>
                <w:szCs w:val="20"/>
                <w:color w:val="auto"/>
              </w:rPr>
            </w:pPr>
            <w:r>
              <w:rPr>
                <w:rFonts w:ascii="Arial" w:cs="Arial" w:eastAsia="Arial" w:hAnsi="Arial"/>
                <w:sz w:val="18"/>
                <w:szCs w:val="18"/>
                <w:color w:val="auto"/>
              </w:rPr>
              <w:t>(152.4)%</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for Fiscal 2019 and Fiscal 2018 increased over the applicable prior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assets acquired in the Stevens Pass, Triple Peaks, Falls Creek and Hotham acquisitions (each acquired in Fiscal 2019), in addition to assets acquired in the Stowe acquisition (acquired in Fiscal 2017) and discretionary capital projects completed at our resorts in each fiscal year.</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Change in fair value of contingent consideration</w:t>
      </w:r>
      <w:r>
        <w:rPr>
          <w:rFonts w:ascii="Arial" w:cs="Arial" w:eastAsia="Arial" w:hAnsi="Arial"/>
          <w:sz w:val="17"/>
          <w:szCs w:val="17"/>
          <w:color w:val="auto"/>
        </w:rPr>
        <w:t>. We recorded a loss of $5.4 million during Fiscal 2019 primarily related to the estimated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payment for Fiscal 2019. We recorded a gain of $1.9 million during Fiscal 2018 primarily related to a decrease in the estimated Contingent Consideration payment for Fiscal 2018. A loss of $16.3 million was recorded during Fiscal 2017 related to an increase in the estimated fair value of the future participating contingent payments under the lease for Park City. The fair value of contingent consideration is based on assumptions for EBITDA of Park City in future periods, as calculated under the lease on which participating payments are determined. The estimated fair value of the contingent consideration was $27.2 million and $21.9 million as of July 31, 2019 and 2018,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for Fiscal 2017 included various nonrecurring transactions, including a $3.4 million gain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on short-term foreign currency forward contracts that were entered into in conjunction with funding the cash consideration required for the Whistler Blackcomb acquisition, a $0.9 million gain recorded for the sale of a lodging property and a $0.8 million non-cash gain recognized on an investment in Whistler Blackcomb shares that were held prior to the acquisition.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Fiscal 2019 increased compared to Fiscal 2018 primarily due to interest expense associated with incremental</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 borrowings under the Vail Holdings Credit Agreement of $265.6 million during Fiscal 2019, which were used to fund the Stevens Pass and Triple Peaks acquisitions in August 2018 and September 2018, respectively, as well as an increase in interest rates. Interest expense, net for Fiscal 2018 increased compared to Fiscal 2017 primarily due to interest expense associated with incremental term loan borrowings under the Vail Holdings Credit Agreement of $509.4 million during Fiscal 2017, which were used to fund the cash consideration portion of the Whistler Blackcomb acquisition in October 2016, in addition to the Whistler Credit Agreement which was assumed as part of the Whistler Blackcomb acquisition, and an increase in interest rates.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Foreign currency (loss) gain on intercompany loans. </w:t>
      </w:r>
      <w:r>
        <w:rPr>
          <w:rFonts w:ascii="Arial" w:cs="Arial" w:eastAsia="Arial" w:hAnsi="Arial"/>
          <w:sz w:val="17"/>
          <w:szCs w:val="17"/>
          <w:color w:val="auto"/>
        </w:rPr>
        <w:t>Foreign currency (loss) gain on intercompany loans was associated with an intercompany loan from Vail</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(Provision) benefit from income taxes. </w:t>
      </w:r>
      <w:r>
        <w:rPr>
          <w:rFonts w:ascii="Arial" w:cs="Arial" w:eastAsia="Arial" w:hAnsi="Arial"/>
          <w:sz w:val="16"/>
          <w:szCs w:val="16"/>
          <w:color w:val="auto"/>
        </w:rPr>
        <w:t>Our effective tax rate (provision) benefit was (18.9%), 18.0%, and (33.5%) in Fiscal 2019, Fiscal 2018 and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2017, respectively. Our tax (provision) benefit and effective tax rate are driven primarily by the amount of pre-tax income, which is adjusted for items that are deductible or non-deductible for tax purposes only (i.e. permanent items), excess tax benefits from employee share awards, enacted tax legislation and taxable income generated by state and foreign jurisdictions that varies from the consolidated pre-tax income and the amount of net income attributable to noncontrolling interests. The increase in the effective tax rate provision during Fiscal 2019 compared to Fiscal 2018 was primarily due to a one-time, net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33" w:right="23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7"/>
          <w:szCs w:val="17"/>
          <w:color w:val="auto"/>
        </w:rPr>
        <w:t>tax benefit of $61.0 million recorded during Fiscal 2018 as a result of the Tax Act (discussed further below), as well as a reduction in excess tax benefits from employee share awards that were exercised (stock appreciation awards) and that vested (restricted stock awards), which are recorded within (provision) benefit from income taxes on the Company’s Consolidated Statements of Operations prospectively from August 1, 2017 as a result of accounting guidance that became effective for Fiscal 2018. As a result of adopting this guidance, we recorded $12.9 million and $71.1 million of excess tax benefits within (provision) benefit from income taxes on our Consolidated Statement of Operations for Fiscal 2019 and Fiscal 2018, respectively.</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The Tax Act transitioned the U.S. tax system to a new territorial system and lowered the statutory federal corporate income tax rate from 35% to 21%. The reduction of the statutory federal corporate tax rate to 21% became effective on January 1, 2018. As a result of the Tax Act, we recorded a one-time, net tax benefit of $61.0 million on our Consolidated Statement of Operations during Fiscal 2018. Due to the reduction in the federal corporate tax rate, we remeasured our U.S. net deferred tax liabilities as of the effective date of the Tax Act using the reduced statutory federal corporate income tax rate. The U.S. net deferred tax liabilities remeasurement resulted in a one-time tax benefit of $67.0 million, which was recognized as a discrete item and was recorded within (provision) benefit from income taxes on our Consolidated Statement of Operations during Fiscal 2018. Also, in transitioning to the new territorial tax system, the Tax Act requires us to include certain foreign earnings of non-U.S. subsidiaries in our taxable income. Such foreign earnings were subject to a one-time transition tax at the time of enactment of the Tax Act, which was $6.0 million and was recorded during Fiscal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segment Reported EBITDA to net income attributable to Vail Resorts, Inc. for Fiscal 2019, Fiscal 2018 and Fiscal 2017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678,594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591,605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28,100</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25,006</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27,087</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706,694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616,611</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(4,317)</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957</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702,377</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617,568</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(218,117)</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(204,462)</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(189,157)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1,854</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3,086</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(2,854)</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15,285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(79,496)</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(63,226)</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(54,089)</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(provision) benefit from income taxes</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398,965</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340,092</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348,449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from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(75,472)</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61,138</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(116,731)</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323,493</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401,230</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231,718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(22,330)</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(21,332)</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Vail Resorts, Inc.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301,163</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379,898</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210,553</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Net Debt (defined as long-term debt, net plus long-term debt due within one year less cash and cash equivalents) to long-term debt, net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July 31,</w:t>
            </w:r>
          </w:p>
        </w:tc>
        <w:tc>
          <w:tcPr>
            <w:tcW w:w="13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1,527,744</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1,234,277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48,516</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38,455</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1,576,260</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1,272,732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108,850</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178,145</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1,467,410</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1,094,587</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017"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and uses of cash for Fiscal 2019, Fiscal 2018 and Fiscal 2017 are presented by categories as follows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July 31,</w:t>
            </w:r>
          </w:p>
        </w:tc>
        <w:tc>
          <w:tcPr>
            <w:tcW w:w="94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634,231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548,486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470,983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(596,034)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(134,579)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(676,660)</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255,617</w:t>
            </w:r>
          </w:p>
        </w:tc>
      </w:tr>
      <w:tr>
        <w:trPr>
          <w:trHeight w:val="27"/>
        </w:trPr>
        <w:tc>
          <w:tcPr>
            <w:tcW w:w="7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lower cash available at our fiscal year-end (as well as at the end of our first fiscal quarter of each year) as compared to our second and third fiscal quarter-ends, primarily due to the seasonality of our Mountain segment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generated $634.2 million of cash from operating activities during Fiscal 2019, an increase of $85.7 million when compared to $548.5 million of cash generated during Fiscal 2018. The increase in operating cash flows was primarily a result of improved Mountain segment operating results in Fiscal 2019, including operating benefits from the recent acquisitions of Triple Peaks, Stevens Pass, Falls Creek and Hotham, as compared to Fiscal 2018. Additionally, the increase in operating cash flows was a result of an increase in accounts payable. These increases were partially offset by an increase in cash interest payments during Fiscal 2019 primarily associated with incremental term loan borrowings under our Vail Holdings Credit Agreement and an increase in estimated foreign tax payments.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for Fiscal 2019 increased by $461.5 million, primarily due to cash payments of $419.0 million, net of cash acquired, related to the acquisitions of Triple Peaks, Stevens Pass, Falls Creek and Hotham during Fiscal 2019 as well as an increase in capital expenditures of $51.4 million during Fiscal 2019 compared to Fiscal 2018.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financing activities decreased $251.2 million during Fiscal 2019 compared to Fiscal 2018, primarily due to proceeds from incremental borrowings under the term loan portion of our Vail Holdings Credit Agreement of $265.6 million during Fiscal 2019, which was used to fund the Triple Peaks and Stevens Pass acquisitions. In addition, cash used in financing activities benefited from (i) a reduction of $76.8 million for employee taxes related to exercises of share awards, (ii) a reduction of $26.9 million in net payments on borrowings under our Whistler Credit Agreement and (iii) $11.2 million of proceeds related to real estate sales transactions completed during Fiscal 2019, that are reflected as financing arrangements. These decreases in cash used in financing activities were partially offset by an increase in repurchases of common stock of $59.2 million, an increase in dividends paid of $56.4 million and payments for commitments in conjunction with the Canyons transaction of $9.5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generated $548.5 million of cash from operating activities during Fiscal 2018, an increase of $77.5 million when compared to $471.0 million of cash generated during Fiscal 2017. The increase in operating cash flows was primarily a result of improved Mountain segment operating results in Fiscal 2018, including operating benefits from the recent acquisitions of Stowe and Whistler Blackcomb, as compared to Fiscal 2017. Additionally, the increase in operating cash flows was a result of an increase in accounts payable and a decrease in estimated tax payments primarily as a result of an increase in excess tax benefits from employee share awards that vested (restricted stock awards) or were exercised (stock appreciation awards), as applicable, during Fiscal 2018 and the enactment of the Tax Act. These increases were partially offset by an increase in cash interest payments during Fiscal 2018 from incremental term loan borrowings under our Vail Holdings Credit Agreement and borrowings under the Whistler Credit Agreement. Additionally, we generated $3.3 million of proceeds from real estate development land parcel sales during Fiscal 2018 compared to $14.9 million in proceeds (net of sales commissions and deposits previously received) from real estate development project closings that occurred in Fiscal 2017.</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investing activities for Fiscal 2018 decreased by $542.1 million, primarily due to cash payments during Fiscal 2017 related to the acquisitions of Whistler Blackcomb for $506.2 million, net of cash acquired (cash portion of consideration), and Stowe for $40.7 million, as well as a decrease in capital expenditures of $3.8 million during Fiscal 2018 compared to Fiscal 2017, partially offset by a reduction in cash received from the sale of real property.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increased $606.3 million during Fiscal 2018, compared to Fiscal 2017, primarily due to the reduction of net proceeds from borrowings under our Vail Holdings Credit Agreement during Fiscal 2017, which was used to fund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2"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a portion of the cash consideration for the Whistler Blackcomb acquisition. Cash payments made on behalf of employees for taxes related to exercises of share awards increased $87.8 million and dividends paid increased $57.9 million during Fiscal 2018, compared to Fiscal 2017. Additionally, cash outflows related to repurchases of common stock in Fiscal 2018 increased by $25.6 million as compared to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$108.9 million of cash and cash equivalents as of July 31, 2019, compared to $178.1 million as of July 31, 2018. We generated $634.2 million of cash from operating activities during Fiscal 2019 compared to $548.5 million and $471.0 million generated during Fiscal 2018 and Fiscal 2017, respectively. We currently anticipate that our Mountain and Lodging segment operating results will continue to provide a significant source of future operating cash flows (primarily those generated in our second and third fiscal quarters).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our $108.9 million of cash and cash equivalents at July 31, 2019, we had $214.4 million available under the revolver component of our Vail Holdings Credit Agreement as of July 31, 2019 (which represents the total commitment of $500.0 million less outstanding borrowings of $208.0 million and certain letters of credit outstanding of $77.6 million). Also, to further support the liquidity needs of Whistler Blackcomb, we had C$239.1 million ($181.2 million) available under the revolver component of our Whistler Credit Agreement (which represents the total commitment of C$300.0 million ($227.3 million) less outstanding borrowings of C$60.0 million ($45.4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1.25% and Bankers Acceptance Rate plus 1.75%,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$139 million to $143 million on resort capital expenditures during calendar year 2019, excluding one-time items associated with integrations, the one-time Triple Peaks and Stevens Pass transformation plan, real estate related capital and reimbursable investments. We expect that our total calendar year 2019 capital plan will be approximately $190 million to $195 million, including items noted above for integration and acquisitions, real estate related projects and approximately $18 million of reimbursable investments associated with insurance recoveries and tenant improvements. Included in these estimated capital expenditures are approximately $85 million to $90 million of maintenance capital expenditures, which are necessary to maintain appearance and level of service appropriate to our resort operations. Discretionary expenditures for calendar year 2019 include, among other projects, significant investments in our snowmaking systems in Colorado that will transform the early-season terrain experience at Vail, Keystone and Beaver Creek; technology investments to increase lift ticket express fulfillment capacity through new mobile technology across our 17 North American Resorts to allow skiers and snowboarders who purchased tickets in advance to bypass the ticket window entirely; and a new permanent Tombstone BBQ restaurant at Park City. We also plan to make significant one-time investments across the recently acquired resorts of Crested Butte, Okemo, Mount Sunapee and Stevens Pass, which will include replacing and upgrading the Daisy and Brooks lifts at Stevens Pass and the Teocalli Lift at Crested Butte and on-mountain restaurant upgrades at Okemo. We plan to spend approximately $14 million in the first phase of a two-year, $35 million investment program for these newly acquired resorts. Additionally, we plan to spend approximately $7 million in capital for the integration of Triple Peaks and Stevens Pass, $2 million in capital for the integration of Peak Resorts and $1 million in capital for the integration of Falls Creek and Hotham. The calendar year 2019 capital plan also includes $3 million of investment related to our sustainability commitment focused on energy efficiency opportunities in snowmaking as well as other electrical and lighting applications. We currently plan to utilize cash on hand, borrowings available under our credit agreements and/or cash flow generated from future operations to provide the cash necessary to complete our capital plans.</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Approximately $79.0 million was spent for capital expenditures in calendar year 2019 as of July 31, 2019, leaving approximately $111.0 million to $116.0 million to spend in the remainder of calendar year 2019, including anticipated investments for integration and acquisitions, summer capital, real estate related projects and reimbursable investments associated with insurance recoveries and tenant improvements. We currently plan to utilize cash on hand, borrowings available under our credit agreements and/or cash flow generated from future operations to provide the cash necessary to complete our capital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1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Acquisition of Peak Resorts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23, 2019, we entered into an amendment to our Vail Holdings Credit Agreement in which the term loan was increased by approximately $335.6 million, and we utilized the proceeds to fund the acquisition of 100 percent of the outstanding stock of Peak Resorts on September 24, 2019 at a purchase price of $11.00 per share or approximately $265 million, and to prepay certain portions of the debt assumed in connection with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Hotham and Falls Creek</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4, 2019, we utilized cash on hand to acquire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purchase price of approximately AU$178.9 million ($127.4 million), after adjustments for certain agreed-upon terms, including an increase in the purchase price for operating losses incurred for the period from December 29, 2018 through closing.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Stevens Pass and Triple Peaks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15, 2018, we borrowed $70.0 million under the term loan of our Vail Holdings Credit Agreement, primarily to fund the acquisition of Stevens Pass, which was acquired for a cash purchase price of $64.0 million. On September 27, 2018, we acquired Triple Peaks for a cash purchase price of approximately $74.1 million, after adjustments for certain agreed-upon terms. In addition, contemporaneous with the closing of the transaction, Triple Peaks paid $155.0 million to pay the remaining obligations for the leases that all three resorts had with Ski Resort Holdings, with funds provided by the Company. Accordingly, the total purchase price, including repayment of lease obligations, was $229.1 million, for which we utilized cash on hand and borrowed $195.6 million under the term loan of our Vail Holdings Credit Agreement to fund the transaction and associated acquisition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July 31, 2019, principal payments on the majority of our long-term debt ($1,379.5 million of the total $1,580.1 million debt outstanding as of July 31, 2019) are not due until fiscal year 2024 and beyond. As of July 31, 2019 and 2018, total long-term debt, net (including long-term debt due within one year) was $1,576.3 million and $1,272.7 million, respectively. Net Debt (defined as long-term debt, net plus long-term debt due within one year less cash and cash equivalents) increased from $1,094.6 million as of July 31, 2018 to $1,467.4 million as of July 31, 2019, primarily due to $265.6 million in incremental term loans utilized to fund the Stevens Pass and Triple Peaks acquisitions, as discussed above, resulting from the August 15, 2018 amended and restated Vail Holdings Credit Agreement.</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15, 2019, we entered into the First Amendment to the Vail Holdings Credit Agreement, which primarily extended the maturity date for the outstanding term loans and revolver facility to April 15, 2024, increased the amount of dividends we are permitted to pay in each fiscal quarter under the agreement and increased the amount of the revolver facility from $400.0 million to $500.0 million. Subsequently, on September 23, 2019, we entered into the Second Amendment to the Vail Holdings Credit Agreement, which increased the term loan facility by approximately $335.6 million in connection with the closing of the Peak Resorts acquisition and to prepay certain portions of the debt assumed in the acquisition, as discussed above. The Vail Holdings Credit Agreement provides for (i) a revolving loan facility in an aggregate principal amount of $500.0 million and (ii) a term loan facility in an aggregate principal amount of up to $1.25 billion. Additionally, during Fiscal 2019, we entered into an amendment of the Whistler Credit Agreement which extended the maturity date of the revolving credit facility to December 2023. No other material terms of the Whistler Credit Agreement were altered. We expect that our liquidity needs in the near term will be met by continued use of operating cash flows and borrowings under both the Vail Holdings Credit Agreement and Whistler Credit Agreement.</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approximately $1.2 billion of variable-rate debt outstanding as of July 31, 2019. A 100-basis point change in LIBOR would cause our annual interest payments to change by approximately $12.2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of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3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6, 2006, our Board of Directors initially authorized the repurchase of up to 3,000,000 shares of Vail Resorts common stock (“Vail Shares”) and later authorized additional repurchases of up to 3,000,000 additional Vail Shares (July 16, 2008) and 1,500,000 Vail Shares (December 4, 2015), for a total authorization to repurchase shares of up to 7,500,000 Vail Shares. During Fiscal 2019, we repurchased 353,007 shares of common stock at a cost of $85.0 million. Since the inception of this stock repurchase program through July 31, 2019, we have repurchased 5,904,723 Vail Shares at a cost of approximately $358.0 million. As of July 31, 2019, 1,595,277 Vail Shares remained available to repurchase under the existing repurchase authorization. Vail Shares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year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2019, our Board of Directors approved a 20% increase in our quarterly cash dividend to $1.76 per share (or approximately $71.0 million per quarter based upon shares outstanding as of July 31, 2019). For the year ended July 31, 2019, we paid cash dividends of $6.46 per share ($260.6 million in the aggregate.) These dividends were funded through available cash on hand and borrowing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July 31, 2019. We expect that we will continue to meet all applicable financial maintenance covenants in our credit agreements throughout the year ending July 31, 2020.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totaled $1,580.1 million as of July 31, 2019, are recognized as liabilities in our Consolidated Balance Sheet. Obligations under construction contracts are not recognized as liabilities in our Consolidated Balance Sheet until services and/or goods are received which is in accordance with GAAP. Additionally, operating lease and service contract obligations, which totaled $370.1 million as of July 31, 2019, are not recognized as liabilities in our Consolidated Balance Sheet, which is in accordance with GAAP. A summary of our contractual obligations as of July 31, 2019 is presented below (in thousands):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Payments Due by Period</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Fiscal</w:t>
            </w: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2-3</w:t>
            </w: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70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38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3"/>
                <w:szCs w:val="23"/>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Long-Term Debt (Outstanding Principal) </w:t>
            </w:r>
            <w:r>
              <w:rPr>
                <w:rFonts w:ascii="Arial" w:cs="Arial" w:eastAsia="Arial" w:hAnsi="Arial"/>
                <w:sz w:val="25"/>
                <w:szCs w:val="25"/>
                <w:color w:val="auto"/>
                <w:vertAlign w:val="superscript"/>
              </w:rPr>
              <w:t>(1)</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1,580,130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54,666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97,228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1,027,843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400,393</w:t>
            </w:r>
          </w:p>
        </w:tc>
      </w:tr>
      <w:tr>
        <w:trPr>
          <w:trHeight w:val="270"/>
        </w:trPr>
        <w:tc>
          <w:tcPr>
            <w:tcW w:w="36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Fixed Rate Interest </w:t>
            </w:r>
            <w:r>
              <w:rPr>
                <w:rFonts w:ascii="Arial" w:cs="Arial" w:eastAsia="Arial" w:hAnsi="Arial"/>
                <w:sz w:val="25"/>
                <w:szCs w:val="25"/>
                <w:color w:val="auto"/>
                <w:vertAlign w:val="superscript"/>
              </w:rPr>
              <w:t>(1)</w:t>
            </w:r>
          </w:p>
        </w:tc>
        <w:tc>
          <w:tcPr>
            <w:tcW w:w="70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1,253</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3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371</w:t>
            </w:r>
          </w:p>
        </w:tc>
      </w:tr>
      <w:tr>
        <w:trPr>
          <w:trHeight w:val="270"/>
        </w:trPr>
        <w:tc>
          <w:tcPr>
            <w:tcW w:w="36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Canyons Obligation </w:t>
            </w:r>
            <w:r>
              <w:rPr>
                <w:rFonts w:ascii="Arial" w:cs="Arial" w:eastAsia="Arial" w:hAnsi="Arial"/>
                <w:sz w:val="25"/>
                <w:szCs w:val="25"/>
                <w:color w:val="auto"/>
                <w:vertAlign w:val="superscript"/>
              </w:rPr>
              <w:t>(2)</w:t>
            </w:r>
          </w:p>
        </w:tc>
        <w:tc>
          <w:tcPr>
            <w:tcW w:w="7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1,648,150</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28,262</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58,230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60,583</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1,501,075</w:t>
            </w:r>
          </w:p>
        </w:tc>
      </w:tr>
      <w:tr>
        <w:trPr>
          <w:trHeight w:val="270"/>
        </w:trPr>
        <w:tc>
          <w:tcPr>
            <w:tcW w:w="36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Operating Leases and Service Contracts </w:t>
            </w:r>
            <w:r>
              <w:rPr>
                <w:rFonts w:ascii="Arial" w:cs="Arial" w:eastAsia="Arial" w:hAnsi="Arial"/>
                <w:sz w:val="25"/>
                <w:szCs w:val="25"/>
                <w:color w:val="auto"/>
                <w:vertAlign w:val="superscript"/>
              </w:rPr>
              <w:t>(3)</w:t>
            </w:r>
          </w:p>
        </w:tc>
        <w:tc>
          <w:tcPr>
            <w:tcW w:w="70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370,077</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65,196</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94,484</w:t>
            </w:r>
          </w:p>
        </w:tc>
        <w:tc>
          <w:tcPr>
            <w:tcW w:w="3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67,871</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142,526</w:t>
            </w:r>
          </w:p>
        </w:tc>
      </w:tr>
      <w:tr>
        <w:trPr>
          <w:trHeight w:val="270"/>
        </w:trPr>
        <w:tc>
          <w:tcPr>
            <w:tcW w:w="360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Purchase Obligations and Other </w:t>
            </w:r>
            <w:r>
              <w:rPr>
                <w:rFonts w:ascii="Arial" w:cs="Arial" w:eastAsia="Arial" w:hAnsi="Arial"/>
                <w:sz w:val="25"/>
                <w:szCs w:val="25"/>
                <w:color w:val="auto"/>
                <w:vertAlign w:val="superscript"/>
              </w:rPr>
              <w:t>(4)</w:t>
            </w:r>
          </w:p>
        </w:tc>
        <w:tc>
          <w:tcPr>
            <w:tcW w:w="7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537,315</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399,829</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108,649</w:t>
            </w: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28,435</w:t>
            </w: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color w:val="auto"/>
              </w:rPr>
              <w:t>Total Contractual Cash Obligations</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4,136,925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548,164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358,963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1,156,998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2,072,800</w:t>
            </w:r>
          </w:p>
        </w:tc>
      </w:tr>
      <w:tr>
        <w:trPr>
          <w:trHeight w:val="27"/>
        </w:trPr>
        <w:tc>
          <w:tcPr>
            <w:tcW w:w="3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60" w:hanging="652"/>
        <w:spacing w:after="0" w:line="272" w:lineRule="auto"/>
        <w:tabs>
          <w:tab w:leader="none" w:pos="66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The fixed-rate interest payments, as well as long-term debt payments, included in the table above, assume that all debt outstanding as of July 31, 2019 will be held to maturity. Interest payments associated with variable-rate debt have not been included in the table. Assuming that our approximately $1.2 billion of variable-rate long-term debt as of July 31, 2019 is held to maturity and utilizing interest rates in effect at July 31, 2019, our annual interest payments (including commitment fees and letter of credit fees) on variable rate long-term debt as of July 31, 2019 is anticipated to be approximately $43.4 million for Fiscal 2020, approximately $41.7 million for Fiscal 2021 and approximately $36.5 million for at least each of the next three years subsequent to Fiscal 2021. The future annual interest obligations noted herein are estimated only in relation to debt outstanding as of July 31, 2019 and do not reflect interest obligations on potential future debt.</w:t>
      </w:r>
    </w:p>
    <w:p>
      <w:pPr>
        <w:spacing w:after="0" w:line="123" w:lineRule="exact"/>
        <w:rPr>
          <w:rFonts w:ascii="Arial" w:cs="Arial" w:eastAsia="Arial" w:hAnsi="Arial"/>
          <w:sz w:val="17"/>
          <w:szCs w:val="17"/>
          <w:i w:val="1"/>
          <w:iCs w:val="1"/>
          <w:color w:val="auto"/>
        </w:rPr>
      </w:pPr>
    </w:p>
    <w:p>
      <w:pPr>
        <w:jc w:val="both"/>
        <w:ind w:left="660"/>
        <w:spacing w:after="0" w:line="279" w:lineRule="auto"/>
        <w:rPr>
          <w:rFonts w:ascii="Arial" w:cs="Arial" w:eastAsia="Arial" w:hAnsi="Arial"/>
          <w:sz w:val="17"/>
          <w:szCs w:val="17"/>
          <w:i w:val="1"/>
          <w:iCs w:val="1"/>
          <w:color w:val="auto"/>
        </w:rPr>
      </w:pPr>
      <w:r>
        <w:rPr>
          <w:rFonts w:ascii="Arial" w:cs="Arial" w:eastAsia="Arial" w:hAnsi="Arial"/>
          <w:sz w:val="17"/>
          <w:szCs w:val="17"/>
          <w:i w:val="1"/>
          <w:iCs w:val="1"/>
          <w:color w:val="auto"/>
        </w:rPr>
        <w:t>Included in Long-Term Debt (Outstanding Principal) are $11.2 million of proceeds resulting from real estate transactions accounted for as a financing arrangements. Fiscal 2020 payments shown above include approximately $6.2 million of proceeds, which are expected to be recognized on the Company’s Statement of Operations during the year ending July 31, 2020 as a result of the anticipated resolution of continuing involvement, with no associated cash outflow (see Notes to Consolidated Financial Statements for additional information).</w:t>
      </w:r>
    </w:p>
    <w:p>
      <w:pPr>
        <w:spacing w:after="0" w:line="117" w:lineRule="exact"/>
        <w:rPr>
          <w:rFonts w:ascii="Arial" w:cs="Arial" w:eastAsia="Arial" w:hAnsi="Arial"/>
          <w:sz w:val="17"/>
          <w:szCs w:val="17"/>
          <w:i w:val="1"/>
          <w:iCs w:val="1"/>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Reflects principal and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127" w:lineRule="exact"/>
        <w:rPr>
          <w:rFonts w:ascii="Arial" w:cs="Arial" w:eastAsia="Arial" w:hAnsi="Arial"/>
          <w:sz w:val="18"/>
          <w:szCs w:val="18"/>
          <w:i w:val="1"/>
          <w:iCs w:val="1"/>
          <w:color w:val="auto"/>
        </w:rPr>
      </w:pPr>
    </w:p>
    <w:p>
      <w:pPr>
        <w:ind w:left="660" w:right="20" w:hanging="652"/>
        <w:spacing w:after="0" w:line="277"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payments under noncancelable operating leases included in the table above reflect the applicable minimum lease payments and exclude any potential contingent rent payments.</w:t>
      </w:r>
    </w:p>
    <w:p>
      <w:pPr>
        <w:spacing w:after="0" w:line="116" w:lineRule="exact"/>
        <w:rPr>
          <w:rFonts w:ascii="Arial" w:cs="Arial" w:eastAsia="Arial" w:hAnsi="Arial"/>
          <w:sz w:val="18"/>
          <w:szCs w:val="18"/>
          <w:i w:val="1"/>
          <w:iCs w:val="1"/>
          <w:color w:val="auto"/>
        </w:rPr>
      </w:pPr>
    </w:p>
    <w:p>
      <w:pPr>
        <w:jc w:val="both"/>
        <w:ind w:left="660" w:hanging="652"/>
        <w:spacing w:after="0" w:line="302"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and other primarily include amounts which are classified as trade payables, accrued payroll and benefits, accrued fees and assessments, contingent consideration liability, accrued taxes (including taxes for uncertain tax positions) on our Consolidated Balance Sheet as of July 31, 2019; and, other commitments for goods and services not yet received, including construction contracts and minimum commitments under season pass alliance agreements, not included on our Consolidated Balance Sheet as of July 31, 2019 in accordance with GAAP.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01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may be more likely than not less than carrying amount, or if significant changes to macro-economic factors related to the reporting unit or intangible asset have occurred that could materially impact fair value, a quantitative impairment test would be required, in which we would determine the estimated fair value of our reporting units using a discounted cash flow analysis and determine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 We evaluate our reporting units on an annual basis and allocate goodwill to our reporting units based on the reporting units expected to benefit from the acquisition generating the goodwill.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indefinite-lived intangible assets are tested for impairment at least annually as of May 1. Based upon our annual impairment test performed during the fourth fiscal quarter of Fiscal 2019, the estimated fair value of our reporting units and indefinite-lived intangible assets were in excess of their respective carrying values, and as such no impairment of goodwill or indefinite-lived intangible assets existed.</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historical performance and current expectations have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13"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As of July 31, 2019, we had $1,608.2 million of goodwill and $233.4 million of indefinite-lived intangible assets recorded on our Consolidated Balance Sheet. There can be no assurance that the estimates and assumptions made for purposes of the annual goodwill impairment tests for goodwill will prove to be an accurate prediction of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including those enacted under the Tax Act.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estimates of our tax contingencies reserve contain uncertainty because management must use judgment to estimate the potential exposure associated with our various filing positions.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estimates and judgments discussed herein are reasonable and we have adequate reserves for our tax contingencies for uncertain tax positions. Our reserves for uncertain tax positions, including any income tax related interest and penalties ($78.5 million as of July 31, 2019), relate to the treatment of the Talisker lease payments as payments of debt obligations and that the tax basis in Canyons goodwill is deductible. Actual results could differ and we may be exposed to increases or decreases in those reserves and tax provisions that could be material.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Depreciable Lives of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estimates of our useful lives of the assets contain uncertainty because management must use judgment to estimate the useful life of the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$22.2 million for Fiscal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7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and volatility for the respective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Refer to the Summary of Significant Accounting Policies within the Notes to Consolidated Financial Statements for a discussion of new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cannot accurately determine the precise effect of inflation on our operations, management does not believe inflation has had a material effect on the results of operations in the last three fiscal years. When the costs of operating resorts increase, we generally have been able to pass the increase on to our customers. However, there can be no assurance that increases in labor and other operating costs due to inflation will not have an impact on our future profitability.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2013, we entered into a long-term lease pursuant to which we assumed the operations of Canyons which includes the ski terrain and related amenities. The lease has an initial term of 50 years with six 50-year renewal options. The lease provides for $25.0 million in annual payments, which increase each year by an inflation linked index of CPI less 1%, with a floor of 2% per annum. As lease payments increase annually, there can be no assurance that these increases will be offset by increased cash flow generated from operations at Park City.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7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mountain and lodging operations are seasonal in nature. In particular, revenue and profits for our North America mountain and most of our lodging operations are substantially lower and historically result in losses from late spring to late fall. Conversely, peak operating seasons for our NPS concessionaire properties, our mountain resort golf courses and Perisher’s ski season occur during the North American summer months while the North American winter months result in operating losses. Revenue and profits generated by NPS concessionaire properties summer operations, golf operations and Perisher’s ski operations are not sufficient to fully offset our off-season losses from our North American mountain and other lodging operations. During Fiscal 2019, approximately 80%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exposure to market risk is limited primarily to the fluctuating interest rates associated with variable rate indebtedness. At July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we had approximately $1.2 billion of variable rate indebtedness, representing approximately 77% of our total debt outstanding, at an average interest rate during Fiscal 2019 of 3.6%. Based on variable-rate borrowings outstanding as of July 31, 2019, a 100-basis point (or 1.0%) change in LIBOR would result in our annual interest payments changing by $12.2 million. Our market risk exposure fluctuates based on changes in underlying interest rates.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Perisher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and foreign currency (loss) gain on intercompany loans, recognized in comprehensive income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6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24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(34,287)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(61,957)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24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(2,854)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15,285</w:t>
            </w:r>
          </w:p>
        </w:tc>
      </w:tr>
      <w:tr>
        <w:trPr>
          <w:trHeight w:val="27"/>
        </w:trPr>
        <w:tc>
          <w:tcPr>
            <w:tcW w:w="4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669"/>
        </w:trPr>
        <w:tc>
          <w:tcPr>
            <w:tcW w:w="46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Vail Resorts,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for the Years Ended July 31, 2019, 2018 and 2017</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11"/>
          </w:tcPr>
          <w:p>
            <w:pPr>
              <w:ind w:left="40"/>
              <w:spacing w:after="0"/>
              <w:rPr>
                <w:rFonts w:ascii="Arial" w:cs="Arial" w:eastAsia="Arial" w:hAnsi="Arial"/>
                <w:sz w:val="18"/>
                <w:szCs w:val="18"/>
                <w:i w:val="1"/>
                <w:iCs w:val="1"/>
                <w:color w:val="0000FF"/>
                <w:w w:val="98"/>
              </w:rPr>
            </w:pPr>
            <w:hyperlink w:anchor="page62">
              <w:r>
                <w:rPr>
                  <w:rFonts w:ascii="Arial" w:cs="Arial" w:eastAsia="Arial" w:hAnsi="Arial"/>
                  <w:sz w:val="18"/>
                  <w:szCs w:val="18"/>
                  <w:i w:val="1"/>
                  <w:iCs w:val="1"/>
                  <w:color w:val="0000FF"/>
                  <w:w w:val="98"/>
                </w:rPr>
                <w:t>Management’s Report on Internal Control Over Financial Reporting</w:t>
              </w:r>
            </w:hyperlink>
          </w:p>
        </w:tc>
        <w:tc>
          <w:tcPr>
            <w:tcW w:w="6120" w:type="dxa"/>
            <w:vAlign w:val="bottom"/>
            <w:gridSpan w:val="3"/>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300" w:type="dxa"/>
            <w:vAlign w:val="bottom"/>
            <w:gridSpan w:val="11"/>
          </w:tcPr>
          <w:p>
            <w:pPr>
              <w:ind w:left="40"/>
              <w:spacing w:after="0" w:line="202" w:lineRule="exact"/>
              <w:rPr>
                <w:rFonts w:ascii="Arial" w:cs="Arial" w:eastAsia="Arial" w:hAnsi="Arial"/>
                <w:sz w:val="18"/>
                <w:szCs w:val="18"/>
                <w:i w:val="1"/>
                <w:iCs w:val="1"/>
                <w:color w:val="0000FF"/>
              </w:rPr>
            </w:pPr>
            <w:hyperlink w:anchor="page63">
              <w:r>
                <w:rPr>
                  <w:rFonts w:ascii="Arial" w:cs="Arial" w:eastAsia="Arial" w:hAnsi="Arial"/>
                  <w:sz w:val="18"/>
                  <w:szCs w:val="18"/>
                  <w:i w:val="1"/>
                  <w:iCs w:val="1"/>
                  <w:color w:val="0000FF"/>
                </w:rPr>
                <w:t>Report of Independent Registered Public Accounting Firm</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300" w:type="dxa"/>
            <w:vAlign w:val="bottom"/>
            <w:gridSpan w:val="11"/>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rFonts w:ascii="Arial" w:cs="Arial" w:eastAsia="Arial" w:hAnsi="Arial"/>
                <w:sz w:val="18"/>
                <w:szCs w:val="18"/>
                <w:color w:val="0000FF"/>
                <w:w w:val="87"/>
              </w:rPr>
            </w:pPr>
            <w:hyperlink w:anchor="page66">
              <w:r>
                <w:rPr>
                  <w:rFonts w:ascii="Arial" w:cs="Arial" w:eastAsia="Arial" w:hAnsi="Arial"/>
                  <w:sz w:val="18"/>
                  <w:szCs w:val="18"/>
                  <w:color w:val="0000FF"/>
                  <w:w w:val="87"/>
                </w:rPr>
                <w:t>Consolidated Balance Sheets</w:t>
              </w:r>
            </w:hyperlink>
          </w:p>
        </w:tc>
        <w:tc>
          <w:tcPr>
            <w:tcW w:w="3040" w:type="dxa"/>
            <w:vAlign w:val="bottom"/>
            <w:gridSpan w:val="8"/>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Consolidated Statements of Operations</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20" w:type="dxa"/>
            <w:vAlign w:val="bottom"/>
            <w:gridSpan w:val="9"/>
            <w:shd w:val="clear" w:color="auto" w:fill="CCEEFF"/>
          </w:tcPr>
          <w:p>
            <w:pPr>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Consolidated Statements of Comprehensive Income</w:t>
              </w:r>
            </w:hyperlink>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6"/>
          </w:tcPr>
          <w:p>
            <w:pPr>
              <w:spacing w:after="0" w:line="202" w:lineRule="exact"/>
              <w:rPr>
                <w:rFonts w:ascii="Arial" w:cs="Arial" w:eastAsia="Arial" w:hAnsi="Arial"/>
                <w:sz w:val="18"/>
                <w:szCs w:val="18"/>
                <w:color w:val="0000FF"/>
                <w:w w:val="95"/>
              </w:rPr>
            </w:pPr>
            <w:hyperlink w:anchor="page69">
              <w:r>
                <w:rPr>
                  <w:rFonts w:ascii="Arial" w:cs="Arial" w:eastAsia="Arial" w:hAnsi="Arial"/>
                  <w:sz w:val="18"/>
                  <w:szCs w:val="18"/>
                  <w:color w:val="0000FF"/>
                  <w:w w:val="95"/>
                </w:rPr>
                <w:t>Consolidated Statements of Stockholders’ Equity</w:t>
              </w:r>
            </w:hyperlink>
          </w:p>
        </w:tc>
        <w:tc>
          <w:tcPr>
            <w:tcW w:w="1400" w:type="dxa"/>
            <w:vAlign w:val="bottom"/>
            <w:gridSpan w:val="3"/>
          </w:tcPr>
          <w:p>
            <w:pPr>
              <w:spacing w:after="0"/>
              <w:rPr>
                <w:sz w:val="17"/>
                <w:szCs w:val="17"/>
                <w:color w:val="auto"/>
              </w:rPr>
            </w:pPr>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spacing w:after="0" w:line="202" w:lineRule="exact"/>
              <w:rPr>
                <w:rFonts w:ascii="Arial" w:cs="Arial" w:eastAsia="Arial" w:hAnsi="Arial"/>
                <w:sz w:val="18"/>
                <w:szCs w:val="18"/>
                <w:color w:val="0000FF"/>
                <w:w w:val="88"/>
              </w:rPr>
            </w:pPr>
            <w:hyperlink w:anchor="page70">
              <w:r>
                <w:rPr>
                  <w:rFonts w:ascii="Arial" w:cs="Arial" w:eastAsia="Arial" w:hAnsi="Arial"/>
                  <w:sz w:val="18"/>
                  <w:szCs w:val="18"/>
                  <w:color w:val="0000FF"/>
                  <w:w w:val="88"/>
                </w:rPr>
                <w:t>Consolidated Statements of Cash Flows</w:t>
              </w:r>
            </w:hyperlink>
          </w:p>
        </w:tc>
        <w:tc>
          <w:tcPr>
            <w:tcW w:w="2260" w:type="dxa"/>
            <w:vAlign w:val="bottom"/>
            <w:gridSpan w:val="6"/>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Notes to Consolidated Financial Statements</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r>
      <w:tr>
        <w:trPr>
          <w:trHeight w:val="507"/>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jc w:val="right"/>
              <w:ind w:right="533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Management, including the Company’s Chief Executive Officer and Chief Financial Officer, assessed the effectiveness of the Company’s internal control over financial reporting as of July 31, 2019. In making this assessment, management used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Based on this assessment, management concluded that, as of July 31, 2019, the Company’s internal control over financial reporting was effective. Management’s evaluation and conclusion on the effectiveness of internal control over financial reporting as of July 31, 2019 excluded certain elements of internal controls of Falls Creek and Hotham (acquired in April 2019), Triple Peaks (acquired in September 2018) and Stevens Pass (acquired in August 2018) due to the timing of these acquisitions. Those elements of the acquired resorts’ internal controls over financial reporting that have been excluded represent approximately less than 1% of total consolidated assets and approximately 7% of total consolidated net revenues of the Company as of and for the year ended July 31, 2019.</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independent registered public accounting firm, PricewaterhouseCoopers LLP, has issued an attestation report on the effectiveness of the Company’s internal control over financial reporting as of July 31, 2019, as stated in the Report of Independent Registered Public Accounting Firm on the following page.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Vail Resorts,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Vail Resorts, Inc. and its subsidiaries (the “Company”) as of July 31, 2019 and July 31, 2018, and the related consolidated statements of operations, of comprehensive income, of stockholders’ equity and of cash flows for each of the three years in the period ended July 31, 2019, including the related notes (collectively referred to as the “consolidated financial statements”). We also have audited the Company's internal control over financial reporting as of July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July 31, 2019 and July 31,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July 31, 2019 in conformity with accounting principles generally accepted in the United States of America. Also in our opinion, the Company maintained, in all material respects, effective internal control over financial reporting as of July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certain elements of the internal control over financial reporting of Falls Creek and Hotham, Triple Peaks, and Stevens Pass from its assessment of internal control over financial reporting as of July 31, 2019, because they were acquired by the Company in purchase business combinations in April 2019, September 2018, and August 2018, respectively. Subsequent to the acquisitions, certain elements of Falls Creek and Hotham’s, Triple Peaks’, and Stevens Pass’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July 31, 2019. We have also excluded these elements of the internal control over financial reporting of Falls Creek and Hotham, Triple Peaks, and Stevens Pass from our audit of the Company’s internal control over financial reporting. The excluded elements represent controls of less than 1% of consolidated assets and approximately 7% of consolidated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013" w:right="239" w:bottom="1440" w:gutter="0" w:footer="0" w:header="0"/>
        </w:sectPr>
      </w:pPr>
    </w:p>
    <w:bookmarkStart w:id="63" w:name="page64"/>
    <w:bookmarkEnd w:id="63"/>
    <w:p>
      <w:pPr>
        <w:jc w:val="both"/>
        <w:spacing w:after="0" w:line="276" w:lineRule="auto"/>
        <w:rPr>
          <w:sz w:val="20"/>
          <w:szCs w:val="20"/>
          <w:color w:val="auto"/>
        </w:rPr>
      </w:pPr>
      <w:r>
        <w:rPr>
          <w:rFonts w:ascii="Arial" w:cs="Arial" w:eastAsia="Arial" w:hAnsi="Arial"/>
          <w:sz w:val="17"/>
          <w:szCs w:val="17"/>
          <w:color w:val="auto"/>
        </w:rPr>
        <w:t>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the Contingent Consideration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9 to the consolidated financial statements, the Company has established a liability of $27.2 million as of July 31, 2019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Fair value is estimated using an option pricing valuation model. As described by management, key assumptions in determining the fair value under this model included a long-term discount rate, volatility, and future period Park City EBITDA.</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measurement of the Contingent Consideration is a critical audit matter are (i) the significant judgments made by management when developing the fair value measurement, which in turn led to a high degree of auditor judgment, subjectivity, and effort in performing procedures and evaluating audit evidence related to management’s option pricing valuation model and cash flow projections, including significant assumptions for the long-term discount rate, volatility, and future period Park City EBITDA; and (ii) the audit effort involved the use of professionals with specialized skill and knowledge to assist in performing these procedures and evaluating the audit evidence obtained from these procedures.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model, significant assumptions, and data. The procedures also included, among others, testing management’s process for developing the fair value measurement; evaluating the appropriateness of the option pricing valuation model; testing the completeness, accuracy, and relevance of underlying data used in the model; and evaluating the significant assumptions used by management, including the long-term discount rate, volatility, and future period Park City EBITDA. Evaluating management’s assumptions related to the long-term discount rate, volatility, and future period Park City EBITDA involved evaluating whether the assumptions used by management were reasonable considering (i) the current and past EBITDA performance of Park City; (ii) the consistency with external market data; and (iii) whether these assumptions were consistent with evidence obtained in other areas of the audit. Professionals with specialized skill and knowledge were used to assist in the evaluation of the Company’s option pricing model and certain significant assumptions, including the discount rate and volatility.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Plant, and Equipment Acquired in Business Combinations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6 to the consolidated financial statements, the Company completed the acquisitions of Stevens Pass Resort, Triple Peaks, and Falls Creek and Hotham Resorts during the year ended July 31, 2019. The aggregate purchase consideration for these business combinations was approximately $420.5 million, resulting in the recognition of an aggregate amount of approximately $249.6 million of related property, plant and equipment (“Acquired PPE”). The process of estimating the fair value of the Acquired PPE includes the use of certain estimates and assumptions related to replacement cost and physical condition at the time of acquisition.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017" w:right="239" w:bottom="1440" w:gutter="0" w:footer="0" w:header="0"/>
        </w:sectPr>
      </w:pPr>
    </w:p>
    <w:bookmarkStart w:id="64" w:name="page65"/>
    <w:bookmarkEnd w:id="64"/>
    <w:p>
      <w:pPr>
        <w:jc w:val="both"/>
        <w:spacing w:after="0" w:line="302"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the Acquired PPE is a critical audit matter are (i) the high degree of auditor subjectivity and effort in performing procedures and evaluating audit evidence over management’s valuation of the assets acquired, including the significant assumptions, such as replacement cost and physical condition at the time of acquisition; and (ii) the audit effort involved the use of professionals with specialized skill and knowledge to assist in performing these procedures and evaluating the audit evidence obtained from these procedures.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PPE. These procedures also included, among others, (i) reading the purchase agreement; (ii) testing management’s process for estimating the fair value of Acquired PPE; and (iii) evaluating management’s assumptions of replacement cost and physical condition at the time of acquisition used to estimate the fair value of the Acquired PPE. Professionals with specialized skill and knowledge were used to assist in the evaluation of the Company’s valuation method and certain significant assumptions, including the replacement cost and physical condition at the time of acquisition, and evaluating whether the assumptions used by management were reasonable considering consistency with external market and industry data.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33"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108,850</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178,145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9,539</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6,895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$724 and $1,278,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270,896</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230,829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Inventories, net of reserves of $2,031 and $1,534, respectively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96,539</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85,588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42,116</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37,279</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527,940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538,736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7)</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1,842,500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1,627,219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101,021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99,385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40,237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 net (Note 7)</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1,608,206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1,475,686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(Note 7)</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306,173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280,572</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4,426,077</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4,064,984</w:t>
            </w:r>
          </w:p>
        </w:tc>
      </w:tr>
      <w:tr>
        <w:trPr>
          <w:trHeight w:val="34"/>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 (Note 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607,857</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504,533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62,760</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50,632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due within one year (Note 5)</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48,516</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38,455</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719,133</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593,620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1,527,744</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1,234,277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long-term liabilities (Note 7)</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283,601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291,506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(Note 10)</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168,759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133,918</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2,699,237</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2,253,321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25,000 shares authorized, no shares issued and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w w:val="96"/>
              </w:rPr>
              <w:t>Common stock, $0.01 par value, 100,000 shares authorized and 46,190 and 46,021 shares issued,</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5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Exchangeable shares, $0.01 par value, 56 and 58 shares issued and outstanding, respectively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1,130,083</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1,137,467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759,801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726,722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 5,905 and 5,552 shares, respectively (Note 15)</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(272,989)</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Vail Resorts, Inc.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1,500,627</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1,589,434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226,213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222,229</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1,726,840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1,811,663</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4,426,077</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4,064,984</w:t>
            </w:r>
          </w:p>
        </w:tc>
      </w:tr>
      <w:tr>
        <w:trPr>
          <w:trHeight w:val="27"/>
        </w:trPr>
        <w:tc>
          <w:tcPr>
            <w:tcW w:w="7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013"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1,807,930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1,584,310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1,477,654</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and Lodging retail and dining</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462,933</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423,255</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412,646</w:t>
            </w:r>
          </w:p>
        </w:tc>
      </w:tr>
      <w:tr>
        <w:trPr>
          <w:trHeight w:val="237"/>
        </w:trPr>
        <w:tc>
          <w:tcPr>
            <w:tcW w:w="5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Resort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2,270,863</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2,007,565</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1,890,300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16,918</w:t>
            </w:r>
          </w:p>
        </w:tc>
      </w:tr>
      <w:tr>
        <w:trPr>
          <w:trHeight w:val="237"/>
        </w:trPr>
        <w:tc>
          <w:tcPr>
            <w:tcW w:w="5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2,271,575</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2,011,553</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1,907,218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Operating expense (exclusive of depreciation and amortization shown separately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Mountain and Lodging operating expense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1,101,670</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966,566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891,135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and Lodging retail and dining cost of products sold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190,044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174,105</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170,824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274,415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251,806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236,799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1,566,129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1,392,477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1,298,758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5,609</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24,083</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1,571,738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1,396,023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1,322,841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(218,117)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6,766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(Note 9)</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Loss on disposal of fixed assets and other,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(4,620)</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(6,430)</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476,269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408,817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379,256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1,883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3,086</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 (Note 5)</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(2,854)</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(8,966)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15,285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(79,496)</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(63,226)</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(54,089)</w:t>
            </w:r>
          </w:p>
        </w:tc>
      </w:tr>
      <w:tr>
        <w:trPr>
          <w:trHeight w:val="237"/>
        </w:trPr>
        <w:tc>
          <w:tcPr>
            <w:tcW w:w="59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before (provision) benefit from income taxes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398,965</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340,092</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348,449</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from income taxes (Note 10)</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(75,472)</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(116,731)</w:t>
            </w:r>
          </w:p>
        </w:tc>
      </w:tr>
      <w:tr>
        <w:trPr>
          <w:trHeight w:val="237"/>
        </w:trPr>
        <w:tc>
          <w:tcPr>
            <w:tcW w:w="59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323,493</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401,230</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231,718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(21,332)</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301,163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379,898</w:t>
            </w:r>
          </w:p>
        </w:tc>
        <w:tc>
          <w:tcPr>
            <w:tcW w:w="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210,553</w:t>
            </w:r>
          </w:p>
        </w:tc>
      </w:tr>
      <w:tr>
        <w:trPr>
          <w:trHeight w:val="34"/>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net income per share attributable to Vail Resorts, Inc.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net income per share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Cash dividends declared per share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3.726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01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Year Ended July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323,493</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401,230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231,718</w:t>
            </w:r>
          </w:p>
        </w:tc>
      </w:tr>
      <w:tr>
        <w:trPr>
          <w:trHeight w:val="229"/>
        </w:trPr>
        <w:tc>
          <w:tcPr>
            <w:tcW w:w="6640" w:type="dxa"/>
            <w:vAlign w:val="bottom"/>
          </w:tcPr>
          <w:p>
            <w:pPr>
              <w:ind w:left="40"/>
              <w:spacing w:after="0"/>
              <w:rPr>
                <w:sz w:val="20"/>
                <w:szCs w:val="20"/>
                <w:color w:val="auto"/>
              </w:rPr>
            </w:pPr>
            <w:r>
              <w:rPr>
                <w:rFonts w:ascii="Arial" w:cs="Arial" w:eastAsia="Arial" w:hAnsi="Arial"/>
                <w:sz w:val="18"/>
                <w:szCs w:val="18"/>
                <w:color w:val="auto"/>
                <w:w w:val="92"/>
              </w:rPr>
              <w:t>Foreign currency translation adjustments and other (net of tax of $0, $1,981 and ($2,831),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(34,287)</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(61,957)</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64,152</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289,206</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339,273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295,870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(17,546)</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(5,997)</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(39,372)</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271,660</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333,276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256,498</w:t>
            </w:r>
          </w:p>
        </w:tc>
      </w:tr>
      <w:tr>
        <w:trPr>
          <w:trHeight w:val="27"/>
        </w:trPr>
        <w:tc>
          <w:tcPr>
            <w:tcW w:w="6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13" w:right="2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Total Vail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8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1"/>
              </w:rPr>
              <w:t>Noncontrolling Stockholders’</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(Loss)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Vail</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9"/>
              </w:rPr>
              <w:t>Exchangeable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8"/>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635,986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$486,667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 (246,979)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874,540</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888,466</w:t>
            </w:r>
          </w:p>
        </w:tc>
        <w:tc>
          <w:tcPr>
            <w:tcW w:w="0" w:type="dxa"/>
            <w:vAlign w:val="bottom"/>
          </w:tcPr>
          <w:p>
            <w:pPr>
              <w:spacing w:after="0"/>
              <w:rPr>
                <w:sz w:val="1"/>
                <w:szCs w:val="1"/>
                <w:color w:val="auto"/>
              </w:rPr>
            </w:pPr>
          </w:p>
        </w:tc>
      </w:tr>
      <w:tr>
        <w:trPr>
          <w:trHeight w:val="218"/>
        </w:trPr>
        <w:tc>
          <w:tcPr>
            <w:tcW w:w="2860" w:type="dxa"/>
            <w:vAlign w:val="bottom"/>
          </w:tcPr>
          <w:p>
            <w:pPr>
              <w:ind w:left="16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210,553</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210,553</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21,165</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231,718</w:t>
            </w:r>
          </w:p>
        </w:tc>
        <w:tc>
          <w:tcPr>
            <w:tcW w:w="0" w:type="dxa"/>
            <w:vAlign w:val="bottom"/>
          </w:tcPr>
          <w:p>
            <w:pPr>
              <w:spacing w:after="0"/>
              <w:rPr>
                <w:sz w:val="1"/>
                <w:szCs w:val="1"/>
                <w:color w:val="auto"/>
              </w:rPr>
            </w:pPr>
          </w:p>
        </w:tc>
      </w:tr>
      <w:tr>
        <w:trPr>
          <w:trHeight w:val="157"/>
        </w:trPr>
        <w:tc>
          <w:tcPr>
            <w:tcW w:w="2860" w:type="dxa"/>
            <w:vAlign w:val="bottom"/>
          </w:tcPr>
          <w:p>
            <w:pPr>
              <w:ind w:left="260"/>
              <w:spacing w:after="0" w:line="157" w:lineRule="exact"/>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45,945</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45,945</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18,207</w:t>
            </w:r>
          </w:p>
        </w:tc>
        <w:tc>
          <w:tcPr>
            <w:tcW w:w="20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64,152</w:t>
            </w:r>
          </w:p>
        </w:tc>
        <w:tc>
          <w:tcPr>
            <w:tcW w:w="0" w:type="dxa"/>
            <w:vAlign w:val="bottom"/>
          </w:tcPr>
          <w:p>
            <w:pPr>
              <w:spacing w:after="0"/>
              <w:rPr>
                <w:sz w:val="1"/>
                <w:szCs w:val="1"/>
                <w:color w:val="auto"/>
              </w:rPr>
            </w:pPr>
          </w:p>
        </w:tc>
      </w:tr>
      <w:tr>
        <w:trPr>
          <w:trHeight w:val="101"/>
        </w:trPr>
        <w:tc>
          <w:tcPr>
            <w:tcW w:w="2860" w:type="dxa"/>
            <w:vAlign w:val="bottom"/>
            <w:vMerge w:val="restart"/>
          </w:tcPr>
          <w:p>
            <w:pPr>
              <w:ind w:left="260"/>
              <w:spacing w:after="0"/>
              <w:rPr>
                <w:sz w:val="20"/>
                <w:szCs w:val="20"/>
                <w:color w:val="auto"/>
              </w:rPr>
            </w:pPr>
            <w:r>
              <w:rPr>
                <w:rFonts w:ascii="Arial" w:cs="Arial" w:eastAsia="Arial" w:hAnsi="Arial"/>
                <w:sz w:val="14"/>
                <w:szCs w:val="14"/>
                <w:color w:val="auto"/>
              </w:rPr>
              <w:t>net of tax</w:t>
            </w: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86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6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7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256,498</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39,372</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295,870</w:t>
            </w:r>
          </w:p>
        </w:tc>
        <w:tc>
          <w:tcPr>
            <w:tcW w:w="0" w:type="dxa"/>
            <w:vAlign w:val="bottom"/>
          </w:tcPr>
          <w:p>
            <w:pPr>
              <w:spacing w:after="0"/>
              <w:rPr>
                <w:sz w:val="1"/>
                <w:szCs w:val="1"/>
                <w:color w:val="auto"/>
              </w:rPr>
            </w:pPr>
          </w:p>
        </w:tc>
      </w:tr>
      <w:tr>
        <w:trPr>
          <w:trHeight w:val="184"/>
        </w:trPr>
        <w:tc>
          <w:tcPr>
            <w:tcW w:w="2860" w:type="dxa"/>
            <w:vAlign w:val="bottom"/>
          </w:tcPr>
          <w:p>
            <w:pPr>
              <w:ind w:left="160"/>
              <w:spacing w:after="0"/>
              <w:rPr>
                <w:sz w:val="20"/>
                <w:szCs w:val="20"/>
                <w:color w:val="auto"/>
              </w:rPr>
            </w:pPr>
            <w:r>
              <w:rPr>
                <w:rFonts w:ascii="Arial" w:cs="Arial" w:eastAsia="Arial" w:hAnsi="Arial"/>
                <w:sz w:val="14"/>
                <w:szCs w:val="14"/>
                <w:color w:val="auto"/>
              </w:rPr>
              <w:t>Stock-based compensation (Note 16)</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18,315</w:t>
            </w:r>
          </w:p>
        </w:tc>
        <w:tc>
          <w:tcPr>
            <w:tcW w:w="1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18,315</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18,315</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Shares issued for acquisition (Note 6)</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574,608</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574,645</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574,645</w:t>
            </w:r>
          </w:p>
        </w:tc>
        <w:tc>
          <w:tcPr>
            <w:tcW w:w="0" w:type="dxa"/>
            <w:vAlign w:val="bottom"/>
          </w:tcPr>
          <w:p>
            <w:pPr>
              <w:spacing w:after="0"/>
              <w:rPr>
                <w:sz w:val="1"/>
                <w:szCs w:val="1"/>
                <w:color w:val="auto"/>
              </w:rPr>
            </w:pPr>
          </w:p>
        </w:tc>
      </w:tr>
      <w:tr>
        <w:trPr>
          <w:trHeight w:val="191"/>
        </w:trPr>
        <w:tc>
          <w:tcPr>
            <w:tcW w:w="2860" w:type="dxa"/>
            <w:vAlign w:val="bottom"/>
          </w:tcPr>
          <w:p>
            <w:pPr>
              <w:ind w:left="160"/>
              <w:spacing w:after="0"/>
              <w:rPr>
                <w:sz w:val="20"/>
                <w:szCs w:val="20"/>
                <w:color w:val="auto"/>
              </w:rPr>
            </w:pPr>
            <w:r>
              <w:rPr>
                <w:rFonts w:ascii="Arial" w:cs="Arial" w:eastAsia="Arial" w:hAnsi="Arial"/>
                <w:sz w:val="14"/>
                <w:szCs w:val="14"/>
                <w:color w:val="auto"/>
              </w:rPr>
              <w:t>Exchangeable share transfers</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64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0"/>
              </w:rPr>
              <w:t>Issuance of shares under share award plan, net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of shares withheld for employee taxes (Note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(16,275)</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840"/>
          </w:cols>
          <w:pgMar w:left="540" w:top="1337" w:right="519" w:bottom="1440" w:gutter="0" w:footer="0" w:header="0"/>
        </w:sectPr>
      </w:pPr>
    </w:p>
    <w:p>
      <w:pPr>
        <w:ind w:left="160" w:right="180"/>
        <w:spacing w:after="0" w:line="322" w:lineRule="auto"/>
        <w:rPr>
          <w:sz w:val="20"/>
          <w:szCs w:val="20"/>
          <w:color w:val="auto"/>
        </w:rPr>
      </w:pPr>
      <w:r>
        <w:rPr>
          <w:rFonts w:ascii="Arial" w:cs="Arial" w:eastAsia="Arial" w:hAnsi="Arial"/>
          <w:sz w:val="14"/>
          <w:szCs w:val="14"/>
          <w:color w:val="auto"/>
        </w:rPr>
        <w:t>Tax benefit from share award plan Repurchases of common stock (Note 15) Dividends (Note 4)</w:t>
      </w:r>
    </w:p>
    <w:p>
      <w:pPr>
        <w:ind w:left="160"/>
        <w:spacing w:after="0" w:line="253" w:lineRule="auto"/>
        <w:rPr>
          <w:sz w:val="20"/>
          <w:szCs w:val="20"/>
          <w:color w:val="auto"/>
        </w:rPr>
      </w:pPr>
      <w:r>
        <w:rPr>
          <w:rFonts w:ascii="Arial" w:cs="Arial" w:eastAsia="Arial" w:hAnsi="Arial"/>
          <w:sz w:val="14"/>
          <w:szCs w:val="14"/>
          <w:color w:val="auto"/>
        </w:rPr>
        <w:t>Acquisition of noncontrolling interest (Note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9,878</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9,878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9,878</w:t>
            </w:r>
          </w:p>
        </w:tc>
      </w:tr>
      <w:tr>
        <w:trPr>
          <w:trHeight w:val="216"/>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(210)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(210)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16"/>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(146,235)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(146,235)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(146,235)</w:t>
            </w:r>
          </w:p>
        </w:tc>
      </w:tr>
      <w:tr>
        <w:trPr>
          <w:trHeight w:val="284"/>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182,579</w:t>
            </w:r>
          </w:p>
        </w:tc>
        <w:tc>
          <w:tcPr>
            <w:tcW w:w="740" w:type="dxa"/>
            <w:vAlign w:val="bottom"/>
          </w:tcPr>
          <w:p>
            <w:pPr>
              <w:jc w:val="right"/>
              <w:spacing w:after="0"/>
              <w:rPr>
                <w:sz w:val="20"/>
                <w:szCs w:val="20"/>
                <w:color w:val="auto"/>
              </w:rPr>
            </w:pPr>
            <w:r>
              <w:rPr>
                <w:rFonts w:ascii="Arial" w:cs="Arial" w:eastAsia="Arial" w:hAnsi="Arial"/>
                <w:sz w:val="14"/>
                <w:szCs w:val="14"/>
                <w:color w:val="auto"/>
              </w:rPr>
              <w:t>182,579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-437515</wp:posOffset>
            </wp:positionV>
            <wp:extent cx="68865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6575" cy="13716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-163195</wp:posOffset>
            </wp:positionV>
            <wp:extent cx="688657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22288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80" w:space="660"/>
            <w:col w:w="7500"/>
          </w:cols>
          <w:pgMar w:left="540" w:top="1337" w:right="5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interests, net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(8,074)</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2017</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454</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1,222,510</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44,395</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550,985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(247,189)</w:t>
            </w:r>
          </w:p>
        </w:tc>
        <w:tc>
          <w:tcPr>
            <w:tcW w:w="12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1,571,156</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227,803</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1,798,959</w:t>
            </w:r>
          </w:p>
        </w:tc>
        <w:tc>
          <w:tcPr>
            <w:tcW w:w="0" w:type="dxa"/>
            <w:vAlign w:val="bottom"/>
          </w:tcPr>
          <w:p>
            <w:pPr>
              <w:spacing w:after="0"/>
              <w:rPr>
                <w:sz w:val="1"/>
                <w:szCs w:val="1"/>
                <w:color w:val="auto"/>
              </w:rPr>
            </w:pPr>
          </w:p>
        </w:tc>
      </w:tr>
      <w:tr>
        <w:trPr>
          <w:trHeight w:val="218"/>
        </w:trPr>
        <w:tc>
          <w:tcPr>
            <w:tcW w:w="3040" w:type="dxa"/>
            <w:vAlign w:val="bottom"/>
          </w:tcPr>
          <w:p>
            <w:pPr>
              <w:ind w:left="160"/>
              <w:spacing w:after="0"/>
              <w:rPr>
                <w:sz w:val="20"/>
                <w:szCs w:val="20"/>
                <w:color w:val="auto"/>
              </w:rPr>
            </w:pPr>
            <w:r>
              <w:rPr>
                <w:rFonts w:ascii="Arial" w:cs="Arial" w:eastAsia="Arial" w:hAnsi="Arial"/>
                <w:sz w:val="14"/>
                <w:szCs w:val="14"/>
                <w:color w:val="auto"/>
              </w:rPr>
              <w:t>Comprehensive income:</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379,898</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379,898</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21,332</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401,230</w:t>
            </w:r>
          </w:p>
        </w:tc>
        <w:tc>
          <w:tcPr>
            <w:tcW w:w="0" w:type="dxa"/>
            <w:vAlign w:val="bottom"/>
          </w:tcPr>
          <w:p>
            <w:pPr>
              <w:spacing w:after="0"/>
              <w:rPr>
                <w:sz w:val="1"/>
                <w:szCs w:val="1"/>
                <w:color w:val="auto"/>
              </w:rPr>
            </w:pPr>
          </w:p>
        </w:tc>
      </w:tr>
      <w:tr>
        <w:trPr>
          <w:trHeight w:val="157"/>
        </w:trPr>
        <w:tc>
          <w:tcPr>
            <w:tcW w:w="3040" w:type="dxa"/>
            <w:vAlign w:val="bottom"/>
          </w:tcPr>
          <w:p>
            <w:pPr>
              <w:ind w:left="260"/>
              <w:spacing w:after="0" w:line="157" w:lineRule="exact"/>
              <w:rPr>
                <w:sz w:val="20"/>
                <w:szCs w:val="20"/>
                <w:color w:val="auto"/>
              </w:rPr>
            </w:pPr>
            <w:r>
              <w:rPr>
                <w:rFonts w:ascii="Arial" w:cs="Arial" w:eastAsia="Arial" w:hAnsi="Arial"/>
                <w:sz w:val="14"/>
                <w:szCs w:val="14"/>
                <w:color w:val="auto"/>
              </w:rPr>
              <w:t>Foreign currency translation adjustments,</w:t>
            </w: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(46,622)</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148"/>
              <w:spacing w:after="0"/>
              <w:rPr>
                <w:sz w:val="20"/>
                <w:szCs w:val="20"/>
                <w:color w:val="auto"/>
              </w:rPr>
            </w:pPr>
            <w:r>
              <w:rPr>
                <w:rFonts w:ascii="Arial" w:cs="Arial" w:eastAsia="Arial" w:hAnsi="Arial"/>
                <w:sz w:val="14"/>
                <w:szCs w:val="14"/>
                <w:color w:val="auto"/>
              </w:rPr>
              <w:t>(46,622)</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(15,335)</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(61,957)</w:t>
            </w:r>
          </w:p>
        </w:tc>
        <w:tc>
          <w:tcPr>
            <w:tcW w:w="0" w:type="dxa"/>
            <w:vAlign w:val="bottom"/>
          </w:tcPr>
          <w:p>
            <w:pPr>
              <w:spacing w:after="0"/>
              <w:rPr>
                <w:sz w:val="1"/>
                <w:szCs w:val="1"/>
                <w:color w:val="auto"/>
              </w:rPr>
            </w:pPr>
          </w:p>
        </w:tc>
      </w:tr>
      <w:tr>
        <w:trPr>
          <w:trHeight w:val="101"/>
        </w:trPr>
        <w:tc>
          <w:tcPr>
            <w:tcW w:w="3040" w:type="dxa"/>
            <w:vAlign w:val="bottom"/>
            <w:vMerge w:val="restart"/>
          </w:tcPr>
          <w:p>
            <w:pPr>
              <w:ind w:left="260"/>
              <w:spacing w:after="0"/>
              <w:rPr>
                <w:sz w:val="20"/>
                <w:szCs w:val="20"/>
                <w:color w:val="auto"/>
              </w:rPr>
            </w:pPr>
            <w:r>
              <w:rPr>
                <w:rFonts w:ascii="Arial" w:cs="Arial" w:eastAsia="Arial" w:hAnsi="Arial"/>
                <w:sz w:val="14"/>
                <w:szCs w:val="14"/>
                <w:color w:val="auto"/>
              </w:rPr>
              <w:t>net of tax</w:t>
            </w:r>
          </w:p>
        </w:tc>
        <w:tc>
          <w:tcPr>
            <w:tcW w:w="8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040" w:type="dxa"/>
            <w:vAlign w:val="bottom"/>
            <w:tcBorders>
              <w:bottom w:val="single" w:sz="8" w:color="CCEEFF"/>
            </w:tcBorders>
            <w:vMerge w:val="continue"/>
          </w:tcPr>
          <w:p>
            <w:pPr>
              <w:spacing w:after="0"/>
              <w:rPr>
                <w:sz w:val="7"/>
                <w:szCs w:val="7"/>
                <w:color w:val="auto"/>
              </w:rPr>
            </w:pPr>
          </w:p>
        </w:tc>
        <w:tc>
          <w:tcPr>
            <w:tcW w:w="80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880" w:type="dxa"/>
            <w:vAlign w:val="bottom"/>
            <w:tcBorders>
              <w:bottom w:val="single" w:sz="8" w:color="CCEEFF"/>
            </w:tcBorders>
          </w:tcPr>
          <w:p>
            <w:pPr>
              <w:spacing w:after="0"/>
              <w:rPr>
                <w:sz w:val="7"/>
                <w:szCs w:val="7"/>
                <w:color w:val="auto"/>
              </w:rPr>
            </w:pPr>
          </w:p>
        </w:tc>
        <w:tc>
          <w:tcPr>
            <w:tcW w:w="720" w:type="dxa"/>
            <w:vAlign w:val="bottom"/>
            <w:tcBorders>
              <w:bottom w:val="single" w:sz="8" w:color="CCEEFF"/>
            </w:tcBorders>
          </w:tcPr>
          <w:p>
            <w:pPr>
              <w:spacing w:after="0"/>
              <w:rPr>
                <w:sz w:val="7"/>
                <w:szCs w:val="7"/>
                <w:color w:val="auto"/>
              </w:rPr>
            </w:pPr>
          </w:p>
        </w:tc>
        <w:tc>
          <w:tcPr>
            <w:tcW w:w="720" w:type="dxa"/>
            <w:vAlign w:val="bottom"/>
            <w:tcBorders>
              <w:bottom w:val="single" w:sz="8" w:color="CCEEFF"/>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comprehensive income</w:t>
            </w:r>
          </w:p>
        </w:tc>
        <w:tc>
          <w:tcPr>
            <w:tcW w:w="8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333,276</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5,997</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339,273</w:t>
            </w:r>
          </w:p>
        </w:tc>
        <w:tc>
          <w:tcPr>
            <w:tcW w:w="0" w:type="dxa"/>
            <w:vAlign w:val="bottom"/>
          </w:tcPr>
          <w:p>
            <w:pPr>
              <w:spacing w:after="0"/>
              <w:rPr>
                <w:sz w:val="1"/>
                <w:szCs w:val="1"/>
                <w:color w:val="auto"/>
              </w:rPr>
            </w:pPr>
          </w:p>
        </w:tc>
      </w:tr>
      <w:tr>
        <w:trPr>
          <w:trHeight w:val="184"/>
        </w:trPr>
        <w:tc>
          <w:tcPr>
            <w:tcW w:w="3040" w:type="dxa"/>
            <w:vAlign w:val="bottom"/>
          </w:tcPr>
          <w:p>
            <w:pPr>
              <w:ind w:left="160"/>
              <w:spacing w:after="0"/>
              <w:rPr>
                <w:sz w:val="20"/>
                <w:szCs w:val="20"/>
                <w:color w:val="auto"/>
              </w:rPr>
            </w:pPr>
            <w:r>
              <w:rPr>
                <w:rFonts w:ascii="Arial" w:cs="Arial" w:eastAsia="Arial" w:hAnsi="Arial"/>
                <w:sz w:val="14"/>
                <w:szCs w:val="14"/>
                <w:color w:val="auto"/>
              </w:rPr>
              <w:t>Stock-based compensation (Note 16)</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19,040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19,040</w:t>
            </w:r>
          </w:p>
        </w:tc>
        <w:tc>
          <w:tcPr>
            <w:tcW w:w="8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19,040</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Measurement period adjustment (Note 6)</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(1,776)</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57"/>
        </w:trPr>
        <w:tc>
          <w:tcPr>
            <w:tcW w:w="3040" w:type="dxa"/>
            <w:vAlign w:val="bottom"/>
          </w:tcPr>
          <w:p>
            <w:pPr>
              <w:ind w:left="160"/>
              <w:spacing w:after="0" w:line="157" w:lineRule="exact"/>
              <w:rPr>
                <w:sz w:val="20"/>
                <w:szCs w:val="20"/>
                <w:color w:val="auto"/>
              </w:rPr>
            </w:pPr>
            <w:r>
              <w:rPr>
                <w:rFonts w:ascii="Arial" w:cs="Arial" w:eastAsia="Arial" w:hAnsi="Arial"/>
                <w:sz w:val="14"/>
                <w:szCs w:val="14"/>
                <w:color w:val="auto"/>
                <w:w w:val="96"/>
              </w:rPr>
              <w:t>Issuance of shares under share award plan, net</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of shares withheld for employee taxes (Note</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w:t>
            </w: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(104,083)</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(104,077)</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(104,077)</w:t>
            </w:r>
          </w:p>
        </w:tc>
        <w:tc>
          <w:tcPr>
            <w:tcW w:w="0" w:type="dxa"/>
            <w:vAlign w:val="bottom"/>
          </w:tcPr>
          <w:p>
            <w:pPr>
              <w:spacing w:after="0"/>
              <w:rPr>
                <w:sz w:val="1"/>
                <w:szCs w:val="1"/>
                <w:color w:val="auto"/>
              </w:rPr>
            </w:pPr>
          </w:p>
        </w:tc>
      </w:tr>
      <w:tr>
        <w:trPr>
          <w:trHeight w:val="188"/>
        </w:trPr>
        <w:tc>
          <w:tcPr>
            <w:tcW w:w="3040" w:type="dxa"/>
            <w:vAlign w:val="bottom"/>
          </w:tcPr>
          <w:p>
            <w:pPr>
              <w:ind w:left="160"/>
              <w:spacing w:after="0"/>
              <w:rPr>
                <w:sz w:val="20"/>
                <w:szCs w:val="20"/>
                <w:color w:val="auto"/>
              </w:rPr>
            </w:pPr>
            <w:r>
              <w:rPr>
                <w:rFonts w:ascii="Arial" w:cs="Arial" w:eastAsia="Arial" w:hAnsi="Arial"/>
                <w:sz w:val="14"/>
                <w:szCs w:val="14"/>
                <w:color w:val="auto"/>
              </w:rPr>
              <w:t>16)</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Repurchases of common stock (Note 15)</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(25,800)</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(25,800)</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(25,800)</w:t>
            </w:r>
          </w:p>
        </w:tc>
        <w:tc>
          <w:tcPr>
            <w:tcW w:w="0" w:type="dxa"/>
            <w:vAlign w:val="bottom"/>
          </w:tcPr>
          <w:p>
            <w:pPr>
              <w:spacing w:after="0"/>
              <w:rPr>
                <w:sz w:val="1"/>
                <w:szCs w:val="1"/>
                <w:color w:val="auto"/>
              </w:rPr>
            </w:pPr>
          </w:p>
        </w:tc>
      </w:tr>
      <w:tr>
        <w:trPr>
          <w:trHeight w:val="191"/>
        </w:trPr>
        <w:tc>
          <w:tcPr>
            <w:tcW w:w="3040" w:type="dxa"/>
            <w:vAlign w:val="bottom"/>
          </w:tcPr>
          <w:p>
            <w:pPr>
              <w:ind w:left="160"/>
              <w:spacing w:after="0"/>
              <w:rPr>
                <w:sz w:val="20"/>
                <w:szCs w:val="20"/>
                <w:color w:val="auto"/>
              </w:rPr>
            </w:pPr>
            <w:r>
              <w:rPr>
                <w:rFonts w:ascii="Arial" w:cs="Arial" w:eastAsia="Arial" w:hAnsi="Arial"/>
                <w:sz w:val="14"/>
                <w:szCs w:val="14"/>
                <w:color w:val="auto"/>
              </w:rPr>
              <w:t>Dividends (Note 4)</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(204,161)</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(204,161)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(204,161)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Distributions to noncontrolling interests, net</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(9,795)</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184"/>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Balance, July 31, 2018</w:t>
            </w: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460</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1,137,467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(2,227)</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726,722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(272,989)</w:t>
            </w:r>
          </w:p>
        </w:tc>
        <w:tc>
          <w:tcPr>
            <w:tcW w:w="12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1,589,434</w:t>
            </w:r>
          </w:p>
        </w:tc>
        <w:tc>
          <w:tcPr>
            <w:tcW w:w="8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222,229</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1,811,663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301,163</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301,163</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22,330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323,493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4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Foreign currency translation adjustments,</w:t>
            </w:r>
          </w:p>
        </w:tc>
        <w:tc>
          <w:tcPr>
            <w:tcW w:w="8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(29,503)</w:t>
            </w: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(29,503)</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(4,784)</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(34,287)</w:t>
            </w:r>
          </w:p>
        </w:tc>
        <w:tc>
          <w:tcPr>
            <w:tcW w:w="0" w:type="dxa"/>
            <w:vAlign w:val="bottom"/>
          </w:tcPr>
          <w:p>
            <w:pPr>
              <w:spacing w:after="0"/>
              <w:rPr>
                <w:sz w:val="1"/>
                <w:szCs w:val="1"/>
                <w:color w:val="auto"/>
              </w:rPr>
            </w:pPr>
          </w:p>
        </w:tc>
      </w:tr>
      <w:tr>
        <w:trPr>
          <w:trHeight w:val="101"/>
        </w:trPr>
        <w:tc>
          <w:tcPr>
            <w:tcW w:w="304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net of tax</w:t>
            </w:r>
          </w:p>
        </w:tc>
        <w:tc>
          <w:tcPr>
            <w:tcW w:w="80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40" w:type="dxa"/>
            <w:vAlign w:val="bottom"/>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040" w:type="dxa"/>
            <w:vAlign w:val="bottom"/>
          </w:tcPr>
          <w:p>
            <w:pPr>
              <w:ind w:left="360"/>
              <w:spacing w:after="0"/>
              <w:rPr>
                <w:sz w:val="20"/>
                <w:szCs w:val="20"/>
                <w:color w:val="auto"/>
              </w:rPr>
            </w:pPr>
            <w:r>
              <w:rPr>
                <w:rFonts w:ascii="Arial" w:cs="Arial" w:eastAsia="Arial" w:hAnsi="Arial"/>
                <w:sz w:val="14"/>
                <w:szCs w:val="14"/>
                <w:color w:val="auto"/>
              </w:rPr>
              <w:t>Total comprehensive income</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271,660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17,546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289,206</w:t>
            </w:r>
          </w:p>
        </w:tc>
        <w:tc>
          <w:tcPr>
            <w:tcW w:w="0" w:type="dxa"/>
            <w:vAlign w:val="bottom"/>
          </w:tcPr>
          <w:p>
            <w:pPr>
              <w:spacing w:after="0"/>
              <w:rPr>
                <w:sz w:val="1"/>
                <w:szCs w:val="1"/>
                <w:color w:val="auto"/>
              </w:rPr>
            </w:pPr>
          </w:p>
        </w:tc>
      </w:tr>
      <w:tr>
        <w:trPr>
          <w:trHeight w:val="39"/>
        </w:trPr>
        <w:tc>
          <w:tcPr>
            <w:tcW w:w="30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(Note 16)</w:t>
            </w:r>
          </w:p>
        </w:tc>
        <w:tc>
          <w:tcPr>
            <w:tcW w:w="8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19,856</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19,856</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19,856</w:t>
            </w:r>
          </w:p>
        </w:tc>
        <w:tc>
          <w:tcPr>
            <w:tcW w:w="0" w:type="dxa"/>
            <w:vAlign w:val="bottom"/>
          </w:tcPr>
          <w:p>
            <w:pPr>
              <w:spacing w:after="0"/>
              <w:rPr>
                <w:sz w:val="1"/>
                <w:szCs w:val="1"/>
                <w:color w:val="auto"/>
              </w:rPr>
            </w:pPr>
          </w:p>
        </w:tc>
      </w:tr>
      <w:tr>
        <w:trPr>
          <w:trHeight w:val="26"/>
        </w:trPr>
        <w:tc>
          <w:tcPr>
            <w:tcW w:w="30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0840"/>
          </w:cols>
          <w:pgMar w:left="540" w:top="1337" w:right="519" w:bottom="1440" w:gutter="0" w:footer="0" w:header="0"/>
          <w:type w:val="continuous"/>
        </w:sectPr>
      </w:pPr>
    </w:p>
    <w:p>
      <w:pPr>
        <w:ind w:left="160" w:right="240"/>
        <w:spacing w:after="0" w:line="253" w:lineRule="auto"/>
        <w:rPr>
          <w:sz w:val="20"/>
          <w:szCs w:val="20"/>
          <w:color w:val="auto"/>
        </w:rPr>
      </w:pPr>
      <w:r>
        <w:rPr>
          <w:rFonts w:ascii="Arial" w:cs="Arial" w:eastAsia="Arial" w:hAnsi="Arial"/>
          <w:sz w:val="14"/>
          <w:szCs w:val="14"/>
          <w:color w:val="auto"/>
        </w:rPr>
        <w:t>Cumulative effect for adoption of revenue standard (Notes 2 &amp; 3)</w:t>
      </w:r>
    </w:p>
    <w:p>
      <w:pPr>
        <w:spacing w:after="0" w:line="12" w:lineRule="exact"/>
        <w:rPr>
          <w:sz w:val="20"/>
          <w:szCs w:val="20"/>
          <w:color w:val="auto"/>
        </w:rPr>
      </w:pPr>
    </w:p>
    <w:p>
      <w:pPr>
        <w:ind w:left="160"/>
        <w:spacing w:after="0" w:line="238" w:lineRule="auto"/>
        <w:rPr>
          <w:sz w:val="20"/>
          <w:szCs w:val="20"/>
          <w:color w:val="auto"/>
        </w:rPr>
      </w:pPr>
      <w:r>
        <w:rPr>
          <w:rFonts w:ascii="Arial" w:cs="Arial" w:eastAsia="Arial" w:hAnsi="Arial"/>
          <w:sz w:val="14"/>
          <w:szCs w:val="14"/>
          <w:color w:val="auto"/>
        </w:rPr>
        <w:t>Issuance of shares under share award plan, net of shares withheld for employee taxes (Note 16)</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288"/>
              <w:spacing w:after="0"/>
              <w:rPr>
                <w:sz w:val="20"/>
                <w:szCs w:val="20"/>
                <w:color w:val="auto"/>
              </w:rPr>
            </w:pPr>
            <w:r>
              <w:rPr>
                <w:rFonts w:ascii="Arial" w:cs="Arial" w:eastAsia="Arial" w:hAnsi="Arial"/>
                <w:sz w:val="14"/>
                <w:szCs w:val="14"/>
                <w:color w:val="auto"/>
                <w:w w:val="85"/>
              </w:rPr>
              <w:t>—</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(7,517)</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(7,517)</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(7,517)</w:t>
            </w:r>
          </w:p>
        </w:tc>
      </w:tr>
      <w:tr>
        <w:trPr>
          <w:trHeight w:val="432"/>
        </w:trPr>
        <w:tc>
          <w:tcPr>
            <w:tcW w:w="50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08"/>
              <w:spacing w:after="0"/>
              <w:rPr>
                <w:sz w:val="20"/>
                <w:szCs w:val="20"/>
                <w:color w:val="auto"/>
              </w:rPr>
            </w:pPr>
            <w:r>
              <w:rPr>
                <w:rFonts w:ascii="Arial" w:cs="Arial" w:eastAsia="Arial" w:hAnsi="Arial"/>
                <w:sz w:val="14"/>
                <w:szCs w:val="14"/>
                <w:color w:val="auto"/>
              </w:rPr>
              <w:t>(27,240)</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(27,239)</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-214630</wp:posOffset>
            </wp:positionV>
            <wp:extent cx="6886575"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6575" cy="31750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820" w:space="520"/>
            <w:col w:w="7500"/>
          </w:cols>
          <w:pgMar w:left="540" w:top="1337" w:right="5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800" w:type="dxa"/>
            <w:vAlign w:val="bottom"/>
          </w:tcPr>
          <w:p>
            <w:pPr>
              <w:ind w:left="160"/>
              <w:spacing w:after="0"/>
              <w:rPr>
                <w:sz w:val="20"/>
                <w:szCs w:val="20"/>
                <w:color w:val="auto"/>
              </w:rPr>
            </w:pPr>
            <w:r>
              <w:rPr>
                <w:rFonts w:ascii="Arial" w:cs="Arial" w:eastAsia="Arial" w:hAnsi="Arial"/>
                <w:sz w:val="14"/>
                <w:szCs w:val="14"/>
                <w:color w:val="auto"/>
              </w:rPr>
              <w:t>Repurchases of common stock (Note 15)</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(85,000)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(85,000)</w:t>
            </w:r>
          </w:p>
        </w:tc>
        <w:tc>
          <w:tcPr>
            <w:tcW w:w="2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(85,000)</w:t>
            </w:r>
          </w:p>
        </w:tc>
      </w:tr>
      <w:tr>
        <w:trPr>
          <w:trHeight w:val="26"/>
        </w:trPr>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Dividends (Note 4)</w:t>
            </w:r>
          </w:p>
        </w:tc>
        <w:tc>
          <w:tcPr>
            <w:tcW w:w="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(260,567)</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(260,567)</w:t>
            </w: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(260,567)</w:t>
            </w:r>
          </w:p>
        </w:tc>
      </w:tr>
      <w:tr>
        <w:trPr>
          <w:trHeight w:val="191"/>
        </w:trPr>
        <w:tc>
          <w:tcPr>
            <w:tcW w:w="2800" w:type="dxa"/>
            <w:vAlign w:val="bottom"/>
          </w:tcPr>
          <w:p>
            <w:pPr>
              <w:ind w:left="160"/>
              <w:spacing w:after="0"/>
              <w:rPr>
                <w:sz w:val="20"/>
                <w:szCs w:val="20"/>
                <w:color w:val="auto"/>
              </w:rPr>
            </w:pPr>
            <w:r>
              <w:rPr>
                <w:rFonts w:ascii="Arial" w:cs="Arial" w:eastAsia="Arial" w:hAnsi="Arial"/>
                <w:sz w:val="14"/>
                <w:szCs w:val="14"/>
                <w:color w:val="auto"/>
                <w:w w:val="97"/>
              </w:rPr>
              <w:t>Distributions to noncontrolling interests, net</w:t>
            </w: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(13,562)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(13,562)</w:t>
            </w:r>
          </w:p>
        </w:tc>
      </w:tr>
      <w:tr>
        <w:trPr>
          <w:trHeight w:val="26"/>
        </w:trPr>
        <w:tc>
          <w:tcPr>
            <w:tcW w:w="2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2019</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$1,130,083</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(31,730)</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$759,801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 (357,989)</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1,500,627</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226,213</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$ 1,726,840</w:t>
            </w:r>
          </w:p>
        </w:tc>
      </w:tr>
      <w:tr>
        <w:trPr>
          <w:trHeight w:val="20"/>
        </w:trPr>
        <w:tc>
          <w:tcPr>
            <w:tcW w:w="2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840"/>
          </w:cols>
          <w:pgMar w:left="540" w:top="1337" w:right="519" w:bottom="1440" w:gutter="0" w:footer="0" w:header="0"/>
          <w:type w:val="continuous"/>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840"/>
          </w:cols>
          <w:pgMar w:left="540" w:top="1337" w:right="51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Year Ended July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19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80"/>
        </w:trPr>
        <w:tc>
          <w:tcPr>
            <w:tcW w:w="5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04"/>
        </w:trPr>
        <w:tc>
          <w:tcPr>
            <w:tcW w:w="5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323,493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401,230</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231,718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33730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218,117</w:t>
            </w:r>
          </w:p>
        </w:tc>
        <w:tc>
          <w:tcPr>
            <w:tcW w:w="5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204,462</w:t>
            </w:r>
          </w:p>
        </w:tc>
        <w:tc>
          <w:tcPr>
            <w:tcW w:w="5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189,157</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real estate sales</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3,701</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13,097</w:t>
            </w:r>
          </w:p>
        </w:tc>
      </w:tr>
      <w:tr>
        <w:trPr>
          <w:trHeight w:val="210"/>
        </w:trPr>
        <w:tc>
          <w:tcPr>
            <w:tcW w:w="492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19,856</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19,040</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18,315</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 net</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22,419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36,437</w:t>
            </w:r>
          </w:p>
        </w:tc>
      </w:tr>
      <w:tr>
        <w:trPr>
          <w:trHeight w:val="210"/>
        </w:trPr>
        <w:tc>
          <w:tcPr>
            <w:tcW w:w="4920" w:type="dxa"/>
            <w:vAlign w:val="bottom"/>
          </w:tcPr>
          <w:p>
            <w:pPr>
              <w:ind w:left="380"/>
              <w:spacing w:after="0"/>
              <w:rPr>
                <w:sz w:val="20"/>
                <w:szCs w:val="20"/>
                <w:color w:val="auto"/>
              </w:rPr>
            </w:pPr>
            <w:r>
              <w:rPr>
                <w:rFonts w:ascii="Arial" w:cs="Arial" w:eastAsia="Arial" w:hAnsi="Arial"/>
                <w:sz w:val="14"/>
                <w:szCs w:val="14"/>
                <w:color w:val="auto"/>
              </w:rPr>
              <w:t>Canyons obligation accreted interest expense</w:t>
            </w:r>
          </w:p>
        </w:tc>
        <w:tc>
          <w:tcPr>
            <w:tcW w:w="8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5,752</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5,723</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5,687</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fair value of contingent consideration</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16,300</w:t>
            </w:r>
          </w:p>
        </w:tc>
      </w:tr>
      <w:tr>
        <w:trPr>
          <w:trHeight w:val="210"/>
        </w:trPr>
        <w:tc>
          <w:tcPr>
            <w:tcW w:w="4920" w:type="dxa"/>
            <w:vAlign w:val="bottom"/>
          </w:tcPr>
          <w:p>
            <w:pPr>
              <w:ind w:left="380"/>
              <w:spacing w:after="0"/>
              <w:rPr>
                <w:sz w:val="20"/>
                <w:szCs w:val="20"/>
                <w:color w:val="auto"/>
              </w:rPr>
            </w:pPr>
            <w:r>
              <w:rPr>
                <w:rFonts w:ascii="Arial" w:cs="Arial" w:eastAsia="Arial" w:hAnsi="Arial"/>
                <w:sz w:val="14"/>
                <w:szCs w:val="14"/>
                <w:color w:val="auto"/>
              </w:rPr>
              <w:t>Foreign currency loss (gain) on intercompany loans</w:t>
            </w:r>
          </w:p>
        </w:tc>
        <w:tc>
          <w:tcPr>
            <w:tcW w:w="8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2,854</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8,966</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(15,285)</w:t>
            </w:r>
          </w:p>
        </w:tc>
      </w:tr>
      <w:tr>
        <w:trPr>
          <w:trHeight w:val="209"/>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real property</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r>
      <w:tr>
        <w:trPr>
          <w:trHeight w:val="197"/>
        </w:trPr>
        <w:tc>
          <w:tcPr>
            <w:tcW w:w="4920" w:type="dxa"/>
            <w:vAlign w:val="bottom"/>
          </w:tcPr>
          <w:p>
            <w:pPr>
              <w:ind w:left="380"/>
              <w:spacing w:after="0"/>
              <w:rPr>
                <w:sz w:val="20"/>
                <w:szCs w:val="20"/>
                <w:color w:val="auto"/>
              </w:rPr>
            </w:pPr>
            <w:r>
              <w:rPr>
                <w:rFonts w:ascii="Arial" w:cs="Arial" w:eastAsia="Arial" w:hAnsi="Arial"/>
                <w:sz w:val="14"/>
                <w:szCs w:val="14"/>
                <w:color w:val="auto"/>
              </w:rPr>
              <w:t>Other non-cash income, net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(13,875)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(13,784)</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(15,063)</w:t>
            </w:r>
          </w:p>
        </w:tc>
      </w:tr>
      <w:tr>
        <w:trPr>
          <w:trHeight w:val="197"/>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 net of effects of acquisitions:</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9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7"/>
        </w:trPr>
        <w:tc>
          <w:tcPr>
            <w:tcW w:w="492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(35,406)</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(44,261)</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(36,291)</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 net</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(7,274)</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8,086</w:t>
            </w:r>
          </w:p>
        </w:tc>
      </w:tr>
      <w:tr>
        <w:trPr>
          <w:trHeight w:val="210"/>
        </w:trPr>
        <w:tc>
          <w:tcPr>
            <w:tcW w:w="4920" w:type="dxa"/>
            <w:vAlign w:val="bottom"/>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8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23,296</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1,879</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(22,119)</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35,628</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42,007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24,217</w:t>
            </w:r>
          </w:p>
        </w:tc>
      </w:tr>
      <w:tr>
        <w:trPr>
          <w:trHeight w:val="197"/>
        </w:trPr>
        <w:tc>
          <w:tcPr>
            <w:tcW w:w="4920" w:type="dxa"/>
            <w:vAlign w:val="bottom"/>
          </w:tcPr>
          <w:p>
            <w:pPr>
              <w:ind w:left="380"/>
              <w:spacing w:after="0"/>
              <w:rPr>
                <w:sz w:val="20"/>
                <w:szCs w:val="20"/>
                <w:color w:val="auto"/>
              </w:rPr>
            </w:pPr>
            <w:r>
              <w:rPr>
                <w:rFonts w:ascii="Arial" w:cs="Arial" w:eastAsia="Arial" w:hAnsi="Arial"/>
                <w:sz w:val="14"/>
                <w:szCs w:val="14"/>
                <w:color w:val="auto"/>
              </w:rPr>
              <w:t>Income taxes payable - excess tax benefit from share award plans</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(12,932)</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(71,077)</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(9,878)</w:t>
            </w:r>
          </w:p>
        </w:tc>
      </w:tr>
      <w:tr>
        <w:trPr>
          <w:trHeight w:val="222"/>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 - other</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38,773</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38,453</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27,954</w:t>
            </w:r>
          </w:p>
        </w:tc>
      </w:tr>
      <w:tr>
        <w:trPr>
          <w:trHeight w:val="210"/>
        </w:trPr>
        <w:tc>
          <w:tcPr>
            <w:tcW w:w="49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assets and liabilities, net</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8,743</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1,249</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5,417</w:t>
            </w:r>
          </w:p>
        </w:tc>
      </w:tr>
      <w:tr>
        <w:trPr>
          <w:trHeight w:val="216"/>
        </w:trPr>
        <w:tc>
          <w:tcPr>
            <w:tcW w:w="49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634,231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548,486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470,983</w:t>
            </w: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80"/>
        </w:trPr>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03"/>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(192,035)</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(140,611)</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(144,432)</w:t>
            </w:r>
          </w:p>
        </w:tc>
      </w:tr>
      <w:tr>
        <w:trPr>
          <w:trHeight w:val="197"/>
        </w:trPr>
        <w:tc>
          <w:tcPr>
            <w:tcW w:w="4920" w:type="dxa"/>
            <w:vAlign w:val="bottom"/>
          </w:tcPr>
          <w:p>
            <w:pPr>
              <w:ind w:left="160"/>
              <w:spacing w:after="0"/>
              <w:rPr>
                <w:sz w:val="20"/>
                <w:szCs w:val="20"/>
                <w:color w:val="auto"/>
              </w:rPr>
            </w:pPr>
            <w:r>
              <w:rPr>
                <w:rFonts w:ascii="Arial" w:cs="Arial" w:eastAsia="Arial" w:hAnsi="Arial"/>
                <w:sz w:val="14"/>
                <w:szCs w:val="14"/>
                <w:color w:val="auto"/>
              </w:rPr>
              <w:t>Acquisition of businesses, net of cash acquired</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(419,044)</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(1,356)</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(547,044)</w:t>
            </w:r>
          </w:p>
        </w:tc>
      </w:tr>
      <w:tr>
        <w:trPr>
          <w:trHeight w:val="216"/>
        </w:trPr>
        <w:tc>
          <w:tcPr>
            <w:tcW w:w="4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investing activities, net</w:t>
            </w: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15,045</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7,388</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14,816</w:t>
            </w:r>
          </w:p>
        </w:tc>
      </w:tr>
      <w:tr>
        <w:trPr>
          <w:trHeight w:val="196"/>
        </w:trPr>
        <w:tc>
          <w:tcPr>
            <w:tcW w:w="4920" w:type="dxa"/>
            <w:vAlign w:val="bottom"/>
          </w:tcPr>
          <w:p>
            <w:pPr>
              <w:ind w:left="600"/>
              <w:spacing w:after="0"/>
              <w:rPr>
                <w:sz w:val="20"/>
                <w:szCs w:val="20"/>
                <w:color w:val="auto"/>
              </w:rPr>
            </w:pPr>
            <w:r>
              <w:rPr>
                <w:rFonts w:ascii="Arial" w:cs="Arial" w:eastAsia="Arial" w:hAnsi="Arial"/>
                <w:sz w:val="14"/>
                <w:szCs w:val="14"/>
                <w:color w:val="auto"/>
              </w:rPr>
              <w:t>Net cash used in investing activities</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(596,034)</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(134,579)</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(676,660)</w:t>
            </w: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9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0"/>
        </w:trPr>
        <w:tc>
          <w:tcPr>
            <w:tcW w:w="4920" w:type="dxa"/>
            <w:vAlign w:val="bottom"/>
          </w:tcPr>
          <w:p>
            <w:pPr>
              <w:ind w:left="160"/>
              <w:spacing w:after="0"/>
              <w:rPr>
                <w:sz w:val="20"/>
                <w:szCs w:val="20"/>
                <w:color w:val="auto"/>
              </w:rPr>
            </w:pPr>
            <w:r>
              <w:rPr>
                <w:rFonts w:ascii="Arial" w:cs="Arial" w:eastAsia="Arial" w:hAnsi="Arial"/>
                <w:sz w:val="14"/>
                <w:szCs w:val="14"/>
                <w:color w:val="auto"/>
              </w:rPr>
              <w:t>Proceeds from borrowings under Vail Holdings Credit Agreement</w:t>
            </w:r>
          </w:p>
        </w:tc>
        <w:tc>
          <w:tcPr>
            <w:tcW w:w="8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543,625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225,000</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669,375</w:t>
            </w:r>
          </w:p>
        </w:tc>
      </w:tr>
      <w:tr>
        <w:trPr>
          <w:trHeight w:val="222"/>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borrowings under Whistler Credit Agreement</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26,518</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46,513</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16,917</w:t>
            </w:r>
          </w:p>
        </w:tc>
      </w:tr>
      <w:tr>
        <w:trPr>
          <w:trHeight w:val="197"/>
        </w:trPr>
        <w:tc>
          <w:tcPr>
            <w:tcW w:w="4920" w:type="dxa"/>
            <w:vAlign w:val="bottom"/>
          </w:tcPr>
          <w:p>
            <w:pPr>
              <w:ind w:left="160"/>
              <w:spacing w:after="0"/>
              <w:rPr>
                <w:sz w:val="20"/>
                <w:szCs w:val="20"/>
                <w:color w:val="auto"/>
              </w:rPr>
            </w:pPr>
            <w:r>
              <w:rPr>
                <w:rFonts w:ascii="Arial" w:cs="Arial" w:eastAsia="Arial" w:hAnsi="Arial"/>
                <w:sz w:val="14"/>
                <w:szCs w:val="14"/>
                <w:color w:val="auto"/>
              </w:rPr>
              <w:t>Repayments of borrowings under Vail Holdings Credit Agreement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(235,625)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(182,500)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(213,125)</w:t>
            </w:r>
          </w:p>
        </w:tc>
      </w:tr>
      <w:tr>
        <w:trPr>
          <w:trHeight w:val="209"/>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of borrowings under Whistler Credit Agreement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(91,941)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(53,889)</w:t>
            </w:r>
          </w:p>
        </w:tc>
      </w:tr>
      <w:tr>
        <w:trPr>
          <w:trHeight w:val="197"/>
        </w:trPr>
        <w:tc>
          <w:tcPr>
            <w:tcW w:w="4920" w:type="dxa"/>
            <w:vAlign w:val="bottom"/>
          </w:tcPr>
          <w:p>
            <w:pPr>
              <w:ind w:left="160"/>
              <w:spacing w:after="0"/>
              <w:rPr>
                <w:sz w:val="20"/>
                <w:szCs w:val="20"/>
                <w:color w:val="auto"/>
              </w:rPr>
            </w:pPr>
            <w:r>
              <w:rPr>
                <w:rFonts w:ascii="Arial" w:cs="Arial" w:eastAsia="Arial" w:hAnsi="Arial"/>
                <w:sz w:val="14"/>
                <w:szCs w:val="14"/>
                <w:color w:val="auto"/>
              </w:rPr>
              <w:t>Employee taxes paid for share award exercises</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(27,239)</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(104,077)</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(16,275)</w:t>
            </w:r>
          </w:p>
        </w:tc>
      </w:tr>
      <w:tr>
        <w:trPr>
          <w:trHeight w:val="209"/>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of common stock</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7"/>
        </w:trPr>
        <w:tc>
          <w:tcPr>
            <w:tcW w:w="4920" w:type="dxa"/>
            <w:vAlign w:val="bottom"/>
          </w:tcPr>
          <w:p>
            <w:pPr>
              <w:ind w:left="160"/>
              <w:spacing w:after="0"/>
              <w:rPr>
                <w:sz w:val="20"/>
                <w:szCs w:val="20"/>
                <w:color w:val="auto"/>
              </w:rPr>
            </w:pPr>
            <w:r>
              <w:rPr>
                <w:rFonts w:ascii="Arial" w:cs="Arial" w:eastAsia="Arial" w:hAnsi="Arial"/>
                <w:sz w:val="14"/>
                <w:szCs w:val="14"/>
                <w:color w:val="auto"/>
              </w:rPr>
              <w:t>Dividends paid</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(260,567)</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(204,161)</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(146,235)</w:t>
            </w:r>
          </w:p>
        </w:tc>
      </w:tr>
      <w:tr>
        <w:trPr>
          <w:trHeight w:val="203"/>
        </w:trPr>
        <w:tc>
          <w:tcPr>
            <w:tcW w:w="4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financing activities, net</w:t>
            </w:r>
          </w:p>
        </w:tc>
        <w:tc>
          <w:tcPr>
            <w:tcW w:w="8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(16,210)</w:t>
            </w: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(13,749)</w:t>
            </w: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210"/>
        </w:trPr>
        <w:tc>
          <w:tcPr>
            <w:tcW w:w="49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(99,558)</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(350,715)</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255,617</w:t>
            </w: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Effect of exchange rate changes on cash, cash equivalents and restricted cash</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3,779</w:t>
            </w:r>
          </w:p>
        </w:tc>
      </w:tr>
      <w:tr>
        <w:trPr>
          <w:trHeight w:val="210"/>
        </w:trPr>
        <w:tc>
          <w:tcPr>
            <w:tcW w:w="4920" w:type="dxa"/>
            <w:vAlign w:val="bottom"/>
          </w:tcPr>
          <w:p>
            <w:pPr>
              <w:ind w:left="600"/>
              <w:spacing w:after="0"/>
              <w:rPr>
                <w:sz w:val="20"/>
                <w:szCs w:val="20"/>
                <w:color w:val="auto"/>
              </w:rPr>
            </w:pPr>
            <w:r>
              <w:rPr>
                <w:rFonts w:ascii="Arial" w:cs="Arial" w:eastAsia="Arial" w:hAnsi="Arial"/>
                <w:sz w:val="14"/>
                <w:szCs w:val="14"/>
                <w:color w:val="auto"/>
                <w:w w:val="99"/>
              </w:rPr>
              <w:t>Net (decrease) increase in cash, cash equivalents and restricted cash</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(66,651)</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57,378</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53,719</w:t>
            </w: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9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0"/>
        </w:trPr>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Beginning of period</w:t>
            </w: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185,040</w:t>
            </w: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127,662</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73,943</w:t>
            </w:r>
          </w:p>
        </w:tc>
      </w:tr>
      <w:tr>
        <w:trPr>
          <w:trHeight w:val="223"/>
        </w:trPr>
        <w:tc>
          <w:tcPr>
            <w:tcW w:w="4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End of period</w:t>
            </w:r>
          </w:p>
        </w:tc>
        <w:tc>
          <w:tcPr>
            <w:tcW w:w="8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118,389</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185,040</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127,662</w:t>
            </w:r>
          </w:p>
        </w:tc>
      </w:tr>
      <w:tr>
        <w:trPr>
          <w:trHeight w:val="210"/>
        </w:trPr>
        <w:tc>
          <w:tcPr>
            <w:tcW w:w="492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70,888</w:t>
            </w:r>
          </w:p>
        </w:tc>
        <w:tc>
          <w:tcPr>
            <w:tcW w:w="5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53,842</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46,454</w:t>
            </w:r>
          </w:p>
        </w:tc>
      </w:tr>
      <w:tr>
        <w:trPr>
          <w:trHeight w:val="222"/>
        </w:trPr>
        <w:tc>
          <w:tcPr>
            <w:tcW w:w="4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net</w:t>
            </w:r>
          </w:p>
        </w:tc>
        <w:tc>
          <w:tcPr>
            <w:tcW w:w="8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27,212</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16,945</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49,373</w:t>
            </w: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Non-cash investing activities:</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80"/>
        </w:trPr>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6"/>
        </w:trPr>
        <w:tc>
          <w:tcPr>
            <w:tcW w:w="4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capital expenditures</w:t>
            </w:r>
          </w:p>
        </w:tc>
        <w:tc>
          <w:tcPr>
            <w:tcW w:w="8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18,420</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15,638</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14,631</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9980"/>
          </w:cols>
          <w:pgMar w:left="960" w:top="1229" w:right="95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the Mountain segment, as of July 31, 2019, the Company operated seventeen mountain resort properties and three urban ski areas including:</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Mountain Resorts: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Crested Butte Mountain Resort (“Crested Butte”)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Mount Sunapee Resort (“Mount Sunapee”)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Park City Resort (“Park City”)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Okemo Mountain Resort (“Okemo”)</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Stevens Pass Mountain Resort (“Stevens Pass”)</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Falls Creek Alpine Resort (“Falls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Hotham Alpine Resort (“Hotham”)</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Urban Ski Areas: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Afton Alps Ski Area (“Afton Alps”)</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Mount Brighton Ski Area (“Mt. Brighton”)</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Wilmot Mountain (“Wilmot”)</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resorts,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resorts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013" w:right="239" w:bottom="1440" w:gutter="0" w:footer="0" w:header="0"/>
        </w:sectPr>
      </w:pPr>
    </w:p>
    <w:bookmarkStart w:id="71" w:name="page72"/>
    <w:bookmarkEnd w:id="71"/>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operating season at the Company’s Australian resorts, NPS concessionaire properties and golf courses generally occurs from June to early October.</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and its 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 Company has a controlling financial interest. Investments in which the Company does not have a controlling financial interest are accounted for under the equity method. All significant intercompany transactions have been eliminated in consolidation.</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 liquid investments with maturities of three months or less at the date of purchase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Accounts receivable</w:t>
      </w:r>
      <w:r>
        <w:rPr>
          <w:rFonts w:ascii="Arial" w:cs="Arial" w:eastAsia="Arial" w:hAnsi="Arial"/>
          <w:sz w:val="17"/>
          <w:szCs w:val="17"/>
          <w:color w:val="auto"/>
        </w:rPr>
        <w:t>-- The Company records trade accounts receivable in the normal course of business related to the sale of products or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Company’s inventories consist primarily of purchased retail goods, food and beverage items and spare parts. Inventories are stated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cost or net realizable value, determined using primarily an average weighted cost method. The Company records a reserve for estimated shrinkage and obsolete or unusable inventory.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Property, plant and equipment is carried at cost net of accumulated depreciation. Repairs and maintenance are expensed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capital leases, generally based on the following useful lives: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524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Estimated Life</w:t>
            </w:r>
          </w:p>
        </w:tc>
      </w:tr>
      <w:tr>
        <w:trPr>
          <w:trHeight w:val="234"/>
        </w:trPr>
        <w:tc>
          <w:tcPr>
            <w:tcW w:w="6180" w:type="dxa"/>
            <w:vAlign w:val="bottom"/>
          </w:tcPr>
          <w:p>
            <w:pPr>
              <w:spacing w:after="0"/>
              <w:rPr>
                <w:sz w:val="20"/>
                <w:szCs w:val="20"/>
                <w:color w:val="auto"/>
              </w:rPr>
            </w:pPr>
          </w:p>
        </w:tc>
        <w:tc>
          <w:tcPr>
            <w:tcW w:w="5240" w:type="dxa"/>
            <w:vAlign w:val="bottom"/>
          </w:tcPr>
          <w:p>
            <w:pPr>
              <w:jc w:val="center"/>
              <w:ind w:left="2650"/>
              <w:spacing w:after="0"/>
              <w:rPr>
                <w:sz w:val="20"/>
                <w:szCs w:val="20"/>
                <w:color w:val="auto"/>
              </w:rPr>
            </w:pPr>
            <w:r>
              <w:rPr>
                <w:rFonts w:ascii="Arial" w:cs="Arial" w:eastAsia="Arial" w:hAnsi="Arial"/>
                <w:sz w:val="18"/>
                <w:szCs w:val="18"/>
                <w:b w:val="1"/>
                <w:bCs w:val="1"/>
                <w:color w:val="auto"/>
                <w:w w:val="88"/>
              </w:rPr>
              <w:t>in Years</w:t>
            </w:r>
          </w:p>
        </w:tc>
      </w:tr>
      <w:tr>
        <w:trPr>
          <w:trHeight w:val="27"/>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1"/>
              </w:rPr>
              <w:t>10-35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7-30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4"/>
              </w:rPr>
              <w:t>2-30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3-10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9"/>
              </w:rPr>
              <w:t>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Vehicles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3-10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Real Estate Held for Sale and Investment</w:t>
      </w:r>
      <w:r>
        <w:rPr>
          <w:rFonts w:ascii="Arial" w:cs="Arial" w:eastAsia="Arial" w:hAnsi="Arial"/>
          <w:sz w:val="18"/>
          <w:szCs w:val="18"/>
          <w:color w:val="auto"/>
        </w:rPr>
        <w:t>-- The Company capitalizes as real estate held for sale and investment the original land acquisition cost,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 costs, property taxes, interest recorded on costs related to real estate under development and other related costs. Sales and marketing expenses are charged against income in the period incurred. Additionally, sales commission expenses are charged against income in the period that the related revenue from real estate sales is recorded.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Certain costs incurred with the issuance of debt and debt securities are capitalized and included as a reduction in the net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long-term debt, net of accumulated amortization, with the exception of costs incurred related to line-of-credit arrangements, which are included in deferred charges and other assets, net of accumulated amortization. Amortization is charged to interest expense over the respective term of the applicable debt issues. When debt is extinguished prior to its maturity date, the amortization of the remaining unamortized deferred financing costs, or pro-rata portion thereof, is charged to loss on extinguishment of debt.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The Company has classified as goodwill the cost in excess of estimated fair value of the net assets of businesses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transactions. The Company’s major intangible asset classes are trademarks, water rights, customer lists, property management contracts, Forest Service permits and excess reorganization value. Goodwill and various indefinite-lived intangible assets, including excess reorganization value, certain trademarks, water rights and certain property management contracts, are not amortized but are subject to at least annual impairment testing. The Company tests annually (or more often, if necessary) for impairment as of May 1. Amortizable intangible assets are amortized over the shorter of their contractual terms or estimated useful lives.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017" w:right="2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7"/>
          <w:szCs w:val="17"/>
          <w:color w:val="auto"/>
        </w:rPr>
        <w:t>The testing for impairment consists of a comparison of the estimated fair value of the assets with their net carrying values. If the net carrying amount of the assets exceed its estimated fair value, an impairment will be recognized for indefinite-lived intangibles, including goodwill, in an amount equal to that excess. If the net carrying amount of the assets does not exceed the estimated fair value, no impairment loss is recognized. For the testing of goodwill and other indefinite-lived intangible assets for impairment, the Company performs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may be more likely than not less than carrying amount, or if significant changes to macro-economic factors related to the reporting unit or intangible asset have occurred that could materially impact fair value,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Company determined that there was no impairment to goodwill and no material impairment to definite or indefinite-lived intangible assets for the years ended July 31, 2019, 2018 and 2017.</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The Company evaluates potential impairment of long-lived assets and long-lived assets to be disposed of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does not believe any events or changes in circumstances indicating an impairment of the net carrying amount of a long-lived asset occurred during the years ended July 31, 2019, 2018 and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Company’s significant accounting policies with regard to revenue recognition are discussed in Note 3,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Real Estate Cost of Sales-- </w:t>
      </w:r>
      <w:r>
        <w:rPr>
          <w:rFonts w:ascii="Arial" w:cs="Arial" w:eastAsia="Arial" w:hAnsi="Arial"/>
          <w:sz w:val="18"/>
          <w:szCs w:val="18"/>
          <w:color w:val="auto"/>
        </w:rPr>
        <w:t>Costs of real estate transactions include direct project costs, common cost allocations (primarily determined on relative sales</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Translation -- </w:t>
      </w:r>
      <w:r>
        <w:rPr>
          <w:rFonts w:ascii="Arial" w:cs="Arial" w:eastAsia="Arial" w:hAnsi="Arial"/>
          <w:sz w:val="17"/>
          <w:szCs w:val="17"/>
          <w:color w:val="auto"/>
        </w:rPr>
        <w:t>The functional currency of the Company’s entities operating outside of the United States is the principal currency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income as a separate component of stockholders’ equity. Intercompany transactions that are not of a long-term nature are reported as gains and losses within “segment operating expense” and for intercompany loans within “foreign currency (loss) gain on intercompany loans” on the Company’s Consolidated Statements of Operations.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Reserve Estimates-- </w:t>
      </w:r>
      <w:r>
        <w:rPr>
          <w:rFonts w:ascii="Arial" w:cs="Arial" w:eastAsia="Arial" w:hAnsi="Arial"/>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Advertising Costs</w:t>
      </w:r>
      <w:r>
        <w:rPr>
          <w:rFonts w:ascii="Arial" w:cs="Arial" w:eastAsia="Arial" w:hAnsi="Arial"/>
          <w:sz w:val="18"/>
          <w:szCs w:val="18"/>
          <w:color w:val="auto"/>
        </w:rPr>
        <w:t>-- Advertising costs are expensed at the time such advertising commences. Advertising expense for the years ended July 31, 2019,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was $44.6 million, $39.8 million and $40.0 million, respectively, and was recorded within Mountain and Lodging operating expenses on the Company’s Consolidated Statement of Operations.</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includes U.S. tax (federal and state) and foreign income taxes. The Company’s provision for income taxes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79" w:right="2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settlement. Interest and penalties accrued in connection with uncertain tax positions are recognized as a component of income tax expense (see Note 10, Income Taxes, for more information).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The recorded amounts for cash and cash equivalents, receivables, other current assets and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approximate fair value due to their short-term nature. The fair value of amounts outstanding under the Company’s credit agreements and the Employee Housing Bonds (as defined in Note 5, Long-Term Debt) approximate book value due to the variable nature of the interest rate, which is a market rate, associated with the debt.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Stock-based compensation expense is measured at the grant date based upon the estimated fair value of the award and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as expense over the applicable vesting period of the award generally using the straight-line method (see Note 16, Stock Compensation Plan for more information), less the amount of forfeited awards which are recorded as they occur. The following table shows total net stock-based compensation expense for the years ended July 31, 2019, 2018 and 2017 included in the Consolidated Statements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stock-based compensation expense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Lodging stock-based compensation expense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3,219</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3,215</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3,215</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stock-based compensation expense</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Pre-tax stock-based compensation expense</w:t>
            </w: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19,856</w:t>
            </w: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18,315</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benefit from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stock-based compensation expense</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15,267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13,634</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12,025</w:t>
            </w:r>
          </w:p>
        </w:tc>
      </w:tr>
      <w:tr>
        <w:trPr>
          <w:trHeight w:val="34"/>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The Company’s financial instruments that are exposed to concentrations of credit risk consist primarily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restricted cash. The Company places its cash and temporary cash investments in high-quality credit institutions. The Company does not enter into financial instruments for hedging, trading or speculative purposes. Concentration of credit risk with respect to accounts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which supersedes the revenue recognition requirements in Topic 605.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issued several amendments, which did not change the core principle of the guidance and were intended to clarify and improve understanding of certain topics included within the revenue standard. On August 1, 2018, the Company adopted this standard using the modified retrospective transition method for contracts which were not completed as of August 1, 2018. In accordance with this transition method, results for reporting periods beginning after August 1, 2018 are presented under Topic 606, while prior period amounts were not adjusted and continue to be reported in accordance with the Company’s historical accounting methodology under Topic 605. On August 1, 2018, as a result of adopting this standard, the Company recorded an approximate $7.5 million reduction of retained earnings with a corresponding increase in accounts payable and accrued liabilities, which was primarily associated with the measurement of the loyalty reward programs under the new standard at an estimated fair value of underlying products or services expected to be delivered to satisfy the Company’s obligations associated with such loyalty programs. The application of this standard had an immaterial impact on total net revenue and net income attributable to Vail Resorts, Inc. for the year ended July 31, 2019.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016" w:right="2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In accordance with the new revenue recognition standard disclosure requirements, the impact of adoption of Topic 606 on the Consolidated Balance Sheet as of July 31, 2019 was as follows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As of July 31, 2019</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2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4"/>
              </w:rPr>
              <w:t>Balances Without Adoption of Topic</w:t>
            </w:r>
          </w:p>
        </w:tc>
        <w:tc>
          <w:tcPr>
            <w:tcW w:w="400" w:type="dxa"/>
            <w:vAlign w:val="bottom"/>
          </w:tcPr>
          <w:p>
            <w:pPr>
              <w:spacing w:after="0"/>
              <w:rPr>
                <w:sz w:val="13"/>
                <w:szCs w:val="13"/>
                <w:color w:val="auto"/>
              </w:rPr>
            </w:pPr>
          </w:p>
        </w:tc>
        <w:tc>
          <w:tcPr>
            <w:tcW w:w="200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200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606</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(Under Topic 606)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601,507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6,350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607,857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766,151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(6,350)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759,801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This standard provides guidance for eight targeted changes with respect to how cash receipts and cash payments are classified in the statements of cash flows, with the objective of reducing diversity in practice. The Company adopted this accounting standard on August 1, 2018, which did not have an impact on its consolidated financial statements.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2016, the FASB issued ASU No. 2016-18, “Restricted Cash,” which requires that a statement of cash flows present the change during a period for the total of cash, cash equivalents and restricted cash. Historically, under previous guidance, changes in restricted cash have been included within operating, investing or financing activities, which were eliminated under the new standard. The Company adopted this standard as of August 1, 2018, which required retrospective application to all periods presented. As a result, cash provided by operating activities during the years ended July 31, 2018 and 2017 decreased by $3.1 million and $2.2 million, respectively, under the new guidance as compared to what was reported under the previously required guidance, and cash used in investing activities during the year ended July 31, 2017 decreased by $6.2 million with regard to restricted cash acquired in the Whistler Blackcomb acquisition. Additionally, due to the inclusion of restricted cash in the beginning and end of period balances, cash, cash equivalents and restricted cash as of July 31, 2018 and 2017 increased $6.9 million and $10.3 million, respectively, as compared to what was reported under the previously required guidance. During peak operations of the North American ski season, the Company’s restricted cash balance is primarily associated with customer reservations deposits that are required to be held in a trust pursuant to statutory requirements until such reservations are fulfilled.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“Leases (Topic 842),” which supersedes “Leases (Topic 840).” The standard requires lessees to recognize the assets and liabilities arising from all leases on the balance sheet, including those classified as operating leases under previous accounting guidance, and to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remain largely unchanged. The standard will be effective for fiscal years beginning after December 15, 2018, including interim periods within those years (the Company’s first quarter of fiscal 2020), and as originally written must be applied using a modified retrospective transition approach to leases existing at, or entered into after, the beginning of the earliest comparative period presented in the financial statements, with early adoption permitted. In July 2018, the FASB released ASU No. 2018-11, Leases (Topic 842): Targeted Improvements which included providing an additional and optional transition method. Under this method, an entity initially applies the standard at the adoption date, including the election of certain transition reliefs, and recognizes a cumulative effect adjustment to the opening balance of retained earnings in the period of adoption.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adopt ASU 2016-02 on August 1, 2019 using the modified retrospective method provided by ASU No. 2018-11. By applying ASU 2016-02 as of the adoption date, as opposed to the beginning of the earliest period presented, the presentation and disclosure of financial information for periods before August 1, 2019 will remain unchanged. The Company has elected the package of practical expedients permitted under the transition guidance which allowed the Company to not reassess: (i) whether any existing or expired contracts are or contain leases; (ii) lease classification of any expired or existing leases; or (iii) initial direct costs for any existing leases. The Company has made an accounting policy election to not record leases on the balance sheet with an initial term of 12 months or less. The Company will recognize those lease payments in the consolidated statements of operations on a straight-line basis over the lease term.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017" w:right="239" w:bottom="1440" w:gutter="0" w:footer="0" w:header="0"/>
        </w:sectPr>
      </w:pPr>
    </w:p>
    <w:bookmarkStart w:id="75" w:name="page76"/>
    <w:bookmarkEnd w:id="75"/>
    <w:p>
      <w:pPr>
        <w:jc w:val="both"/>
        <w:spacing w:after="0" w:line="272" w:lineRule="auto"/>
        <w:rPr>
          <w:sz w:val="20"/>
          <w:szCs w:val="20"/>
          <w:color w:val="auto"/>
        </w:rPr>
      </w:pPr>
      <w:r>
        <w:rPr>
          <w:rFonts w:ascii="Arial" w:cs="Arial" w:eastAsia="Arial" w:hAnsi="Arial"/>
          <w:sz w:val="17"/>
          <w:szCs w:val="17"/>
          <w:color w:val="auto"/>
        </w:rPr>
        <w:t>While the Company is still finalizing its quantification of the impact that ASU 2016-02 will have on its financial statements and disclosures, it anticipates recognizing right-of-use lease assets in the range of $212.0 million to $232.0 million and related lease liabilities in the range of $245.0 million to $265.0 million for operating leases. The Company does not expect any changes related to its current capital leases, which will be considered finance leases under ASU 2016-02. As a result of adoption, the Company will reclassify net favorable and unfavorable lease balances, deferred rent credits and other amounts from assets and liabilities of approximately $33.0 million, which will have the impact of reducing the amount it recognizes as right-of-use lease assets and which has been factored into the range above. The Company does not expect the standard to materially affect its consolidated statements of operations, consolidated statements of cash flows or debt covenant compliance agreements as of July 31, 2019.</w:t>
      </w:r>
    </w:p>
    <w:p>
      <w:pPr>
        <w:spacing w:after="0" w:line="174"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89" w:lineRule="exact"/>
        <w:rPr>
          <w:sz w:val="20"/>
          <w:szCs w:val="20"/>
          <w:color w:val="auto"/>
        </w:rPr>
      </w:pPr>
    </w:p>
    <w:p>
      <w:pPr>
        <w:jc w:val="both"/>
        <w:ind w:left="660" w:hanging="328"/>
        <w:spacing w:after="0" w:line="26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resorts.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recognized throughout the ski season as the Company’s performance obligations are satisfied as control of the service (e.g. access to ski areas throughout the ski season) is transferred to the customer. Transfer of control is based on an estimated number of pass product holder visits relative to total expected visits. Total expected visits are estimated based on historical data, and the Company believes this estimate provides a faithful depiction of its customers’ pass product usage. When sufficient historical data to determine usage patterns is not available, such as in the case of new product offerings, deferred revenue is recognized on a straight-line basis throughout the ski season until sufficient historical usage patterns are available. The Company also includes other sources of revenue, mostly related to commercial leasing, and employee housing leasing arrangements within other mountain revenue.</w:t>
      </w:r>
    </w:p>
    <w:p>
      <w:pPr>
        <w:spacing w:after="0" w:line="183"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presents revenues in the accompanying consolidated statements of operations, net of taxes, when collected from its customers that are remitted or payable to government taxing authorities, except when products are inclusive of taxes where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01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revenues disaggregated by segment and major revenue type for the years ended July 31, 2019, 2018 and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Ended July 31,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1,033,234</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880,293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818,341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215,060</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189,910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177,748</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181,837</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161,402</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150,587</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320,267</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296,466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293,428</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205,803</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194,851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171,682</w:t>
            </w:r>
          </w:p>
        </w:tc>
      </w:tr>
      <w:tr>
        <w:trPr>
          <w:trHeight w:val="27"/>
        </w:trPr>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1,956,201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1,722,922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1,611,786</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64,826</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65,252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63,939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86,236</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70,198</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65,694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48,554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21,275</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21,111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22,173</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18,110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54,617</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47,577</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46,238</w:t>
            </w:r>
          </w:p>
        </w:tc>
      </w:tr>
      <w:tr>
        <w:trPr>
          <w:trHeight w:val="27"/>
        </w:trPr>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270,802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264,330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14,330</w:t>
            </w:r>
          </w:p>
        </w:tc>
        <w:tc>
          <w:tcPr>
            <w:tcW w:w="4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13,841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14,184</w:t>
            </w:r>
          </w:p>
        </w:tc>
      </w:tr>
      <w:tr>
        <w:trPr>
          <w:trHeight w:val="27"/>
        </w:trPr>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314,662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284,643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278,514</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2,270,863</w:t>
            </w:r>
          </w:p>
        </w:tc>
        <w:tc>
          <w:tcPr>
            <w:tcW w:w="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2,007,565</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1,890,300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3,988</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16,918</w:t>
            </w:r>
          </w:p>
        </w:tc>
      </w:tr>
      <w:tr>
        <w:trPr>
          <w:trHeight w:val="237"/>
        </w:trPr>
        <w:tc>
          <w:tcPr>
            <w:tcW w:w="67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2,271,575</w:t>
            </w:r>
          </w:p>
        </w:tc>
        <w:tc>
          <w:tcPr>
            <w:tcW w:w="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2,011,553</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1,907,218</w:t>
            </w:r>
          </w:p>
        </w:tc>
      </w:tr>
      <w:tr>
        <w:trPr>
          <w:trHeight w:val="27"/>
        </w:trPr>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fourth quarter of its fiscal year. Deferred revenue balances of a short-term nature were $335.7 million and $282.1 million as of July 31, 2019 and 2018, respectively. Deferred revenue balances of a long-term nature, comprised primarily of long-term private club initiation fee revenue, were $124.3 million and $126.5 million as of July 31, 2019 and 2018, respectively. For the year ended July 31, 2019, the Company recognized approximately $274.6 million of revenue that was included in the deferred revenue balance as of July 31, 2018. As of July 31, 2019, the weighted average remaining period over which revenue for unsatisfied performance obligations on long-term private club contracts will be recognized was approximately 17 years.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$270.9 million and $230.8 million as of July 31, 2019 and 2018, respectively.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w:t>
      </w:r>
    </w:p>
    <w:p>
      <w:pPr>
        <w:sectPr>
          <w:pgSz w:w="11900" w:h="16838" w:orient="portrait"/>
          <w:cols w:equalWidth="0" w:num="1">
            <w:col w:w="11420"/>
          </w:cols>
          <w:pgMar w:left="240" w:top="101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016" w:right="239" w:bottom="1440" w:gutter="0" w:footer="0" w:header="0"/>
          <w:type w:val="continuous"/>
        </w:sectPr>
      </w:pPr>
    </w:p>
    <w:bookmarkStart w:id="77" w:name="page78"/>
    <w:bookmarkEnd w:id="77"/>
    <w:p>
      <w:pPr>
        <w:jc w:val="both"/>
        <w:ind w:right="20"/>
        <w:spacing w:after="0" w:line="277" w:lineRule="auto"/>
        <w:rPr>
          <w:sz w:val="20"/>
          <w:szCs w:val="20"/>
          <w:color w:val="auto"/>
        </w:rPr>
      </w:pPr>
      <w:r>
        <w:rPr>
          <w:rFonts w:ascii="Arial" w:cs="Arial" w:eastAsia="Arial" w:hAnsi="Arial"/>
          <w:sz w:val="18"/>
          <w:szCs w:val="18"/>
          <w:color w:val="auto"/>
        </w:rPr>
        <w:t>to contract assets are recognized through the Company’s allowance for doubtful accounts analysis. Contract asset write-offs are evaluated on an individual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that credit card fees and sales commissions paid in order to obtain season ski pass products contracts are recoverable. Accordingly, the Company recognizes these amounts as assets when they are paid prior to the start of the ski season. As of July 31, 2019, $1.9 million of costs to obtain contracts with customers were recorded within other current assets on the Company’s Consolidated Balance Sheet. Deferred credit card fees and sales commissions are amortized commensurate with the recognition of season ski pass revenue. The Company recorded amortization of $10.6 million, $8.3 million and $6.8 million for these costs during the years ended July 31, 2019, 2018 and 2017, respectively, which were recorded within Mountain and Lodging operating expenses on the Company’s Consolidated Statement of Operations.</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Statements of Operations.</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6,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years ended July 31, 2019, 2018 and 2017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2"/>
              </w:rPr>
              <w:t>Year Ended July 31,</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spacing w:after="0"/>
              <w:rPr>
                <w:sz w:val="20"/>
                <w:szCs w:val="20"/>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Basic</w:t>
            </w:r>
          </w:p>
        </w:tc>
        <w:tc>
          <w:tcPr>
            <w:tcW w:w="2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Diluted</w:t>
            </w:r>
          </w:p>
        </w:tc>
        <w:tc>
          <w:tcPr>
            <w:tcW w:w="2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Diluted</w:t>
            </w: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Basic</w:t>
            </w:r>
          </w:p>
        </w:tc>
        <w:tc>
          <w:tcPr>
            <w:tcW w:w="2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Diluted</w:t>
            </w:r>
          </w:p>
        </w:tc>
      </w:tr>
      <w:tr>
        <w:trPr>
          <w:trHeight w:val="27"/>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301,163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301,163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379,898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379,898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210,553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210,553</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39,158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40,349</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1,115</w:t>
            </w:r>
          </w:p>
        </w:tc>
      </w:tr>
      <w:tr>
        <w:trPr>
          <w:trHeight w:val="27"/>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40,349</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41,158</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39,251</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40,366</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r>
      <w:tr>
        <w:trPr>
          <w:trHeight w:val="27"/>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4,000, 2,000 and 9,000 for the years ended July 31, 2019,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7, 2019, the Company’s Board of Directors approved an increase of approximately 20% in the annual cash dividend to an annual rate of $7.04 per share, subject to quarterly declaration. For the year ended July 31, 2019, the Company paid cash dividends of $6.46 per share ($260.6 million in the aggregate). On September 25, 2019 the Company’s Board of Directors approved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16" w:right="239" w:bottom="1440" w:gutter="0" w:footer="0" w:header="0"/>
        </w:sectPr>
      </w:pPr>
    </w:p>
    <w:bookmarkStart w:id="78" w:name="page79"/>
    <w:bookmarkEnd w:id="78"/>
    <w:p>
      <w:pPr>
        <w:spacing w:after="0" w:line="308" w:lineRule="auto"/>
        <w:rPr>
          <w:sz w:val="20"/>
          <w:szCs w:val="20"/>
          <w:color w:val="auto"/>
        </w:rPr>
      </w:pPr>
      <w:r>
        <w:rPr>
          <w:rFonts w:ascii="Arial" w:cs="Arial" w:eastAsia="Arial" w:hAnsi="Arial"/>
          <w:sz w:val="17"/>
          <w:szCs w:val="17"/>
          <w:color w:val="auto"/>
        </w:rPr>
        <w:t>a quarterly cash dividend of $1.76 per share payable on October 25, 2019 to stockholders of record as of October 8, 2019. Additionally, a Canadian dollar equivalent dividend on the Exchangeco Shares will be payable on October 25, 2019 to the shareholders of record on October 8,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5.  Long-Term Debt</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w w:val="92"/>
              </w:rPr>
              <w:t>Long-term debt as of July 31, 2019 and 2018 is summarized as follows (in thousands):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6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w:t>
            </w:r>
          </w:p>
        </w:tc>
        <w:tc>
          <w:tcPr>
            <w:tcW w:w="380" w:type="dxa"/>
            <w:vAlign w:val="bottom"/>
          </w:tcPr>
          <w:p>
            <w:pPr>
              <w:spacing w:after="0"/>
              <w:rPr>
                <w:sz w:val="24"/>
                <w:szCs w:val="24"/>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6360" w:type="dxa"/>
            <w:vAlign w:val="bottom"/>
          </w:tcPr>
          <w:p>
            <w:pPr>
              <w:spacing w:after="0"/>
              <w:rPr>
                <w:sz w:val="20"/>
                <w:szCs w:val="20"/>
                <w:color w:val="auto"/>
              </w:rPr>
            </w:pP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Maturity</w:t>
            </w:r>
          </w:p>
        </w:tc>
        <w:tc>
          <w:tcPr>
            <w:tcW w:w="6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Vail Holdings Credit Agreement revolver (a)</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2024</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Vail Holdings Credit Agreement term loan (a)</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914,375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684,375</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Whistler Credit Agreement revolver (b)</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65,353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Employee housing bonds (c)</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0"/>
              </w:rPr>
              <w:t>2027-2039</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52,575</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Canyons obligation (d)</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2063</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340,261</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334,509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 (e)</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0"/>
              </w:rPr>
              <w:t>2020-2032</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19,465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9,270</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1,580,130</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1,276,082</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3,870</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(f)</w:t>
            </w:r>
          </w:p>
        </w:tc>
        <w:tc>
          <w:tcPr>
            <w:tcW w:w="1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48,516</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38,455</w:t>
            </w:r>
          </w:p>
        </w:tc>
      </w:tr>
      <w:tr>
        <w:trPr>
          <w:trHeight w:val="237"/>
        </w:trPr>
        <w:tc>
          <w:tcPr>
            <w:tcW w:w="63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Long-term debt, net</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1,527,744</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1,234,277</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84"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August 15, 2018, in order to fund the Stevens Pass and Triple Peaks acquisitions (see Note 6, Acquisitions), the Company’s wholly-owned subsidiary, Vail Holdings, Inc. (“VHI”) entered into the Eighth Amended and Restated Credit Agreement (the “Vail Holdings Credit Agreement”), with Bank of America, N.A., as administrative agent, and other lenders named therein, through which those lenders agreed to provide an additional $265.6 million in incremental term loans and agreed, on behalf of all lenders, to extend the maturity date for the outstanding term loans and revolver facility under the Vail Holdings Credit Agreement to August 15, 2023. Subsequently, on April 15, 2019, the Company entered into an amendment to the Vail Holdings Credit Agreement which primarily extended the maturity date for the outstanding term loans and revolver facility to April 15, 2024, increased the amount of dividends the Company is permitted to pay in each fiscal quarter under the agreement and increased the amount of the revolver facility by $100.0 million. The Vail Holdings Credit Agreement consists of a $500.0 million revolving credit facility and a $950.0 million term loan facility.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$1.2 billion and (ii) the product of 2.75 and the trailing twelve-month Adjusted EBITDA, as defined in the Vail Holdings Credit Agreement. The term loan facility is subject to quarterly amortization of principal of approximately $11.9 million, which began on January 31, 2019, in equal installments, for a total of five percent payable in each year and the final payment of all amounts outstanding, plus accrued and unpaid interest due in April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July 31, 2019 (3.48% as of July 31, 2019).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times the daily amount by which the Vail Holdings Credit Agreement commitment exceeds the total of outstanding loans and outstanding letters of credit (0.25% as of July 31, 2019). The unused amounts are accessible to the extent that the Net Funded Debt to Adjusted EBITDA ratio does not exceed the maximum ratio allowed at quarter-ends and the Adjusted EBITDA to interest on Funded Debt (as defined in the Vail Holdings Credit Agreement) ratio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24" w:right="239" w:bottom="1440" w:gutter="0" w:footer="0" w:header="0"/>
        </w:sectPr>
      </w:pPr>
    </w:p>
    <w:bookmarkStart w:id="79" w:name="page80"/>
    <w:bookmarkEnd w:id="79"/>
    <w:p>
      <w:pPr>
        <w:jc w:val="both"/>
        <w:ind w:left="340"/>
        <w:spacing w:after="0" w:line="264" w:lineRule="auto"/>
        <w:rPr>
          <w:sz w:val="20"/>
          <w:szCs w:val="20"/>
          <w:color w:val="auto"/>
        </w:rPr>
      </w:pPr>
      <w:r>
        <w:rPr>
          <w:rFonts w:ascii="Arial" w:cs="Arial" w:eastAsia="Arial" w:hAnsi="Arial"/>
          <w:sz w:val="18"/>
          <w:szCs w:val="18"/>
          <w:color w:val="auto"/>
        </w:rPr>
        <w:t>On September 23, 2019, VHI entered into a further amendment to its Vail Holdings Credit Agreement, dated August 15, 2018, which increased the term loan facility by approximately $335.6 million and extended the maturity date to September 23, 2024. Refer to Note 18, Subsequent Events, for additional information.</w:t>
      </w:r>
    </w:p>
    <w:p>
      <w:pPr>
        <w:spacing w:after="0" w:line="73" w:lineRule="exact"/>
        <w:rPr>
          <w:sz w:val="20"/>
          <w:szCs w:val="20"/>
          <w:color w:val="auto"/>
        </w:rPr>
      </w:pPr>
    </w:p>
    <w:p>
      <w:pPr>
        <w:jc w:val="both"/>
        <w:ind w:left="340" w:hanging="332"/>
        <w:spacing w:after="0" w:line="285"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WB Partnerships (as defined in Note 6,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year ended July 31, 2019, the Company entered into an amendment of the Whistler Credit Agreement which extended the maturity date of the revolving credit facility to December 15, 2023.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2019,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July 31, 2019 all borrowings under the Whistler Credit Agreement were made in Canadian dollars and by way of the issuance of bankers’ acceptances plus 1.75% (3.76% as of July 31, 2019). The Whistler Credit Agreement also includes a quarterly unused commitment fee based on the Consolidated Total Leverage Ratio, which as of July 31, 2019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278"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0.09% (2.23% to 2.32% as of July 31, 2019).</w:t>
      </w:r>
    </w:p>
    <w:p>
      <w:pPr>
        <w:spacing w:after="0" w:line="154" w:lineRule="exact"/>
        <w:rPr>
          <w:rFonts w:ascii="Arial" w:cs="Arial" w:eastAsia="Arial" w:hAnsi="Arial"/>
          <w:sz w:val="16"/>
          <w:szCs w:val="16"/>
          <w:color w:val="auto"/>
        </w:rPr>
      </w:pPr>
    </w:p>
    <w:p>
      <w:pPr>
        <w:jc w:val="both"/>
        <w:ind w:left="340"/>
        <w:spacing w:after="0" w:line="259" w:lineRule="auto"/>
        <w:rPr>
          <w:rFonts w:ascii="Arial" w:cs="Arial" w:eastAsia="Arial" w:hAnsi="Arial"/>
          <w:sz w:val="16"/>
          <w:szCs w:val="16"/>
          <w:color w:val="auto"/>
        </w:rPr>
      </w:pPr>
      <w:r>
        <w:rPr>
          <w:rFonts w:ascii="Arial" w:cs="Arial" w:eastAsia="Arial" w:hAnsi="Arial"/>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2019 (in thousands):</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4"/>
              </w:rPr>
              <w:t>Maturity (a)</w:t>
            </w:r>
          </w:p>
        </w:tc>
        <w:tc>
          <w:tcPr>
            <w:tcW w:w="5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Tranche A</w:t>
            </w:r>
          </w:p>
        </w:tc>
        <w:tc>
          <w:tcPr>
            <w:tcW w:w="3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Tranche B</w:t>
            </w:r>
          </w:p>
        </w:tc>
        <w:tc>
          <w:tcPr>
            <w:tcW w:w="4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Breckenridge Terrace</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2039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Tarnes</w:t>
            </w: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89"/>
              </w:rPr>
              <w:t>2039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2,410</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10,410</w:t>
            </w:r>
          </w:p>
        </w:tc>
      </w:tr>
      <w:tr>
        <w:trPr>
          <w:trHeight w:val="27"/>
        </w:trPr>
        <w:tc>
          <w:tcPr>
            <w:tcW w:w="2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 Housing</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Tenderfoot</w:t>
            </w: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89"/>
              </w:rPr>
              <w:t>2035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5,885</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52,575</w:t>
            </w:r>
          </w:p>
        </w:tc>
      </w:tr>
      <w:tr>
        <w:trPr>
          <w:trHeight w:val="20"/>
        </w:trPr>
        <w:tc>
          <w:tcPr>
            <w:tcW w:w="29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May 24, 2013, VR CPC Holdings, Inc. (“VR CPC”), a wholly-owned subsidiary of the Company, entered into a transaction agreement with affiliate companies of Talisker Corporation (“Talisker”) pursuant to which the parties entered into a master lease agreement (the “Lease”) and certain ancillary transaction documents on May 29, 2013 related to the former stand-alone Canyons Resort (“Canyons”), pursuant to which the Company assumed the resort operations of the Canyons. The Lease between VR CPC and Talisker has an initial term of 50 years with six 50-year renewal options. The Lease provides for $25 million in annual payments, which increase each year by an inflation-linked index of CPI less 1% per annum, with a floor of 2%. Vail Resorts has guaranteed the payments under the Lease. The obligation at July 31, 2019 represents future lease payments for the remaining initial lease term of 50 years (including annual increases at the floor of 2%) discounted using an interest rate of 10%, and includes accumulated accreted interest expense of approximately $34.9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017" w:right="239" w:bottom="1440" w:gutter="0" w:footer="0" w:header="0"/>
        </w:sectPr>
      </w:pPr>
    </w:p>
    <w:bookmarkStart w:id="80" w:name="page81"/>
    <w:bookmarkEnd w:id="80"/>
    <w:p>
      <w:pPr>
        <w:jc w:val="both"/>
        <w:ind w:left="340" w:hanging="332"/>
        <w:spacing w:after="0" w:line="29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$11.2 million of proceeds for these sales transactions during the year ended July 31, 2019, which are reflected within long-term debt, net. Other obligations also consist of a $3.9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64" w:lineRule="exact"/>
        <w:rPr>
          <w:rFonts w:ascii="Arial" w:cs="Arial" w:eastAsia="Arial" w:hAnsi="Arial"/>
          <w:sz w:val="16"/>
          <w:szCs w:val="16"/>
          <w:color w:val="auto"/>
        </w:rPr>
      </w:pPr>
    </w:p>
    <w:p>
      <w:pPr>
        <w:jc w:val="both"/>
        <w:ind w:left="340" w:hanging="332"/>
        <w:spacing w:after="0" w:line="31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Current maturities represent principal payments due in the next 12 months, and exclude approximately $6.2 million of proceeds resulting from a real estate transaction accounted for as a financing arrangement, as discussed above, which are expected to be recognized on the Company’s Statement of Operations during the year ending July 31, 2020 as a result of the anticipated resolution of continuing involvement, with no associated cash outflow.</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for debt outstanding, including capital lease obligations, as of July 31, 2019 reflected by fiscal year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2020 </w:t>
            </w:r>
            <w:r>
              <w:rPr>
                <w:rFonts w:ascii="Arial" w:cs="Arial" w:eastAsia="Arial" w:hAnsi="Arial"/>
                <w:sz w:val="25"/>
                <w:szCs w:val="25"/>
                <w:color w:val="auto"/>
                <w:vertAlign w:val="superscript"/>
              </w:rPr>
              <w:t>(1)</w:t>
            </w:r>
          </w:p>
        </w:tc>
        <w:tc>
          <w:tcPr>
            <w:tcW w:w="4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2021</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48,580</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48,648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2023</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48,719</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979,124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400,393</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4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1,580,130</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firstLine="8"/>
        <w:spacing w:after="0" w:line="312" w:lineRule="auto"/>
        <w:tabs>
          <w:tab w:leader="none" w:pos="141" w:val="left"/>
        </w:tabs>
        <w:numPr>
          <w:ilvl w:val="0"/>
          <w:numId w:val="50"/>
        </w:numPr>
        <w:rPr>
          <w:rFonts w:ascii="Arial" w:cs="Arial" w:eastAsia="Arial" w:hAnsi="Arial"/>
          <w:sz w:val="8"/>
          <w:szCs w:val="8"/>
          <w:color w:val="auto"/>
        </w:rPr>
      </w:pPr>
      <w:r>
        <w:rPr>
          <w:rFonts w:ascii="Arial" w:cs="Arial" w:eastAsia="Arial" w:hAnsi="Arial"/>
          <w:sz w:val="13"/>
          <w:szCs w:val="13"/>
          <w:color w:val="auto"/>
        </w:rPr>
        <w:t>Includes approximately $6.2 million of proceeds resulting from a real estate transaction accounted for as a financing arrangement, as discussed above, which are expected to be recognized on the Company’s Statement of Operations during the year ending July 31, 2020 as a result of the anticipated resolution of continuing involvement, with no associated cash outflow.</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interest expense of $79.5 million, $63.2 million and $54.1 million for the years ended July 31, 2019, 2018 and 2017, respectively, of which $1.3 million, $1.3 million and $1.1 million, respectively, was amortization of deferred financing costs. The Company was in compliance with all of its financial and operating covenants required to be maintained under its debt instruments for all periods presented.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$(2.9) million, $(9.0) million and $15.3 million of non-cash foreign currency (loss) gain on the intercompany loan to Whistler Blackcomb during the years ended July 31, 2019, 2018 and 2017, respectively, on the Company’s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017" w:right="239" w:bottom="1440" w:gutter="0" w:footer="0" w:header="0"/>
        </w:sectPr>
      </w:pPr>
    </w:p>
    <w:bookmarkStart w:id="81" w:name="page82"/>
    <w:bookmarkEnd w:id="81"/>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6,986</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54,889</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71,538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5,833</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7"/>
        </w:trPr>
        <w:tc>
          <w:tcPr>
            <w:tcW w:w="64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127,352</w:t>
            </w:r>
          </w:p>
        </w:tc>
      </w:tr>
      <w:tr>
        <w:trPr>
          <w:trHeight w:val="27"/>
        </w:trPr>
        <w:tc>
          <w:tcPr>
            <w:tcW w:w="64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Company recognized $4.6 million of acquisition related expenses associated with the transaction, including stamp duty expense of $2.9 million, within Mountain and Lodging operating expense in its Consolidated Statement of Operations for the year ended July 31, 2019. The operating results of Falls Creek and Hotham are reported within the Mountain segment prospectively from the date of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5,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392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9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3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59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3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5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5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392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64,032</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59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5960" w:type="dxa"/>
            <w:vAlign w:val="bottom"/>
          </w:tcPr>
          <w:p>
            <w:pPr>
              <w:jc w:val="right"/>
              <w:ind w:right="3990"/>
              <w:spacing w:after="0"/>
              <w:rPr>
                <w:sz w:val="20"/>
                <w:szCs w:val="20"/>
                <w:color w:val="auto"/>
              </w:rPr>
            </w:pPr>
            <w:r>
              <w:rPr>
                <w:rFonts w:ascii="Arial" w:cs="Arial" w:eastAsia="Arial" w:hAnsi="Arial"/>
                <w:sz w:val="18"/>
                <w:szCs w:val="18"/>
                <w:color w:val="auto"/>
              </w:rPr>
              <w:t>80</w:t>
            </w: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012" w:right="239" w:bottom="1440" w:gutter="0" w:footer="0" w:header="0"/>
        </w:sectPr>
      </w:pPr>
    </w:p>
    <w:bookmarkStart w:id="82" w:name="page83"/>
    <w:bookmarkEnd w:id="82"/>
    <w:p>
      <w:pPr>
        <w:jc w:val="both"/>
        <w:spacing w:after="0" w:line="293" w:lineRule="auto"/>
        <w:rPr>
          <w:sz w:val="20"/>
          <w:szCs w:val="20"/>
          <w:color w:val="auto"/>
        </w:rPr>
      </w:pPr>
      <w:r>
        <w:rPr>
          <w:rFonts w:ascii="Arial" w:cs="Arial" w:eastAsia="Arial" w:hAnsi="Arial"/>
          <w:sz w:val="16"/>
          <w:szCs w:val="16"/>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Statement of Operations for the year ended July 31, 2019. The operating results of Stevens Pass are reported within the Mountain segment prospectively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 Peaks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5,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51,633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27,360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(17,989)</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Statement of Operations for the year ended July 31, 2019. The operating results of Triple Peaks are reported within the Mountain and Lodging segments prospectively from the date of acquisition.</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estimated fair values of assets acquired and liabilities assumed in the acquisitions of Falls Creek, Hotham, Stevens Pass and Triple Peaks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respective acquisition 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 for Falls Creek, Hotham, Stevens Pass and Triple Peaks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acquisitions of Falls Creek, Hotham, Stevens Pass and Triple Peaks were completed on August 1, 2017, the beginning of the fiscal year preceding the fiscal year in which the acquisitions occurred. The following unaudited pro forma financial information includes adjustments for (i) depreciation on acquired property, plant and equipment; (ii) amortization of intangible assets recorded at the date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016"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on August 1, 2017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Year Ended July 31,</w:t>
            </w:r>
          </w:p>
        </w:tc>
        <w:tc>
          <w:tcPr>
            <w:tcW w:w="1460" w:type="dxa"/>
            <w:vAlign w:val="bottom"/>
            <w:tcBorders>
              <w:bottom w:val="single" w:sz="8" w:color="auto"/>
            </w:tcBorders>
          </w:tcPr>
          <w:p>
            <w:pPr>
              <w:spacing w:after="0"/>
              <w:rPr>
                <w:sz w:val="16"/>
                <w:szCs w:val="16"/>
                <w:color w:val="auto"/>
              </w:rPr>
            </w:pPr>
          </w:p>
        </w:tc>
      </w:tr>
      <w:tr>
        <w:trPr>
          <w:trHeight w:val="250"/>
        </w:trPr>
        <w:tc>
          <w:tcPr>
            <w:tcW w:w="6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2018</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2,303,728</w:t>
            </w:r>
          </w:p>
        </w:tc>
        <w:tc>
          <w:tcPr>
            <w:tcW w:w="8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2,197,659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307,060</w:t>
            </w: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389,086</w:t>
            </w: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7.46</w:t>
            </w: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9.35</w:t>
            </w:r>
          </w:p>
        </w:tc>
      </w:tr>
      <w:tr>
        <w:trPr>
          <w:trHeight w:val="27"/>
        </w:trPr>
        <w:tc>
          <w:tcPr>
            <w:tcW w:w="6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7, 2017, the Company, through a wholly-owned subsidiary, acquired Stowe Mountain Resort in Stowe, Vermont, from Mt. Mansfield Company, Inc., a wholly-owned subsidiary of American International Group, Inc., for total cash consideration of $40.7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purchase price allocation and has recorded $39.2 million in property, plant and equipment; $3.0 million in intangible assets; $2.3 million in other assets; and $3.8 million of assumed liabilities on the date of acquisition. The Company recognized $2.0 million of transaction related expenses associated with the transaction in Mountain and Lodging operating expense in the Consolidated Statements of Operations for the year ended July 31, 2017. The operating results of Stowe are reported within the Mountain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a separate transaction as it primarily benefited the Company and therefore the Company recorded this gain within Investment income and other, net in its Consolidated Statement of Operations for the year ended July 31, 2017. The estimated fair value of $512.6 million is considered the cash component of the purchase consideration.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Statement of Operations for the year ended July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016" w:right="239" w:bottom="1440" w:gutter="0" w:footer="0" w:header="0"/>
        </w:sectPr>
      </w:pPr>
    </w:p>
    <w:bookmarkStart w:id="84" w:name="page85"/>
    <w:bookmarkEnd w:id="84"/>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Resorts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Resorts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180,803</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956,459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150,681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57"/>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July 31, 2018, the Company recorded adjustments in the measurement period to its purchase price allocation which decreased the estimated fair value of noncontrolling interest and season pass holder relationships intangible asset with a corresponding net decrease to goodwill.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33"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0"/>
        </w:trPr>
        <w:tc>
          <w:tcPr>
            <w:tcW w:w="7660" w:type="dxa"/>
            <w:vAlign w:val="bottom"/>
          </w:tcPr>
          <w:p>
            <w:pPr>
              <w:ind w:left="4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150,681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1157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Trademarks and property management contracts are indefinite-lived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-141605</wp:posOffset>
            </wp:positionV>
            <wp:extent cx="1157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pass product sales and visitation across the Company’s resort portfolio, the assembled workforce of Whistler Blackcomb and other factors. The goodwill is not deductible for income tax purposes. The operating results of Whistler Blackcomb, which are primarily recorded in the Mountain segment, contributed $257.8 million of net revenue and $65.6 million of earnings for the year ended July 31, 2017, prospectively from the acquisition date of October 17, 2016. The Company recognized $3.2 million of Whistler Blackcomb transaction related expenses in Mountain operating expense in the Consolidated Statement of Operations for the year ended July 31, 2017.</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2017, Whistler LP, by its general partner Whistler Blackcomb Holdings Inc. (“WBHI”), a wholly-owned subsidiary of the Company, entered into a master development agreement (the “Whistler MDA”) with Her Majesty, the Queen in Right of British Columbia (the “Province”) with respect to the operation and development of Whistler Mountain. Additionally, on February 23, 2017, Blackcomb LP, by its general partner WBHI, entered into a master development agreement (the “Blackcomb MDA” and together with the Whistler MDA, the “MDAs”) with the Province with respect to the operation and development of Blackcomb Mountain. Each of Whistler LP and Blackcomb LP were operating under existing master development agreements that terminated upon execution of the new MDAs. The MDAs grant a general license to the WB Partnerships to use the Whistler Mountain lands and the Blackcomb Mountain lands for the operation and development of the Whistler Blackcomb Resort. Each WB Partnership is permitted to develop new improvements to Whistler Mountain or Blackcomb Mountain, as the case may be, within standard municipal type development control conditions. The MDAs each have a term of 60 years and are replaceable for an additional 60 years by option exercisable by the WB Partnerships after the first 30 years of the initial term. In accordance with the MDAs, each WB Partnership is obligated to pay annual fees to the Province at a percentage certain gross revenues related to the Whistler Blackcomb Resort.</w:t>
      </w:r>
    </w:p>
    <w:p>
      <w:pPr>
        <w:spacing w:after="0" w:line="39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including capital lease assets,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619,561</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552,271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1,284,438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1,193,528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1,160,817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1,007,250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309,271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283,694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118,815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113,699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65,556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60,697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79,282</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59,579</w:t>
            </w:r>
          </w:p>
        </w:tc>
      </w:tr>
      <w:tr>
        <w:trPr>
          <w:trHeight w:val="237"/>
        </w:trPr>
        <w:tc>
          <w:tcPr>
            <w:tcW w:w="7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Gross property, plant and equipment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3,637,740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3,270,718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(1,795,240)</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(1,643,499)</w:t>
            </w:r>
          </w:p>
        </w:tc>
      </w:tr>
      <w:tr>
        <w:trPr>
          <w:trHeight w:val="237"/>
        </w:trPr>
        <w:tc>
          <w:tcPr>
            <w:tcW w:w="7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1,842,500</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1,627,219</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which included depreciation of assets recorded under capital leases, for the years ended July 31, 2019, 2018 and 2017 totaled $210.7 million, $199.2 million and $180.8 million, respectively.</w:t>
      </w:r>
    </w:p>
    <w:p>
      <w:pPr>
        <w:sectPr>
          <w:pgSz w:w="11900" w:h="16838" w:orient="portrait"/>
          <w:cols w:equalWidth="0" w:num="1">
            <w:col w:w="11420"/>
          </w:cols>
          <w:pgMar w:left="240" w:top="1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179"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color w:val="auto"/>
        </w:rPr>
        <w:t>The following table shows the composition of property, plant and equipment recorded under capital leases as of July 31, 2019 and 2018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49,228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49,228</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60,384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60,384</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183,590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(56,040)</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(46,502)</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127,550</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137,588</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780" w:type="dxa"/>
            <w:vAlign w:val="bottom"/>
          </w:tcPr>
          <w:p>
            <w:pPr>
              <w:spacing w:after="0"/>
              <w:rPr>
                <w:sz w:val="20"/>
                <w:szCs w:val="20"/>
                <w:color w:val="auto"/>
              </w:rPr>
            </w:pPr>
            <w:r>
              <w:rPr>
                <w:rFonts w:ascii="Arial" w:cs="Arial" w:eastAsia="Arial" w:hAnsi="Arial"/>
                <w:sz w:val="18"/>
                <w:szCs w:val="18"/>
                <w:color w:val="auto"/>
              </w:rPr>
              <w:t>The composition of goodwill and intangible assets follows (in thousands):</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1,625,560</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1,493,040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Goodwill,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1,608,206</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1,475,686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Indefinite-lived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215,905</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205,083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42,166</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41,160</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indefinite-lived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258,071</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246,243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(24,713)</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Indefinite-lived intangible assets,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233,358</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221,530</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Amortizable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42,108</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42,971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67,538</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47,604</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gross amortizable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109,646</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90,575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(31,533)</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Amortizable intangible assets,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72,815</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59,042</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367,717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(61,544)</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(56,246)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intangible assets,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306,173</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280,572</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subject to amortization for the years ended July 31, 2019, 2018 and 2017 totaled $7.4 million, $5.3 million and $8.3 million, respectively, and is estimated to be approximately $4.7 million annually, on average, for the next five fiscal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79" w:right="239" w:bottom="1440" w:gutter="0" w:footer="0" w:header="0"/>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years ended July 31, 2019 and 2018 are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Mountain</w:t>
            </w:r>
          </w:p>
        </w:tc>
        <w:tc>
          <w:tcPr>
            <w:tcW w:w="36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Lodging</w:t>
            </w:r>
          </w:p>
        </w:tc>
        <w:tc>
          <w:tcPr>
            <w:tcW w:w="30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Goodwill, net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2017</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1,451,844</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1,519,743</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Acquisitions (including measurement period adjustments)</w:t>
            </w:r>
          </w:p>
        </w:tc>
        <w:tc>
          <w:tcPr>
            <w:tcW w:w="1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18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(44,401)</w:t>
            </w:r>
          </w:p>
        </w:tc>
        <w:tc>
          <w:tcPr>
            <w:tcW w:w="36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(44,401)</w:t>
            </w:r>
          </w:p>
        </w:tc>
        <w:tc>
          <w:tcPr>
            <w:tcW w:w="0" w:type="dxa"/>
            <w:vAlign w:val="bottom"/>
          </w:tcPr>
          <w:p>
            <w:pPr>
              <w:spacing w:after="0"/>
              <w:rPr>
                <w:sz w:val="1"/>
                <w:szCs w:val="1"/>
                <w:color w:val="auto"/>
              </w:rPr>
            </w:pPr>
          </w:p>
        </w:tc>
      </w:tr>
      <w:tr>
        <w:trPr>
          <w:trHeight w:val="108"/>
        </w:trPr>
        <w:tc>
          <w:tcPr>
            <w:tcW w:w="510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vMerge w:val="continue"/>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1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July 31, 2018</w:t>
            </w:r>
          </w:p>
        </w:tc>
        <w:tc>
          <w:tcPr>
            <w:tcW w:w="1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1,407,787</w:t>
            </w:r>
          </w:p>
        </w:tc>
        <w:tc>
          <w:tcPr>
            <w:tcW w:w="3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1,475,686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152,049</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152,049</w:t>
            </w:r>
          </w:p>
        </w:tc>
        <w:tc>
          <w:tcPr>
            <w:tcW w:w="0" w:type="dxa"/>
            <w:vAlign w:val="bottom"/>
          </w:tcPr>
          <w:p>
            <w:pPr>
              <w:spacing w:after="0"/>
              <w:rPr>
                <w:sz w:val="1"/>
                <w:szCs w:val="1"/>
                <w:color w:val="auto"/>
              </w:rPr>
            </w:pPr>
          </w:p>
        </w:tc>
      </w:tr>
      <w:tr>
        <w:trPr>
          <w:trHeight w:val="324"/>
        </w:trPr>
        <w:tc>
          <w:tcPr>
            <w:tcW w:w="5100" w:type="dxa"/>
            <w:vAlign w:val="bottom"/>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(19,529)</w:t>
            </w:r>
          </w:p>
        </w:tc>
        <w:tc>
          <w:tcPr>
            <w:tcW w:w="36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2019</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1,540,307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1,608,206</w:t>
            </w:r>
          </w:p>
        </w:tc>
        <w:tc>
          <w:tcPr>
            <w:tcW w:w="0" w:type="dxa"/>
            <w:vAlign w:val="bottom"/>
          </w:tcPr>
          <w:p>
            <w:pPr>
              <w:spacing w:after="0"/>
              <w:rPr>
                <w:sz w:val="1"/>
                <w:szCs w:val="1"/>
                <w:color w:val="auto"/>
              </w:rPr>
            </w:pP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80,793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335,669</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282,103</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50,318</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37,797</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33,963</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32,108</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55,588</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40,994</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payable and accrued liabilities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607,857</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504,533</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8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July 31,</w:t>
            </w:r>
          </w:p>
        </w:tc>
        <w:tc>
          <w:tcPr>
            <w:tcW w:w="14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109,749</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114,319</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Unfavorable lease obligation, net</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19,017</w:t>
            </w:r>
          </w:p>
        </w:tc>
        <w:tc>
          <w:tcPr>
            <w:tcW w:w="4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21,839</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154,835</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155,348</w:t>
            </w:r>
          </w:p>
        </w:tc>
      </w:tr>
      <w:tr>
        <w:trPr>
          <w:trHeight w:val="237"/>
        </w:trPr>
        <w:tc>
          <w:tcPr>
            <w:tcW w:w="160" w:type="dxa"/>
            <w:vAlign w:val="bottom"/>
            <w:tcBorders>
              <w:top w:val="single" w:sz="8" w:color="auto"/>
            </w:tcBorders>
          </w:tcPr>
          <w:p>
            <w:pPr>
              <w:spacing w:after="0"/>
              <w:rPr>
                <w:sz w:val="20"/>
                <w:szCs w:val="20"/>
                <w:color w:val="auto"/>
              </w:rPr>
            </w:pPr>
          </w:p>
        </w:tc>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other long-term liabilities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283,601</w:t>
            </w:r>
          </w:p>
        </w:tc>
        <w:tc>
          <w:tcPr>
            <w:tcW w:w="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291,506</w:t>
            </w:r>
          </w:p>
        </w:tc>
      </w:tr>
      <w:tr>
        <w:trPr>
          <w:trHeight w:val="27"/>
        </w:trPr>
        <w:tc>
          <w:tcPr>
            <w:tcW w:w="16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48"/>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7620" w:type="dxa"/>
            <w:vAlign w:val="bottom"/>
          </w:tcPr>
          <w:p>
            <w:pPr>
              <w:ind w:left="500"/>
              <w:spacing w:after="0"/>
              <w:rPr>
                <w:sz w:val="20"/>
                <w:szCs w:val="20"/>
                <w:color w:val="auto"/>
              </w:rPr>
            </w:pPr>
            <w:r>
              <w:rPr>
                <w:rFonts w:ascii="Arial" w:cs="Arial" w:eastAsia="Arial" w:hAnsi="Arial"/>
                <w:sz w:val="18"/>
                <w:szCs w:val="18"/>
                <w:b w:val="1"/>
                <w:bCs w:val="1"/>
                <w:color w:val="auto"/>
              </w:rPr>
              <w:t>Investments in Affiliates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7780" w:type="dxa"/>
            <w:vAlign w:val="bottom"/>
            <w:gridSpan w:val="2"/>
          </w:tcPr>
          <w:p>
            <w:pPr>
              <w:spacing w:after="0"/>
              <w:rPr>
                <w:sz w:val="20"/>
                <w:szCs w:val="20"/>
                <w:color w:val="auto"/>
              </w:rPr>
            </w:pPr>
            <w:r>
              <w:rPr>
                <w:rFonts w:ascii="Arial" w:cs="Arial" w:eastAsia="Arial" w:hAnsi="Arial"/>
                <w:sz w:val="18"/>
                <w:szCs w:val="18"/>
                <w:color w:val="auto"/>
              </w:rPr>
              <w:t>The Company held the following investments in equity method affiliates as of July 31, 2019:</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49"/>
        </w:trPr>
        <w:tc>
          <w:tcPr>
            <w:tcW w:w="1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Ownership</w:t>
            </w:r>
          </w:p>
        </w:tc>
      </w:tr>
      <w:tr>
        <w:trPr>
          <w:trHeight w:val="234"/>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Method Affiliates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Interest</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Slifer, Smith, and Frampton/Vail Associates Real Estate, LLC (“SSF/VARE”)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50%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KRED</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center"/>
              <w:ind w:right="310"/>
              <w:spacing w:after="0"/>
              <w:rPr>
                <w:sz w:val="20"/>
                <w:szCs w:val="20"/>
                <w:color w:val="auto"/>
              </w:rPr>
            </w:pPr>
            <w:r>
              <w:rPr>
                <w:rFonts w:ascii="Arial" w:cs="Arial" w:eastAsia="Arial" w:hAnsi="Arial"/>
                <w:sz w:val="18"/>
                <w:szCs w:val="18"/>
                <w:color w:val="auto"/>
                <w:w w:val="94"/>
              </w:rPr>
              <w:t>50%</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Clinton Ditch and Reservoir Company</w:t>
            </w:r>
          </w:p>
        </w:tc>
        <w:tc>
          <w:tcPr>
            <w:tcW w:w="1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4"/>
              </w:rPr>
              <w:t>43%</w:t>
            </w:r>
          </w:p>
        </w:tc>
      </w:tr>
      <w:tr>
        <w:trPr>
          <w:trHeight w:val="27"/>
        </w:trPr>
        <w:tc>
          <w:tcPr>
            <w:tcW w:w="16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total net investments in equity method affiliates of $8.8 million and $7.7 million as of July 31, 2019 and 2018, respectively, classified as deferred charges and other assets in the accompanying Consolidated Balance Sheets. The amount of retained earnings that represent undistributed earnings of 50-percent-or-less-owned entities accounted for by the equity method was $5.4 million and $4.4 million as of July 31, 2019 and 2018, respectively. During the years ended July 31, 2019, 2018 and 2017, distributions in the amounts of $1.0 million, $1.5 million and $1.9 million, respectively, were received from equity method affiliates.</w:t>
      </w:r>
    </w:p>
    <w:p>
      <w:pPr>
        <w:sectPr>
          <w:pgSz w:w="11900" w:h="16838" w:orient="portrait"/>
          <w:cols w:equalWidth="0" w:num="1">
            <w:col w:w="11420"/>
          </w:cols>
          <w:pgMar w:left="240" w:top="1179"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179" w:right="239" w:bottom="1440" w:gutter="0" w:footer="0" w:header="0"/>
          <w:type w:val="continuous"/>
        </w:sectPr>
      </w:pPr>
    </w:p>
    <w:bookmarkStart w:id="88" w:name="page89"/>
    <w:bookmarkEnd w:id="88"/>
    <w:p>
      <w:pPr>
        <w:jc w:val="both"/>
        <w:spacing w:after="0" w:line="264" w:lineRule="auto"/>
        <w:rPr>
          <w:sz w:val="20"/>
          <w:szCs w:val="20"/>
          <w:color w:val="auto"/>
        </w:rPr>
      </w:pPr>
      <w:r>
        <w:rPr>
          <w:rFonts w:ascii="Arial" w:cs="Arial" w:eastAsia="Arial" w:hAnsi="Arial"/>
          <w:sz w:val="18"/>
          <w:szCs w:val="18"/>
          <w:color w:val="auto"/>
        </w:rPr>
        <w:t>SSF/VARE is a real estate brokerage with multiple locations in Eagle and Summit Counties, Colorado in which the Company has a 50% ownership interest. SSF/VARE leases space for real estate offices from the Company. The Company recognized approximately $0.4 million in revenue related to these leases for each of the years ended July 31, 2019, 2018 and 2017.</w:t>
      </w:r>
    </w:p>
    <w:p>
      <w:pPr>
        <w:spacing w:after="0" w:line="17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and Contingent Consideration measured at estimated fair value (all other assets and liabilities measured at fair value are immaterial)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8"/>
              </w:rPr>
              <w:t>Estimated Fair Value Measurement as of July 31, 2019</w:t>
            </w: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i w:val="1"/>
                <w:iCs w:val="1"/>
                <w:color w:val="auto"/>
              </w:rPr>
              <w:t>Description</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Money Market</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7,871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Contingent Consideration</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27,200</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27,200</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8"/>
              </w:rPr>
              <w:t>Estimated Fair Value Measurement as of July 31, 2018</w:t>
            </w: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i w:val="1"/>
                <w:iCs w:val="1"/>
                <w:color w:val="auto"/>
              </w:rPr>
              <w:t>Description</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Money Market</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30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3,021</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11,249</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11,249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6"/>
        </w:trPr>
        <w:tc>
          <w:tcPr>
            <w:tcW w:w="4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21,900</w:t>
            </w:r>
          </w:p>
        </w:tc>
        <w:tc>
          <w:tcPr>
            <w:tcW w:w="13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r>
      <w:tr>
        <w:trPr>
          <w:trHeight w:val="27"/>
        </w:trPr>
        <w:tc>
          <w:tcPr>
            <w:tcW w:w="4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cash equivalents and other current assets are measured utilizing quoted market prices or pricing models whereby all significant inputs are either observable or corroborated by observable market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 in Contingent Consideration during the years ended July 31, 2019 and 2018 were as follows (in thousands):</w:t>
      </w:r>
    </w:p>
    <w:p>
      <w:pPr>
        <w:spacing w:after="0" w:line="321" w:lineRule="exact"/>
        <w:rPr>
          <w:sz w:val="20"/>
          <w:szCs w:val="20"/>
          <w:color w:val="auto"/>
        </w:rPr>
      </w:pPr>
    </w:p>
    <w:tbl>
      <w:tblPr>
        <w:tblLayout w:type="fixed"/>
        <w:tblInd w:w="260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2017</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Payment</w:t>
            </w:r>
          </w:p>
        </w:tc>
        <w:tc>
          <w:tcPr>
            <w:tcW w:w="16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7"/>
        </w:trPr>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estimated fair value</w:t>
            </w:r>
          </w:p>
        </w:tc>
        <w:tc>
          <w:tcPr>
            <w:tcW w:w="16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July 31, 2018</w:t>
            </w:r>
          </w:p>
        </w:tc>
        <w:tc>
          <w:tcPr>
            <w:tcW w:w="16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21,900</w:t>
            </w:r>
          </w:p>
        </w:tc>
      </w:tr>
      <w:tr>
        <w:trPr>
          <w:trHeight w:val="27"/>
        </w:trPr>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Change in estimated fair value</w:t>
            </w:r>
          </w:p>
        </w:tc>
        <w:tc>
          <w:tcPr>
            <w:tcW w:w="16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5,367</w:t>
            </w:r>
          </w:p>
        </w:tc>
      </w:tr>
      <w:tr>
        <w:trPr>
          <w:trHeight w:val="27"/>
        </w:trPr>
        <w:tc>
          <w:tcPr>
            <w:tcW w:w="3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2019</w:t>
            </w:r>
          </w:p>
        </w:tc>
        <w:tc>
          <w:tcPr>
            <w:tcW w:w="1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27,200</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178" w:right="239" w:bottom="1440" w:gutter="0" w:footer="0" w:header="0"/>
          <w:type w:val="continuous"/>
        </w:sectPr>
      </w:pPr>
    </w:p>
    <w:bookmarkStart w:id="89" w:name="page90"/>
    <w:bookmarkEnd w:id="89"/>
    <w:p>
      <w:pPr>
        <w:jc w:val="both"/>
        <w:spacing w:after="0" w:line="269" w:lineRule="auto"/>
        <w:rPr>
          <w:sz w:val="20"/>
          <w:szCs w:val="20"/>
          <w:color w:val="auto"/>
        </w:rPr>
      </w:pPr>
      <w:r>
        <w:rPr>
          <w:rFonts w:ascii="Arial" w:cs="Arial" w:eastAsia="Arial" w:hAnsi="Arial"/>
          <w:sz w:val="17"/>
          <w:szCs w:val="17"/>
          <w:color w:val="auto"/>
        </w:rPr>
        <w:t>The Lease for Park City, as discussed in Note 5, Long-term Debt,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11.15%,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$3.8 million to $5.3 million.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is classified as a liability in our Consolidated Balance Sheets and is remeasured to an estimated fair value at each reporting date until the contingency is resolved. During the year ended July 31, 2019, the Company made a payment to the landlord for Contingent Consideration of approximately $0.1 million and recorded an increase in the estimated fair value of approximately $5.4 million primarily related to the Contingent Consideration payment for the year ended July 31, 2019 and other key assumptions noted above, resulting in an estimated fair value of the Contingent Consideration of $27.2 million as of July 31, 2019, which is reflected in accounts payable and accrued liabilities and other long-term liabilities in the Consolidated Balance Sheet.</w:t>
      </w:r>
    </w:p>
    <w:p>
      <w:pPr>
        <w:spacing w:after="0" w:line="189"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includes broad and complex changes to the U.S. tax code that impacted the Company’s accounting and reporting for income taxes during the year ended July 31, 2018. These changes primarily consist of a reduction in the U.S. federal corporate income tax rate from 35% to 21%, the remeasurement of U.S. net deferred tax liabilities as of the effective date utilizing the new U.S. federal corporate income tax rate of 21%, the elimination of the domestic production activities deduction, as well as revised limitations on certain business expenses and executive compensation deductions under “Section 162(m)” of the Internal Revenue Code and provides for a tax on global intangible low-taxed income (“GILTI”), a base erosion anti-abuse tax (“BEAT”) and a deduction for foreign derived intangible income (“FDII”).</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Securities and Exchange Commission (“SEC”) staff issued Staff Accounting Bulletin No. 118 (“SAB 118”) to provide guidance related to accounting for the income tax effects of the Tax Act. SAB 118 provides that companies (i) should record the effects of the changes from the Tax Act for which the accounting is complete. In addition, SAB 118 established a one-year measurement period (through December 22, 2018) where a provisional amount could be subject to adjustment, and requires certain qualitative and quantitative disclosures related to provisional amounts and accounting during the measurement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Tax Act, the Company recorded a one-time, net tax benefit of $61.0 million on its Consolidated Statement of Operations for the year ended July 31, 2018, as described below. The Company has determined there is no GILTI inclusion for the year, BEAT would not apply and there is no FDII deduction for the year. The Company has not made a policy decision regarding whether to record deferred taxes on GILTI or use the period cost method as the Company has yet to be subject to a GILTI inclusion.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reduction in the U.S. corporate tax rate, the Company remeasured its U.S. net deferred tax liabilities as of the effective date and recognized a one-time benefit of $67.0 million as a discrete item in the benefit from income taxes for the year ended July 31, 2018, which was a reduction in net deferred tax liabilities in the accompanying Consolidated Balance Sheet as of July 31, 2018. The Company also recorded a charge for the Transition Tax of $6.0 million as a discrete item in the benefit from income taxes for the year ended July 31, 2018.</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does not provide for additional income taxes for any remaining undistributed foreign earnings not subject to the Transition Tax, or for any additional outside basis differences inherent in foreign entities, as these amounts continue to be indefinitely reinvested in those foreign operations. Substantially all of the Company’s unremitted foreign earnings that have not been previously taxed have now been subjected to U.S. taxation under the Transition Tax. The Company has made no additional provision for U.S. income taxes or additional non-U.S. taxes on the remaining unremitted accumulated earnings of non-U.S. subsidiaries. It is not practical at this time to determine the income tax liability related to any remaining undistributed earnings or additional basis difference not subject to the Transition Tax.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8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U.S. and foreign components of income before (provision) benefit from income taxes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306,323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264,379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92,642</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75,713</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96,971</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398,965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340,092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348,449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July 31,</w:t>
            </w:r>
          </w:p>
        </w:tc>
        <w:tc>
          <w:tcPr>
            <w:tcW w:w="14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3400" w:type="dxa"/>
            <w:vAlign w:val="bottom"/>
            <w:gridSpan w:val="3"/>
          </w:tcPr>
          <w:p>
            <w:pPr>
              <w:ind w:left="28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153,182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126,697</w:t>
            </w: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73,146</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13,425</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12,865</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239,753</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194,270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Canyons obligation</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9,620</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9,824</w:t>
            </w: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Partnerships</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Deferred compensation and other accrued benefits</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10,674</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9,220</w:t>
            </w: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6,771</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4,896</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5,580</w:t>
            </w: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 and other tax credits</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5,631</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18,850</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11,501</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83,645</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75,575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Valuation allowance for deferred income taxes</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(5,365)</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assets, net of valuation allowance</w:t>
            </w:r>
          </w:p>
        </w:tc>
        <w:tc>
          <w:tcPr>
            <w:tcW w:w="19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78,280</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70,125</w:t>
            </w:r>
          </w:p>
        </w:tc>
      </w:tr>
      <w:tr>
        <w:trPr>
          <w:trHeight w:val="237"/>
        </w:trPr>
        <w:tc>
          <w:tcPr>
            <w:tcW w:w="4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deferred income tax liability</w:t>
            </w:r>
          </w:p>
        </w:tc>
        <w:tc>
          <w:tcPr>
            <w:tcW w:w="3400" w:type="dxa"/>
            <w:vAlign w:val="bottom"/>
            <w:tcBorders>
              <w:top w:val="single" w:sz="8" w:color="auto"/>
            </w:tcBorders>
            <w:gridSpan w:val="3"/>
          </w:tcPr>
          <w:p>
            <w:pPr>
              <w:ind w:left="288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161,473</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124,145</w:t>
            </w:r>
          </w:p>
        </w:tc>
      </w:tr>
      <w:tr>
        <w:trPr>
          <w:trHeight w:val="27"/>
        </w:trPr>
        <w:tc>
          <w:tcPr>
            <w:tcW w:w="6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8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3"/>
        </w:trPr>
        <w:tc>
          <w:tcPr>
            <w:tcW w:w="9060" w:type="dxa"/>
            <w:vAlign w:val="bottom"/>
            <w:gridSpan w:val="5"/>
          </w:tcPr>
          <w:p>
            <w:pPr>
              <w:spacing w:after="0"/>
              <w:rPr>
                <w:sz w:val="20"/>
                <w:szCs w:val="20"/>
                <w:color w:val="auto"/>
              </w:rPr>
            </w:pPr>
            <w:r>
              <w:rPr>
                <w:rFonts w:ascii="Arial" w:cs="Arial" w:eastAsia="Arial" w:hAnsi="Arial"/>
                <w:sz w:val="18"/>
                <w:szCs w:val="18"/>
                <w:color w:val="auto"/>
                <w:w w:val="94"/>
              </w:rPr>
              <w:t>The components of deferred income taxes recognized in the Consolidated Balance Sheets are as follows (in thousands):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400" w:type="dxa"/>
            <w:vAlign w:val="bottom"/>
            <w:gridSpan w:val="3"/>
          </w:tcPr>
          <w:p>
            <w:pPr>
              <w:ind w:left="290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 asset</w:t>
            </w:r>
          </w:p>
        </w:tc>
        <w:tc>
          <w:tcPr>
            <w:tcW w:w="28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non-current deferred income tax liability</w:t>
            </w:r>
          </w:p>
        </w:tc>
        <w:tc>
          <w:tcPr>
            <w:tcW w:w="1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168,759</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133,918</w:t>
            </w:r>
          </w:p>
        </w:tc>
      </w:tr>
      <w:tr>
        <w:trPr>
          <w:trHeight w:val="27"/>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income tax liability</w:t>
            </w:r>
          </w:p>
        </w:tc>
        <w:tc>
          <w:tcPr>
            <w:tcW w:w="28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161,473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124,145</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940" w:type="dxa"/>
            <w:vAlign w:val="bottom"/>
          </w:tcPr>
          <w:p>
            <w:pPr>
              <w:jc w:val="right"/>
              <w:ind w:right="970"/>
              <w:spacing w:after="0"/>
              <w:rPr>
                <w:sz w:val="20"/>
                <w:szCs w:val="20"/>
                <w:color w:val="auto"/>
              </w:rPr>
            </w:pPr>
            <w:r>
              <w:rPr>
                <w:rFonts w:ascii="Arial" w:cs="Arial" w:eastAsia="Arial" w:hAnsi="Arial"/>
                <w:sz w:val="18"/>
                <w:szCs w:val="18"/>
                <w:color w:val="auto"/>
              </w:rPr>
              <w:t>89</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33"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Significant components of the provision (benefit) from income taxes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24,309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(43,366)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55,887</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20,205</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18,436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16,311</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53,053</w:t>
            </w: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80,294</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w:t>
            </w: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16,983</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5,282</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3,601</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deferred</w:t>
            </w: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22,419</w:t>
            </w: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(45,770)</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(benefit) from income taxes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75,472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116,731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income tax (benefit) provision from continuing operations and the amount computed by applying the United States federal statutory income tax rate to income before income taxes is as follows:</w:t>
      </w:r>
    </w:p>
    <w:p>
      <w:pPr>
        <w:spacing w:after="0" w:line="220"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3610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ind w:left="650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20"/>
                <w:szCs w:val="20"/>
                <w:color w:val="auto"/>
              </w:rPr>
            </w:pPr>
          </w:p>
        </w:tc>
        <w:tc>
          <w:tcPr>
            <w:tcW w:w="190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2018</w:t>
            </w:r>
          </w:p>
        </w:tc>
        <w:tc>
          <w:tcPr>
            <w:tcW w:w="15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6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U.S. federal income tax rate</w:t>
            </w:r>
          </w:p>
        </w:tc>
        <w:tc>
          <w:tcPr>
            <w:tcW w:w="1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21.0 %</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26.8 %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2.8 %</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3.0 %</w:t>
            </w:r>
          </w:p>
        </w:tc>
        <w:tc>
          <w:tcPr>
            <w:tcW w:w="15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0.3 %</w:t>
            </w:r>
          </w:p>
        </w:tc>
        <w:tc>
          <w:tcPr>
            <w:tcW w:w="152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stock-based compensation</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1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Impacts of the Tax Act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(24.7)%</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0.4 %</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0.8 %</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0.7 %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7"/>
        </w:trPr>
        <w:tc>
          <w:tcPr>
            <w:tcW w:w="6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Effective tax rate</w:t>
            </w: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18.9 %</w:t>
            </w:r>
          </w:p>
        </w:tc>
        <w:tc>
          <w:tcPr>
            <w:tcW w:w="1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(18.0)%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33.5 %</w:t>
            </w:r>
          </w:p>
        </w:tc>
      </w:tr>
      <w:tr>
        <w:trPr>
          <w:trHeight w:val="27"/>
        </w:trPr>
        <w:tc>
          <w:tcPr>
            <w:tcW w:w="6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76,111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57,032</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19,079</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Reductions for tax positions of prior years</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Lapse of statute of limitations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(17,540)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78,242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76,111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2019,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July 31, 2019, the Company experienced a reduction in the uncertain tax positions due to the lapse of the statute of limitations of $17.5 million, which was offset with an increase to the uncertain tax position of $11.5 million. Interest and penalties associated with the statute of limitations lapse were approximately $2.3 million. The Company is not aware of any</w:t>
      </w:r>
    </w:p>
    <w:p>
      <w:pPr>
        <w:sectPr>
          <w:pgSz w:w="11900" w:h="16838" w:orient="portrait"/>
          <w:cols w:equalWidth="0" w:num="1">
            <w:col w:w="11420"/>
          </w:cols>
          <w:pgMar w:left="240" w:top="101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017" w:right="239" w:bottom="1440" w:gutter="0" w:footer="0" w:header="0"/>
          <w:type w:val="continuous"/>
        </w:sectPr>
      </w:pPr>
    </w:p>
    <w:bookmarkStart w:id="92" w:name="page93"/>
    <w:bookmarkEnd w:id="92"/>
    <w:p>
      <w:pPr>
        <w:jc w:val="both"/>
        <w:spacing w:after="0" w:line="257" w:lineRule="auto"/>
        <w:rPr>
          <w:sz w:val="20"/>
          <w:szCs w:val="20"/>
          <w:color w:val="auto"/>
        </w:rPr>
      </w:pPr>
      <w:r>
        <w:rPr>
          <w:rFonts w:ascii="Arial" w:cs="Arial" w:eastAsia="Arial" w:hAnsi="Arial"/>
          <w:sz w:val="18"/>
          <w:szCs w:val="18"/>
          <w:color w:val="auto"/>
        </w:rPr>
        <w:t>tax positions for which it is reasonably possible that the total amounts of unrecognized tax benefits will change materially in the next twelve months. Additionally, the Company expects a reduction to its uncertain tax positions for the fiscal year ending July 31, 2020, due to the lapse of the statute of limitations. As of July 31, 2019 and 2018, accrued interest and penalties, net of tax, was $6.3 million and $5.2 million, respectively. For the years ended July 31, 2019, 2018 and 2017, the Company recognized as income tax expense $1.1 million, $1.6 million and $2.0 million of interest expense and penalties, net of tax,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major tax jurisdictions in which it files income tax returns is the U.S. federal jurisdiction, various state jurisdictions, Australia, and Canada. The Company is no longer subject to U.S. federal examinations for tax years prior to 2015. With few exceptions, the Company is no longer subject to examination by various U.S. state jurisdictions for tax years prior to 2013. Additionally, the Company is no longer subject to audits for the tax years prior to 2014 for Australia and Canada.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NOL carryforwards totaling $8.9 million which are primarily comprised of state net operating loss (“NOL”) carryforwards that expire by the year ending July 31, 2031. As of July 31, 2019, the Company has recorded a valuation allowance on $4.0 million of these NOL carryforwards as the Company has determined that it is more likely than not that these NOL carryforwards will not be realized. Additionally, the Company has foreign tax credit carryforwards of $4.2 million, which expire by the year ending July 31, 2027. As of July 31, 2019, the Company has recorded a valuation allowance of $4.2 million on foreign tax credit carryforwards as the Company has determined that it is more likely than not that these foreign tax credit carryforwards will not be realized.</w:t>
      </w:r>
    </w:p>
    <w:p>
      <w:pPr>
        <w:spacing w:after="0" w:line="216" w:lineRule="exact"/>
        <w:rPr>
          <w:sz w:val="20"/>
          <w:szCs w:val="20"/>
          <w:color w:val="auto"/>
        </w:rPr>
      </w:pPr>
    </w:p>
    <w:p>
      <w:pPr>
        <w:ind w:left="880" w:hanging="872"/>
        <w:spacing w:after="0"/>
        <w:tabs>
          <w:tab w:leader="none" w:pos="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2019, 2018 and 2017 were $9.6 million, $9.2 million and $8.9 million, respectively.</w:t>
      </w:r>
    </w:p>
    <w:p>
      <w:pPr>
        <w:spacing w:after="0" w:line="16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The Company recorded a liability of $2.0 million, primarily within other long-term liabilities in the accompanying Consolidated Balance Sheets, as of both July 31, 2019 and 2018 with respect to the estimated present value of future RSRMD capital improvement fees. The Company estimates that it will make capital improvement fee payments under this arrangement through the year ending July 31, 2031.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July 31, 2019, the Company had various other letters of credit outstanding totaling $71.9 million, consisting of $53.4 million to support the Employee Housing Bonds and $18.5 million primarily for workers’ compensation, a wind energy purchase agreement and insurance-related deductibles. The Company also had surety bonds of $10.4 million as of July 31, 2019, primarily to provide collateral for its U.S. workers compensation self-insurance programs.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017" w:right="239" w:bottom="1440" w:gutter="0" w:footer="0" w:header="0"/>
        </w:sectPr>
      </w:pPr>
    </w:p>
    <w:bookmarkStart w:id="93" w:name="page94"/>
    <w:bookmarkEnd w:id="93"/>
    <w:p>
      <w:pPr>
        <w:jc w:val="both"/>
        <w:spacing w:after="0" w:line="291" w:lineRule="auto"/>
        <w:rPr>
          <w:sz w:val="20"/>
          <w:szCs w:val="20"/>
          <w:color w:val="auto"/>
        </w:rPr>
      </w:pPr>
      <w:r>
        <w:rPr>
          <w:rFonts w:ascii="Arial" w:cs="Arial" w:eastAsia="Arial" w:hAnsi="Arial"/>
          <w:sz w:val="16"/>
          <w:szCs w:val="16"/>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over the lease term which is recognized on a straight-line basis over the remaining lease term from the date of assumption.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Additionally, the Company has entered into strategic long-term season pass alliance agreements with third-party mountain resorts in which the Company has committed to pay minimum revenue guarantees over the remaining terms of these agreements.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2019, 2018 and 2017, the Company recorded lease expense (including Northstar, Perisher, Falls Creek &amp; Hotham), excluding executory costs, related to these agreements of $57.8 million, $52.8 million and $51.9 million, respectively, which is included in the accompanying Consolidated Statements of Operations.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2019, the Canyons obligation was $340.3 million, which represents the estimated annual lease payments for the remaining initial 50 year term of the lease assuming annual increases at the floor of 2% and discounted using an interest rate of 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33" w:right="239" w:bottom="144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Future minimum operating lease payments under the above leases and future minimum capital lease payments under the Canyons obligation as of July 31, 2019 reflected by fiscal year are as follows (in thousands):</w:t>
      </w:r>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Capital Leases</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28,253</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142,526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1,805,048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335,138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1,952,077</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(1,611,816)</w:t>
            </w:r>
          </w:p>
        </w:tc>
        <w:tc>
          <w:tcPr>
            <w:tcW w:w="0" w:type="dxa"/>
            <w:vAlign w:val="bottom"/>
          </w:tcPr>
          <w:p>
            <w:pPr>
              <w:spacing w:after="0" w:line="20" w:lineRule="exact"/>
              <w:rPr>
                <w:sz w:val="1"/>
                <w:szCs w:val="1"/>
                <w:color w:val="auto"/>
              </w:rPr>
            </w:pPr>
          </w:p>
        </w:tc>
      </w:tr>
      <w:tr>
        <w:trPr>
          <w:trHeight w:val="230"/>
        </w:trPr>
        <w:tc>
          <w:tcPr>
            <w:tcW w:w="7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future minimum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340,261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 Insurance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July 31, 2019 and 2018, the accruals for the above loss contingencies were not material individually or in the aggregate.</w:t>
      </w:r>
    </w:p>
    <w:p>
      <w:pPr>
        <w:spacing w:after="0" w:line="17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Area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w:t>
      </w:r>
    </w:p>
    <w:p>
      <w:pPr>
        <w:sectPr>
          <w:pgSz w:w="11900" w:h="16838" w:orient="portrait"/>
          <w:cols w:equalWidth="0" w:num="1">
            <w:col w:w="11420"/>
          </w:cols>
          <w:pgMar w:left="240" w:top="1179"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179" w:right="239" w:bottom="1440" w:gutter="0" w:footer="0" w:header="0"/>
          <w:type w:val="continuous"/>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t>segments, or used to evaluate performance, except as shown in the table below. The accounting policies specific to each segment are the same as those described in Note 2, Summary of Significant Accounting Policies.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key financial information by reportable segment which is used by management in evaluating performance and allocating resources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Lift tickets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1,033,234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880,293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818,341</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Ski school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215,060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189,910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177,748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Dining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181,837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161,402</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150,587</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Retail/rental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320,267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296,466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293,428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205,803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194,851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171,682</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1,956,201</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1,722,922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1,611,786</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314,662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284,643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278,514</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2,270,863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2,007,565</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1,890,300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2,271,575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2,011,553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1,907,218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1,279,567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1,132,840</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1,047,331</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286,562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259,637</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251,427</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1,566,129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1,392,477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1,298,758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5,609</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24,083</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1,571,738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1,396,023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1,322,841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6,766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2"/>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r>
      <w:tr>
        <w:trPr>
          <w:trHeight w:val="243"/>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Reported EBITDA:</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678,594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591,605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566,338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28,100</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25,006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27,087</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706,694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616,611</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593,425</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617,568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593,026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101,021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99,385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103,405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Reported EBITDA</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702,377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617,568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593,026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(218,117)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(16,300)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3,086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6,114</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(79,496)</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(63,226)</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(54,089)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398,965</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340,092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348,449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(Provision) benefit from income taxes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(75,472)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61,138</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(116,731)</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323,493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401,230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231,718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(22,330)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(21,332)</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(21,165)</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379,898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210,553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178"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Geographic Information</w:t>
            </w:r>
          </w:p>
        </w:tc>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80" w:type="dxa"/>
            <w:vAlign w:val="bottom"/>
            <w:gridSpan w:val="5"/>
          </w:tcPr>
          <w:p>
            <w:pPr>
              <w:spacing w:after="0"/>
              <w:rPr>
                <w:sz w:val="20"/>
                <w:szCs w:val="20"/>
                <w:color w:val="auto"/>
              </w:rPr>
            </w:pPr>
            <w:r>
              <w:rPr>
                <w:rFonts w:ascii="Arial" w:cs="Arial" w:eastAsia="Arial" w:hAnsi="Arial"/>
                <w:sz w:val="18"/>
                <w:szCs w:val="18"/>
                <w:color w:val="auto"/>
                <w:w w:val="94"/>
              </w:rPr>
              <w:t>Net revenue and property, plant and equipment, net by geographic region are as follows (in thousands).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w w:val="90"/>
              </w:rPr>
              <w:t>Year Ended July 31,</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revenue</w:t>
            </w: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1,865,062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1,610,323</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1,578,276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406,513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401,230</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328,942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2,271,575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2,011,553</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1,907,218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 July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1,381,378</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461,122</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417,050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1,842,500</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1,627,219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86" w:lineRule="auto"/>
        <w:tabs>
          <w:tab w:leader="none" w:pos="2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only individual international country (i.e. except the U.S.) to account for more than 10% of the Company’s revenue and property plant and equipment, net was Canada. Canada accounted for $308.1 million, $321.0 million and $257.8 million of revenue for the years ended July 31, 2019, 2018 and 2017, respectively, and for $319.4 million and $316.8 million of property, plant and equipment, net as of July 31, 2019 and 2018, respectively.</w:t>
      </w:r>
    </w:p>
    <w:p>
      <w:pPr>
        <w:spacing w:after="0" w:line="189" w:lineRule="exact"/>
        <w:rPr>
          <w:sz w:val="20"/>
          <w:szCs w:val="20"/>
          <w:color w:val="auto"/>
        </w:rPr>
      </w:pPr>
    </w:p>
    <w:p>
      <w:pPr>
        <w:ind w:left="880" w:hanging="872"/>
        <w:spacing w:after="0"/>
        <w:tabs>
          <w:tab w:leader="none" w:pos="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Arial" w:cs="Arial" w:eastAsia="Arial" w:hAnsi="Arial"/>
                <w:sz w:val="18"/>
                <w:szCs w:val="18"/>
                <w:b w:val="1"/>
                <w:bCs w:val="1"/>
                <w:color w:val="auto"/>
                <w:w w:val="91"/>
              </w:rPr>
              <w:t>Year Ended July 31, 2019</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First</w:t>
            </w:r>
          </w:p>
        </w:tc>
      </w:tr>
      <w:tr>
        <w:trPr>
          <w:trHeight w:val="210"/>
        </w:trPr>
        <w:tc>
          <w:tcPr>
            <w:tcW w:w="3980" w:type="dxa"/>
            <w:vAlign w:val="bottom"/>
          </w:tcPr>
          <w:p>
            <w:pPr>
              <w:ind w:left="40"/>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Full 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6"/>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2,271,575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244,006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957,987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849,578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220,004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476,269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(120,582)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422,598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301,848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(127,595)</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323,493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308,530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(110,726)</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Vail 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301,163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(89,525)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292,134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206,349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(107,795)</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net income (loss) per share attributable to Vail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3980" w:type="dxa"/>
            <w:vAlign w:val="bottom"/>
          </w:tcPr>
          <w:p>
            <w:pPr>
              <w:ind w:left="40"/>
              <w:spacing w:after="0"/>
              <w:rPr>
                <w:sz w:val="20"/>
                <w:szCs w:val="20"/>
                <w:color w:val="auto"/>
              </w:rPr>
            </w:pPr>
            <w:r>
              <w:rPr>
                <w:rFonts w:ascii="Arial" w:cs="Arial" w:eastAsia="Arial" w:hAnsi="Arial"/>
                <w:sz w:val="18"/>
                <w:szCs w:val="18"/>
                <w:color w:val="auto"/>
                <w:w w:val="91"/>
              </w:rPr>
              <w:t>Diluted net income (loss) per share attributable to Vail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80" w:type="dxa"/>
            <w:vAlign w:val="bottom"/>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Arial" w:cs="Arial" w:eastAsia="Arial" w:hAnsi="Arial"/>
                <w:sz w:val="18"/>
                <w:szCs w:val="18"/>
                <w:b w:val="1"/>
                <w:bCs w:val="1"/>
                <w:color w:val="auto"/>
                <w:w w:val="91"/>
              </w:rPr>
              <w:t>Year Ended July 31, 2018</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92"/>
              <w:spacing w:after="0"/>
              <w:rPr>
                <w:sz w:val="20"/>
                <w:szCs w:val="20"/>
                <w:color w:val="auto"/>
              </w:rPr>
            </w:pPr>
            <w:r>
              <w:rPr>
                <w:rFonts w:ascii="Arial" w:cs="Arial" w:eastAsia="Arial" w:hAnsi="Arial"/>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First</w:t>
            </w:r>
          </w:p>
        </w:tc>
      </w:tr>
      <w:tr>
        <w:trPr>
          <w:trHeight w:val="210"/>
        </w:trPr>
        <w:tc>
          <w:tcPr>
            <w:tcW w:w="3980" w:type="dxa"/>
            <w:vAlign w:val="bottom"/>
          </w:tcPr>
          <w:p>
            <w:pPr>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Full 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6"/>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2,011,553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211,637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844,491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734,575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220,850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408,817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(112,986)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367,978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257,541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(103,716)</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401,230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272,275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248,673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Vail 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379,898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(83,660)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256,252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235,691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net income (loss) per share attributable to Vail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29"/>
        </w:trPr>
        <w:tc>
          <w:tcPr>
            <w:tcW w:w="3980" w:type="dxa"/>
            <w:vAlign w:val="bottom"/>
          </w:tcPr>
          <w:p>
            <w:pPr>
              <w:ind w:left="40"/>
              <w:spacing w:after="0"/>
              <w:rPr>
                <w:sz w:val="20"/>
                <w:szCs w:val="20"/>
                <w:color w:val="auto"/>
              </w:rPr>
            </w:pPr>
            <w:r>
              <w:rPr>
                <w:rFonts w:ascii="Arial" w:cs="Arial" w:eastAsia="Arial" w:hAnsi="Arial"/>
                <w:sz w:val="18"/>
                <w:szCs w:val="18"/>
                <w:color w:val="auto"/>
                <w:w w:val="91"/>
              </w:rPr>
              <w:t>Diluted net income (loss) per share attributable to Vail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80" w:type="dxa"/>
            <w:vAlign w:val="bottom"/>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(0.71)</w:t>
            </w:r>
          </w:p>
        </w:tc>
      </w:tr>
    </w:tbl>
    <w:p>
      <w:pPr>
        <w:spacing w:after="0" w:line="200" w:lineRule="exact"/>
        <w:rPr>
          <w:sz w:val="20"/>
          <w:szCs w:val="20"/>
          <w:color w:val="auto"/>
        </w:rPr>
      </w:pPr>
    </w:p>
    <w:p>
      <w:pPr>
        <w:sectPr>
          <w:pgSz w:w="11900" w:h="16838" w:orient="portrait"/>
          <w:cols w:equalWidth="0" w:num="1">
            <w:col w:w="11420"/>
          </w:cols>
          <w:pgMar w:left="240" w:top="116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161" w:right="239" w:bottom="1440" w:gutter="0" w:footer="0" w:header="0"/>
          <w:type w:val="continuous"/>
        </w:sectPr>
      </w:pPr>
    </w:p>
    <w:bookmarkStart w:id="97" w:name="page98"/>
    <w:bookmarkEnd w:id="97"/>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shares of up to 7,500,000 Vail Shares. During the year ended July 31, 2019, the Company repurchased 353,007 Vail Shares (at a total cost of $85.0 million). During the year ended July 31, 2018, the Company repurchased 115,422 Vail Shares (at a total cost of $25.8 million). During the year ended July 31, 2017, the Company repurchased 1,317 Vail Shares (at a total cost of $0.2 million). Since inception of this stock repurchase program through July 31, 2019, the Company has repurchased 5,904,723 shares at a cost of approximately $358.0 million. As of July 31, 2019, 1,595,277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178"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2019, approximately 3.6 million share based awards were available to be granted under the Plan.</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stock-settled stock appreciation rights (“SARs”) granted in the years ended July 31, 2019, 2018 and 2017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w w:val="97"/>
              </w:rPr>
              <w:t>Year Ended July 31,</w:t>
            </w:r>
          </w:p>
        </w:tc>
        <w:tc>
          <w:tcPr>
            <w:tcW w:w="11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2019</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38.6%</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1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40.3%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2"/>
              </w:rPr>
              <w:t>2.1%</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7"/>
              </w:rPr>
              <w:t>2.2%</w:t>
            </w:r>
          </w:p>
        </w:tc>
      </w:tr>
      <w:tr>
        <w:trPr>
          <w:trHeight w:val="27"/>
        </w:trPr>
        <w:tc>
          <w:tcPr>
            <w:tcW w:w="7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(average in years)</w:t>
            </w:r>
          </w:p>
        </w:tc>
        <w:tc>
          <w:tcPr>
            <w:tcW w:w="1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6.0-6.6</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5.8-6.4</w:t>
            </w:r>
          </w:p>
        </w:tc>
        <w:tc>
          <w:tcPr>
            <w:tcW w:w="11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5.5-6.2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1"/>
              </w:rPr>
              <w:t>2.4-2.9%</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1.2-2.3%</w:t>
            </w: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1"/>
              </w:rPr>
              <w:t>0.5-1.5%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actual forfeitures related to unvested awards upon employee terminations.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012" w:right="2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A summary of aggregate SARs award activity under the Plan as of July 31, 2019, 2018 and 2017, and changes during the years then ended is presented below (in thousands, except exercise price and contractual term):</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4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Weighted-Average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4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60" w:type="dxa"/>
            <w:vAlign w:val="bottom"/>
          </w:tcPr>
          <w:p>
            <w:pPr>
              <w:ind w:left="4740"/>
              <w:spacing w:after="0"/>
              <w:rPr>
                <w:sz w:val="20"/>
                <w:szCs w:val="20"/>
                <w:color w:val="auto"/>
              </w:rPr>
            </w:pPr>
            <w:r>
              <w:rPr>
                <w:rFonts w:ascii="Arial" w:cs="Arial" w:eastAsia="Arial" w:hAnsi="Arial"/>
                <w:sz w:val="18"/>
                <w:szCs w:val="18"/>
                <w:b w:val="1"/>
                <w:bCs w:val="1"/>
                <w:color w:val="auto"/>
                <w:w w:val="92"/>
              </w:rPr>
              <w:t>Awards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Exercise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Pr>
          <w:p>
            <w:pPr>
              <w:spacing w:after="0"/>
              <w:rPr>
                <w:sz w:val="20"/>
                <w:szCs w:val="20"/>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August 1, 2016</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52.98</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174.42</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60.05</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108.06</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2017</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59.12</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237.86</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33.25</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172.03</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91.01</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293.82</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49.09</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217.58</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2019</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111.12</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 years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162,835</w:t>
            </w:r>
          </w:p>
        </w:tc>
      </w:tr>
      <w:tr>
        <w:trPr>
          <w:trHeight w:val="243"/>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Vested and expected to vest at July 31, 2019</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109.93</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 years</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162,604</w:t>
            </w: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July 31, 2019</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87.92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 years</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159,244</w:t>
            </w:r>
          </w:p>
        </w:tc>
      </w:tr>
      <w:tr>
        <w:trPr>
          <w:trHeight w:val="27"/>
        </w:trPr>
        <w:tc>
          <w:tcPr>
            <w:tcW w:w="5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weighted-average grant-date estimated fair value of SARs granted during the years ended July 31, 2019, 2018 and 2017 was $98.19, $78.07 and $50.78, respectively. The total intrinsic value of SARs exercised during the years ended July 31, 2019, 2018 and 2017 was $41.2 million, $213.8 million and $22.6 million, respectively. The Company had 131,000, 169,000 and 247,000 SARs that vested during the years ended July 31, 2019, 2018 and 2017, respectively. These awards had a total estimated fair value of $15.2 million, $18.5 million and $19.6 million at the date of vesting for the years ended July 31, 2019, 2018 and 2017,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SARs as of July 31, 2019 and changes during the year then ended is presented below (in thousands, except fair value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5080" w:type="dxa"/>
            <w:vAlign w:val="bottom"/>
          </w:tcPr>
          <w:p>
            <w:pPr>
              <w:spacing w:after="0"/>
              <w:rPr>
                <w:sz w:val="20"/>
                <w:szCs w:val="20"/>
                <w:color w:val="auto"/>
              </w:rPr>
            </w:pPr>
          </w:p>
        </w:tc>
        <w:tc>
          <w:tcPr>
            <w:tcW w:w="3940" w:type="dxa"/>
            <w:vAlign w:val="bottom"/>
          </w:tcPr>
          <w:p>
            <w:pPr>
              <w:ind w:left="2960"/>
              <w:spacing w:after="0"/>
              <w:rPr>
                <w:sz w:val="20"/>
                <w:szCs w:val="20"/>
                <w:color w:val="auto"/>
              </w:rPr>
            </w:pPr>
            <w:r>
              <w:rPr>
                <w:rFonts w:ascii="Arial" w:cs="Arial" w:eastAsia="Arial" w:hAnsi="Arial"/>
                <w:sz w:val="18"/>
                <w:szCs w:val="18"/>
                <w:b w:val="1"/>
                <w:bCs w:val="1"/>
                <w:color w:val="auto"/>
              </w:rPr>
              <w:t>Awards</w:t>
            </w:r>
          </w:p>
        </w:tc>
        <w:tc>
          <w:tcPr>
            <w:tcW w:w="56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0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2018</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3"/>
              </w:rPr>
              <w:t>232</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3940" w:type="dxa"/>
            <w:vAlign w:val="bottom"/>
          </w:tcPr>
          <w:p>
            <w:pPr>
              <w:jc w:val="center"/>
              <w:ind w:left="2510"/>
              <w:spacing w:after="0"/>
              <w:rPr>
                <w:sz w:val="20"/>
                <w:szCs w:val="20"/>
                <w:color w:val="auto"/>
              </w:rPr>
            </w:pPr>
            <w:r>
              <w:rPr>
                <w:rFonts w:ascii="Arial" w:cs="Arial" w:eastAsia="Arial" w:hAnsi="Arial"/>
                <w:sz w:val="18"/>
                <w:szCs w:val="18"/>
                <w:color w:val="auto"/>
                <w:w w:val="89"/>
              </w:rPr>
              <w:t>80</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98.19</w:t>
            </w:r>
          </w:p>
        </w:tc>
      </w:tr>
      <w:tr>
        <w:trPr>
          <w:trHeight w:val="27"/>
        </w:trPr>
        <w:tc>
          <w:tcPr>
            <w:tcW w:w="5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5"/>
              </w:rPr>
              <w:t>(130)</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940" w:type="dxa"/>
            <w:vAlign w:val="bottom"/>
          </w:tcPr>
          <w:p>
            <w:pPr>
              <w:jc w:val="center"/>
              <w:ind w:left="2510"/>
              <w:spacing w:after="0"/>
              <w:rPr>
                <w:sz w:val="20"/>
                <w:szCs w:val="20"/>
                <w:color w:val="auto"/>
              </w:rPr>
            </w:pPr>
            <w:r>
              <w:rPr>
                <w:rFonts w:ascii="Arial" w:cs="Arial" w:eastAsia="Arial" w:hAnsi="Arial"/>
                <w:sz w:val="18"/>
                <w:szCs w:val="18"/>
                <w:color w:val="auto"/>
                <w:w w:val="93"/>
              </w:rPr>
              <w:t>(14)</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75.85</w:t>
            </w:r>
          </w:p>
        </w:tc>
      </w:tr>
      <w:tr>
        <w:trPr>
          <w:trHeight w:val="27"/>
        </w:trPr>
        <w:tc>
          <w:tcPr>
            <w:tcW w:w="50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2019</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3"/>
              </w:rPr>
              <w:t>168</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w:t>
            </w:r>
          </w:p>
        </w:tc>
      </w:tr>
      <w:tr>
        <w:trPr>
          <w:trHeight w:val="27"/>
        </w:trPr>
        <w:tc>
          <w:tcPr>
            <w:tcW w:w="5080" w:type="dxa"/>
            <w:vAlign w:val="bottom"/>
            <w:shd w:val="clear" w:color="auto" w:fill="000000"/>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restricted share units as of July 31, 2019 and changes during the year then ended is presented below (in thousands, except fair value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0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5020" w:type="dxa"/>
            <w:vAlign w:val="bottom"/>
          </w:tcPr>
          <w:p>
            <w:pPr>
              <w:spacing w:after="0"/>
              <w:rPr>
                <w:sz w:val="20"/>
                <w:szCs w:val="20"/>
                <w:color w:val="auto"/>
              </w:rPr>
            </w:pPr>
          </w:p>
        </w:tc>
        <w:tc>
          <w:tcPr>
            <w:tcW w:w="4000" w:type="dxa"/>
            <w:vAlign w:val="bottom"/>
          </w:tcPr>
          <w:p>
            <w:pPr>
              <w:ind w:left="3020"/>
              <w:spacing w:after="0"/>
              <w:rPr>
                <w:sz w:val="20"/>
                <w:szCs w:val="20"/>
                <w:color w:val="auto"/>
              </w:rPr>
            </w:pPr>
            <w:r>
              <w:rPr>
                <w:rFonts w:ascii="Arial" w:cs="Arial" w:eastAsia="Arial" w:hAnsi="Arial"/>
                <w:sz w:val="18"/>
                <w:szCs w:val="18"/>
                <w:b w:val="1"/>
                <w:bCs w:val="1"/>
                <w:color w:val="auto"/>
              </w:rPr>
              <w:t>Awards</w:t>
            </w:r>
          </w:p>
        </w:tc>
        <w:tc>
          <w:tcPr>
            <w:tcW w:w="56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0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2018</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3"/>
              </w:rPr>
              <w:t>176</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Granted</w:t>
            </w:r>
          </w:p>
        </w:tc>
        <w:tc>
          <w:tcPr>
            <w:tcW w:w="4000" w:type="dxa"/>
            <w:vAlign w:val="bottom"/>
          </w:tcPr>
          <w:p>
            <w:pPr>
              <w:jc w:val="center"/>
              <w:ind w:left="2570"/>
              <w:spacing w:after="0"/>
              <w:rPr>
                <w:sz w:val="20"/>
                <w:szCs w:val="20"/>
                <w:color w:val="auto"/>
              </w:rPr>
            </w:pPr>
            <w:r>
              <w:rPr>
                <w:rFonts w:ascii="Arial" w:cs="Arial" w:eastAsia="Arial" w:hAnsi="Arial"/>
                <w:sz w:val="18"/>
                <w:szCs w:val="18"/>
                <w:color w:val="auto"/>
                <w:w w:val="89"/>
              </w:rPr>
              <w:t>68</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264.44</w:t>
            </w:r>
          </w:p>
        </w:tc>
      </w:tr>
      <w:tr>
        <w:trPr>
          <w:trHeight w:val="27"/>
        </w:trPr>
        <w:tc>
          <w:tcPr>
            <w:tcW w:w="5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5"/>
              </w:rPr>
              <w:t>(102)</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000" w:type="dxa"/>
            <w:vAlign w:val="bottom"/>
          </w:tcPr>
          <w:p>
            <w:pPr>
              <w:jc w:val="center"/>
              <w:ind w:left="2570"/>
              <w:spacing w:after="0"/>
              <w:rPr>
                <w:sz w:val="20"/>
                <w:szCs w:val="20"/>
                <w:color w:val="auto"/>
              </w:rPr>
            </w:pPr>
            <w:r>
              <w:rPr>
                <w:rFonts w:ascii="Arial" w:cs="Arial" w:eastAsia="Arial" w:hAnsi="Arial"/>
                <w:sz w:val="18"/>
                <w:szCs w:val="18"/>
                <w:color w:val="auto"/>
                <w:w w:val="93"/>
              </w:rPr>
              <w:t>(16)</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200.50</w:t>
            </w:r>
          </w:p>
        </w:tc>
      </w:tr>
      <w:tr>
        <w:trPr>
          <w:trHeight w:val="27"/>
        </w:trPr>
        <w:tc>
          <w:tcPr>
            <w:tcW w:w="50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2019</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3"/>
              </w:rPr>
              <w:t>126</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230.10</w:t>
            </w:r>
          </w:p>
        </w:tc>
      </w:tr>
      <w:tr>
        <w:trPr>
          <w:trHeight w:val="27"/>
        </w:trPr>
        <w:tc>
          <w:tcPr>
            <w:tcW w:w="502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7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178" w:right="239" w:bottom="1440" w:gutter="0" w:footer="0" w:header="0"/>
          <w:type w:val="continuous"/>
        </w:sectPr>
      </w:pPr>
    </w:p>
    <w:bookmarkStart w:id="99" w:name="page100"/>
    <w:bookmarkEnd w:id="99"/>
    <w:p>
      <w:pPr>
        <w:jc w:val="both"/>
        <w:spacing w:after="0" w:line="255" w:lineRule="auto"/>
        <w:rPr>
          <w:sz w:val="20"/>
          <w:szCs w:val="20"/>
          <w:color w:val="auto"/>
        </w:rPr>
      </w:pPr>
      <w:r>
        <w:rPr>
          <w:rFonts w:ascii="Arial" w:cs="Arial" w:eastAsia="Arial" w:hAnsi="Arial"/>
          <w:sz w:val="18"/>
          <w:szCs w:val="18"/>
          <w:color w:val="auto"/>
        </w:rPr>
        <w:t>The Company granted 68,000 restricted share units during the year ended July 31, 2019 with a weighted-average grant-date estimated fair value of $264.44. The Company granted 77,000 restricted share units during the year ended July 31, 2018 with a weighted-average grant-date estimated fair value of $215.14. The Company granted 91,000 restricted share units during the year ended July 31, 2017 with a weighted-average grant-date estimated fair value of $154.19. The Company had 102,000, 101,000 and 121,000 restricted share units that vested during the years ended July 31, 2019, 2018 and 2017, respectively. These units had a total estimated fair value of $28.8 million, $23.5 million and $19.3 million at the date of vesting for the years ended July 31, 2019, 2018 and 2017, respectively.</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July 31, 2019, there was $24.9 million of total unrecognized compensation expense related to nonvested share-based compensation arrangements granted under the Plan, of which $14.8 million, $8.7 million and $1.4 million of expense is expected to be recognized in the years ending July 31, 2020, 2021 and 2022, respectively, assuming no share-based awards are granted in the future or forfeited. The tax benefit realized or expected to be realized from SARs exercised and restricted stock units vested was $16.3 million, $79.7 million and $15.5 million for the years ended July 31, 2019, 2018 and 2017, respectively.</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policy of using either authorized and unissued shares or treasury shares, including shares acquired by purchase in the open market, to satisfy equity award exercises.</w:t>
      </w:r>
    </w:p>
    <w:p>
      <w:pPr>
        <w:spacing w:after="0" w:line="16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Profit Sharing Plans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The Company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Retirement Plan expense recognized by the Company for the years ended July 31, 2019, 2018 and 2017 was $7.9 million, $6.9 million and $5.4 million, respectively.</w:t>
      </w:r>
    </w:p>
    <w:p>
      <w:pPr>
        <w:spacing w:after="0" w:line="16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of Vail Holdings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2019, VHI, a wholly-owned subsidiary of the Company, entered into an amendment to the Vail Holdings Credit Agreement, which increased the amount of the outstanding term loan by approximately $335.6 million and extended the maturity date of the Vail Holdings Credit Agreement to September 23, 2024. The proceeds from the term loan increase were utilized to fund the acquisition of Peak Resorts, Inc. (“Peak Resorts’), as discussed below, and to prepay certain portions of the debt assumed in connection with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Peak Resorts, Inc.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24, 2019, VHI, a wholly-owned subsidiary of the Company, completed its previously announced acquisition of Peak Resorts, a Missouri corporation, through the merger of VRAD Holdings, Inc., formerly a Missouri corporation and a wholly-owned subsidiary of VHI (“Merger Sub”), with and into Peak Resorts, with Peak Resorts surviving as a wholly-owned subsidiary of VHI (the “Merger”). The Merger was consummated pursuant to the Agreement and Plan of Merger, dated as of July 20, 2019 (the “Merger Agreement”), by and among VHI, Merger Sub, Peak Resorts and, solely for the purposes stated in Section 9.14 of the Merger Agreement, the Company. At the effective time of the Merger (the “Effective Time”) and pursuant to the terms and conditions of the Merger Agreement, (i) each share of outstanding common stock of Peak Resorts (other than shares owned (A) by VHI or Merger Sub and (B) by Peak Resorts in treasury) ceased to be outstanding and was converted into the right to receive $11.00 in cash, without interest; (ii) each outstanding share of Series A Cumulative Convertible Preferred Stock of Peak Resorts (the “Series A Preferred Stock”) was converted into the right to receive an amount equal to the sum of: (a) $1,748.81; plus (b) the aggregate amount of all accrued and unpaid dividends on the applicable issuance of Series A Preferred Stock as of the Effective Time, in cash without interest; (iii) each outstanding restricted stock unit that was granted pursuant to Peak Resorts’ 2014 Equity Incentive Plan became fully vested and was cancelled and extinguished in exchange for the right to receive $11.00 in cash, without interest; and (iv) each warrant issued by Peak Resorts to purchase shares of common stock of Peak Resorts that was issued and outstanding immediately prior to the Effective Time (collectively, the “Warrants”), was cancelled in exchange for the right to receive an amount in cash, without interest, equal to the product of: (a) the aggregate number of shares of common stock of Peak Resorts in respect of such Warrant; multiplied by (b) the excess of $11.00 over the per share exercise price under such Warrant.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017" w:right="239" w:bottom="1440" w:gutter="0" w:footer="0" w:header="0"/>
        </w:sectPr>
      </w:pPr>
    </w:p>
    <w:bookmarkStart w:id="100" w:name="page101"/>
    <w:bookmarkEnd w:id="100"/>
    <w:p>
      <w:pPr>
        <w:jc w:val="both"/>
        <w:spacing w:after="0" w:line="264" w:lineRule="auto"/>
        <w:rPr>
          <w:sz w:val="20"/>
          <w:szCs w:val="20"/>
          <w:color w:val="auto"/>
        </w:rPr>
      </w:pPr>
      <w:r>
        <w:rPr>
          <w:rFonts w:ascii="Arial" w:cs="Arial" w:eastAsia="Arial" w:hAnsi="Arial"/>
          <w:sz w:val="18"/>
          <w:szCs w:val="18"/>
          <w:color w:val="auto"/>
        </w:rPr>
        <w:t>The aggregate consideration paid by the Company to the former Peak Resorts stockholders in the Merger was approximately $265 million, excluding related transaction fees and expenses. The Company funded the payment of the aggregate consideration with the proceeds from the September 23, 2019 amendment of the Vail Holdings Credit Agreement, as discussed above.</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 of management required under this Item 9A is contained in Item 8 of this Form 10-K under the caption “Management’s Report on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Form 10-K under the caption “Report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July 31, 2019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file with the SEC in October 2019 (and, in any event, not later than 120 days after the close of our last fiscal year), a definitive Proxy Statement, pursuant to SEC Regulation 14A in connection with our Annual Meeting of Shareholders to be held in December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33" w:right="239"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2019 annual meeting of stockholders under the sections entitled “Information with Respect to Nominees,” “Management” and “Corporate Governance.”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2019 annual meeting of stockholders under the section entitled “Executive Compensation.”</w:t>
      </w:r>
    </w:p>
    <w:p>
      <w:pPr>
        <w:spacing w:after="0" w:line="166"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2019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2019 annual meeting of stockholders under the sections entitled “Determinations Regarding Independence” and “Transactions with Related Persons.”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2019 annual meeting of stockholders under the section entitled “Proposal 2. Ratification of the Selection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2"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Index to Financial Statements.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See “Item 8. Financial Statements and Supplementary Data” for the index to the Financial Statements.</w:t>
      </w:r>
    </w:p>
    <w:p>
      <w:pPr>
        <w:spacing w:after="0" w:line="23" w:lineRule="exact"/>
        <w:rPr>
          <w:rFonts w:ascii="Arial" w:cs="Arial" w:eastAsia="Arial" w:hAnsi="Arial"/>
          <w:sz w:val="18"/>
          <w:szCs w:val="18"/>
          <w:color w:val="auto"/>
        </w:rPr>
      </w:pPr>
    </w:p>
    <w:p>
      <w:pPr>
        <w:ind w:left="1460" w:hanging="642"/>
        <w:spacing w:after="0" w:line="250"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Schedules have been omitted because they are not required or not applicable, or the required information is shown in the financial statements or notes to the financial statements.</w:t>
      </w:r>
    </w:p>
    <w:p>
      <w:pPr>
        <w:ind w:left="1460" w:hanging="642"/>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See the Index to Exhibits below.</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Posted</w:t>
      </w:r>
    </w:p>
    <w:p>
      <w:pPr>
        <w:spacing w:after="0" w:line="27" w:lineRule="exact"/>
        <w:rPr>
          <w:sz w:val="20"/>
          <w:szCs w:val="20"/>
          <w:color w:val="auto"/>
        </w:rPr>
      </w:pPr>
    </w:p>
    <w:p>
      <w:pPr>
        <w:ind w:left="240"/>
        <w:spacing w:after="0"/>
        <w:tabs>
          <w:tab w:leader="none" w:pos="58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9" w:lineRule="exact"/>
        <w:rPr>
          <w:sz w:val="20"/>
          <w:szCs w:val="20"/>
          <w:color w:val="auto"/>
        </w:rPr>
      </w:pPr>
    </w:p>
    <w:p>
      <w:pPr>
        <w:jc w:val="both"/>
        <w:ind w:left="1180" w:right="20" w:hanging="766"/>
        <w:spacing w:after="0" w:line="25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35">
        <w:r>
          <w:rPr>
            <w:rFonts w:ascii="Arial" w:cs="Arial" w:eastAsia="Arial" w:hAnsi="Arial"/>
            <w:sz w:val="18"/>
            <w:szCs w:val="18"/>
            <w:u w:val="single" w:color="auto"/>
            <w:color w:val="0000FF"/>
          </w:rPr>
          <w:t>Transaction Agreement, dated as of May 24, 2013, between VR CPC Holdings, Inc. and ASC Utah LLC, Talisker Land Holdings, LLC,</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Talisker Canyons Lands LLC, Talisker Canyons Leaseco LLC, American Skiing Company Resort Properties LLC, Talisker Canyons Propco</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LLC and Talisker Canyons Finance Co LLC. (Incorporated by reference to Exhibit 2.1 on Form 8-K of Vail Resorts, Inc. filed on May 30,</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2013) (File No. 001-09614).</w:t>
        </w:r>
      </w:hyperlink>
    </w:p>
    <w:p>
      <w:pPr>
        <w:spacing w:after="0" w:line="25" w:lineRule="exact"/>
        <w:rPr>
          <w:rFonts w:ascii="Arial" w:cs="Arial" w:eastAsia="Arial" w:hAnsi="Arial"/>
          <w:sz w:val="18"/>
          <w:szCs w:val="18"/>
          <w:u w:val="single" w:color="auto"/>
          <w:color w:val="0000FF"/>
        </w:rPr>
      </w:pPr>
    </w:p>
    <w:p>
      <w:pPr>
        <w:jc w:val="both"/>
        <w:ind w:left="1180" w:right="40" w:hanging="766"/>
        <w:spacing w:after="0" w:line="264"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36">
        <w:r>
          <w:rPr>
            <w:rFonts w:ascii="Arial" w:cs="Arial" w:eastAsia="Arial" w:hAnsi="Arial"/>
            <w:sz w:val="18"/>
            <w:szCs w:val="18"/>
            <w:u w:val="single" w:color="auto"/>
            <w:color w:val="0000FF"/>
          </w:rPr>
          <w:t>Purchase and Sale Agreement, dated as of September 11, 2014, between VR CPC Holdings, Inc. and Greater Park City Company, Powdr</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Corp., Greater Properties, Inc., Park Properties, Inc. and Powdr Development Company. (Incorporated by reference to Exhibit 2.1 on Form</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10-Q of Vail Resorts, Inc. for the quarter ended October 31, 2014)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r:id="rId38">
        <w:r>
          <w:rPr>
            <w:rFonts w:ascii="Arial" w:cs="Arial" w:eastAsia="Arial" w:hAnsi="Arial"/>
            <w:sz w:val="16"/>
            <w:szCs w:val="16"/>
            <w:u w:val="single" w:color="auto"/>
            <w:color w:val="0000FF"/>
          </w:rPr>
          <w:t>Arrangement Agreement, dated as of August 5, 2016, between Vail Resorts, Inc., 1068877 B.C. Ltd. and Whistler Blackcomb Holdings Inc.</w:t>
        </w:r>
      </w:hyperlink>
    </w:p>
    <w:p>
      <w:pPr>
        <w:spacing w:after="0" w:line="23" w:lineRule="exact"/>
        <w:rPr>
          <w:rFonts w:ascii="Arial" w:cs="Arial" w:eastAsia="Arial" w:hAnsi="Arial"/>
          <w:sz w:val="18"/>
          <w:szCs w:val="18"/>
          <w:u w:val="single" w:color="auto"/>
          <w:color w:val="0000FF"/>
        </w:rPr>
      </w:pPr>
    </w:p>
    <w:p>
      <w:pPr>
        <w:ind w:left="118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(Incorporated by reference to Exhibit 2.1 on Form 8-K of Vail Resorts, Inc. filed on August 8, 2016) (File No. 001-09614).</w:t>
        </w:r>
      </w:hyperlink>
    </w:p>
    <w:p>
      <w:pPr>
        <w:spacing w:after="0" w:line="265"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013" w:right="239" w:bottom="1440" w:gutter="0" w:footer="0" w:header="0"/>
        </w:sectPr>
      </w:pPr>
    </w:p>
    <w:bookmarkStart w:id="102" w:name="page103"/>
    <w:bookmarkEnd w:id="102"/>
    <w:p>
      <w:pPr>
        <w:ind w:left="80"/>
        <w:spacing w:after="0"/>
        <w:rPr>
          <w:sz w:val="20"/>
          <w:szCs w:val="20"/>
          <w:color w:val="auto"/>
        </w:rPr>
      </w:pPr>
      <w:r>
        <w:rPr>
          <w:rFonts w:ascii="Arial" w:cs="Arial" w:eastAsia="Arial" w:hAnsi="Arial"/>
          <w:sz w:val="18"/>
          <w:szCs w:val="18"/>
          <w:b w:val="1"/>
          <w:bCs w:val="1"/>
          <w:color w:val="auto"/>
        </w:rPr>
        <w:t>Posted</w:t>
      </w:r>
    </w:p>
    <w:p>
      <w:pPr>
        <w:spacing w:after="0" w:line="27"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49" w:lineRule="exact"/>
        <w:rPr>
          <w:sz w:val="20"/>
          <w:szCs w:val="20"/>
          <w:color w:val="auto"/>
        </w:rPr>
      </w:pPr>
    </w:p>
    <w:p>
      <w:pPr>
        <w:jc w:val="both"/>
        <w:ind w:left="980" w:right="20" w:hanging="766"/>
        <w:spacing w:after="0" w:line="26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39">
        <w:r>
          <w:rPr>
            <w:rFonts w:ascii="Arial" w:cs="Arial" w:eastAsia="Arial" w:hAnsi="Arial"/>
            <w:sz w:val="18"/>
            <w:szCs w:val="18"/>
            <w:u w:val="single" w:color="auto"/>
            <w:color w:val="0000FF"/>
          </w:rPr>
          <w:t>Agreement and Plan of Merger, dated as of July 20, 2019, by and among Vail Holdings, Inc., VRAD Holdings, Inc. and Peak Resorts, Inc.,</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and solely with respect to Section 9.14, Vail Resorts, Inc. (Incorporated by reference to Exhibit 2.1 on Form 8-K of Vail Resorts, Inc. filed on</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July 22, 2019)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-121285</wp:posOffset>
            </wp:positionH>
            <wp:positionV relativeFrom="paragraph">
              <wp:posOffset>4445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980" w:right="20" w:hanging="766"/>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1">
        <w:r>
          <w:rPr>
            <w:rFonts w:ascii="Arial" w:cs="Arial" w:eastAsia="Arial" w:hAnsi="Arial"/>
            <w:sz w:val="18"/>
            <w:szCs w:val="18"/>
            <w:u w:val="single" w:color="auto"/>
            <w:color w:val="0000FF"/>
          </w:rPr>
          <w:t>Amended and Restated Certificate of Incorporation of Vail Resorts, Inc., dated January 5, 2005. (Incorporated by reference to Exhibit 3.1 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Form 10-Q of Vail Resorts, Inc. for the quarter ended January 31, 2005)(File No. 001-09614).</w:t>
        </w:r>
      </w:hyperlink>
    </w:p>
    <w:p>
      <w:pPr>
        <w:spacing w:after="0" w:line="8" w:lineRule="exact"/>
        <w:rPr>
          <w:sz w:val="20"/>
          <w:szCs w:val="20"/>
          <w:color w:val="auto"/>
        </w:rPr>
      </w:pPr>
    </w:p>
    <w:p>
      <w:pPr>
        <w:ind w:left="220"/>
        <w:spacing w:after="0"/>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2">
        <w:r>
          <w:rPr>
            <w:rFonts w:ascii="Arial" w:cs="Arial" w:eastAsia="Arial" w:hAnsi="Arial"/>
            <w:sz w:val="18"/>
            <w:szCs w:val="18"/>
            <w:u w:val="single" w:color="auto"/>
            <w:color w:val="0000FF"/>
          </w:rPr>
          <w:t>Certificate of Amendment of Amended and Restated Certificate of Incorporation of Vail Resorts, Inc., dated December 7, 2011.</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(Incorporated by reference to Exhibit 3.1 on Form 8-K of Vail 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jc w:val="both"/>
        <w:ind w:left="980" w:right="20" w:hanging="766"/>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44">
        <w:r>
          <w:rPr>
            <w:rFonts w:ascii="Arial" w:cs="Arial" w:eastAsia="Arial" w:hAnsi="Arial"/>
            <w:sz w:val="18"/>
            <w:szCs w:val="18"/>
            <w:u w:val="single" w:color="auto"/>
            <w:color w:val="0000FF"/>
          </w:rPr>
          <w:t>Certificate of Designations of Special Voting Preferred Stock of Vail Resorts, Inc., dated October 17, 2016. (Incorporated by reference to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Exhibit 3.1 on Form 8-K of Vail Resorts, Inc. filed on October 17, 2016) (File No. 001-09614).</w:t>
        </w:r>
      </w:hyperlink>
    </w:p>
    <w:p>
      <w:pPr>
        <w:spacing w:after="0" w:line="224" w:lineRule="exact"/>
        <w:rPr>
          <w:sz w:val="20"/>
          <w:szCs w:val="20"/>
          <w:color w:val="auto"/>
        </w:rPr>
      </w:pPr>
    </w:p>
    <w:p>
      <w:pPr>
        <w:jc w:val="both"/>
        <w:ind w:left="980" w:right="20" w:hanging="766"/>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45">
        <w:r>
          <w:rPr>
            <w:rFonts w:ascii="Arial" w:cs="Arial" w:eastAsia="Arial" w:hAnsi="Arial"/>
            <w:sz w:val="18"/>
            <w:szCs w:val="18"/>
            <w:u w:val="single" w:color="auto"/>
            <w:color w:val="0000FF"/>
          </w:rPr>
          <w:t>Amended and Restated Bylaws of Vail Resorts, Inc., dated December 7, 2011. (Incorporated by reference to Exhibit 3.2 on Form 8-K of Vail</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47">
        <w:r>
          <w:rPr>
            <w:rFonts w:ascii="Arial" w:cs="Arial" w:eastAsia="Arial" w:hAnsi="Arial"/>
            <w:sz w:val="16"/>
            <w:szCs w:val="16"/>
            <w:u w:val="single" w:color="auto"/>
            <w:color w:val="0000FF"/>
          </w:rPr>
          <w:t>Forest Service Unified Permit for Heavenly ski area, dated April 29, 2002 (File No. 001-09614).</w:t>
        </w:r>
      </w:hyperlink>
    </w:p>
    <w:p>
      <w:pPr>
        <w:spacing w:after="0" w:line="63" w:lineRule="exact"/>
        <w:rPr>
          <w:sz w:val="20"/>
          <w:szCs w:val="20"/>
          <w:color w:val="auto"/>
        </w:rPr>
      </w:pP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10.2(a)</w:t>
      </w:r>
      <w:r>
        <w:rPr>
          <w:sz w:val="20"/>
          <w:szCs w:val="20"/>
          <w:color w:val="auto"/>
        </w:rPr>
        <w:tab/>
      </w:r>
      <w:hyperlink r:id="rId48">
        <w:r>
          <w:rPr>
            <w:rFonts w:ascii="Arial" w:cs="Arial" w:eastAsia="Arial" w:hAnsi="Arial"/>
            <w:sz w:val="18"/>
            <w:szCs w:val="18"/>
            <w:u w:val="single" w:color="auto"/>
            <w:color w:val="0000FF"/>
          </w:rPr>
          <w:t>Forest Service Unified Permit for Keystone ski area, dated December 30, 1996. (Incorporated by reference to Exhibit 99.2(a) on Form 10-Q</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10.2(b)</w:t>
      </w:r>
      <w:r>
        <w:rPr>
          <w:sz w:val="20"/>
          <w:szCs w:val="20"/>
          <w:color w:val="auto"/>
        </w:rPr>
        <w:tab/>
      </w:r>
      <w:hyperlink r:id="rId50">
        <w:r>
          <w:rPr>
            <w:rFonts w:ascii="Arial" w:cs="Arial" w:eastAsia="Arial" w:hAnsi="Arial"/>
            <w:sz w:val="18"/>
            <w:szCs w:val="18"/>
            <w:u w:val="single" w:color="auto"/>
            <w:color w:val="0000FF"/>
          </w:rPr>
          <w:t>Amendment No. 2 to Forest Service Unified Permit for Keystone ski area. (Incorporated by reference to Exhibit 99.2(b) on Form 10-Q of</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Vail Resorts, Inc. for the quarter ended October 31, 2002) (File No. 001-09614).</w:t>
        </w:r>
      </w:hyperlink>
    </w:p>
    <w:p>
      <w:pPr>
        <w:spacing w:after="0" w:line="8" w:lineRule="exact"/>
        <w:rPr>
          <w:sz w:val="20"/>
          <w:szCs w:val="20"/>
          <w:color w:val="auto"/>
        </w:rPr>
      </w:pP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10.2(c)</w:t>
      </w:r>
      <w:r>
        <w:rPr>
          <w:sz w:val="20"/>
          <w:szCs w:val="20"/>
          <w:color w:val="auto"/>
        </w:rPr>
        <w:tab/>
      </w:r>
      <w:hyperlink r:id="rId51">
        <w:r>
          <w:rPr>
            <w:rFonts w:ascii="Arial" w:cs="Arial" w:eastAsia="Arial" w:hAnsi="Arial"/>
            <w:sz w:val="18"/>
            <w:szCs w:val="18"/>
            <w:u w:val="single" w:color="auto"/>
            <w:color w:val="0000FF"/>
          </w:rPr>
          <w:t>Amendment No. 3 to Forest Service Unified Permit for Keystone ski area. (Incorporated by reference to Exhibit 10.3 (c) on Form 10-K of</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10.2(d)</w:t>
      </w:r>
      <w:r>
        <w:rPr>
          <w:sz w:val="20"/>
          <w:szCs w:val="20"/>
          <w:color w:val="auto"/>
        </w:rPr>
        <w:tab/>
      </w:r>
      <w:hyperlink r:id="rId53">
        <w:r>
          <w:rPr>
            <w:rFonts w:ascii="Arial" w:cs="Arial" w:eastAsia="Arial" w:hAnsi="Arial"/>
            <w:sz w:val="18"/>
            <w:szCs w:val="18"/>
            <w:u w:val="single" w:color="auto"/>
            <w:color w:val="0000FF"/>
          </w:rPr>
          <w:t>Amendment No. 4 to Forest Service Unified Permit for Keystone ski area. (Incorporated by reference to Exhibit 10.3 (d) on Form 10-K of</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Vail Resorts, Inc. for the year ended July 31, 2005) (File No. 001-09614).</w:t>
        </w:r>
      </w:hyperlink>
    </w:p>
    <w:p>
      <w:pPr>
        <w:spacing w:after="0" w:line="8" w:lineRule="exact"/>
        <w:rPr>
          <w:sz w:val="20"/>
          <w:szCs w:val="20"/>
          <w:color w:val="auto"/>
        </w:rPr>
      </w:pP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10.2(e)</w:t>
      </w:r>
      <w:r>
        <w:rPr>
          <w:sz w:val="20"/>
          <w:szCs w:val="20"/>
          <w:color w:val="auto"/>
        </w:rPr>
        <w:tab/>
      </w:r>
      <w:hyperlink r:id="rId54">
        <w:r>
          <w:rPr>
            <w:rFonts w:ascii="Arial" w:cs="Arial" w:eastAsia="Arial" w:hAnsi="Arial"/>
            <w:sz w:val="18"/>
            <w:szCs w:val="18"/>
            <w:u w:val="single" w:color="auto"/>
            <w:color w:val="0000FF"/>
          </w:rPr>
          <w:t>Amendment No. 5 to Forest Service Unified Permit for Keystone ski area. (Incorporated by reference to Exhibit 10.3 (e) on Form 10-K of</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8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10.3(a)</w:t>
      </w:r>
      <w:r>
        <w:rPr>
          <w:sz w:val="20"/>
          <w:szCs w:val="20"/>
          <w:color w:val="auto"/>
        </w:rPr>
        <w:tab/>
      </w:r>
      <w:hyperlink r:id="rId56">
        <w:r>
          <w:rPr>
            <w:rFonts w:ascii="Arial" w:cs="Arial" w:eastAsia="Arial" w:hAnsi="Arial"/>
            <w:sz w:val="16"/>
            <w:szCs w:val="16"/>
            <w:u w:val="single" w:color="auto"/>
            <w:color w:val="0000FF"/>
          </w:rPr>
          <w:t>Forest Service Unified Permit for Breckenridge ski area, dated December 31, 1996. (Incorporated by reference to Exhibit 99.3(a) on Form</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10-Q of Vail Resorts, Inc. for the quarter ended October 31, 2002) (File No. 001-09614).</w:t>
        </w:r>
      </w:hyperlink>
    </w:p>
    <w:p>
      <w:pPr>
        <w:spacing w:after="0" w:line="49" w:lineRule="exact"/>
        <w:rPr>
          <w:sz w:val="20"/>
          <w:szCs w:val="20"/>
          <w:color w:val="auto"/>
        </w:rPr>
      </w:pPr>
    </w:p>
    <w:p>
      <w:pPr>
        <w:ind w:left="980" w:right="2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10.3(b)</w:t>
      </w:r>
      <w:r>
        <w:rPr>
          <w:sz w:val="20"/>
          <w:szCs w:val="20"/>
          <w:color w:val="auto"/>
        </w:rPr>
        <w:tab/>
      </w:r>
      <w:hyperlink r:id="rId57">
        <w:r>
          <w:rPr>
            <w:rFonts w:ascii="Arial" w:cs="Arial" w:eastAsia="Arial" w:hAnsi="Arial"/>
            <w:sz w:val="18"/>
            <w:szCs w:val="18"/>
            <w:u w:val="single" w:color="auto"/>
            <w:color w:val="0000FF"/>
          </w:rPr>
          <w:t>Amendment No. 1 to Forest Service Unified Permit for Breckenridge ski area. (Incorporated by reference to Exhibit 99.3(b) on Form 10-Q of</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10.3(c)</w:t>
      </w:r>
      <w:r>
        <w:rPr>
          <w:sz w:val="20"/>
          <w:szCs w:val="20"/>
          <w:color w:val="auto"/>
        </w:rPr>
        <w:tab/>
      </w:r>
      <w:hyperlink r:id="rId59">
        <w:r>
          <w:rPr>
            <w:rFonts w:ascii="Arial" w:cs="Arial" w:eastAsia="Arial" w:hAnsi="Arial"/>
            <w:sz w:val="18"/>
            <w:szCs w:val="18"/>
            <w:u w:val="single" w:color="auto"/>
            <w:color w:val="0000FF"/>
          </w:rPr>
          <w:t>Amendment No. 2 to Forest Service Unified Permit for Breckenridge ski area. (Incorporated by reference to Exhibit 10.4 (c) on Form 10-K</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of Vail Resorts, Inc. for the year ended July 31, 2005) (File No. 001-09614).</w:t>
        </w:r>
      </w:hyperlink>
    </w:p>
    <w:p>
      <w:pPr>
        <w:spacing w:after="0" w:line="8" w:lineRule="exact"/>
        <w:rPr>
          <w:sz w:val="20"/>
          <w:szCs w:val="20"/>
          <w:color w:val="auto"/>
        </w:rPr>
      </w:pPr>
    </w:p>
    <w:p>
      <w:pPr>
        <w:ind w:left="98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10.3(d)</w:t>
      </w:r>
      <w:r>
        <w:rPr>
          <w:sz w:val="20"/>
          <w:szCs w:val="20"/>
          <w:color w:val="auto"/>
        </w:rPr>
        <w:tab/>
      </w:r>
      <w:hyperlink r:id="rId60">
        <w:r>
          <w:rPr>
            <w:rFonts w:ascii="Arial" w:cs="Arial" w:eastAsia="Arial" w:hAnsi="Arial"/>
            <w:sz w:val="18"/>
            <w:szCs w:val="18"/>
            <w:u w:val="single" w:color="auto"/>
            <w:color w:val="0000FF"/>
          </w:rPr>
          <w:t>Amendment No. 3 to Forest Service Unified Permit for Breckenridge ski area. (Incorporated by reference to Exhibit 10.4 (d) on Form 10-K</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10.3(e)</w:t>
      </w:r>
      <w:r>
        <w:rPr>
          <w:sz w:val="20"/>
          <w:szCs w:val="20"/>
          <w:color w:val="auto"/>
        </w:rPr>
        <w:tab/>
      </w:r>
      <w:hyperlink r:id="rId62">
        <w:r>
          <w:rPr>
            <w:rFonts w:ascii="Arial" w:cs="Arial" w:eastAsia="Arial" w:hAnsi="Arial"/>
            <w:sz w:val="18"/>
            <w:szCs w:val="18"/>
            <w:u w:val="single" w:color="auto"/>
            <w:color w:val="0000FF"/>
          </w:rPr>
          <w:t>Amendment No. 4 to Forest Service Unified Permit for Breckenridge ski area. (Incorporated by reference to Exhibit 10.4 (e) on Form 10-K</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of Vail Resorts, Inc. for the year ended July 31, 2005) (File No. 001-09614).</w:t>
        </w:r>
      </w:hyperlink>
    </w:p>
    <w:p>
      <w:pPr>
        <w:spacing w:after="0" w:line="8" w:lineRule="exact"/>
        <w:rPr>
          <w:sz w:val="20"/>
          <w:szCs w:val="20"/>
          <w:color w:val="auto"/>
        </w:rPr>
      </w:pPr>
    </w:p>
    <w:p>
      <w:pPr>
        <w:ind w:left="980" w:hanging="90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10.3(f)</w:t>
      </w:r>
      <w:r>
        <w:rPr>
          <w:sz w:val="20"/>
          <w:szCs w:val="20"/>
          <w:color w:val="auto"/>
        </w:rPr>
        <w:tab/>
      </w:r>
      <w:hyperlink r:id="rId63">
        <w:r>
          <w:rPr>
            <w:rFonts w:ascii="Arial" w:cs="Arial" w:eastAsia="Arial" w:hAnsi="Arial"/>
            <w:sz w:val="18"/>
            <w:szCs w:val="18"/>
            <w:u w:val="single" w:color="auto"/>
            <w:color w:val="0000FF"/>
          </w:rPr>
          <w:t>Amendment No. 5 to Forest Service Unified Permit for Breckenridge ski area. (Incorporated by reference to Exhibit 10.4(f) on Form 10-Q of</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Vail Resorts, Inc. for the quarter ended January 31, 2006)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10.4(a)</w:t>
      </w:r>
      <w:r>
        <w:rPr>
          <w:sz w:val="20"/>
          <w:szCs w:val="20"/>
          <w:color w:val="auto"/>
        </w:rPr>
        <w:tab/>
      </w:r>
      <w:hyperlink r:id="rId65">
        <w:r>
          <w:rPr>
            <w:rFonts w:ascii="Arial" w:cs="Arial" w:eastAsia="Arial" w:hAnsi="Arial"/>
            <w:sz w:val="18"/>
            <w:szCs w:val="18"/>
            <w:u w:val="single" w:color="auto"/>
            <w:color w:val="0000FF"/>
          </w:rPr>
          <w:t>Forest Service Unified Permit for Beaver Creek ski area. (Incorporated by reference to Exhibit 99.4(a) on Form 10-Q of Vail Resorts, Inc. for</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the quarter ended October 31, 2002) (File No. 001-09614).</w:t>
        </w:r>
      </w:hyperlink>
    </w:p>
    <w:p>
      <w:pPr>
        <w:spacing w:after="0" w:line="8" w:lineRule="exact"/>
        <w:rPr>
          <w:sz w:val="20"/>
          <w:szCs w:val="20"/>
          <w:color w:val="auto"/>
        </w:rPr>
      </w:pPr>
    </w:p>
    <w:p>
      <w:pPr>
        <w:ind w:left="980" w:right="2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10.4(b)</w:t>
      </w:r>
      <w:r>
        <w:rPr>
          <w:sz w:val="20"/>
          <w:szCs w:val="20"/>
          <w:color w:val="auto"/>
        </w:rPr>
        <w:tab/>
      </w:r>
      <w:hyperlink r:id="rId66">
        <w:r>
          <w:rPr>
            <w:rFonts w:ascii="Arial" w:cs="Arial" w:eastAsia="Arial" w:hAnsi="Arial"/>
            <w:sz w:val="18"/>
            <w:szCs w:val="18"/>
            <w:u w:val="single" w:color="auto"/>
            <w:color w:val="0000FF"/>
          </w:rPr>
          <w:t>Exhibits to Forest Service Unified Permit for Beaver Creek ski area. (Incorporated by reference to Exhibit 99.4(b) on Form 10-Q of Vail</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10.4(c)</w:t>
      </w:r>
      <w:r>
        <w:rPr>
          <w:sz w:val="20"/>
          <w:szCs w:val="20"/>
          <w:color w:val="auto"/>
        </w:rPr>
        <w:tab/>
      </w:r>
      <w:hyperlink r:id="rId68">
        <w:r>
          <w:rPr>
            <w:rFonts w:ascii="Arial" w:cs="Arial" w:eastAsia="Arial" w:hAnsi="Arial"/>
            <w:sz w:val="18"/>
            <w:szCs w:val="18"/>
            <w:u w:val="single" w:color="auto"/>
            <w:color w:val="0000FF"/>
          </w:rPr>
          <w:t>Amendment No. 1 to Forest Service Unified Permit for Beaver Creek ski area. (Incorporated by reference to Exhibit 10.5(c) on Form 10-K of</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Vail Resorts, Inc. for the year ended July 31, 2005) (File No. 001-09614).</w:t>
        </w:r>
      </w:hyperlink>
    </w:p>
    <w:p>
      <w:pPr>
        <w:spacing w:after="0" w:line="8" w:lineRule="exact"/>
        <w:rPr>
          <w:sz w:val="20"/>
          <w:szCs w:val="20"/>
          <w:color w:val="auto"/>
        </w:rPr>
      </w:pPr>
    </w:p>
    <w:p>
      <w:pPr>
        <w:ind w:left="980" w:right="20" w:hanging="917"/>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10.4(d)</w:t>
      </w:r>
      <w:r>
        <w:rPr>
          <w:sz w:val="20"/>
          <w:szCs w:val="20"/>
          <w:color w:val="auto"/>
        </w:rPr>
        <w:tab/>
      </w:r>
      <w:hyperlink r:id="rId69">
        <w:r>
          <w:rPr>
            <w:rFonts w:ascii="Arial" w:cs="Arial" w:eastAsia="Arial" w:hAnsi="Arial"/>
            <w:sz w:val="18"/>
            <w:szCs w:val="18"/>
            <w:u w:val="single" w:color="auto"/>
            <w:color w:val="0000FF"/>
          </w:rPr>
          <w:t>Amendment No. 2 to Forest Service Unified Permit for Beaver Creek ski area. (Incorporated by reference to Exhibit 10.5(d) on Form 10-K</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10.4(e)</w:t>
      </w:r>
      <w:r>
        <w:rPr>
          <w:sz w:val="20"/>
          <w:szCs w:val="20"/>
          <w:color w:val="auto"/>
        </w:rPr>
        <w:tab/>
      </w:r>
      <w:hyperlink r:id="rId71">
        <w:r>
          <w:rPr>
            <w:rFonts w:ascii="Arial" w:cs="Arial" w:eastAsia="Arial" w:hAnsi="Arial"/>
            <w:sz w:val="18"/>
            <w:szCs w:val="18"/>
            <w:u w:val="single" w:color="auto"/>
            <w:color w:val="0000FF"/>
          </w:rPr>
          <w:t>Amendment to Forest Service Unified Permit for Beaver Creek ski area. (Incorporated by reference to Exhibit 10.5(e) on Form 10-K of Vail</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Resorts, Inc. for the year ended July 31, 2005) (File No. 001-09614).</w:t>
        </w:r>
      </w:hyperlink>
    </w:p>
    <w:p>
      <w:pPr>
        <w:spacing w:after="0" w:line="8" w:lineRule="exact"/>
        <w:rPr>
          <w:sz w:val="20"/>
          <w:szCs w:val="20"/>
          <w:color w:val="auto"/>
        </w:rPr>
      </w:pPr>
    </w:p>
    <w:p>
      <w:pPr>
        <w:ind w:left="980" w:hanging="90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10.4(f)</w:t>
      </w:r>
      <w:r>
        <w:rPr>
          <w:sz w:val="20"/>
          <w:szCs w:val="20"/>
          <w:color w:val="auto"/>
        </w:rPr>
        <w:tab/>
      </w:r>
      <w:hyperlink r:id="rId72">
        <w:r>
          <w:rPr>
            <w:rFonts w:ascii="Arial" w:cs="Arial" w:eastAsia="Arial" w:hAnsi="Arial"/>
            <w:sz w:val="18"/>
            <w:szCs w:val="18"/>
            <w:u w:val="single" w:color="auto"/>
            <w:color w:val="0000FF"/>
          </w:rPr>
          <w:t>Amendment No. 3 to Forest Service Unified Permit for Beaver Creek ski area. (Incorporated by reference to Exhibit 10.4(f) on Form 10-K of</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Vail Resorts, Inc. for the year ended July 31, 2008)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wp:posOffset>
            </wp:positionV>
            <wp:extent cx="72466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80" w:right="20" w:hanging="911"/>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10.5(a)</w:t>
      </w:r>
      <w:r>
        <w:rPr>
          <w:sz w:val="20"/>
          <w:szCs w:val="20"/>
          <w:color w:val="auto"/>
        </w:rPr>
        <w:tab/>
      </w:r>
      <w:hyperlink r:id="rId74">
        <w:r>
          <w:rPr>
            <w:rFonts w:ascii="Arial" w:cs="Arial" w:eastAsia="Arial" w:hAnsi="Arial"/>
            <w:sz w:val="18"/>
            <w:szCs w:val="18"/>
            <w:u w:val="single" w:color="auto"/>
            <w:color w:val="0000FF"/>
          </w:rPr>
          <w:t>Forest Service Unified Permit for Vail ski area, dated November 23, 1993. (Incorporated by reference to Exhibit 99.5(a) on Form 10-Q of</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Vail Resorts, Inc. for the quarter ended October 31, 2002) (File No. 001-09614).</w:t>
        </w:r>
      </w:hyperlink>
    </w:p>
    <w:p>
      <w:pPr>
        <w:spacing w:after="0" w:line="8" w:lineRule="exact"/>
        <w:rPr>
          <w:sz w:val="20"/>
          <w:szCs w:val="20"/>
          <w:color w:val="auto"/>
        </w:rPr>
      </w:pPr>
    </w:p>
    <w:p>
      <w:pPr>
        <w:ind w:left="6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10.5(b)</w:t>
      </w:r>
      <w:r>
        <w:rPr>
          <w:sz w:val="20"/>
          <w:szCs w:val="20"/>
          <w:color w:val="auto"/>
        </w:rPr>
        <w:tab/>
      </w:r>
      <w:hyperlink r:id="rId75">
        <w:r>
          <w:rPr>
            <w:rFonts w:ascii="Arial" w:cs="Arial" w:eastAsia="Arial" w:hAnsi="Arial"/>
            <w:sz w:val="16"/>
            <w:szCs w:val="16"/>
            <w:u w:val="single" w:color="auto"/>
            <w:color w:val="0000FF"/>
          </w:rPr>
          <w:t>Exhibits to Forest Service Unified Permit for Vail ski area. (Incorporated by reference to Exhibit 99.5(b) on Form 10-Q of Vail Resorts, Inc.</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for the quarter ended October 31, 2002) (File No. 001-09614).</w:t>
        </w:r>
      </w:hyperlink>
    </w:p>
    <w:p>
      <w:pPr>
        <w:sectPr>
          <w:pgSz w:w="11900" w:h="16838" w:orient="portrait"/>
          <w:cols w:equalWidth="0" w:num="1">
            <w:col w:w="11200"/>
          </w:cols>
          <w:pgMar w:left="440" w:top="1174" w:right="259" w:bottom="1440" w:gutter="0" w:footer="0" w:header="0"/>
        </w:sectPr>
      </w:pPr>
    </w:p>
    <w:p>
      <w:pPr>
        <w:spacing w:after="0" w:line="26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00"/>
          </w:cols>
          <w:pgMar w:left="440" w:top="1174" w:right="25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Posted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Exhibit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60" w:type="dxa"/>
            <w:vAlign w:val="bottom"/>
            <w:gridSpan w:val="9"/>
          </w:tcPr>
          <w:p>
            <w:pPr>
              <w:ind w:left="68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89"/>
              </w:rPr>
              <w:t>10.5(c)</w:t>
            </w:r>
          </w:p>
        </w:tc>
        <w:tc>
          <w:tcPr>
            <w:tcW w:w="1024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Amendment No. 2 to Forest Service Unified Permit for Vail ski area. (Incorporated by reference to Exhibit 99.5(c) on Form 10-Q of Vail</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Resorts, Inc. for the quarter ended October 31, 2002) (File No. 001-09614).</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4"/>
              </w:rPr>
              <w:t>10.5(d)</w:t>
            </w:r>
          </w:p>
        </w:tc>
        <w:tc>
          <w:tcPr>
            <w:tcW w:w="10240" w:type="dxa"/>
            <w:vAlign w:val="bottom"/>
            <w:tcBorders>
              <w:bottom w:val="single" w:sz="8" w:color="0000FF"/>
            </w:tcBorders>
            <w:gridSpan w:val="15"/>
          </w:tcPr>
          <w:p>
            <w:pPr>
              <w:spacing w:after="0" w:line="202"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Amendment No. 3 to Forest Service Unified Permit for Vail ski area. (Incorporated by reference to Exhibit 10.6 (d) on Form 10-K of Vail</w:t>
              </w:r>
            </w:hyperlink>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Resorts, Inc. for the year ended July 31, 2005)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87"/>
              </w:rPr>
              <w:t>10.5(e)</w:t>
            </w:r>
          </w:p>
        </w:tc>
        <w:tc>
          <w:tcPr>
            <w:tcW w:w="10240" w:type="dxa"/>
            <w:vAlign w:val="bottom"/>
            <w:gridSpan w:val="15"/>
            <w:shd w:val="clear" w:color="auto" w:fill="CCEEFF"/>
          </w:tcPr>
          <w:p>
            <w:pPr>
              <w:spacing w:after="0" w:line="202"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Amendment No. 4 to Forest Service Unified Permit for Vail ski area. (Incorporated by reference to Exhibit 10.6 (e) on Form 10-K of Vail</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Resorts, Inc. for the year ended July 31, 2005) (File No. 001-09614).</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10.6*</w:t>
            </w:r>
          </w:p>
        </w:tc>
        <w:tc>
          <w:tcPr>
            <w:tcW w:w="10240" w:type="dxa"/>
            <w:vAlign w:val="bottom"/>
            <w:gridSpan w:val="15"/>
          </w:tcPr>
          <w:p>
            <w:pPr>
              <w:spacing w:after="0" w:line="202"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Vail Resorts, Inc. Amended and Restated 2002 Long Term Incentive and Share Award Plan. (Incorporated by reference to Exhibit 99.1 on</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Form 8-K of Vail Resorts, Inc. filed on December 10, 2009) (File No. 001-09614).</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10.7*</w:t>
            </w:r>
          </w:p>
        </w:tc>
        <w:tc>
          <w:tcPr>
            <w:tcW w:w="1024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Form of Stock Option Agreement. (Incorporated by reference to Exhibit 10.20 of Form 10-K of Vail Resorts, Inc. for the year ended July 31,</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2007) (File No. 001-09614).</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10.8*</w:t>
            </w:r>
          </w:p>
        </w:tc>
        <w:tc>
          <w:tcPr>
            <w:tcW w:w="10240" w:type="dxa"/>
            <w:vAlign w:val="bottom"/>
            <w:tcBorders>
              <w:bottom w:val="single" w:sz="8" w:color="0000FF"/>
            </w:tcBorders>
            <w:gridSpan w:val="15"/>
          </w:tcPr>
          <w:p>
            <w:pPr>
              <w:spacing w:after="0" w:line="20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Form of Restricted Share Unit Agreement. (Incorporated by reference to Exhibit 10.2 on Form 8-K of Vail Resorts, Inc. filed on December 7,</w:t>
              </w:r>
            </w:hyperlink>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2015) (File Number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10.9*</w:t>
            </w:r>
          </w:p>
        </w:tc>
        <w:tc>
          <w:tcPr>
            <w:tcW w:w="10240" w:type="dxa"/>
            <w:vAlign w:val="bottom"/>
            <w:gridSpan w:val="15"/>
            <w:shd w:val="clear" w:color="auto" w:fill="CCEEFF"/>
          </w:tcPr>
          <w:p>
            <w:pPr>
              <w:spacing w:after="0" w:line="202" w:lineRule="exact"/>
              <w:rPr>
                <w:rFonts w:ascii="Arial" w:cs="Arial" w:eastAsia="Arial" w:hAnsi="Arial"/>
                <w:sz w:val="18"/>
                <w:szCs w:val="18"/>
                <w:color w:val="0000FF"/>
                <w:w w:val="98"/>
              </w:rPr>
            </w:pPr>
            <w:hyperlink r:id="rId82">
              <w:r>
                <w:rPr>
                  <w:rFonts w:ascii="Arial" w:cs="Arial" w:eastAsia="Arial" w:hAnsi="Arial"/>
                  <w:sz w:val="18"/>
                  <w:szCs w:val="18"/>
                  <w:color w:val="0000FF"/>
                  <w:w w:val="98"/>
                </w:rPr>
                <w:t>Form of Share Appreciation Rights Agreement. (Incorporated by reference to Exhibit 10.3 on Form 8-K of Vail Resorts, Inc. filed on</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December 7, 2015) (File Number 001-09614)</w:t>
              </w:r>
            </w:hyperlink>
          </w:p>
        </w:tc>
        <w:tc>
          <w:tcPr>
            <w:tcW w:w="690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5"/>
              </w:rPr>
              <w:t>10.10*</w:t>
            </w:r>
          </w:p>
        </w:tc>
        <w:tc>
          <w:tcPr>
            <w:tcW w:w="10240" w:type="dxa"/>
            <w:vAlign w:val="bottom"/>
            <w:tcBorders>
              <w:bottom w:val="single" w:sz="8" w:color="0000FF"/>
            </w:tcBorders>
            <w:gridSpan w:val="15"/>
          </w:tcPr>
          <w:p>
            <w:pPr>
              <w:spacing w:after="0" w:line="202"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Vail Resorts Deferred Compensation Plan, effective as of January 1, 2005. (Incorporated by reference to Exhibit 10.22 on Form 10-K of Vail</w:t>
              </w:r>
            </w:hyperlink>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Resorts, Inc. for the year ended July 31, 2009)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4"/>
              </w:rPr>
              <w:t>10.11(a)*</w:t>
            </w:r>
          </w:p>
        </w:tc>
        <w:tc>
          <w:tcPr>
            <w:tcW w:w="1020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7"/>
              </w:rPr>
            </w:pPr>
            <w:hyperlink r:id="rId84">
              <w:r>
                <w:rPr>
                  <w:rFonts w:ascii="Arial" w:cs="Arial" w:eastAsia="Arial" w:hAnsi="Arial"/>
                  <w:sz w:val="18"/>
                  <w:szCs w:val="18"/>
                  <w:color w:val="0000FF"/>
                  <w:w w:val="97"/>
                </w:rPr>
                <w:t>Executive Employment Agreement made and entered into October 15, 2008 by and between Vail Resorts, Inc. and Robert A. Katz.</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(Incorporated by reference to Exhibit 10.1 of the report on Form 10-Q of Vail Resorts, Inc. for the quarter ended October 31, 2008) (File No.</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001-09614).</w:t>
              </w:r>
            </w:hyperlink>
          </w:p>
        </w:tc>
        <w:tc>
          <w:tcPr>
            <w:tcW w:w="84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92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98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660" w:type="dxa"/>
            <w:vAlign w:val="bottom"/>
            <w:tcBorders>
              <w:top w:val="single" w:sz="8" w:color="0000FF"/>
            </w:tcBorders>
            <w:shd w:val="clear" w:color="auto" w:fill="CCEEFF"/>
          </w:tcPr>
          <w:p>
            <w:pPr>
              <w:spacing w:after="0"/>
              <w:rPr>
                <w:sz w:val="17"/>
                <w:szCs w:val="17"/>
                <w:color w:val="auto"/>
              </w:rPr>
            </w:pPr>
          </w:p>
        </w:tc>
        <w:tc>
          <w:tcPr>
            <w:tcW w:w="1440" w:type="dxa"/>
            <w:vAlign w:val="bottom"/>
            <w:tcBorders>
              <w:top w:val="single" w:sz="8" w:color="0000FF"/>
            </w:tcBorders>
            <w:shd w:val="clear" w:color="auto" w:fill="CCEEFF"/>
          </w:tcPr>
          <w:p>
            <w:pPr>
              <w:spacing w:after="0"/>
              <w:rPr>
                <w:sz w:val="17"/>
                <w:szCs w:val="17"/>
                <w:color w:val="auto"/>
              </w:rPr>
            </w:pPr>
          </w:p>
        </w:tc>
        <w:tc>
          <w:tcPr>
            <w:tcW w:w="90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4"/>
              </w:rPr>
              <w:t>10.11(b)*</w:t>
            </w:r>
          </w:p>
        </w:tc>
        <w:tc>
          <w:tcPr>
            <w:tcW w:w="10240" w:type="dxa"/>
            <w:vAlign w:val="bottom"/>
            <w:gridSpan w:val="15"/>
          </w:tcPr>
          <w:p>
            <w:pPr>
              <w:spacing w:after="0" w:line="202"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First Amendment to Executive Employment Agreement, dated September 30, 2011, by and between Vail Resorts, Inc. and Robert A. Katz</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(Incorporated by reference to Exhibit 10.1 on Form 8-K of Vail Resorts, Inc. filed September 30, 2011) (File No. 001-09614).</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5"/>
              </w:rPr>
              <w:t>10.11(c)*</w:t>
            </w:r>
          </w:p>
        </w:tc>
        <w:tc>
          <w:tcPr>
            <w:tcW w:w="1024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Second Amendment to Executive Employment Agreement, dated April 11, 2013, by and between Vail Resorts, Inc. and Robert A. Katz.</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(Incorporated by reference to Exhibit 10.1 on Form 10-Q of Vail Resorts, Inc. for the quarter ended April 30, 2013) (File No. 001-09614).</w:t>
              </w:r>
            </w:hyperlink>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680" w:type="dxa"/>
            <w:vAlign w:val="bottom"/>
            <w:tcBorders>
              <w:top w:val="single" w:sz="8" w:color="0000FF"/>
            </w:tcBorders>
            <w:shd w:val="clear" w:color="auto" w:fill="CCEEFF"/>
          </w:tcPr>
          <w:p>
            <w:pPr>
              <w:spacing w:after="0"/>
              <w:rPr>
                <w:sz w:val="22"/>
                <w:szCs w:val="22"/>
                <w:color w:val="auto"/>
              </w:rPr>
            </w:pPr>
          </w:p>
        </w:tc>
        <w:tc>
          <w:tcPr>
            <w:tcW w:w="98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66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0000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5"/>
              </w:rPr>
              <w:t>10.12*</w:t>
            </w:r>
          </w:p>
        </w:tc>
        <w:tc>
          <w:tcPr>
            <w:tcW w:w="10240" w:type="dxa"/>
            <w:vAlign w:val="bottom"/>
            <w:tcBorders>
              <w:bottom w:val="single" w:sz="8" w:color="0000FF"/>
            </w:tcBorders>
            <w:gridSpan w:val="15"/>
          </w:tcPr>
          <w:p>
            <w:pPr>
              <w:spacing w:after="0" w:line="202" w:lineRule="exact"/>
              <w:rPr>
                <w:rFonts w:ascii="Arial" w:cs="Arial" w:eastAsia="Arial" w:hAnsi="Arial"/>
                <w:sz w:val="18"/>
                <w:szCs w:val="18"/>
                <w:color w:val="0000FF"/>
                <w:w w:val="96"/>
              </w:rPr>
            </w:pPr>
            <w:hyperlink r:id="rId87">
              <w:r>
                <w:rPr>
                  <w:rFonts w:ascii="Arial" w:cs="Arial" w:eastAsia="Arial" w:hAnsi="Arial"/>
                  <w:sz w:val="18"/>
                  <w:szCs w:val="18"/>
                  <w:color w:val="0000FF"/>
                  <w:w w:val="96"/>
                </w:rPr>
                <w:t>Form of Indemnification Agreement. (Incorporated by reference to Exhibit 10.8 of the report on Form 10-Q of Vail Resorts, Inc. for the</w:t>
              </w:r>
            </w:hyperlink>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quarter ended October 31, 2008)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3"/>
              </w:rPr>
              <w:t>10.13</w:t>
            </w:r>
          </w:p>
        </w:tc>
        <w:tc>
          <w:tcPr>
            <w:tcW w:w="10240" w:type="dxa"/>
            <w:vAlign w:val="bottom"/>
            <w:gridSpan w:val="15"/>
            <w:shd w:val="clear" w:color="auto" w:fill="CCEEFF"/>
          </w:tcPr>
          <w:p>
            <w:pPr>
              <w:spacing w:after="0" w:line="202"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Master Agreement of Lease, dated May 29, 2013, between VR CPC Holdings, Inc. and Talisker Canyons Leaseco LLC. (Incorporated by</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760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reference to Exhibit 10.1 on Form 8-K of Vail Resorts, Inc. filed on May 30, 2013) (File No. 001-09614).</w:t>
              </w:r>
            </w:hyperlink>
          </w:p>
        </w:tc>
        <w:tc>
          <w:tcPr>
            <w:tcW w:w="260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30"/>
        </w:trPr>
        <w:tc>
          <w:tcPr>
            <w:tcW w:w="1180" w:type="dxa"/>
            <w:vAlign w:val="bottom"/>
          </w:tcPr>
          <w:p>
            <w:pPr>
              <w:jc w:val="center"/>
              <w:ind w:right="30"/>
              <w:spacing w:after="0"/>
              <w:rPr>
                <w:sz w:val="20"/>
                <w:szCs w:val="20"/>
                <w:color w:val="auto"/>
              </w:rPr>
            </w:pPr>
            <w:r>
              <w:rPr>
                <w:rFonts w:ascii="Arial" w:cs="Arial" w:eastAsia="Arial" w:hAnsi="Arial"/>
                <w:sz w:val="18"/>
                <w:szCs w:val="18"/>
                <w:color w:val="auto"/>
                <w:w w:val="93"/>
              </w:rPr>
              <w:t>10.14</w:t>
            </w:r>
          </w:p>
        </w:tc>
        <w:tc>
          <w:tcPr>
            <w:tcW w:w="10220" w:type="dxa"/>
            <w:vAlign w:val="bottom"/>
            <w:tcBorders>
              <w:bottom w:val="single" w:sz="8" w:color="0000FF"/>
            </w:tcBorders>
            <w:gridSpan w:val="14"/>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Guaranty of Vail Resorts, Inc., dated May 29, 2013, in connection with the Master Agreement of Lease between VR CPC Holdings, Inc. and</w:t>
              </w:r>
            </w:hyperlink>
          </w:p>
        </w:tc>
        <w:tc>
          <w:tcPr>
            <w:tcW w:w="20" w:type="dxa"/>
            <w:vAlign w:val="bottom"/>
          </w:tcPr>
          <w:p>
            <w:pPr>
              <w:spacing w:after="0"/>
              <w:rPr>
                <w:sz w:val="19"/>
                <w:szCs w:val="19"/>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Talisker Canyons Leaseco LLC. (Incorporated by reference to Exhibit 10.2 on Form 8-K of Vail Resorts, Inc. filed on May 30, 2013) (File</w:t>
              </w:r>
            </w:hyperlink>
          </w:p>
        </w:tc>
      </w:tr>
      <w:tr>
        <w:trPr>
          <w:trHeight w:val="196"/>
        </w:trPr>
        <w:tc>
          <w:tcPr>
            <w:tcW w:w="118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No. 001-09614).</w:t>
              </w:r>
            </w:hyperlink>
          </w:p>
        </w:tc>
        <w:tc>
          <w:tcPr>
            <w:tcW w:w="900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1">
            <w:col w:w="11420"/>
          </w:cols>
          <w:pgMar w:left="240" w:top="1174" w:right="239" w:bottom="418" w:gutter="0" w:footer="0" w:header="0"/>
        </w:sectPr>
      </w:pP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10.16*</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10.17(b)</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10.18(a)</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40"/>
        <w:spacing w:after="0" w:line="277" w:lineRule="auto"/>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Vail Resorts, Inc. Management Incentive Plan (Incorporated by reference to Exhibit 10.2 on Form 10-Q of Vail Resorts, Inc. for the quarter</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ended October 31, 2018) (File No. 001-09614).</w:t>
        </w:r>
      </w:hyperlink>
    </w:p>
    <w:p>
      <w:pPr>
        <w:spacing w:after="0" w:line="89" w:lineRule="exact"/>
        <w:rPr>
          <w:sz w:val="20"/>
          <w:szCs w:val="20"/>
          <w:color w:val="auto"/>
        </w:rPr>
      </w:pPr>
    </w:p>
    <w:p>
      <w:pPr>
        <w:jc w:val="both"/>
        <w:ind w:right="40"/>
        <w:spacing w:after="0" w:line="277"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Vail Resorts, Inc. 2015 Omnibus Incentive Plan (Incorporated by reference to Exhibit 10.1 on Form 8-K of Vail Resorts, Inc. filed on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-1905</wp:posOffset>
            </wp:positionV>
            <wp:extent cx="7246620" cy="68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69" w:lineRule="exact"/>
        <w:rPr>
          <w:sz w:val="20"/>
          <w:szCs w:val="20"/>
          <w:color w:val="auto"/>
        </w:rPr>
      </w:pPr>
    </w:p>
    <w:p>
      <w:pPr>
        <w:jc w:val="both"/>
        <w:ind w:right="20"/>
        <w:spacing w:after="0" w:line="259"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Eighth Amended and Restated Credit Agreement, Annex A to that certain Amendment Agreement, dated as of August 15, 2018, among Vail</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Holdings, Inc., as borrower, Bank of America, N.A., as administrative agent, U.S. Bank National Association and Wells Fargo, National</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Association, as co-syndication Agents, and the Lenders party thereto (Incorporated by reference to Exhibit 10.1 on Form 10-Q of Vail</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Resorts, Inc. for the quarter ended October 31, 2018) (File No. 001-09614).</w:t>
        </w:r>
      </w:hyperlink>
    </w:p>
    <w:p>
      <w:pPr>
        <w:spacing w:after="0" w:line="187" w:lineRule="exact"/>
        <w:rPr>
          <w:rFonts w:ascii="Arial" w:cs="Arial" w:eastAsia="Arial" w:hAnsi="Arial"/>
          <w:sz w:val="18"/>
          <w:szCs w:val="18"/>
          <w:u w:val="single" w:color="auto"/>
          <w:color w:val="0000FF"/>
        </w:rPr>
      </w:pPr>
    </w:p>
    <w:p>
      <w:pPr>
        <w:jc w:val="both"/>
        <w:ind w:right="40"/>
        <w:spacing w:after="0" w:line="286" w:lineRule="auto"/>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First Amendment tot he Eighth Amended and Restated Credit Agreement, dated as of April 15, 2019, among Vail Holdings, Inc., as</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borrower, and Bank of America, N.A., as administrative agent, on its own behalf and on behalf of the Lenders party thereto (Incorporated by</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reference to Exhibit 10.1 on Form 10-Q of Vail Resorts, Inc. for the quarter ended April 30, 2019) (File No. 001-09614).</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45720</wp:posOffset>
            </wp:positionV>
            <wp:extent cx="7246620" cy="1200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pacing w:after="0" w:line="146" w:lineRule="exact"/>
        <w:rPr>
          <w:rFonts w:ascii="Arial" w:cs="Arial" w:eastAsia="Arial" w:hAnsi="Arial"/>
          <w:sz w:val="17"/>
          <w:szCs w:val="17"/>
          <w:u w:val="single" w:color="auto"/>
          <w:color w:val="0000FF"/>
        </w:rPr>
      </w:pPr>
    </w:p>
    <w:p>
      <w:pPr>
        <w:jc w:val="both"/>
        <w:ind w:right="40"/>
        <w:spacing w:after="0" w:line="255"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Amended and Restated Credit Agreement and the amendments thereto, dated as of November 12, 2013, among Whistler Mountain Resort</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Limited Partnership and Blackcomb Skiing Enterprises Limited Partnership, as borrowers, the Guarantors Party thereto, the Financial</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Institutions named therein, The Toronto-Dominion Bank, as administrative agent, TD Securities, as lead arranger and sole bookrunner, and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Royal Bank of Canada, Bank of Montreal, Wells Fargo Bank, N.A., Canadian Branch, and Bank of America, N.A., Canadian Branch, as co-</w:t>
        </w:r>
      </w:hyperlink>
      <w:hyperlink r:id="rId97">
        <w:r>
          <w:rPr>
            <w:rFonts w:ascii="Arial" w:cs="Arial" w:eastAsia="Arial" w:hAnsi="Arial"/>
            <w:sz w:val="18"/>
            <w:szCs w:val="18"/>
            <w:u w:val="single" w:color="auto"/>
            <w:color w:val="0000FF"/>
          </w:rPr>
          <w:t>documentation agents (Incorporated by reference to Exhibit 10.3 on Form 10-Q of Vail Resorts, Inc. for the quarter ended October 30, 2016)</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(File No. 001-09614).</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40" w:space="340"/>
            <w:col w:w="10240"/>
          </w:cols>
          <w:pgMar w:left="240" w:top="1174" w:right="239" w:bottom="418" w:gutter="0" w:footer="0" w:header="0"/>
          <w:type w:val="continuous"/>
        </w:sectPr>
      </w:pPr>
    </w:p>
    <w:p>
      <w:pPr>
        <w:spacing w:after="0" w:line="290" w:lineRule="exact"/>
        <w:rPr>
          <w:rFonts w:ascii="Arial" w:cs="Arial" w:eastAsia="Arial" w:hAnsi="Arial"/>
          <w:sz w:val="18"/>
          <w:szCs w:val="18"/>
          <w:u w:val="single" w:color="auto"/>
          <w:color w:val="0000FF"/>
        </w:rPr>
      </w:pPr>
    </w:p>
    <w:p>
      <w:pPr>
        <w:jc w:val="both"/>
        <w:ind w:left="1180" w:right="20" w:hanging="961"/>
        <w:spacing w:after="0" w:line="25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10.18(b)</w:t>
      </w:r>
      <w:r>
        <w:rPr>
          <w:sz w:val="20"/>
          <w:szCs w:val="20"/>
          <w:color w:val="auto"/>
        </w:rPr>
        <w:tab/>
      </w:r>
      <w:hyperlink r:id="rId98">
        <w:r>
          <w:rPr>
            <w:rFonts w:ascii="Arial" w:cs="Arial" w:eastAsia="Arial" w:hAnsi="Arial"/>
            <w:sz w:val="18"/>
            <w:szCs w:val="18"/>
            <w:u w:val="single" w:color="auto"/>
            <w:color w:val="0000FF"/>
          </w:rPr>
          <w:t>Third Amending Agreement, dated as of February 10, 2017, among Whistler Mountain Resort Limited Partnership and Blackcomb Skiing</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Enterprises Limited Partnership, as borrowers, the Guarantors Party thereto, and The Toronto-Dominion Bank, as administrative agent, on its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own behalf and on behalf of the Lenders (Incorporated by reference to Exhibit 10.1 on Form 10-Q of Vail Resorts, Inc. for the quarter ended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January 31, 2017) (File No. 001-09614).</w:t>
        </w:r>
      </w:hyperlink>
    </w:p>
    <w:p>
      <w:pPr>
        <w:sectPr>
          <w:pgSz w:w="11900" w:h="16838" w:orient="portrait"/>
          <w:cols w:equalWidth="0" w:num="1">
            <w:col w:w="11420"/>
          </w:cols>
          <w:pgMar w:left="240" w:top="1174" w:right="239" w:bottom="418" w:gutter="0" w:footer="0" w:header="0"/>
          <w:type w:val="continuous"/>
        </w:sectPr>
      </w:pPr>
    </w:p>
    <w:p>
      <w:pPr>
        <w:spacing w:after="0" w:line="24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174" w:right="239" w:bottom="418" w:gutter="0" w:footer="0" w:header="0"/>
          <w:type w:val="continuous"/>
        </w:sectPr>
      </w:pPr>
    </w:p>
    <w:bookmarkStart w:id="104" w:name="page105"/>
    <w:bookmarkEnd w:id="104"/>
    <w:p>
      <w:pPr>
        <w:ind w:left="280"/>
        <w:spacing w:after="0"/>
        <w:rPr>
          <w:sz w:val="20"/>
          <w:szCs w:val="20"/>
          <w:color w:val="auto"/>
        </w:rPr>
      </w:pPr>
      <w:r>
        <w:rPr>
          <w:rFonts w:ascii="Arial" w:cs="Arial" w:eastAsia="Arial" w:hAnsi="Arial"/>
          <w:sz w:val="16"/>
          <w:szCs w:val="16"/>
          <w:b w:val="1"/>
          <w:bCs w:val="1"/>
          <w:color w:val="auto"/>
        </w:rPr>
        <w:t>Posted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172085</wp:posOffset>
            </wp:positionV>
            <wp:extent cx="7246620" cy="685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344" w:lineRule="exact"/>
        <w:rPr>
          <w:sz w:val="20"/>
          <w:szCs w:val="20"/>
          <w:color w:val="auto"/>
        </w:rPr>
      </w:pPr>
    </w:p>
    <w:p>
      <w:pPr>
        <w:jc w:val="both"/>
        <w:ind w:right="20"/>
        <w:spacing w:after="0" w:line="259"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Fourth Amending Agreement, dated as of November 30, 2018, among Whistler Mountain Resort Limited Partnership and Blackcomb Skiing</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Enterprises Limited Partnership, as borrowers, the Guarantors Party thereto, and The Toronto-Dominion Bank, as administrative agent, on its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own behalf and on behalf of the lenders (Incorporated by reference to Exhibit 10.1 on Form 10-Q of Vail Resorts, Inc. for the quarter ended</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January 31, 2019) (File No. 001-09614).</w:t>
        </w:r>
      </w:hyperlink>
    </w:p>
    <w:p>
      <w:pPr>
        <w:spacing w:after="0" w:line="187"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Whistler Mountain Master Development Agreement, dated as of February 23, 2017, between Her Majesty the Queen in Right of the Province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of British Columbia and Whistler Mountain Resort Limited Partnership (Incorporated by reference to Exhibit 10.1 on Form 8-K of Vail</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Resorts, Inc. filed on February 27, 2017)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295910</wp:posOffset>
            </wp:positionV>
            <wp:extent cx="72466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40" w:space="340"/>
            <w:col w:w="10220"/>
          </w:cols>
          <w:pgMar w:left="240" w:top="1175" w:right="259" w:bottom="1440" w:gutter="0" w:footer="0" w:header="0"/>
        </w:sectPr>
      </w:pPr>
    </w:p>
    <w:p>
      <w:pPr>
        <w:spacing w:after="0" w:line="278" w:lineRule="exact"/>
        <w:rPr>
          <w:rFonts w:ascii="Arial" w:cs="Arial" w:eastAsia="Arial" w:hAnsi="Arial"/>
          <w:sz w:val="18"/>
          <w:szCs w:val="18"/>
          <w:u w:val="single" w:color="auto"/>
          <w:color w:val="0000FF"/>
        </w:rPr>
      </w:pPr>
    </w:p>
    <w:p>
      <w:pPr>
        <w:jc w:val="both"/>
        <w:ind w:left="1180" w:hanging="857"/>
        <w:spacing w:after="0" w:line="264"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03">
        <w:r>
          <w:rPr>
            <w:rFonts w:ascii="Arial" w:cs="Arial" w:eastAsia="Arial" w:hAnsi="Arial"/>
            <w:sz w:val="18"/>
            <w:szCs w:val="18"/>
            <w:u w:val="single" w:color="auto"/>
            <w:color w:val="0000FF"/>
          </w:rPr>
          <w:t>Blackcomb Mountain Master Development Agreement, dated as of February 23, 2017, between Her Majesty the Queen in Right of the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Province of British Columbia and Blackcomb Skiing Enterprises Limited Partnership (Incorporated by reference to Exhibit 10.2 on Form 8-</w:t>
        </w:r>
      </w:hyperlink>
      <w:hyperlink r:id="rId103">
        <w:r>
          <w:rPr>
            <w:rFonts w:ascii="Arial" w:cs="Arial" w:eastAsia="Arial" w:hAnsi="Arial"/>
            <w:sz w:val="18"/>
            <w:szCs w:val="18"/>
            <w:u w:val="single" w:color="auto"/>
            <w:color w:val="0000FF"/>
          </w:rPr>
          <w:t>K of Vail Resorts, Inc. filed on February 27, 2017) (File No. 001-09614).</w:t>
        </w:r>
      </w:hyperlink>
    </w:p>
    <w:p>
      <w:pPr>
        <w:spacing w:after="0" w:line="19" w:lineRule="exact"/>
        <w:rPr>
          <w:rFonts w:ascii="Arial" w:cs="Arial" w:eastAsia="Arial" w:hAnsi="Arial"/>
          <w:sz w:val="18"/>
          <w:szCs w:val="18"/>
          <w:u w:val="single" w:color="auto"/>
          <w:color w:val="0000FF"/>
        </w:rPr>
      </w:pPr>
    </w:p>
    <w:p>
      <w:pPr>
        <w:ind w:left="1180" w:hanging="742"/>
        <w:spacing w:after="0"/>
        <w:tabs>
          <w:tab w:leader="none" w:pos="1180" w:val="left"/>
        </w:tabs>
        <w:numPr>
          <w:ilvl w:val="0"/>
          <w:numId w:val="66"/>
        </w:numPr>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Subsidiaries of Vail Resorts,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1180" w:hanging="742"/>
        <w:spacing w:after="0"/>
        <w:tabs>
          <w:tab w:leader="none" w:pos="1180" w:val="left"/>
        </w:tabs>
        <w:numPr>
          <w:ilvl w:val="0"/>
          <w:numId w:val="67"/>
        </w:numPr>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Consent of Independent Registered Public Accounting Firm.</w:t>
        </w:r>
      </w:hyperlink>
    </w:p>
    <w:p>
      <w:pPr>
        <w:spacing w:after="0" w:line="63" w:lineRule="exact"/>
        <w:rPr>
          <w:rFonts w:ascii="Arial" w:cs="Arial" w:eastAsia="Arial" w:hAnsi="Arial"/>
          <w:sz w:val="18"/>
          <w:szCs w:val="18"/>
          <w:u w:val="single" w:color="auto"/>
          <w:color w:val="0000FF"/>
        </w:rPr>
      </w:pPr>
    </w:p>
    <w:p>
      <w:pPr>
        <w:ind w:left="1180" w:hanging="742"/>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Power of Attorney. Included on signature pages hereto.</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3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24">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63" w:lineRule="exact"/>
        <w:rPr>
          <w:rFonts w:ascii="Arial" w:cs="Arial" w:eastAsia="Arial" w:hAnsi="Arial"/>
          <w:sz w:val="18"/>
          <w:szCs w:val="18"/>
          <w:u w:val="single" w:color="auto"/>
          <w:color w:val="0000FF"/>
        </w:rPr>
      </w:pPr>
    </w:p>
    <w:p>
      <w:pPr>
        <w:ind w:left="3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25">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1180" w:hanging="742"/>
        <w:spacing w:after="0" w:line="277" w:lineRule="auto"/>
        <w:tabs>
          <w:tab w:leader="none" w:pos="1180" w:val="left"/>
        </w:tabs>
        <w:numPr>
          <w:ilvl w:val="0"/>
          <w:numId w:val="68"/>
        </w:numPr>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Certifications of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126">
        <w:r>
          <w:rPr>
            <w:rFonts w:ascii="Arial" w:cs="Arial" w:eastAsia="Arial" w:hAnsi="Arial"/>
            <w:sz w:val="18"/>
            <w:szCs w:val="18"/>
            <w:u w:val="single" w:color="auto"/>
            <w:color w:val="0000FF"/>
          </w:rPr>
          <w:t>of the Sarbanes-Oxley Act of 2002.</w:t>
        </w:r>
      </w:hyperlink>
    </w:p>
    <w:p>
      <w:pPr>
        <w:spacing w:after="0" w:line="8" w:lineRule="exact"/>
        <w:rPr>
          <w:rFonts w:ascii="Arial" w:cs="Arial" w:eastAsia="Arial" w:hAnsi="Arial"/>
          <w:sz w:val="18"/>
          <w:szCs w:val="18"/>
          <w:color w:val="auto"/>
        </w:rPr>
      </w:pPr>
    </w:p>
    <w:p>
      <w:pPr>
        <w:jc w:val="both"/>
        <w:ind w:left="1180" w:hanging="787"/>
        <w:spacing w:after="0" w:line="286" w:lineRule="auto"/>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following information from the Company’s Year End Report on Form 10-K for the year ended July 31, 2019 formatted in eXtensible Business Reporting Language: (i) Consolidated Balance Sheets as of July 31, 2019 and July 31, 2018; (ii) Consolidated Statements of Operations as of July 31, 2019, July 31, 2018 and July 31, 2017; (iii) Consolidated Statements of Comprehensive Income as of July 31, 2019, July 31, 2018 and July 31, 2017; (iv) Consolidated Statements of Stockholders’ Equity as of July 31, 2019, July 31, 2018 and July 31, 2017</w:t>
      </w:r>
    </w:p>
    <w:p>
      <w:pPr>
        <w:spacing w:after="0" w:line="1" w:lineRule="exact"/>
        <w:rPr>
          <w:rFonts w:ascii="Arial" w:cs="Arial" w:eastAsia="Arial" w:hAnsi="Arial"/>
          <w:sz w:val="16"/>
          <w:szCs w:val="16"/>
          <w:color w:val="auto"/>
        </w:rPr>
      </w:pPr>
    </w:p>
    <w:p>
      <w:pPr>
        <w:ind w:left="1180"/>
        <w:spacing w:after="0" w:line="261" w:lineRule="auto"/>
        <w:rPr>
          <w:rFonts w:ascii="Arial" w:cs="Arial" w:eastAsia="Arial" w:hAnsi="Arial"/>
          <w:sz w:val="16"/>
          <w:szCs w:val="16"/>
          <w:color w:val="auto"/>
        </w:rPr>
      </w:pPr>
      <w:r>
        <w:rPr>
          <w:rFonts w:ascii="Arial" w:cs="Arial" w:eastAsia="Arial" w:hAnsi="Arial"/>
          <w:sz w:val="18"/>
          <w:szCs w:val="18"/>
          <w:color w:val="auto"/>
        </w:rPr>
        <w:t>(v) Consolidated Statements of Cash Flows as of July 31, 2019, July 31, 2018 and July 31, 2017; and (vi) Notes to the Consolidated Financial Statements.</w:t>
      </w:r>
    </w:p>
    <w:p>
      <w:pPr>
        <w:spacing w:after="0" w:line="7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contracts and compensatory plans and arrangements.</w:t>
      </w:r>
    </w:p>
    <w:p>
      <w:pPr>
        <w:spacing w:after="0" w:line="221"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175" w:right="25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Date: September 26, 2019</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4760" w:type="dxa"/>
            <w:vAlign w:val="bottom"/>
          </w:tcPr>
          <w:p>
            <w:pPr>
              <w:ind w:left="428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56"/>
        </w:trPr>
        <w:tc>
          <w:tcPr>
            <w:tcW w:w="4760" w:type="dxa"/>
            <w:vAlign w:val="bottom"/>
          </w:tcPr>
          <w:p>
            <w:pPr>
              <w:spacing w:after="0"/>
              <w:rPr>
                <w:sz w:val="22"/>
                <w:szCs w:val="22"/>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Date: September 26, 2019</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4760" w:type="dxa"/>
            <w:vAlign w:val="bottom"/>
          </w:tcPr>
          <w:p>
            <w:pPr>
              <w:ind w:left="428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/s/ Ryan H. Siurek</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Ryan H. Siurek</w:t>
            </w:r>
          </w:p>
        </w:tc>
      </w:tr>
      <w:tr>
        <w:trPr>
          <w:trHeight w:val="256"/>
        </w:trPr>
        <w:tc>
          <w:tcPr>
            <w:tcW w:w="4760" w:type="dxa"/>
            <w:vAlign w:val="bottom"/>
          </w:tcPr>
          <w:p>
            <w:pPr>
              <w:spacing w:after="0"/>
              <w:rPr>
                <w:sz w:val="22"/>
                <w:szCs w:val="22"/>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Senior Vice President, Controller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person whose signature appears below hereby constitutes and appoints Michael Z. Barkin or Ryan H. Siurek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September 26,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012" w:right="239" w:bottom="1440" w:gutter="0" w:footer="0" w:header="0"/>
        </w:sectPr>
      </w:pPr>
    </w:p>
    <w:bookmarkStart w:id="106" w:name="page107"/>
    <w:bookmarkEnd w:id="106"/>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3"/>
              </w:rPr>
              <w:t>/s/ Robert A. Katz</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2"/>
              </w:rPr>
              <w:t>Chief Executive Officer and Chairman of the Board</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Robert A. Katz</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4"/>
              </w:rPr>
              <w:t>/s/ Michael Z. Barkin</w:t>
            </w:r>
          </w:p>
        </w:tc>
        <w:tc>
          <w:tcPr>
            <w:tcW w:w="6440" w:type="dxa"/>
            <w:vAlign w:val="bottom"/>
            <w:vMerge w:val="restart"/>
          </w:tcPr>
          <w:p>
            <w:pPr>
              <w:jc w:val="center"/>
              <w:ind w:left="55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6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4"/>
              </w:rPr>
              <w:t>Michael Z. Barkin</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/s/ Ryan H. Siurek</w:t>
            </w:r>
          </w:p>
        </w:tc>
        <w:tc>
          <w:tcPr>
            <w:tcW w:w="6440" w:type="dxa"/>
            <w:vAlign w:val="bottom"/>
            <w:vMerge w:val="restart"/>
          </w:tcPr>
          <w:p>
            <w:pPr>
              <w:jc w:val="center"/>
              <w:ind w:left="570"/>
              <w:spacing w:after="0"/>
              <w:rPr>
                <w:sz w:val="20"/>
                <w:szCs w:val="20"/>
                <w:color w:val="auto"/>
              </w:rPr>
            </w:pPr>
            <w:r>
              <w:rPr>
                <w:rFonts w:ascii="Arial" w:cs="Arial" w:eastAsia="Arial" w:hAnsi="Arial"/>
                <w:sz w:val="18"/>
                <w:szCs w:val="18"/>
                <w:color w:val="auto"/>
                <w:w w:val="92"/>
              </w:rPr>
              <w:t>Senior Vice President, Controller and Chief Accounting Officer</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6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Ryan H. Siurek</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/s/ Susan L. Decker</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Susan L. Decker</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0"/>
              </w:rPr>
              <w:t>/s/ Roland A. Hernandez</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Roland A. Hernandez</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8"/>
              </w:rPr>
              <w:t>/s/ John T. Redmond</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John T. Redmond</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/s/ Michele Romanow</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Michele Romanow</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/s/ Hilary A. Schneider</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3"/>
              </w:rPr>
              <w:t>Hilary A. Schneider</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/s/ D. Bruce Sewell</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2"/>
              </w:rPr>
              <w:t>D. Bruce Sewell</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7"/>
              </w:rPr>
              <w:t>/s/ John F. Sorte</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86"/>
              </w:rPr>
              <w:t>John F. Sorte</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/s/ Peter A. Vaughn</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89"/>
              </w:rPr>
              <w:t>Peter A. Vaughn</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6"/>
        </w:trPr>
        <w:tc>
          <w:tcPr>
            <w:tcW w:w="4300" w:type="dxa"/>
            <w:vAlign w:val="bottom"/>
          </w:tcPr>
          <w:p>
            <w:pPr>
              <w:spacing w:after="0"/>
              <w:rPr>
                <w:sz w:val="24"/>
                <w:szCs w:val="24"/>
                <w:color w:val="auto"/>
              </w:rPr>
            </w:pPr>
          </w:p>
        </w:tc>
        <w:tc>
          <w:tcPr>
            <w:tcW w:w="6440" w:type="dxa"/>
            <w:vAlign w:val="bottom"/>
          </w:tcPr>
          <w:p>
            <w:pPr>
              <w:jc w:val="right"/>
              <w:ind w:right="515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ectPr>
          <w:pgSz w:w="11900" w:h="16838" w:orient="portrait"/>
          <w:cols w:equalWidth="0" w:num="1">
            <w:col w:w="10740"/>
          </w:cols>
          <w:pgMar w:left="580" w:top="1440" w:right="579" w:bottom="1440" w:gutter="0" w:footer="0" w:header="0"/>
        </w:sectPr>
      </w:pPr>
    </w:p>
    <w:bookmarkStart w:id="107" w:name="page108"/>
    <w:bookmarkEnd w:id="107"/>
    <w:p>
      <w:pPr>
        <w:ind w:left="10620"/>
        <w:spacing w:after="0"/>
        <w:rPr>
          <w:sz w:val="20"/>
          <w:szCs w:val="20"/>
          <w:color w:val="auto"/>
        </w:rPr>
      </w:pPr>
      <w:r>
        <w:rPr>
          <w:rFonts w:ascii="Arial" w:cs="Arial" w:eastAsia="Arial" w:hAnsi="Arial"/>
          <w:sz w:val="17"/>
          <w:szCs w:val="17"/>
          <w:b w:val="1"/>
          <w:bCs w:val="1"/>
          <w:color w:val="auto"/>
        </w:rPr>
        <w:t>Exhibit 21</w:t>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xml:space="preserve">SUBSIDIARIES </w:t>
      </w:r>
      <w:r>
        <w:rPr>
          <w:rFonts w:ascii="Arial" w:cs="Arial" w:eastAsia="Arial" w:hAnsi="Arial"/>
          <w:sz w:val="28"/>
          <w:szCs w:val="28"/>
          <w:b w:val="1"/>
          <w:bCs w:val="1"/>
          <w:color w:val="auto"/>
          <w:vertAlign w:val="superscript"/>
        </w:rPr>
        <w:t>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VAIL RESORTS, INC</w:t>
      </w:r>
      <w:r>
        <w:rPr>
          <w:rFonts w:ascii="Arial" w:cs="Arial" w:eastAsia="Arial" w:hAnsi="Arial"/>
          <w:sz w:val="22"/>
          <w:szCs w:val="22"/>
          <w:color w:val="auto"/>
        </w:rPr>
        <w: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80" w:type="dxa"/>
            <w:vAlign w:val="bottom"/>
            <w:tcBorders>
              <w:top w:val="single" w:sz="8" w:color="auto"/>
              <w:left w:val="single" w:sz="8" w:color="auto"/>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STATE OF</w:t>
            </w:r>
          </w:p>
        </w:tc>
        <w:tc>
          <w:tcPr>
            <w:tcW w:w="4780" w:type="dxa"/>
            <w:vAlign w:val="bottom"/>
            <w:tcBorders>
              <w:top w:val="single" w:sz="8" w:color="auto"/>
              <w:right w:val="single" w:sz="8" w:color="auto"/>
            </w:tcBorders>
          </w:tcPr>
          <w:p>
            <w:pPr>
              <w:spacing w:after="0"/>
              <w:rPr>
                <w:sz w:val="20"/>
                <w:szCs w:val="20"/>
                <w:color w:val="auto"/>
              </w:rPr>
            </w:pP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INCORPORATION/</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DOING BUSINESS AS</w:t>
            </w:r>
          </w:p>
        </w:tc>
      </w:tr>
      <w:tr>
        <w:trPr>
          <w:trHeight w:val="234"/>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FORMATION</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1016563 B.C.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1089881 B.C.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 CIMARRON,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AFFINITY SNOWSPORTS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MEDIA ASSOCIATES,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NEWS CORPORATION</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NEWS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MEDIA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AQUIA PTY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ARRABELLE AT VAIL SQUARE,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AUSTRALIAN ALPINE ENTERPRISES PTY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AUSTRALIAN ALPINE RESERVATION CENTRES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PTY LTD</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AVON PARTNERS II LIMITED LIABILITY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BCRP,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BEAVER CREEK ASSOCIATES,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BEANO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HAY MEADOW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LATIGO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MCCOY PARK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 TAIL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SPRUCE SADDLE RESTAURANT</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STRAWBERRY PARK AT BEAVER CREEK</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BEAVER CREEK CONSULTANTS,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BEAVER CREEK FOOD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BACHELOR GULCH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BEANO’S CABIN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CREPES AND COOKIES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CANDY CABIN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GUNDER’S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TALONS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BLACK DIAMOND INSURANCE,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Arizona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BLACKCOMB MOUNTAIN DEVELOPMENT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BLACKCOMB SKIING ENTERPRISES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PARTNERSHIP</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BLACKCOMB SKIING ENTERPRISES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BOOTH CREEK SKI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BRECKENRIDGE RESORT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RESORT PROPERTIES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RESORTS PROPERTY MANAGEMENT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BRECKENRIDGE TERRACE,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CB COMMERCIAL PROPERTIES,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634" w:right="219" w:bottom="1440" w:gutter="0" w:footer="0" w:header="0"/>
        </w:sectPr>
      </w:pPr>
    </w:p>
    <w:bookmarkStart w:id="108" w:name="page109"/>
    <w:bookmarkEnd w:id="1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COLORADO MOUNTAIN EXPRESS, INC. (dba EPIC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CME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MOUNTAIN EXPRESS, INC.)</w:t>
            </w: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CMECOUPONS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CMECOUPONS.COM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CME DESTINATIONS WEST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CME PARTNERS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CME PREMIER COLORADO MOUNTAIN EXPRESS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DESTINATIONS WEST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PREMIER VIP TRANSPORTATION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RESORT EXPRESS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ART GUIDE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DINING GUIDE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SKIER'S CONNECTION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TRANSPORTATION MANAGEMENT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SYSTEMS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WHEELS OF FORTUNE</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COLTER BAY CAFÉ COURT,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COLTER BAY CONVENIENCE STORE,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COLTER BAY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COLTER BAY GENERAL STORE,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COLTER BAY MARINA,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CRANKWORX EVENTS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CRESTED BUTTE,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CBMR PROPERTIES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CBMR SKI AND RIDE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SKI AREA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SKI RENTAL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VACATIONS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STORE – CBMR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HALL OF FAME BAR &amp;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ICE BAR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KIDS WORLD – CBMR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OUTPOST CBMR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PARADISE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RESORT COMMUNICATIONS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RUSTICA CBMR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TRACKERS – CBMR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WOODSTONE GRILLE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CAMP CB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CB CONFERENCE SERVICES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CBMR LIFT TICKETS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GRAND LODGE HOTEL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GRAND LODGE RETAIL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JEFE’S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LODGE AT MOUNTAINEER SQUARE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LOGO’D AT CB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TEN PEAKS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THIN AIR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TREASURY CENTER RENTALS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WHITE ROOM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CB MOUNTAIN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ULEY’S CABIN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ADVENTURES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CBMR WHOLESALE DEPARTMENT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WHOLESALE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CRESTED BUTTE TRAVEL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COAL BREAKERS – CRESTED BUTTE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ELEVATION RETAIL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ATMOSPHERE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BUTTE 66</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BUTTE 66 BBQ ROADHOUSE</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CRYSTAL PEAK LODGE OF BRECKENRIDGE,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CRYSTAL PEAK LODGE</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DTPC,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DT PARK CITY HOTEL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INTELLIGENTSIA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ROOTS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VERTICAL LOUNGE</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YARROW HOTEL</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EPICSKI,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Montana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EVER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FIRST CHAIR HOUSING TRUSTEE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FLAGG RANCH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FOREST RIDGE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GARIBALDI LIFTS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GILLETT BROADCASTING,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GORE CREEK PLACE,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GRAND TETON LODGE COMPANY</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top w:val="single" w:sz="8" w:color="auto"/>
              <w:right w:val="single" w:sz="8" w:color="auto"/>
            </w:tcBorders>
          </w:tcPr>
          <w:p>
            <w:pPr>
              <w:spacing w:after="0"/>
              <w:rPr>
                <w:sz w:val="22"/>
                <w:szCs w:val="22"/>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GREATER PARK CITY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Utah</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GREATER PARK CITY CORPORATION</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MOUNTAIN RESORT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GREATER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GROS VENTRE UTILITY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HEAVENLY VALLEY, LIMITED PARTNERSHIP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BUB'S PUB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EXPEDITION KIRKWOOD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HEAVENLY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CENTRAL RESERVATIONS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GENERAL STORE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INN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MOUNTAIN OUTFITTERS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SERVICE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SKI AND SUMMER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SKI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MONTE WOLFS MOUNTAIN KITCHEN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 THE WALL BAR AND GRILL</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TIMBER CREEK</w:t>
            </w:r>
          </w:p>
        </w:tc>
      </w:tr>
      <w:tr>
        <w:trPr>
          <w:trHeight w:val="24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HPK,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HUNKIDORI LAND COMPANY,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HVLP KIRKWOOD SERVICES,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JACKSON HOLE GOLF AND TENNIS CLUB,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JACKSON HOLE GOLF AND TENNIS CLUB SNACK</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SHACK, LLC</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JACKSON LAKE LODGE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JENNY LAKE LODGE,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JENNY LAKE STORE,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JHL&amp;S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 CONFERENCE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 DEVELOPMENT SALES,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 FOOD AND BEVERAGE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9280'</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ALPENTOP DELI</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DERCUM SQUARE ICE RINK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CORPORATE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CORPORATION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LODGE &amp; SPA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MINER’S CART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ONE SKI HILL PLACE</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PIONEER CROSSING</w:t>
            </w:r>
          </w:p>
        </w:tc>
      </w:tr>
      <w:tr>
        <w:trPr>
          <w:trHeight w:val="24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 FOOD AND BEVERAGE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SNOW DRIFTER</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(Continued)</w:t>
            </w: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CROW'S NEST</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OVERLOOK</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 RESORT PROPERTY MANAGEMENT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CENTRAL RESERVATIONS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MOUNTAIN RESERVATIONS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PROPERTY MANAGEMENT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KEYSTONE/INTRAWEST,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REAL ESTATE DEVELOPMENTS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KEYSTONE/INTRAWEST REAL ESTATE, LLC</w:t>
            </w:r>
          </w:p>
        </w:tc>
        <w:tc>
          <w:tcPr>
            <w:tcW w:w="228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top w:val="single" w:sz="8" w:color="auto"/>
              <w:right w:val="single" w:sz="8" w:color="auto"/>
            </w:tcBorders>
          </w:tcPr>
          <w:p>
            <w:pPr>
              <w:spacing w:after="0"/>
              <w:rPr>
                <w:sz w:val="22"/>
                <w:szCs w:val="22"/>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 POSADA BEVERAGE SERVICE, LLC</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LAKE TAHOE LODGING COMPANY</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ACCOMMODATION STATION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TAHOE LODGING</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ZALANTA</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LARKSPUR RESTAURANT &amp; BAR, LLC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LODGE PROPERTIES,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LODGE AT VAIL</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LODGE REALTY,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MHSC DP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MHSC HOTELS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MHSC PROPERTIES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MHSC TRANSPORTATION SERVICES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MOUNT HOTHAM MANAGEMENT AND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RESERVATION PTY LTD</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MOUNT HOTHAM SKIING COMPANY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MOUNTAIN NEWS GMBH</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Germany</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MOUNTAIN THUNDER,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MT CB REAL ESTATE, LLC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PARK HOSPITALITY COMPANY</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NORTHSTAR GROUP COMMERCIAL PROPERTIES,</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LLC</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NORTHSTAR GROUP RESTAURANT PROPERTIES,</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LLC</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OKEMO LIMITED LIABILITY COMPANY</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CAMP GOKEMO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JACKSON COUNTRY CLUB AT 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JACKSON GORE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JACKSON GORE AT 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JACKSON GORE COUNTRY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ENGLAND’S SKI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HEALTH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LODGE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LODGING BUREAU</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LODGING 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RENTAL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RESERVATION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RESORT PROPERTIES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MOUNTAIN SKI RENTAL AND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REPAIR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RENTAL 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SKI AND RIDE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SPA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SPORTS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VALLEY GOLF ACADEMY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VALLEY GOLF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VALLEY GOLF COURSE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OKEMO VALLEY NORDIC CENTER SNOW STARS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SNOW TRACKS LEARNING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SOLITUDE VILLAGE SPORTS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GOLF ACADEMY AT 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ICE 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MEETING 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OKEMO VALLEY GOLF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SPA AT 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SPORTS CENTER AT OKEMO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SPRING 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VILLAGE AT JACKSON GORE</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WOMEN’S SKI SPREE</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OKEMO MOUNTAIN FOOD AND BEVERAGE,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EPIC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JACKSON GORE INN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SIENA AT JACKSON GORE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SKY BAR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SMOKEY JOE’S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COLEMAN BROOK TAVERN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CORNER STORE AT JACKSON GORE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INN AT JACKSON GORE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SITTING BULL LOUNGE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VERMONT PIZZA AT OKEMO</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WILLIE DUNN’S GRILLE</w:t>
            </w:r>
          </w:p>
        </w:tc>
      </w:tr>
      <w:tr>
        <w:trPr>
          <w:trHeight w:val="24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ONE RIVER RUN,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ONE SKI HILL PLACE,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PARK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PEAK TO CREEK HOLDINGS CORP.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PEAK TO CREEK LODGING COMPANY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LODGING OVATIONS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3" w:name="page114"/>
    <w:bookmarkEnd w:id="1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PERISHER BLUE PTY LIMITED</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780" w:type="dxa"/>
            <w:vAlign w:val="bottom"/>
            <w:tcBorders>
              <w:top w:val="single" w:sz="8" w:color="auto"/>
              <w:right w:val="single" w:sz="8" w:color="auto"/>
            </w:tcBorders>
          </w:tcPr>
          <w:p>
            <w:pPr>
              <w:spacing w:after="0"/>
              <w:rPr>
                <w:sz w:val="22"/>
                <w:szCs w:val="22"/>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PROPERTY MANAGEMENT ACQUISITION CORP.,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Tennessee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RESORT LODGING</w:t>
            </w: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RCR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RESIDENCES, LLC</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ARRABELLE,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ROCKRESORTS CORDILLERA LODGE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19"/>
                <w:szCs w:val="19"/>
                <w:color w:val="auto"/>
              </w:rPr>
            </w:pP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LLC</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COSTA RICA S.R.L.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Costa Rica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DR,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EQUINOX,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HOTEL JEROME,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INTERNATIONAL,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INTERNATIONAL MANAGEMENT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ROCKRESORTS INTERNATIONAL</w:t>
            </w:r>
          </w:p>
        </w:tc>
      </w:tr>
      <w:tr>
        <w:trPr>
          <w:trHeight w:val="230"/>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MANAGEMENT COMPANY, LLC</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JAMAICA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Jamaica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SKI TIP,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(ST. LUCIA)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St. Lucia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THIRD TURTLE,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Turks &amp; Caicos Islands</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WYOMING,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ROCKRESORTS,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SKIINFO AS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SKIINFO.FR S.A.R.L.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SKIINFO S.R.O.</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SLIFER SMITH &amp; FRAMPTON/VAIL ASSOCIATES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SLIFER, SMITH &amp; FRAMPTON REAL</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REAL ESTATE, LLC</w:t>
            </w: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ESTATE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ASSOCIATES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ASSOCIATES LLC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LIONSHEAD REAL ESTATE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BROKERS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VAIL-LIONSHEAD REAL ESTATE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BROKERS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VAIL-LIONSHEAD REAL ESTATE CO.</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SOHO DEVELOPMENT,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SSI VENTURE, LLC</w:t>
            </w:r>
          </w:p>
        </w:tc>
        <w:tc>
          <w:tcPr>
            <w:tcW w:w="228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MOUNTAIN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ALTERNATIVE EDGE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MOUNTAIN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ASPEN SPORTS AT SNOWMASS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ASPEN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FLY FISHER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BICYCLE VILLAGE OF COLORADO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BOARDER CROSS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BOARDER CROSSING</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BOARDER X-ING</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BOOTSIE LACY B LLC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BOULDER SKI AND BIKE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BOULDER SKI AND BIKE DEALS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BOULDER SKI DEALS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BREEZE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BREEZE SKI RENTALS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BREEZE SKI &amp; SPORT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BUTTERBOX</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BUYSKIS.COM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COLORADO SKI AND BIKE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COLORADO SKI &amp; GOLF</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COLORADO SNOWBOARDS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COPPER MOUNTAIN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COPPER VILLAGE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DEPOT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DEPOT SKI RENTALS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EFLIN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EPIC MOUNTAIN GEAR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FRISCO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GONDOLA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GORE CREEK FLY FISHERMAN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GRAND WEST OUTFITTERS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HAPPY THOUGHTS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HEAVENLY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HOIGAARD’S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KIRKWOOD MOUNTAIN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LIONSHEAD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MAX SNOWBOARD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MINE CHILDREN’S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ADVENTURE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BASICS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SPORTS OUTLET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MOUNTAINSPORT TELLURIDE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NORTHSTAR LOGO</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NORTHSTAR SPORTS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ONE TRACK MIND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SSI VENTURE, LLC (continued)</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PARK CITY MOUNTAIN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PEAK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RENTBOARDS.COM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RENTSKIS.COM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RENTSKIS GOLD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RIVER RUN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EYES AND TEES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EYES AND 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EYEWEAR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EYEWEAR LTD.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SAN MIGUEL ANGLERS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SKI DEPOT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SKI DEPOT RENTALS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SKI DEPOT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SNOWMASS SPORT STALKER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SPECIALTY SPORTS NETWORK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SPECIALTY SPORTS VENTURE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STEAMBOAT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TAYLOR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TAYLOR CREEK ANGLING SERVICES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TAYLOR CREEK FLY SHOPS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TAYLOR CREEK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TELLURIDE ADVENTURES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TELLURIDE MOUNTAIN BIKE HEADQUARTERS LLC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TELLURIDE MOUNTAINCRAFT LLC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TELLURIDE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TEN MILE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BOARDING 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DEPOT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SKI DOCTOR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TRUE NORTH</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FISHING GUIDES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FLY-FISHING</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FLY-FISHING OUTFITTERS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RESORTS RETAIL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WINTER PARK SKI RENTALS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WINTER PARK SKI SWAP</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SSV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NEVE SPORTS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SSV ONLINE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Wisconsin</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OUTDOOR OUTLET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SSV ONLINE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STAGECOACH DEVELOPMENT,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STAMPEDE CANTEEN,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SUMMIT SKI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TCRM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TENDERFOOT SEASONAL HOUSING,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TETON HOSPITALITY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CANYONS GOLF CLUB,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CHALETS AT THE LODGE AT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LODGE AT VAIL CHALETS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6" w:name="page117"/>
    <w:bookmarkEnd w:id="1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SUNAPEE DIFFERENCE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Hampshire</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SUNAPEE CUTTING EDGE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LEARNING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CUTTING EDGE SKI</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LODGING BUREAU</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LODGING 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NEW HAMPSHIRE’S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RENTAL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RESERVATION BUREAU MOUNT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SUNAPEE RESERVATION 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SKI AND SNOWBOARD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SKI AREA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SKI RENTALS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SKI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 SUNAPEE SNOWSPORTS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HAMPSHIRE’S BEST CORDUROY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SNOW PROS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VILLAGE AT MOUNT SUNAPEE</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WHISK AROUND THE MOUNTAIN</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VAIL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ARROWHEAD ALPINE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ASPEN GROVE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AVAIL ADVENTURE OUTFITTERS, LTD.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BACHELOR GULCH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BACHELOR GULCH</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PASSPORT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PRATER LANE PLAY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 SKY GOLF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 SKY GOLF CLUB GUEST CLUBHOUSE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PRO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 SKY GOLF CLUB MEMBER PRO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ARRABELLE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OSPREY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PASSPORT CLUBHOUSE AT GOLDEN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PEAK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YOUNGER GENERATION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TV8</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ASSOCIATES, INC.</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CONSULTANTS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 HIKING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RESORTS MANAGEMENT COMPANY</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SNOWBOARD SUPPLY</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VILLAGE AT BRECKENRIDGE ACQUISITION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Tennessee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MOUNTAIN LODGE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CORP., INC.</w:t>
            </w: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MAGGIE CAFETERIA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MOUNTAIN THUNDER PROPERTY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MANAGEMENT 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RESORT LODGING</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VILLAGE AT BRECKENRIDGE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VILLAGE AT BRECKENRIDGE RESORT</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VILLAGE PUB</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TRIMONT LAND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NORTHSTAR AT TAHOE RESORT</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NORTHSTAR CALIFORNIA</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7" w:name="page118"/>
    <w:bookmarkEnd w:id="1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TRIPLE PEAKS,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top w:val="single" w:sz="8" w:color="auto"/>
              <w:right w:val="single" w:sz="8" w:color="auto"/>
            </w:tcBorders>
          </w:tcPr>
          <w:p>
            <w:pPr>
              <w:spacing w:after="0"/>
              <w:rPr>
                <w:sz w:val="22"/>
                <w:szCs w:val="22"/>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 RANCHO MIRAGE 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 RANCHO MIRAGE II,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 RANCHO MIRAGE RESORT,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ASSOCIATES HOLDINGS,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ASSOCIATES INVESTMENTS,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WARREN LAKES VENTURE, LTD.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ASSOCIATES REAL ESTATE,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FOOD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BISTRO 14</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EXTRA EXTRA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FOX HOLLOW GOLF COURSE CLUBHOUSE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PEAK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PEAK RESTAURANT AND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CANTINA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THE DOG HAUS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ONE ELK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RIPPEROO’S CORNER CAFÉ</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SALSA'S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LIONS DEN BAR &amp;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TWO ELK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 DINING 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WAFFLE WAY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WILDWOOD EXPRESS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WILDWOOD SMOKEHOUSE</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HOLDINGS FINANCE B.V.</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8" w:name="page119"/>
    <w:bookmarkEnd w:id="1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HOLDINGS, INC.</w:t>
            </w:r>
          </w:p>
        </w:tc>
        <w:tc>
          <w:tcPr>
            <w:tcW w:w="228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APRÉS LOUNGE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AVON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AVON-VAIL 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ADVERTISING AGENCY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EQUESTRIAN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GOLF AND TENNIS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GOLF CLUB BAR &amp; GRILL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GOLF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GUIDES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JEEP GUIDES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PATROL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RENTAL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REPAIR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SCHOOL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SERVICE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SKI SHOPS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SPORTING GOODS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SPORT SHOP</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TENNIS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VACATION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EAGLE RESIDENCES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GAME CREEK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LODGE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PLAZA LODGE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ENCLAVE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INN AT BEAVER CREEK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TRAIL'S END BAR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ASSOCIATES DEVELOPMENT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CORPORATION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VAIL/BEAVER CREEK CENTRAL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RESERVATIONS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VAIL-BEAVER CREEK 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BEAVER CREEK REAL ESTATE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 CLUB</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MOUNTAIN RESORT AND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CONFERENCE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PRODUCTIONS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WILDWOOD SHELTER</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HOTEL MANAGEMENT COMPANY, LLC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RESORTS DEVELOPMENT COMPANY</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ASSOCIATES REAL ESTATE GROUP</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RESORTS LODGING COMPANY</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RENTAL MANAGEMENT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RESORTS HOSPITALITY</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RR,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SUMMIT RESORTS, INC.</w:t>
            </w:r>
          </w:p>
        </w:tc>
        <w:tc>
          <w:tcPr>
            <w:tcW w:w="228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VILLAGE TRAVEL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HOSPITALITY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LODGING &amp; HOSPITALITY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PROPERTY MANAGEMENT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SKI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BRECKENRIDGE SKI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CORPORATION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COLORADO VACATIONS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KEYSTONE CONFERENCE CENTER KEYSTONE LODGE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&amp; SPA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LODGING AND HOSPITALITY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STABLES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KEYSTONE TRAVEL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RESERVATIONS FOR THE SUMMIT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RESERVATIONS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RESORTVACATIONS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ROCKY MOUNTAIN SKI CONSOLIDATORS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VAIL/BEAVER CREEK CENTRAL</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RESERVATIONS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VAIL/BEAVER CREEK RESERVATIONS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VAIL/BEAVER CREEK TRAVEL</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 TRADEMARKS,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RESORTS TRADEMARKS</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VAIL/ARROWHEAD,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VAIL/BEAVER CREEK RESORT PROPERTIES,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ARROWHEAD PROPERTY MANAGEMENT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BACHELOR GULCH PROPERTY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MANAGEMENT COMPANY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RESORT PROPERTIES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BEAVER CREEK TENNIS CENTER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TRAPPER'S CABIN</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VAIL PROPERTY MANAGEMENT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VAMHC, INC.</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Colorado</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ACQUISITION, INC.</w:t>
            </w:r>
          </w:p>
        </w:tc>
        <w:tc>
          <w:tcPr>
            <w:tcW w:w="22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California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AUSTRALIA HOLDINGS PTY LTD</w:t>
            </w:r>
          </w:p>
        </w:tc>
        <w:tc>
          <w:tcPr>
            <w:tcW w:w="2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Australia</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CPC HOLDINGS, INC.</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CANYONS GOLF COURSE BEVERAGE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CARTS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CANYONS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COBRA DOG SHACK</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KRISTI’S COFFEE CAFÉ</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LEGACY LODGE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LEGACY SPORTS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LEGENDS AT THE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MID MOUNTAIN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MINER'S CAMP RESTAURANT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MOUNTAIN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MOUNTAIN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RESORT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SNOW HUT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SUMMIT HOUSE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CANYONS</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 CITY RESORT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CPC SERVICES, LLC</w:t>
            </w:r>
          </w:p>
        </w:tc>
        <w:tc>
          <w:tcPr>
            <w:tcW w:w="22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Delaware</w:t>
            </w:r>
          </w:p>
        </w:tc>
        <w:tc>
          <w:tcPr>
            <w:tcW w:w="4780" w:type="dxa"/>
            <w:vAlign w:val="bottom"/>
            <w:tcBorders>
              <w:right w:val="single" w:sz="8" w:color="auto"/>
            </w:tcBorders>
          </w:tcPr>
          <w:p>
            <w:pPr>
              <w:spacing w:after="0"/>
              <w:rPr>
                <w:sz w:val="20"/>
                <w:szCs w:val="20"/>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20" w:name="page121"/>
    <w:bookmarkEnd w:id="1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HEAVENLY CONCESSIONS,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47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HEAVENLY 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HEAVENLY II,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2" w:lineRule="exact"/>
              <w:rPr>
                <w:sz w:val="20"/>
                <w:szCs w:val="20"/>
                <w:color w:val="auto"/>
              </w:rPr>
            </w:pPr>
            <w:r>
              <w:rPr>
                <w:rFonts w:ascii="Arial" w:cs="Arial" w:eastAsia="Arial" w:hAnsi="Arial"/>
                <w:sz w:val="22"/>
                <w:szCs w:val="22"/>
                <w:color w:val="auto"/>
              </w:rPr>
              <w:t>JACKSON COUNTRY CLUB</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AT OKEMO MOUNTAIN</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40"/>
              <w:spacing w:after="0" w:line="243" w:lineRule="exact"/>
              <w:rPr>
                <w:sz w:val="20"/>
                <w:szCs w:val="20"/>
                <w:color w:val="auto"/>
              </w:rPr>
            </w:pPr>
            <w:r>
              <w:rPr>
                <w:rFonts w:ascii="Arial" w:cs="Arial" w:eastAsia="Arial" w:hAnsi="Arial"/>
                <w:sz w:val="22"/>
                <w:szCs w:val="22"/>
                <w:color w:val="auto"/>
              </w:rPr>
              <w:t>RESORT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LODGE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RENTALS</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RESERVATIONS</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VR NE HOLDINGS, LLC</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VACATION CLUB</w:t>
            </w:r>
          </w:p>
        </w:tc>
        <w:tc>
          <w:tcPr>
            <w:tcW w:w="0" w:type="dxa"/>
            <w:vAlign w:val="bottom"/>
          </w:tcPr>
          <w:p>
            <w:pPr>
              <w:spacing w:after="0"/>
              <w:rPr>
                <w:sz w:val="1"/>
                <w:szCs w:val="1"/>
                <w:color w:val="auto"/>
              </w:rPr>
            </w:pPr>
          </w:p>
        </w:tc>
      </w:tr>
      <w:tr>
        <w:trPr>
          <w:trHeight w:val="129"/>
        </w:trPr>
        <w:tc>
          <w:tcPr>
            <w:tcW w:w="4380" w:type="dxa"/>
            <w:vAlign w:val="bottom"/>
            <w:tcBorders>
              <w:left w:val="single" w:sz="8" w:color="auto"/>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47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JACKSON GORE VACATIONS</w:t>
            </w:r>
          </w:p>
        </w:tc>
        <w:tc>
          <w:tcPr>
            <w:tcW w:w="0" w:type="dxa"/>
            <w:vAlign w:val="bottom"/>
          </w:tcPr>
          <w:p>
            <w:pPr>
              <w:spacing w:after="0"/>
              <w:rPr>
                <w:sz w:val="1"/>
                <w:szCs w:val="1"/>
                <w:color w:val="auto"/>
              </w:rPr>
            </w:pPr>
          </w:p>
        </w:tc>
      </w:tr>
      <w:tr>
        <w:trPr>
          <w:trHeight w:val="114"/>
        </w:trPr>
        <w:tc>
          <w:tcPr>
            <w:tcW w:w="438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VILLAGE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VILLAGE LODGING</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40"/>
              <w:spacing w:after="0" w:line="243" w:lineRule="exact"/>
              <w:rPr>
                <w:sz w:val="20"/>
                <w:szCs w:val="20"/>
                <w:color w:val="auto"/>
              </w:rPr>
            </w:pPr>
            <w:r>
              <w:rPr>
                <w:rFonts w:ascii="Arial" w:cs="Arial" w:eastAsia="Arial" w:hAnsi="Arial"/>
                <w:sz w:val="22"/>
                <w:szCs w:val="22"/>
                <w:color w:val="auto"/>
              </w:rPr>
              <w:t>SERVICE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VILLAGE RENTALS</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JACKSON GORE VILLAGE SPORT AND</w:t>
            </w:r>
          </w:p>
        </w:tc>
        <w:tc>
          <w:tcPr>
            <w:tcW w:w="0" w:type="dxa"/>
            <w:vAlign w:val="bottom"/>
          </w:tcPr>
          <w:p>
            <w:pPr>
              <w:spacing w:after="0"/>
              <w:rPr>
                <w:sz w:val="1"/>
                <w:szCs w:val="1"/>
                <w:color w:val="auto"/>
              </w:rPr>
            </w:pPr>
          </w:p>
        </w:tc>
      </w:tr>
      <w:tr>
        <w:trPr>
          <w:trHeight w:val="285"/>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FITNESS CENTER</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NW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2" w:lineRule="exact"/>
              <w:rPr>
                <w:sz w:val="20"/>
                <w:szCs w:val="20"/>
                <w:color w:val="auto"/>
              </w:rPr>
            </w:pPr>
            <w:r>
              <w:rPr>
                <w:rFonts w:ascii="Arial" w:cs="Arial" w:eastAsia="Arial" w:hAnsi="Arial"/>
                <w:sz w:val="22"/>
                <w:szCs w:val="22"/>
                <w:color w:val="auto"/>
              </w:rPr>
              <w:t>AFTON ALPS</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AFTON ALPS RESORT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BRUHN’S</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VR US HOLDINGS, INC.</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MT. BRIGHTON</w:t>
            </w:r>
          </w:p>
        </w:tc>
        <w:tc>
          <w:tcPr>
            <w:tcW w:w="0" w:type="dxa"/>
            <w:vAlign w:val="bottom"/>
          </w:tcPr>
          <w:p>
            <w:pPr>
              <w:spacing w:after="0"/>
              <w:rPr>
                <w:sz w:val="1"/>
                <w:szCs w:val="1"/>
                <w:color w:val="auto"/>
              </w:rPr>
            </w:pPr>
          </w:p>
        </w:tc>
      </w:tr>
      <w:tr>
        <w:trPr>
          <w:trHeight w:val="129"/>
        </w:trPr>
        <w:tc>
          <w:tcPr>
            <w:tcW w:w="4380" w:type="dxa"/>
            <w:vAlign w:val="bottom"/>
            <w:tcBorders>
              <w:left w:val="single" w:sz="8" w:color="auto"/>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47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MT. BRIGHTON RESORT</w:t>
            </w:r>
          </w:p>
        </w:tc>
        <w:tc>
          <w:tcPr>
            <w:tcW w:w="0" w:type="dxa"/>
            <w:vAlign w:val="bottom"/>
          </w:tcPr>
          <w:p>
            <w:pPr>
              <w:spacing w:after="0"/>
              <w:rPr>
                <w:sz w:val="1"/>
                <w:szCs w:val="1"/>
                <w:color w:val="auto"/>
              </w:rPr>
            </w:pPr>
          </w:p>
        </w:tc>
      </w:tr>
      <w:tr>
        <w:trPr>
          <w:trHeight w:val="114"/>
        </w:trPr>
        <w:tc>
          <w:tcPr>
            <w:tcW w:w="438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ONE CREEK MOUNTAIN GRILL</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SKI HILL GRILL</w:t>
            </w:r>
          </w:p>
        </w:tc>
        <w:tc>
          <w:tcPr>
            <w:tcW w:w="0" w:type="dxa"/>
            <w:vAlign w:val="bottom"/>
          </w:tcPr>
          <w:p>
            <w:pPr>
              <w:spacing w:after="0"/>
              <w:rPr>
                <w:sz w:val="1"/>
                <w:szCs w:val="1"/>
                <w:color w:val="auto"/>
              </w:rPr>
            </w:pPr>
          </w:p>
        </w:tc>
      </w:tr>
      <w:tr>
        <w:trPr>
          <w:trHeight w:val="285"/>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THE TRUCK</w:t>
            </w:r>
          </w:p>
        </w:tc>
        <w:tc>
          <w:tcPr>
            <w:tcW w:w="0" w:type="dxa"/>
            <w:vAlign w:val="bottom"/>
          </w:tcPr>
          <w:p>
            <w:pPr>
              <w:spacing w:after="0"/>
              <w:rPr>
                <w:sz w:val="1"/>
                <w:szCs w:val="1"/>
                <w:color w:val="auto"/>
              </w:rPr>
            </w:pPr>
          </w:p>
        </w:tc>
      </w:tr>
      <w:tr>
        <w:trPr>
          <w:trHeight w:val="249"/>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8" w:lineRule="exact"/>
              <w:rPr>
                <w:sz w:val="20"/>
                <w:szCs w:val="20"/>
                <w:color w:val="auto"/>
              </w:rPr>
            </w:pPr>
            <w:r>
              <w:rPr>
                <w:rFonts w:ascii="Arial" w:cs="Arial" w:eastAsia="Arial" w:hAnsi="Arial"/>
                <w:sz w:val="22"/>
                <w:szCs w:val="22"/>
                <w:color w:val="auto"/>
              </w:rPr>
              <w:t>STOWE MOUNTAIN RESORT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ADVENTURE CENTER</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CLIFF HOUSE RESTAURANT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CUBS CHILD CARE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GONDOLA CAFÉ</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LODGE AT MT. MANSFIELD</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LODGE AT STOWE MOUNTAIN RESORT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MIDWAY CAFÉ</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MT. MANSFIELD BASELODGE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MT. MANSFIELD SKI PATROL</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OCTAGON CAFETERIA</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SMUGGLERS DEN</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VR US HOLDINGS II, LLC</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SPRUCE BASE CAMP</w:t>
            </w:r>
          </w:p>
        </w:tc>
        <w:tc>
          <w:tcPr>
            <w:tcW w:w="0" w:type="dxa"/>
            <w:vAlign w:val="bottom"/>
          </w:tcPr>
          <w:p>
            <w:pPr>
              <w:spacing w:after="0"/>
              <w:rPr>
                <w:sz w:val="1"/>
                <w:szCs w:val="1"/>
                <w:color w:val="auto"/>
              </w:rPr>
            </w:pPr>
          </w:p>
        </w:tc>
      </w:tr>
      <w:tr>
        <w:trPr>
          <w:trHeight w:val="129"/>
        </w:trPr>
        <w:tc>
          <w:tcPr>
            <w:tcW w:w="4380" w:type="dxa"/>
            <w:vAlign w:val="bottom"/>
            <w:tcBorders>
              <w:left w:val="single" w:sz="8" w:color="auto"/>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47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SPURCE CAMP BASE LODGE</w:t>
            </w:r>
          </w:p>
        </w:tc>
        <w:tc>
          <w:tcPr>
            <w:tcW w:w="0" w:type="dxa"/>
            <w:vAlign w:val="bottom"/>
          </w:tcPr>
          <w:p>
            <w:pPr>
              <w:spacing w:after="0"/>
              <w:rPr>
                <w:sz w:val="1"/>
                <w:szCs w:val="1"/>
                <w:color w:val="auto"/>
              </w:rPr>
            </w:pPr>
          </w:p>
        </w:tc>
      </w:tr>
      <w:tr>
        <w:trPr>
          <w:trHeight w:val="114"/>
        </w:trPr>
        <w:tc>
          <w:tcPr>
            <w:tcW w:w="438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SPRUCE CAMP</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SPRUCE LODGET AT MT. MANSFIELD</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STOWE ADVENTURE CENTER</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STOWE BASE CAMP</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STOWE CUBS DAYCARE</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CANTEEN RESTAURANT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FIRESIDE TAVERN</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INN AT THE MOUNTAIN</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OCTAGON</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TOLL HOUSE CONFERENCE CENTER</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TREETOP ADVENTURE</w:t>
            </w:r>
          </w:p>
        </w:tc>
        <w:tc>
          <w:tcPr>
            <w:tcW w:w="0" w:type="dxa"/>
            <w:vAlign w:val="bottom"/>
          </w:tcPr>
          <w:p>
            <w:pPr>
              <w:spacing w:after="0"/>
              <w:rPr>
                <w:sz w:val="1"/>
                <w:szCs w:val="1"/>
                <w:color w:val="auto"/>
              </w:rPr>
            </w:pPr>
          </w:p>
        </w:tc>
      </w:tr>
      <w:tr>
        <w:trPr>
          <w:trHeight w:val="285"/>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ZIPTOUR ADVENTURE</w:t>
            </w:r>
          </w:p>
        </w:tc>
        <w:tc>
          <w:tcPr>
            <w:tcW w:w="0" w:type="dxa"/>
            <w:vAlign w:val="bottom"/>
          </w:tcPr>
          <w:p>
            <w:pPr>
              <w:spacing w:after="0"/>
              <w:rPr>
                <w:sz w:val="1"/>
                <w:szCs w:val="1"/>
                <w:color w:val="auto"/>
              </w:rPr>
            </w:pPr>
          </w:p>
        </w:tc>
      </w:tr>
      <w:tr>
        <w:trPr>
          <w:trHeight w:val="291"/>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 WM HOLDINGS, LLC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4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WILMOT MOUNTAIN RESORT</w:t>
            </w: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VRV AUSTRALIA PTY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WB LAND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WB LAND (CREEKSIDE SNOW SCHOOL) INC.</w:t>
            </w:r>
          </w:p>
        </w:tc>
        <w:tc>
          <w:tcPr>
            <w:tcW w:w="228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British Columbia</w:t>
            </w:r>
          </w:p>
        </w:tc>
        <w:tc>
          <w:tcPr>
            <w:tcW w:w="47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WB/T DEVELOPMENT LTD.</w:t>
            </w:r>
          </w:p>
        </w:tc>
        <w:tc>
          <w:tcPr>
            <w:tcW w:w="22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WHISTLER &amp; BLACKCOMB MOUNTAIN RESORTS</w:t>
            </w:r>
          </w:p>
        </w:tc>
        <w:tc>
          <w:tcPr>
            <w:tcW w:w="22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LIMITED</w:t>
            </w:r>
          </w:p>
        </w:tc>
        <w:tc>
          <w:tcPr>
            <w:tcW w:w="2280" w:type="dxa"/>
            <w:vAlign w:val="bottom"/>
            <w:tcBorders>
              <w:right w:val="single" w:sz="8" w:color="auto"/>
            </w:tcBorders>
            <w:vMerge w:val="continue"/>
          </w:tcPr>
          <w:p>
            <w:pPr>
              <w:spacing w:after="0"/>
              <w:rPr>
                <w:sz w:val="10"/>
                <w:szCs w:val="10"/>
                <w:color w:val="auto"/>
              </w:rPr>
            </w:pPr>
          </w:p>
        </w:tc>
        <w:tc>
          <w:tcPr>
            <w:tcW w:w="4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WHISTLER ALPINE CLUB INC.</w:t>
            </w:r>
          </w:p>
        </w:tc>
        <w:tc>
          <w:tcPr>
            <w:tcW w:w="22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BLACKCOMB EMPLOYMENT CORP.</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BLACKCOMB HOLDINGS INC. (f/k/a</w:t>
            </w: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1068877 BC Ltd.)</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WHISTLER/BLACKCOMB MOUNTAIN EMPLOYEE</w:t>
            </w: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HOUSING LTD.</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WHISTLER BLACKCOMB GENERAL PARTNER LTD.</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HELI-SKIING LTD.</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MOUNTAIN RESORT LIMITED</w:t>
            </w: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PARTNERSHIP</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SKI SCHOOL LTD.</w:t>
            </w:r>
          </w:p>
        </w:tc>
        <w:tc>
          <w:tcPr>
            <w:tcW w:w="22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British Columbia</w:t>
            </w:r>
          </w:p>
        </w:tc>
        <w:tc>
          <w:tcPr>
            <w:tcW w:w="4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left w:val="single" w:sz="8" w:color="auto"/>
              <w:right w:val="single" w:sz="8" w:color="auto"/>
            </w:tcBorders>
          </w:tcPr>
          <w:p>
            <w:pPr>
              <w:spacing w:after="0"/>
              <w:rPr>
                <w:sz w:val="2"/>
                <w:szCs w:val="2"/>
                <w:color w:val="auto"/>
              </w:rPr>
            </w:pPr>
          </w:p>
        </w:tc>
        <w:tc>
          <w:tcPr>
            <w:tcW w:w="2280" w:type="dxa"/>
            <w:vAlign w:val="bottom"/>
            <w:tcBorders>
              <w:right w:val="single" w:sz="8" w:color="auto"/>
            </w:tcBorders>
          </w:tcPr>
          <w:p>
            <w:pPr>
              <w:spacing w:after="0"/>
              <w:rPr>
                <w:sz w:val="2"/>
                <w:szCs w:val="2"/>
                <w:color w:val="auto"/>
              </w:rPr>
            </w:pPr>
          </w:p>
        </w:tc>
        <w:tc>
          <w:tcPr>
            <w:tcW w:w="4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only those entities owned 50% or greater.</w:t>
      </w:r>
    </w:p>
    <w:p>
      <w:pPr>
        <w:sectPr>
          <w:pgSz w:w="11900" w:h="16838" w:orient="portrait"/>
          <w:cols w:equalWidth="0" w:num="1">
            <w:col w:w="11440"/>
          </w:cols>
          <w:pgMar w:left="240" w:top="714"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333-145934, 333-169552, and 333-208357) of Vail Resorts, Inc. of our report dated September 26, 2019 relating to the financial statements and the effectiveness of internal control over financial reporting, which appears in this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ectPr>
          <w:pgSz w:w="11900" w:h="16838" w:orient="portrait"/>
          <w:cols w:equalWidth="0" w:num="1">
            <w:col w:w="11420"/>
          </w:cols>
          <w:pgMar w:left="240" w:top="63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64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Annual Report on Form 10-K for the year ended July 31, 2019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amp;"/>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9"/>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2"/>
    </w:lvl>
  </w:abstractNum>
  <w:abstractNum w:abstractNumId="43">
    <w:nsid w:val="180115BE"/>
    <w:multiLevelType w:val="hybridMultilevel"/>
    <w:lvl w:ilvl="0">
      <w:lvlJc w:val="left"/>
      <w:lvlText w:val="%1."/>
      <w:numFmt w:val="decimal"/>
      <w:start w:val="3"/>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lowerLetter"/>
      <w:start w:val="1"/>
    </w:lvl>
  </w:abstractNum>
  <w:abstractNum w:abstractNumId="46">
    <w:nsid w:val="354FE9F9"/>
    <w:multiLevelType w:val="hybridMultilevel"/>
    <w:lvl w:ilvl="0">
      <w:lvlJc w:val="left"/>
      <w:lvlText w:val="(%1)"/>
      <w:numFmt w:val="lowerLetter"/>
      <w:start w:val="2"/>
    </w:lvl>
  </w:abstractNum>
  <w:abstractNum w:abstractNumId="47">
    <w:nsid w:val="15B5AF5C"/>
    <w:multiLevelType w:val="hybridMultilevel"/>
    <w:lvl w:ilvl="0">
      <w:lvlJc w:val="left"/>
      <w:lvlText w:val="(%1)"/>
      <w:numFmt w:val="lowerLetter"/>
      <w:start w:val="4"/>
    </w:lvl>
  </w:abstractNum>
  <w:abstractNum w:abstractNumId="48">
    <w:nsid w:val="741226BB"/>
    <w:multiLevelType w:val="hybridMultilevel"/>
    <w:lvl w:ilvl="0">
      <w:lvlJc w:val="left"/>
      <w:lvlText w:val="(%1)"/>
      <w:numFmt w:val="lowerLetter"/>
      <w:start w:val="5"/>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6"/>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7"/>
    </w:lvl>
  </w:abstractNum>
  <w:abstractNum w:abstractNumId="53">
    <w:nsid w:val="7E0C57B1"/>
    <w:multiLevelType w:val="hybridMultilevel"/>
    <w:lvl w:ilvl="0">
      <w:lvlJc w:val="left"/>
      <w:lvlText w:val="%1."/>
      <w:numFmt w:val="decimal"/>
      <w:start w:val="9"/>
    </w:lvl>
  </w:abstractNum>
  <w:abstractNum w:abstractNumId="54">
    <w:nsid w:val="77AE35EB"/>
    <w:multiLevelType w:val="hybridMultilevel"/>
    <w:lvl w:ilvl="0">
      <w:lvlJc w:val="left"/>
      <w:lvlText w:val="%1."/>
      <w:numFmt w:val="decimal"/>
      <w:start w:val="10"/>
    </w:lvl>
  </w:abstractNum>
  <w:abstractNum w:abstractNumId="55">
    <w:nsid w:val="579BE4F1"/>
    <w:multiLevelType w:val="hybridMultilevel"/>
    <w:lvl w:ilvl="0">
      <w:lvlJc w:val="left"/>
      <w:lvlText w:val="%1."/>
      <w:numFmt w:val="decimal"/>
      <w:start w:val="11"/>
    </w:lvl>
  </w:abstractNum>
  <w:abstractNum w:abstractNumId="56">
    <w:nsid w:val="310C50B3"/>
    <w:multiLevelType w:val="hybridMultilevel"/>
    <w:lvl w:ilvl="0">
      <w:lvlJc w:val="left"/>
      <w:lvlText w:val="%1."/>
      <w:numFmt w:val="decimal"/>
      <w:start w:val="12"/>
    </w:lvl>
  </w:abstractNum>
  <w:abstractNum w:abstractNumId="57">
    <w:nsid w:val="5FF87E05"/>
    <w:multiLevelType w:val="hybridMultilevel"/>
    <w:lvl w:ilvl="0">
      <w:lvlJc w:val="left"/>
      <w:lvlText w:val="%1."/>
      <w:numFmt w:val="decimal"/>
      <w:start w:val="13"/>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decimal"/>
      <w:start w:val="14"/>
    </w:lvl>
  </w:abstractNum>
  <w:abstractNum w:abstractNumId="60">
    <w:nsid w:val="1DBABF00"/>
    <w:multiLevelType w:val="hybridMultilevel"/>
    <w:lvl w:ilvl="0">
      <w:lvlJc w:val="left"/>
      <w:lvlText w:val="%1."/>
      <w:numFmt w:val="decimal"/>
      <w:start w:val="15"/>
    </w:lvl>
  </w:abstractNum>
  <w:abstractNum w:abstractNumId="61">
    <w:nsid w:val="4AD084E9"/>
    <w:multiLevelType w:val="hybridMultilevel"/>
    <w:lvl w:ilvl="0">
      <w:lvlJc w:val="left"/>
      <w:lvlText w:val="%1."/>
      <w:numFmt w:val="decimal"/>
      <w:start w:val="16"/>
    </w:lvl>
  </w:abstractNum>
  <w:abstractNum w:abstractNumId="62">
    <w:nsid w:val="1F48EAA1"/>
    <w:multiLevelType w:val="hybridMultilevel"/>
    <w:lvl w:ilvl="0">
      <w:lvlJc w:val="left"/>
      <w:lvlText w:val="%1."/>
      <w:numFmt w:val="decimal"/>
      <w:start w:val="17"/>
    </w:lvl>
  </w:abstractNum>
  <w:abstractNum w:abstractNumId="63">
    <w:nsid w:val="1381823A"/>
    <w:multiLevelType w:val="hybridMultilevel"/>
    <w:lvl w:ilvl="0">
      <w:lvlJc w:val="left"/>
      <w:lvlText w:val="%1."/>
      <w:numFmt w:val="decimal"/>
      <w:start w:val="18"/>
    </w:lvl>
  </w:abstractNum>
  <w:abstractNum w:abstractNumId="64">
    <w:nsid w:val="5DB70AE5"/>
    <w:multiLevelType w:val="hybridMultilevel"/>
    <w:lvl w:ilvl="0">
      <w:lvlJc w:val="left"/>
      <w:lvlText w:val="%1)"/>
      <w:numFmt w:val="lowerLetter"/>
      <w:start w:val="1"/>
    </w:lvl>
    <w:lvl w:ilvl="1">
      <w:lvlJc w:val="left"/>
      <w:lvlText w:val="(%2)"/>
      <w:numFmt w:val="decimal"/>
      <w:start w:val="1"/>
    </w:lvl>
  </w:abstractNum>
  <w:abstractNum w:abstractNumId="65">
    <w:nsid w:val="100F8FCA"/>
    <w:multiLevelType w:val="hybridMultilevel"/>
    <w:lvl w:ilvl="0">
      <w:lvlJc w:val="left"/>
      <w:lvlText w:val="%1"/>
      <w:numFmt w:val="decimal"/>
      <w:start w:val="21"/>
    </w:lvl>
  </w:abstractNum>
  <w:abstractNum w:abstractNumId="66">
    <w:nsid w:val="6590700B"/>
    <w:multiLevelType w:val="hybridMultilevel"/>
    <w:lvl w:ilvl="0">
      <w:lvlJc w:val="left"/>
      <w:lvlText w:val="%1"/>
      <w:numFmt w:val="decimal"/>
      <w:start w:val="23"/>
    </w:lvl>
  </w:abstractNum>
  <w:abstractNum w:abstractNumId="67">
    <w:nsid w:val="15014ACB"/>
    <w:multiLevelType w:val="hybridMultilevel"/>
    <w:lvl w:ilvl="0">
      <w:lvlJc w:val="left"/>
      <w:lvlText w:val="%1"/>
      <w:numFmt w:val="decimal"/>
      <w:start w:val="32"/>
    </w:lvl>
  </w:abstractNum>
  <w:abstractNum w:abstractNumId="68">
    <w:nsid w:val="5F5E7FD0"/>
    <w:multiLevelType w:val="hybridMultilevel"/>
    <w:lvl w:ilvl="0">
      <w:lvlJc w:val="left"/>
      <w:lvlText w:val="%1"/>
      <w:numFmt w:val="decimal"/>
      <w:start w:val="10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40" Type="http://schemas.openxmlformats.org/officeDocument/2006/relationships/image" Target="media/image29.png"/><Relationship Id="rId43" Type="http://schemas.openxmlformats.org/officeDocument/2006/relationships/image" Target="media/image30.png"/><Relationship Id="rId46" Type="http://schemas.openxmlformats.org/officeDocument/2006/relationships/image" Target="media/image31.png"/><Relationship Id="rId49" Type="http://schemas.openxmlformats.org/officeDocument/2006/relationships/image" Target="media/image32.png"/><Relationship Id="rId52" Type="http://schemas.openxmlformats.org/officeDocument/2006/relationships/image" Target="media/image33.png"/><Relationship Id="rId55" Type="http://schemas.openxmlformats.org/officeDocument/2006/relationships/image" Target="media/image34.png"/><Relationship Id="rId58" Type="http://schemas.openxmlformats.org/officeDocument/2006/relationships/image" Target="media/image35.png"/><Relationship Id="rId61" Type="http://schemas.openxmlformats.org/officeDocument/2006/relationships/image" Target="media/image36.png"/><Relationship Id="rId64" Type="http://schemas.openxmlformats.org/officeDocument/2006/relationships/image" Target="media/image37.png"/><Relationship Id="rId67" Type="http://schemas.openxmlformats.org/officeDocument/2006/relationships/image" Target="media/image38.png"/><Relationship Id="rId70" Type="http://schemas.openxmlformats.org/officeDocument/2006/relationships/image" Target="media/image39.png"/><Relationship Id="rId73" Type="http://schemas.openxmlformats.org/officeDocument/2006/relationships/image" Target="media/image40.png"/><Relationship Id="rId90" Type="http://schemas.openxmlformats.org/officeDocument/2006/relationships/image" Target="media/image41.png"/><Relationship Id="rId93" Type="http://schemas.openxmlformats.org/officeDocument/2006/relationships/image" Target="media/image42.png"/><Relationship Id="rId96" Type="http://schemas.openxmlformats.org/officeDocument/2006/relationships/image" Target="media/image43.png"/><Relationship Id="rId99" Type="http://schemas.openxmlformats.org/officeDocument/2006/relationships/image" Target="media/image44.png"/><Relationship Id="rId102" Type="http://schemas.openxmlformats.org/officeDocument/2006/relationships/image" Target="media/image45.png"/><Relationship Id="rId104" Type="http://schemas.openxmlformats.org/officeDocument/2006/relationships/image" Target="media/image46.png"/><Relationship Id="rId105" Type="http://schemas.openxmlformats.org/officeDocument/2006/relationships/image" Target="media/image47.png"/><Relationship Id="rId106" Type="http://schemas.openxmlformats.org/officeDocument/2006/relationships/image" Target="media/image48.png"/><Relationship Id="rId107" Type="http://schemas.openxmlformats.org/officeDocument/2006/relationships/image" Target="media/image49.png"/><Relationship Id="rId108" Type="http://schemas.openxmlformats.org/officeDocument/2006/relationships/image" Target="media/image50.png"/><Relationship Id="rId109" Type="http://schemas.openxmlformats.org/officeDocument/2006/relationships/image" Target="media/image51.png"/><Relationship Id="rId110" Type="http://schemas.openxmlformats.org/officeDocument/2006/relationships/image" Target="media/image52.png"/><Relationship Id="rId35" Type="http://schemas.openxmlformats.org/officeDocument/2006/relationships/hyperlink" Target="http://www.sec.gov/Archives/edgar/data/812011/000110465913045415/a13-13329_1ex2d1.htm" TargetMode="External"/><Relationship Id="rId36" Type="http://schemas.openxmlformats.org/officeDocument/2006/relationships/hyperlink" Target="http://www.sec.gov/Archives/edgar/data/812011/000081201114000028/exhibit212015-q1.htm" TargetMode="External"/><Relationship Id="rId38" Type="http://schemas.openxmlformats.org/officeDocument/2006/relationships/hyperlink" Target="http://www.sec.gov/Archives/edgar/data/812011/000081201116000098/exhibit21-arrangementagree.htm" TargetMode="External"/><Relationship Id="rId39" Type="http://schemas.openxmlformats.org/officeDocument/2006/relationships/hyperlink" Target="http://www.sec.gov/Archives/edgar/data/812011/000081201119000043/mergeragreement.htm" TargetMode="External"/><Relationship Id="rId41" Type="http://schemas.openxmlformats.org/officeDocument/2006/relationships/hyperlink" Target="http://www.sec.gov/Archives/edgar/data/812011/000081201105000010/exhibit3.htm" TargetMode="External"/><Relationship Id="rId42" Type="http://schemas.openxmlformats.org/officeDocument/2006/relationships/hyperlink" Target="http://www.sec.gov/Archives/edgar/data/812011/000110465911068271/a11-31184_1ex3d1.htm" TargetMode="External"/><Relationship Id="rId44" Type="http://schemas.openxmlformats.org/officeDocument/2006/relationships/hyperlink" Target="http://www.sec.gov/Archives/edgar/data/812011/000110465916150413/a16-20037_1ex3d1.htm" TargetMode="External"/><Relationship Id="rId45" Type="http://schemas.openxmlformats.org/officeDocument/2006/relationships/hyperlink" Target="http://www.sec.gov/Archives/edgar/data/812011/000110465911068271/a11-31184_1ex3d2.htm" TargetMode="External"/><Relationship Id="rId47" Type="http://schemas.openxmlformats.org/officeDocument/2006/relationships/hyperlink" Target="http://www.sec.gov/Archives/edgar/data/812011/000081201117000079/ex1012017-q4.htm" TargetMode="External"/><Relationship Id="rId48" Type="http://schemas.openxmlformats.org/officeDocument/2006/relationships/hyperlink" Target="http://www.sec.gov/Archives/edgar/data/812011/000081201102000023/exhibit992a.htm" TargetMode="External"/><Relationship Id="rId50" Type="http://schemas.openxmlformats.org/officeDocument/2006/relationships/hyperlink" Target="http://www.sec.gov/Archives/edgar/data/812011/000081201102000023/exhibit992b.htm" TargetMode="External"/><Relationship Id="rId51" Type="http://schemas.openxmlformats.org/officeDocument/2006/relationships/hyperlink" Target="http://www.sec.gov/Archives/edgar/data/812011/000081201105000035/exhibit103c.htm" TargetMode="External"/><Relationship Id="rId53" Type="http://schemas.openxmlformats.org/officeDocument/2006/relationships/hyperlink" Target="http://www.sec.gov/Archives/edgar/data/812011/000081201105000035/exhibit103d.htm" TargetMode="External"/><Relationship Id="rId54" Type="http://schemas.openxmlformats.org/officeDocument/2006/relationships/hyperlink" Target="http://www.sec.gov/Archives/edgar/data/812011/000081201105000035/exhibit103e.htm" TargetMode="External"/><Relationship Id="rId56" Type="http://schemas.openxmlformats.org/officeDocument/2006/relationships/hyperlink" Target="http://www.sec.gov/Archives/edgar/data/812011/000081201102000023/exhibit993a.htm" TargetMode="External"/><Relationship Id="rId57" Type="http://schemas.openxmlformats.org/officeDocument/2006/relationships/hyperlink" Target="http://www.sec.gov/Archives/edgar/data/812011/000081201102000023/exhibit993b.htm" TargetMode="External"/><Relationship Id="rId59" Type="http://schemas.openxmlformats.org/officeDocument/2006/relationships/hyperlink" Target="http://www.sec.gov/Archives/edgar/data/812011/000081201105000035/exhibit104c.htm" TargetMode="External"/><Relationship Id="rId60" Type="http://schemas.openxmlformats.org/officeDocument/2006/relationships/hyperlink" Target="http://www.sec.gov/Archives/edgar/data/812011/000081201105000035/exhibit104d.htm" TargetMode="External"/><Relationship Id="rId62" Type="http://schemas.openxmlformats.org/officeDocument/2006/relationships/hyperlink" Target="http://www.sec.gov/Archives/edgar/data/812011/000081201105000035/exhibit104e.htm" TargetMode="External"/><Relationship Id="rId63" Type="http://schemas.openxmlformats.org/officeDocument/2006/relationships/hyperlink" Target="http://www.sec.gov/Archives/edgar/data/812011/000081201106000008/exhibit104f.htm" TargetMode="External"/><Relationship Id="rId65" Type="http://schemas.openxmlformats.org/officeDocument/2006/relationships/hyperlink" Target="http://www.sec.gov/Archives/edgar/data/812011/000081201102000023/exhibit994a.htm" TargetMode="External"/><Relationship Id="rId66" Type="http://schemas.openxmlformats.org/officeDocument/2006/relationships/hyperlink" Target="http://www.sec.gov/Archives/edgar/data/812011/000081201102000023/exhibit994b.htm" TargetMode="External"/><Relationship Id="rId68" Type="http://schemas.openxmlformats.org/officeDocument/2006/relationships/hyperlink" Target="http://www.sec.gov/Archives/edgar/data/812011/000081201105000035/exhibit105c.htm" TargetMode="External"/><Relationship Id="rId69" Type="http://schemas.openxmlformats.org/officeDocument/2006/relationships/hyperlink" Target="http://www.sec.gov/Archives/edgar/data/812011/000081201105000035/exhibit105d.htm" TargetMode="External"/><Relationship Id="rId71" Type="http://schemas.openxmlformats.org/officeDocument/2006/relationships/hyperlink" Target="http://www.sec.gov/Archives/edgar/data/812011/000081201105000035/exhibit105e.htm" TargetMode="External"/><Relationship Id="rId72" Type="http://schemas.openxmlformats.org/officeDocument/2006/relationships/hyperlink" Target="http://www.sec.gov/Archives/edgar/data/812011/000081201108000026/exhibit10_4f.htm" TargetMode="External"/><Relationship Id="rId74" Type="http://schemas.openxmlformats.org/officeDocument/2006/relationships/hyperlink" Target="http://www.sec.gov/Archives/edgar/data/812011/000081201102000023/exhibit995a.htm" TargetMode="External"/><Relationship Id="rId75" Type="http://schemas.openxmlformats.org/officeDocument/2006/relationships/hyperlink" Target="http://www.sec.gov/Archives/edgar/data/812011/000081201102000023/exhibit995b.htm" TargetMode="External"/><Relationship Id="rId76" Type="http://schemas.openxmlformats.org/officeDocument/2006/relationships/hyperlink" Target="http://www.sec.gov/Archives/edgar/data/812011/000081201102000023/exhibit995c.htm" TargetMode="External"/><Relationship Id="rId77" Type="http://schemas.openxmlformats.org/officeDocument/2006/relationships/hyperlink" Target="http://www.sec.gov/Archives/edgar/data/812011/000081201105000035/exhibit106d.htm" TargetMode="External"/><Relationship Id="rId78" Type="http://schemas.openxmlformats.org/officeDocument/2006/relationships/hyperlink" Target="http://www.sec.gov/Archives/edgar/data/812011/000081201105000035/exhibit106e.htm" TargetMode="External"/><Relationship Id="rId79" Type="http://schemas.openxmlformats.org/officeDocument/2006/relationships/hyperlink" Target="http://www.sec.gov/Archives/edgar/data/812011/000081201109000036/exhibit99_1.htm" TargetMode="External"/><Relationship Id="rId80" Type="http://schemas.openxmlformats.org/officeDocument/2006/relationships/hyperlink" Target="http://www.sec.gov/Archives/edgar/data/812011/000081201107000054/exhibit10_20.htm" TargetMode="External"/><Relationship Id="rId81" Type="http://schemas.openxmlformats.org/officeDocument/2006/relationships/hyperlink" Target="http://www.sec.gov/Archives/edgar/data/812011/000110465915083185/a15-24404_2ex10d2.htm" TargetMode="External"/><Relationship Id="rId82" Type="http://schemas.openxmlformats.org/officeDocument/2006/relationships/hyperlink" Target="http://www.sec.gov/Archives/edgar/data/812011/000110465915083185/a15-24404_2ex10d3.htm" TargetMode="External"/><Relationship Id="rId83" Type="http://schemas.openxmlformats.org/officeDocument/2006/relationships/hyperlink" Target="http://www.sec.gov/Archives/edgar/data/812011/000081201109000030/exhibit10_22.htm" TargetMode="External"/><Relationship Id="rId84" Type="http://schemas.openxmlformats.org/officeDocument/2006/relationships/hyperlink" Target="http://www.sec.gov/Archives/edgar/data/812011/000081201108000036/exhibit10_1.htm" TargetMode="External"/><Relationship Id="rId85" Type="http://schemas.openxmlformats.org/officeDocument/2006/relationships/hyperlink" Target="http://www.sec.gov/Archives/edgar/data/812011/000081201111000023/exhibit10_1.htm" TargetMode="External"/><Relationship Id="rId86" Type="http://schemas.openxmlformats.org/officeDocument/2006/relationships/hyperlink" Target="http://www.sec.gov/Archives/edgar/data/812011/000081201113000023/exhibit101.htm" TargetMode="External"/><Relationship Id="rId87" Type="http://schemas.openxmlformats.org/officeDocument/2006/relationships/hyperlink" Target="http://www.sec.gov/Archives/edgar/data/812011/000081201108000036/exhibit10_8.htm" TargetMode="External"/><Relationship Id="rId88" Type="http://schemas.openxmlformats.org/officeDocument/2006/relationships/hyperlink" Target="http://www.sec.gov/Archives/edgar/data/812011/000110465913045415/a13-13329_1ex10d1.htm" TargetMode="External"/><Relationship Id="rId89" Type="http://schemas.openxmlformats.org/officeDocument/2006/relationships/hyperlink" Target="http://www.sec.gov/Archives/edgar/data/812011/000110465913045415/a13-13329_1ex10d2.htm" TargetMode="External"/><Relationship Id="rId91" Type="http://schemas.openxmlformats.org/officeDocument/2006/relationships/hyperlink" Target="http://www.sec.gov/Archives/edgar/data/812011/000081201118000134/exhibit102mipgrade33final_.htm" TargetMode="External"/><Relationship Id="rId92" Type="http://schemas.openxmlformats.org/officeDocument/2006/relationships/hyperlink" Target="http://www.sec.gov/Archives/edgar/data/812011/000110465915083185/a15-24404_2ex10d1.htm" TargetMode="External"/><Relationship Id="rId94" Type="http://schemas.openxmlformats.org/officeDocument/2006/relationships/hyperlink" Target="http://www.sec.gov/Archives/edgar/data/812011/000081201118000134/exhibit1018thamendedcredit.htm" TargetMode="External"/><Relationship Id="rId95" Type="http://schemas.openxmlformats.org/officeDocument/2006/relationships/hyperlink" Target="http://www.sec.gov/Archives/edgar/data/812011/000081201119000035/exhibit1011stamendmentto8t.htm" TargetMode="External"/><Relationship Id="rId97" Type="http://schemas.openxmlformats.org/officeDocument/2006/relationships/hyperlink" Target="http://www.sec.gov/Archives/edgar/data/812011/000081201116000182/exhibit103whistlercreditag.htm" TargetMode="External"/><Relationship Id="rId98" Type="http://schemas.openxmlformats.org/officeDocument/2006/relationships/hyperlink" Target="http://www.sec.gov/Archives/edgar/data/812011/000081201117000014/exhibit1012017-q2.htm" TargetMode="External"/><Relationship Id="rId100" Type="http://schemas.openxmlformats.org/officeDocument/2006/relationships/hyperlink" Target="http://www.sec.gov/Archives/edgar/data/812011/000081201119000012/exhibit1014thamendingagree.htm" TargetMode="External"/><Relationship Id="rId101" Type="http://schemas.openxmlformats.org/officeDocument/2006/relationships/hyperlink" Target="http://www.sec.gov/Archives/edgar/data/812011/000081201117000006/exhibit101whistlermda.htm" TargetMode="External"/><Relationship Id="rId103"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2019-12-28T06:00:57Z</dcterms:created>
  <dcterms:modified xsi:type="dcterms:W3CDTF">2019-12-28T06:00:57Z</dcterms:modified>
</cp:coreProperties>
</file>