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6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63"/>
          <w:szCs w:val="63"/>
          <w:color w:val="auto"/>
          <w:vertAlign w:val="subscript"/>
        </w:rPr>
      </w:pPr>
      <w:r>
        <w:rPr>
          <w:rFonts w:ascii="Arial" w:cs="Arial" w:eastAsia="Arial" w:hAnsi="Arial"/>
          <w:sz w:val="20"/>
          <w:szCs w:val="20"/>
          <w:b w:val="1"/>
          <w:bCs w:val="1"/>
          <w:color w:val="auto"/>
        </w:rPr>
        <w:t>QUARTERLY</w:t>
      </w:r>
      <w:r>
        <w:rPr>
          <w:rFonts w:ascii="Arial" w:cs="Arial" w:eastAsia="Arial" w:hAnsi="Arial"/>
          <w:sz w:val="38"/>
          <w:szCs w:val="38"/>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16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 the quarterly period ended January 31, 2020</w:t>
      </w:r>
    </w:p>
    <w:p>
      <w:pPr>
        <w:spacing w:after="0" w:line="266" w:lineRule="exact"/>
        <w:rPr>
          <w:sz w:val="24"/>
          <w:szCs w:val="24"/>
          <w:color w:val="auto"/>
        </w:rPr>
      </w:pPr>
    </w:p>
    <w:p>
      <w:pPr>
        <w:ind w:left="720" w:right="400" w:hanging="685"/>
        <w:spacing w:after="0" w:line="228" w:lineRule="auto"/>
        <w:tabs>
          <w:tab w:leader="none" w:pos="720" w:val="left"/>
        </w:tabs>
        <w:numPr>
          <w:ilvl w:val="0"/>
          <w:numId w:val="2"/>
        </w:numPr>
        <w:rPr>
          <w:rFonts w:ascii="MS PGothic" w:cs="MS PGothic" w:eastAsia="MS PGothic" w:hAnsi="MS PGothic"/>
          <w:sz w:val="55"/>
          <w:szCs w:val="55"/>
          <w:color w:val="auto"/>
          <w:vertAlign w:val="subscript"/>
        </w:rPr>
      </w:pPr>
      <w:r>
        <w:rPr>
          <w:rFonts w:ascii="Arial" w:cs="Arial" w:eastAsia="Arial" w:hAnsi="Arial"/>
          <w:sz w:val="19"/>
          <w:szCs w:val="19"/>
          <w:b w:val="1"/>
          <w:bCs w:val="1"/>
          <w:color w:val="auto"/>
        </w:rPr>
        <w:t>TRANSITION REPORT PURSUANT TO SECTION 13 OR 15(d) OF THE SECURITIES EXCHANGE ACT OF 1934</w:t>
      </w:r>
    </w:p>
    <w:p>
      <w:pPr>
        <w:spacing w:after="0" w:line="58" w:lineRule="exact"/>
        <w:rPr>
          <w:sz w:val="24"/>
          <w:szCs w:val="24"/>
          <w:color w:val="auto"/>
        </w:rPr>
      </w:pPr>
    </w:p>
    <w:p>
      <w:pPr>
        <w:ind w:left="388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83185</wp:posOffset>
            </wp:positionV>
            <wp:extent cx="312864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864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Vail Resorts,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880" w:type="dxa"/>
        <w:tblCellMar>
          <w:top w:w="0" w:type="dxa"/>
          <w:left w:w="0" w:type="dxa"/>
          <w:bottom w:w="0" w:type="dxa"/>
          <w:right w:w="0" w:type="dxa"/>
        </w:tblCellMar>
      </w:tblPr>
      <w:tr>
        <w:trPr>
          <w:trHeight w:val="234"/>
        </w:trPr>
        <w:tc>
          <w:tcPr>
            <w:tcW w:w="570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3"/>
              </w:rPr>
              <w:t>Delaware</w:t>
            </w:r>
          </w:p>
        </w:tc>
        <w:tc>
          <w:tcPr>
            <w:tcW w:w="3800" w:type="dxa"/>
            <w:vAlign w:val="bottom"/>
          </w:tcPr>
          <w:p>
            <w:pPr>
              <w:jc w:val="right"/>
              <w:ind w:right="1381"/>
              <w:spacing w:after="0"/>
              <w:rPr>
                <w:sz w:val="20"/>
                <w:szCs w:val="20"/>
                <w:color w:val="auto"/>
              </w:rPr>
            </w:pPr>
            <w:r>
              <w:rPr>
                <w:rFonts w:ascii="Arial" w:cs="Arial" w:eastAsia="Arial" w:hAnsi="Arial"/>
                <w:sz w:val="18"/>
                <w:szCs w:val="18"/>
                <w:b w:val="1"/>
                <w:bCs w:val="1"/>
                <w:color w:val="auto"/>
              </w:rPr>
              <w:t>51-0291762</w:t>
            </w:r>
          </w:p>
        </w:tc>
      </w:tr>
      <w:tr>
        <w:trPr>
          <w:trHeight w:val="27"/>
        </w:trPr>
        <w:tc>
          <w:tcPr>
            <w:tcW w:w="476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50"/>
        </w:trPr>
        <w:tc>
          <w:tcPr>
            <w:tcW w:w="5700" w:type="dxa"/>
            <w:vAlign w:val="bottom"/>
            <w:gridSpan w:val="2"/>
          </w:tcPr>
          <w:p>
            <w:pPr>
              <w:jc w:val="center"/>
              <w:ind w:right="980"/>
              <w:spacing w:after="0" w:line="151" w:lineRule="exact"/>
              <w:rPr>
                <w:sz w:val="20"/>
                <w:szCs w:val="20"/>
                <w:color w:val="auto"/>
              </w:rPr>
            </w:pPr>
            <w:r>
              <w:rPr>
                <w:rFonts w:ascii="Arial" w:cs="Arial" w:eastAsia="Arial" w:hAnsi="Arial"/>
                <w:sz w:val="14"/>
                <w:szCs w:val="14"/>
                <w:color w:val="auto"/>
                <w:w w:val="94"/>
              </w:rPr>
              <w:t>(State or Other Jurisdiction of</w:t>
            </w:r>
          </w:p>
        </w:tc>
        <w:tc>
          <w:tcPr>
            <w:tcW w:w="3800" w:type="dxa"/>
            <w:vAlign w:val="bottom"/>
          </w:tcPr>
          <w:p>
            <w:pPr>
              <w:jc w:val="center"/>
              <w:spacing w:after="0" w:line="151" w:lineRule="exact"/>
              <w:rPr>
                <w:sz w:val="20"/>
                <w:szCs w:val="20"/>
                <w:color w:val="auto"/>
              </w:rPr>
            </w:pPr>
            <w:r>
              <w:rPr>
                <w:rFonts w:ascii="Arial" w:cs="Arial" w:eastAsia="Arial" w:hAnsi="Arial"/>
                <w:sz w:val="14"/>
                <w:szCs w:val="14"/>
                <w:color w:val="auto"/>
                <w:w w:val="97"/>
              </w:rPr>
              <w:t>(I.R.S. Employer</w:t>
            </w:r>
          </w:p>
        </w:tc>
      </w:tr>
      <w:tr>
        <w:trPr>
          <w:trHeight w:val="182"/>
        </w:trPr>
        <w:tc>
          <w:tcPr>
            <w:tcW w:w="5700" w:type="dxa"/>
            <w:vAlign w:val="bottom"/>
            <w:gridSpan w:val="2"/>
          </w:tcPr>
          <w:p>
            <w:pPr>
              <w:jc w:val="center"/>
              <w:ind w:right="960"/>
              <w:spacing w:after="0"/>
              <w:rPr>
                <w:sz w:val="20"/>
                <w:szCs w:val="20"/>
                <w:color w:val="auto"/>
              </w:rPr>
            </w:pPr>
            <w:r>
              <w:rPr>
                <w:rFonts w:ascii="Arial" w:cs="Arial" w:eastAsia="Arial" w:hAnsi="Arial"/>
                <w:sz w:val="14"/>
                <w:szCs w:val="14"/>
                <w:color w:val="auto"/>
                <w:w w:val="95"/>
              </w:rPr>
              <w:t>Incorporation or Organization)</w:t>
            </w:r>
          </w:p>
        </w:tc>
        <w:tc>
          <w:tcPr>
            <w:tcW w:w="3800" w:type="dxa"/>
            <w:vAlign w:val="bottom"/>
          </w:tcPr>
          <w:p>
            <w:pPr>
              <w:jc w:val="center"/>
              <w:spacing w:after="0"/>
              <w:rPr>
                <w:sz w:val="20"/>
                <w:szCs w:val="20"/>
                <w:color w:val="auto"/>
              </w:rPr>
            </w:pPr>
            <w:r>
              <w:rPr>
                <w:rFonts w:ascii="Arial" w:cs="Arial" w:eastAsia="Arial" w:hAnsi="Arial"/>
                <w:sz w:val="14"/>
                <w:szCs w:val="14"/>
                <w:color w:val="auto"/>
                <w:w w:val="99"/>
              </w:rPr>
              <w:t>Identification No.)</w:t>
            </w:r>
          </w:p>
        </w:tc>
      </w:tr>
      <w:tr>
        <w:trPr>
          <w:trHeight w:val="525"/>
        </w:trPr>
        <w:tc>
          <w:tcPr>
            <w:tcW w:w="570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1"/>
              </w:rPr>
              <w:t>390 Interlocken Crescent</w:t>
            </w:r>
          </w:p>
        </w:tc>
        <w:tc>
          <w:tcPr>
            <w:tcW w:w="3800" w:type="dxa"/>
            <w:vAlign w:val="bottom"/>
          </w:tcPr>
          <w:p>
            <w:pPr>
              <w:spacing w:after="0"/>
              <w:rPr>
                <w:sz w:val="24"/>
                <w:szCs w:val="24"/>
                <w:color w:val="auto"/>
              </w:rPr>
            </w:pPr>
          </w:p>
        </w:tc>
      </w:tr>
      <w:tr>
        <w:trPr>
          <w:trHeight w:val="270"/>
        </w:trPr>
        <w:tc>
          <w:tcPr>
            <w:tcW w:w="5700" w:type="dxa"/>
            <w:vAlign w:val="bottom"/>
            <w:gridSpan w:val="2"/>
          </w:tcPr>
          <w:p>
            <w:pPr>
              <w:ind w:left="1440"/>
              <w:spacing w:after="0"/>
              <w:rPr>
                <w:sz w:val="20"/>
                <w:szCs w:val="20"/>
                <w:color w:val="auto"/>
              </w:rPr>
            </w:pPr>
            <w:r>
              <w:rPr>
                <w:rFonts w:ascii="Arial" w:cs="Arial" w:eastAsia="Arial" w:hAnsi="Arial"/>
                <w:sz w:val="18"/>
                <w:szCs w:val="18"/>
                <w:b w:val="1"/>
                <w:bCs w:val="1"/>
                <w:color w:val="auto"/>
              </w:rPr>
              <w:t>Broomfield, Colorado</w:t>
            </w:r>
          </w:p>
        </w:tc>
        <w:tc>
          <w:tcPr>
            <w:tcW w:w="3800" w:type="dxa"/>
            <w:vAlign w:val="bottom"/>
          </w:tcPr>
          <w:p>
            <w:pPr>
              <w:jc w:val="right"/>
              <w:ind w:right="1601"/>
              <w:spacing w:after="0"/>
              <w:rPr>
                <w:sz w:val="20"/>
                <w:szCs w:val="20"/>
                <w:color w:val="auto"/>
              </w:rPr>
            </w:pPr>
            <w:r>
              <w:rPr>
                <w:rFonts w:ascii="Arial" w:cs="Arial" w:eastAsia="Arial" w:hAnsi="Arial"/>
                <w:sz w:val="18"/>
                <w:szCs w:val="18"/>
                <w:b w:val="1"/>
                <w:bCs w:val="1"/>
                <w:color w:val="auto"/>
              </w:rPr>
              <w:t>80021</w:t>
            </w:r>
          </w:p>
        </w:tc>
      </w:tr>
      <w:tr>
        <w:trPr>
          <w:trHeight w:val="27"/>
        </w:trPr>
        <w:tc>
          <w:tcPr>
            <w:tcW w:w="4760" w:type="dxa"/>
            <w:vAlign w:val="bottom"/>
            <w:tcBorders>
              <w:bottom w:val="single" w:sz="8" w:color="auto"/>
            </w:tcBorders>
          </w:tcPr>
          <w:p>
            <w:pPr>
              <w:spacing w:after="0"/>
              <w:rPr>
                <w:sz w:val="2"/>
                <w:szCs w:val="2"/>
                <w:color w:val="auto"/>
              </w:rPr>
            </w:pPr>
          </w:p>
        </w:tc>
        <w:tc>
          <w:tcPr>
            <w:tcW w:w="94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84"/>
        </w:trPr>
        <w:tc>
          <w:tcPr>
            <w:tcW w:w="5700" w:type="dxa"/>
            <w:vAlign w:val="bottom"/>
            <w:gridSpan w:val="2"/>
          </w:tcPr>
          <w:p>
            <w:pPr>
              <w:jc w:val="center"/>
              <w:ind w:right="960"/>
              <w:spacing w:after="0"/>
              <w:rPr>
                <w:sz w:val="20"/>
                <w:szCs w:val="20"/>
                <w:color w:val="auto"/>
              </w:rPr>
            </w:pPr>
            <w:r>
              <w:rPr>
                <w:rFonts w:ascii="Arial" w:cs="Arial" w:eastAsia="Arial" w:hAnsi="Arial"/>
                <w:sz w:val="14"/>
                <w:szCs w:val="14"/>
                <w:color w:val="auto"/>
                <w:w w:val="95"/>
              </w:rPr>
              <w:t>(Address of Principal Executive Offices)</w:t>
            </w:r>
          </w:p>
        </w:tc>
        <w:tc>
          <w:tcPr>
            <w:tcW w:w="3800" w:type="dxa"/>
            <w:vAlign w:val="bottom"/>
          </w:tcPr>
          <w:p>
            <w:pPr>
              <w:jc w:val="center"/>
              <w:spacing w:after="0"/>
              <w:rPr>
                <w:sz w:val="20"/>
                <w:szCs w:val="20"/>
                <w:color w:val="auto"/>
              </w:rPr>
            </w:pPr>
            <w:r>
              <w:rPr>
                <w:rFonts w:ascii="Arial" w:cs="Arial" w:eastAsia="Arial" w:hAnsi="Arial"/>
                <w:sz w:val="14"/>
                <w:szCs w:val="14"/>
                <w:color w:val="auto"/>
                <w:w w:val="96"/>
              </w:rPr>
              <w:t>(Zip Code)</w:t>
            </w:r>
          </w:p>
        </w:tc>
      </w:tr>
    </w:tbl>
    <w:p>
      <w:pPr>
        <w:spacing w:after="0" w:line="214"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(303) 404-1800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2165350</wp:posOffset>
            </wp:positionH>
            <wp:positionV relativeFrom="paragraph">
              <wp:posOffset>31750</wp:posOffset>
            </wp:positionV>
            <wp:extent cx="28117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57"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(Registrant’s telephone number, including area code)</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4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r>
      <w:tr>
        <w:trPr>
          <w:trHeight w:val="237"/>
        </w:trPr>
        <w:tc>
          <w:tcPr>
            <w:tcW w:w="4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2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MTN</w:t>
            </w:r>
          </w:p>
        </w:tc>
        <w:tc>
          <w:tcPr>
            <w:tcW w:w="4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7"/>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4"/>
          <w:szCs w:val="24"/>
          <w:color w:val="auto"/>
        </w:rPr>
      </w:pPr>
    </w:p>
    <w:p>
      <w:pPr>
        <w:jc w:val="both"/>
        <w:ind w:right="20"/>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102" w:lineRule="exact"/>
        <w:rPr>
          <w:sz w:val="24"/>
          <w:szCs w:val="24"/>
          <w:color w:val="auto"/>
        </w:rPr>
      </w:pPr>
    </w:p>
    <w:p>
      <w:pPr>
        <w:jc w:val="both"/>
        <w:ind w:right="20"/>
        <w:spacing w:after="0" w:line="26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75"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p>
      <w:pPr>
        <w:spacing w:after="0" w:line="328" w:lineRule="exact"/>
        <w:rPr>
          <w:sz w:val="24"/>
          <w:szCs w:val="24"/>
          <w:color w:val="auto"/>
        </w:rPr>
      </w:pPr>
    </w:p>
    <w:tbl>
      <w:tblPr>
        <w:tblLayout w:type="fixed"/>
        <w:tblInd w:w="40" w:type="dxa"/>
        <w:tblCellMar>
          <w:top w:w="0" w:type="dxa"/>
          <w:left w:w="0" w:type="dxa"/>
          <w:bottom w:w="0" w:type="dxa"/>
          <w:right w:w="0" w:type="dxa"/>
        </w:tblCellMar>
      </w:tblPr>
      <w:tr>
        <w:trPr>
          <w:trHeight w:val="338"/>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80" w:type="dxa"/>
            <w:vAlign w:val="bottom"/>
          </w:tcPr>
          <w:p>
            <w:pPr>
              <w:ind w:left="256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r>
      <w:tr>
        <w:trPr>
          <w:trHeight w:val="641"/>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80" w:type="dxa"/>
            <w:vAlign w:val="bottom"/>
          </w:tcPr>
          <w:p>
            <w:pPr>
              <w:ind w:left="256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440"/>
              <w:spacing w:after="0" w:line="361" w:lineRule="exact"/>
              <w:rPr>
                <w:sz w:val="20"/>
                <w:szCs w:val="20"/>
                <w:color w:val="auto"/>
              </w:rPr>
            </w:pPr>
            <w:r>
              <w:rPr>
                <w:rFonts w:ascii="MS PGothic" w:cs="MS PGothic" w:eastAsia="MS PGothic" w:hAnsi="MS PGothic"/>
                <w:sz w:val="36"/>
                <w:szCs w:val="36"/>
                <w:color w:val="auto"/>
                <w:w w:val="83"/>
              </w:rPr>
              <w:t>☐</w:t>
            </w:r>
          </w:p>
        </w:tc>
      </w:tr>
      <w:tr>
        <w:trPr>
          <w:trHeight w:val="648"/>
        </w:trPr>
        <w:tc>
          <w:tcPr>
            <w:tcW w:w="20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980" w:type="dxa"/>
            <w:vAlign w:val="bottom"/>
          </w:tcPr>
          <w:p>
            <w:pPr>
              <w:ind w:left="256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440"/>
              <w:spacing w:after="0" w:line="361" w:lineRule="exact"/>
              <w:rPr>
                <w:sz w:val="20"/>
                <w:szCs w:val="20"/>
                <w:color w:val="auto"/>
              </w:rPr>
            </w:pPr>
            <w:r>
              <w:rPr>
                <w:rFonts w:ascii="MS PGothic" w:cs="MS PGothic" w:eastAsia="MS PGothic" w:hAnsi="MS PGothic"/>
                <w:sz w:val="36"/>
                <w:szCs w:val="36"/>
                <w:color w:val="auto"/>
                <w:w w:val="83"/>
              </w:rPr>
              <w:t>☐</w:t>
            </w:r>
          </w:p>
        </w:tc>
      </w:tr>
    </w:tbl>
    <w:p>
      <w:pPr>
        <w:ind w:right="2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68" w:lineRule="exact"/>
        <w:rPr>
          <w:sz w:val="24"/>
          <w:szCs w:val="24"/>
          <w:color w:val="auto"/>
        </w:rPr>
      </w:pPr>
    </w:p>
    <w:p>
      <w:pPr>
        <w:ind w:right="1700"/>
        <w:spacing w:after="0" w:line="335"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March 5, 2020, 40,266,037 shares of the registrant’s common stock were outstanding.</w:t>
      </w:r>
    </w:p>
    <w:p>
      <w:pPr>
        <w:sectPr>
          <w:pgSz w:w="11900" w:h="16838" w:orient="portrait"/>
          <w:cols w:equalWidth="0" w:num="1">
            <w:col w:w="11260"/>
          </w:cols>
          <w:pgMar w:left="320" w:top="706" w:right="319" w:bottom="29"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PART I</w:t>
            </w:r>
          </w:p>
        </w:tc>
        <w:tc>
          <w:tcPr>
            <w:tcW w:w="9640" w:type="dxa"/>
            <w:vAlign w:val="bottom"/>
            <w:gridSpan w:val="15"/>
            <w:shd w:val="clear" w:color="auto" w:fill="CCEEFF"/>
          </w:tcPr>
          <w:p>
            <w:pPr>
              <w:spacing w:after="0"/>
              <w:rPr>
                <w:sz w:val="20"/>
                <w:szCs w:val="20"/>
                <w:color w:val="auto"/>
              </w:rPr>
            </w:pPr>
            <w:r>
              <w:rPr>
                <w:rFonts w:ascii="Arial" w:cs="Arial" w:eastAsia="Arial" w:hAnsi="Arial"/>
                <w:sz w:val="18"/>
                <w:szCs w:val="18"/>
                <w:b w:val="1"/>
                <w:bCs w:val="1"/>
                <w:color w:val="auto"/>
              </w:rPr>
              <w:t>FINANCIAL INFORMATION</w:t>
            </w:r>
          </w:p>
        </w:tc>
        <w:tc>
          <w:tcPr>
            <w:tcW w:w="560" w:type="dxa"/>
            <w:vAlign w:val="bottom"/>
            <w:tcBorders>
              <w:bottom w:val="single" w:sz="8" w:color="auto"/>
            </w:tcBorders>
            <w:gridSpan w:val="4"/>
            <w:shd w:val="clear" w:color="auto" w:fill="CCEEFF"/>
          </w:tcPr>
          <w:p>
            <w:pPr>
              <w:ind w:left="100"/>
              <w:spacing w:after="0"/>
              <w:rPr>
                <w:sz w:val="20"/>
                <w:szCs w:val="20"/>
                <w:color w:val="auto"/>
              </w:rPr>
            </w:pPr>
            <w:r>
              <w:rPr>
                <w:rFonts w:ascii="Arial" w:cs="Arial" w:eastAsia="Arial" w:hAnsi="Arial"/>
                <w:sz w:val="18"/>
                <w:szCs w:val="18"/>
                <w:color w:val="auto"/>
              </w:rPr>
              <w:t>Page</w:t>
            </w:r>
          </w:p>
        </w:tc>
      </w:tr>
      <w:tr>
        <w:trPr>
          <w:trHeight w:val="324"/>
        </w:trPr>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1.</w:t>
            </w:r>
          </w:p>
        </w:tc>
        <w:tc>
          <w:tcPr>
            <w:tcW w:w="9640" w:type="dxa"/>
            <w:vAlign w:val="bottom"/>
            <w:tcBorders>
              <w:bottom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Financial Statements (unaudited).</w:t>
            </w: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40" w:type="dxa"/>
            <w:vAlign w:val="bottom"/>
          </w:tcPr>
          <w:p>
            <w:pPr>
              <w:spacing w:after="0"/>
              <w:rPr>
                <w:sz w:val="17"/>
                <w:szCs w:val="17"/>
                <w:color w:val="auto"/>
              </w:rPr>
            </w:pPr>
          </w:p>
        </w:tc>
        <w:tc>
          <w:tcPr>
            <w:tcW w:w="9640" w:type="dxa"/>
            <w:vAlign w:val="bottom"/>
            <w:gridSpan w:val="15"/>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Consolidated Condensed Balance Sheets as of January 31, 2020, July 31, 2019 and January 31, 2019</w:t>
              </w:r>
            </w:hyperlink>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48"/>
        </w:trPr>
        <w:tc>
          <w:tcPr>
            <w:tcW w:w="10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40" w:type="dxa"/>
            <w:vAlign w:val="bottom"/>
            <w:shd w:val="clear" w:color="auto" w:fill="CCEEFF"/>
          </w:tcPr>
          <w:p>
            <w:pPr>
              <w:spacing w:after="0"/>
              <w:rPr>
                <w:sz w:val="17"/>
                <w:szCs w:val="17"/>
                <w:color w:val="auto"/>
              </w:rPr>
            </w:pPr>
          </w:p>
        </w:tc>
        <w:tc>
          <w:tcPr>
            <w:tcW w:w="9640" w:type="dxa"/>
            <w:vAlign w:val="bottom"/>
            <w:gridSpan w:val="15"/>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Condensed Statements of Operations for the Three and Six Months Ended January 31, 2020 and 2019</w:t>
              </w:r>
            </w:hyperlink>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40" w:type="dxa"/>
            <w:vAlign w:val="bottom"/>
          </w:tcPr>
          <w:p>
            <w:pPr>
              <w:spacing w:after="0"/>
              <w:rPr>
                <w:sz w:val="17"/>
                <w:szCs w:val="17"/>
                <w:color w:val="auto"/>
              </w:rPr>
            </w:pPr>
          </w:p>
        </w:tc>
        <w:tc>
          <w:tcPr>
            <w:tcW w:w="9640" w:type="dxa"/>
            <w:vAlign w:val="bottom"/>
            <w:gridSpan w:val="15"/>
          </w:tcPr>
          <w:p>
            <w:pPr>
              <w:spacing w:after="0" w:line="202"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Consolidated Condensed Statements of Comprehensive Income for the Three and Six Months Ended January 31, 2020 and 2019</w:t>
              </w:r>
            </w:hyperlink>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48"/>
        </w:trPr>
        <w:tc>
          <w:tcPr>
            <w:tcW w:w="10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40" w:type="dxa"/>
            <w:vAlign w:val="bottom"/>
            <w:shd w:val="clear" w:color="auto" w:fill="CCEEFF"/>
          </w:tcPr>
          <w:p>
            <w:pPr>
              <w:spacing w:after="0"/>
              <w:rPr>
                <w:sz w:val="21"/>
                <w:szCs w:val="21"/>
                <w:color w:val="auto"/>
              </w:rPr>
            </w:pPr>
          </w:p>
        </w:tc>
        <w:tc>
          <w:tcPr>
            <w:tcW w:w="9640" w:type="dxa"/>
            <w:vAlign w:val="bottom"/>
            <w:gridSpan w:val="15"/>
            <w:shd w:val="clear" w:color="auto" w:fill="CCEEFF"/>
          </w:tcPr>
          <w:p>
            <w:pPr>
              <w:spacing w:after="0" w:line="202"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Consolidated Condensed Statements of Stockholders’ Equity for the Three and Six Months Ended January 31, 2020 and 2019</w:t>
              </w:r>
            </w:hyperlink>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3"/>
        </w:trPr>
        <w:tc>
          <w:tcPr>
            <w:tcW w:w="1040" w:type="dxa"/>
            <w:vAlign w:val="bottom"/>
            <w:tcBorders>
              <w:top w:val="single" w:sz="8" w:color="CCEEFF"/>
            </w:tcBorders>
          </w:tcPr>
          <w:p>
            <w:pPr>
              <w:spacing w:after="0"/>
              <w:rPr>
                <w:sz w:val="17"/>
                <w:szCs w:val="17"/>
                <w:color w:val="auto"/>
              </w:rPr>
            </w:pPr>
          </w:p>
        </w:tc>
        <w:tc>
          <w:tcPr>
            <w:tcW w:w="9060" w:type="dxa"/>
            <w:vAlign w:val="bottom"/>
            <w:tcBorders>
              <w:top w:val="single" w:sz="8" w:color="0000EE"/>
            </w:tcBorders>
            <w:gridSpan w:val="13"/>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Consolidated Condensed Statements of Cash Flows for the Six Months Ended January 31, 2020 and 2019</w:t>
              </w:r>
            </w:hyperlink>
          </w:p>
        </w:tc>
        <w:tc>
          <w:tcPr>
            <w:tcW w:w="580" w:type="dxa"/>
            <w:vAlign w:val="bottom"/>
            <w:tcBorders>
              <w:top w:val="single" w:sz="8" w:color="CCEEFF"/>
            </w:tcBorders>
            <w:gridSpan w:val="2"/>
          </w:tcPr>
          <w:p>
            <w:pPr>
              <w:spacing w:after="0"/>
              <w:rPr>
                <w:sz w:val="17"/>
                <w:szCs w:val="17"/>
                <w:color w:val="auto"/>
              </w:rPr>
            </w:pPr>
          </w:p>
        </w:tc>
        <w:tc>
          <w:tcPr>
            <w:tcW w:w="44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20" w:type="dxa"/>
            <w:vAlign w:val="bottom"/>
            <w:tcBorders>
              <w:top w:val="single" w:sz="8" w:color="CCEEFF"/>
            </w:tcBorders>
          </w:tcPr>
          <w:p>
            <w:pPr>
              <w:spacing w:after="0"/>
              <w:rPr>
                <w:sz w:val="17"/>
                <w:szCs w:val="17"/>
                <w:color w:val="auto"/>
              </w:rPr>
            </w:pPr>
          </w:p>
        </w:tc>
      </w:tr>
      <w:tr>
        <w:trPr>
          <w:trHeight w:val="48"/>
        </w:trPr>
        <w:tc>
          <w:tcPr>
            <w:tcW w:w="10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40" w:type="dxa"/>
            <w:vAlign w:val="bottom"/>
            <w:shd w:val="clear" w:color="auto" w:fill="CCEEFF"/>
          </w:tcPr>
          <w:p>
            <w:pPr>
              <w:spacing w:after="0"/>
              <w:rPr>
                <w:sz w:val="17"/>
                <w:szCs w:val="17"/>
                <w:color w:val="auto"/>
              </w:rPr>
            </w:pPr>
          </w:p>
        </w:tc>
        <w:tc>
          <w:tcPr>
            <w:tcW w:w="9640" w:type="dxa"/>
            <w:vAlign w:val="bottom"/>
            <w:gridSpan w:val="15"/>
            <w:shd w:val="clear" w:color="auto" w:fill="CCEEFF"/>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Condensed Financial Statements</w:t>
              </w:r>
            </w:hyperlink>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8</w:t>
              </w:r>
            </w:hyperlink>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640" w:type="dxa"/>
            <w:vAlign w:val="bottom"/>
            <w:gridSpan w:val="15"/>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r>
      <w:tr>
        <w:trPr>
          <w:trHeight w:val="48"/>
        </w:trPr>
        <w:tc>
          <w:tcPr>
            <w:tcW w:w="10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9640" w:type="dxa"/>
            <w:vAlign w:val="bottom"/>
            <w:gridSpan w:val="15"/>
            <w:shd w:val="clear" w:color="auto" w:fill="CCEEFF"/>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4360" w:type="dxa"/>
            <w:vAlign w:val="bottom"/>
            <w:gridSpan w:val="8"/>
          </w:tcPr>
          <w:p>
            <w:pPr>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5280" w:type="dxa"/>
            <w:vAlign w:val="bottom"/>
            <w:gridSpan w:val="7"/>
          </w:tcPr>
          <w:p>
            <w:pPr>
              <w:spacing w:after="0"/>
              <w:rPr>
                <w:sz w:val="17"/>
                <w:szCs w:val="17"/>
                <w:color w:val="auto"/>
              </w:rPr>
            </w:pP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48"/>
        </w:trPr>
        <w:tc>
          <w:tcPr>
            <w:tcW w:w="10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38"/>
        </w:trPr>
        <w:tc>
          <w:tcPr>
            <w:tcW w:w="10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9640" w:type="dxa"/>
            <w:vAlign w:val="bottom"/>
            <w:gridSpan w:val="15"/>
          </w:tcPr>
          <w:p>
            <w:pPr>
              <w:spacing w:after="0"/>
              <w:rPr>
                <w:sz w:val="20"/>
                <w:szCs w:val="20"/>
                <w:color w:val="auto"/>
              </w:rPr>
            </w:pPr>
            <w:r>
              <w:rPr>
                <w:rFonts w:ascii="Arial" w:cs="Arial" w:eastAsia="Arial" w:hAnsi="Arial"/>
                <w:sz w:val="18"/>
                <w:szCs w:val="18"/>
                <w:b w:val="1"/>
                <w:bCs w:val="1"/>
                <w:color w:val="auto"/>
              </w:rPr>
              <w:t>OTHER INFORMATION</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38"/>
        </w:trPr>
        <w:tc>
          <w:tcPr>
            <w:tcW w:w="10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9640" w:type="dxa"/>
            <w:vAlign w:val="bottom"/>
            <w:gridSpan w:val="15"/>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Legal Proceedings</w:t>
              </w:r>
            </w:hyperlink>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48"/>
        </w:trPr>
        <w:tc>
          <w:tcPr>
            <w:tcW w:w="10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920" w:type="dxa"/>
            <w:vAlign w:val="bottom"/>
            <w:gridSpan w:val="2"/>
            <w:shd w:val="clear" w:color="auto" w:fill="CCEEFF"/>
          </w:tcPr>
          <w:p>
            <w:pPr>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Risk Factors</w:t>
              </w:r>
            </w:hyperlink>
          </w:p>
        </w:tc>
        <w:tc>
          <w:tcPr>
            <w:tcW w:w="8720" w:type="dxa"/>
            <w:vAlign w:val="bottom"/>
            <w:gridSpan w:val="13"/>
            <w:shd w:val="clear" w:color="auto" w:fill="CCEEFF"/>
          </w:tcPr>
          <w:p>
            <w:pPr>
              <w:spacing w:after="0"/>
              <w:rPr>
                <w:sz w:val="17"/>
                <w:szCs w:val="17"/>
                <w:color w:val="auto"/>
              </w:rPr>
            </w:pP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640" w:type="dxa"/>
            <w:vAlign w:val="bottom"/>
            <w:gridSpan w:val="15"/>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Unregistered Sales of Equity Securities and Use of Proceeds</w:t>
              </w:r>
            </w:hyperlink>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48"/>
        </w:trPr>
        <w:tc>
          <w:tcPr>
            <w:tcW w:w="10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2340" w:type="dxa"/>
            <w:vAlign w:val="bottom"/>
            <w:gridSpan w:val="6"/>
            <w:shd w:val="clear" w:color="auto" w:fill="CCEEFF"/>
          </w:tcPr>
          <w:p>
            <w:pPr>
              <w:spacing w:after="0" w:line="202"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Defaults Upon Senior Securities</w:t>
              </w:r>
            </w:hyperlink>
          </w:p>
        </w:tc>
        <w:tc>
          <w:tcPr>
            <w:tcW w:w="7300" w:type="dxa"/>
            <w:vAlign w:val="bottom"/>
            <w:gridSpan w:val="9"/>
            <w:shd w:val="clear" w:color="auto" w:fill="CCEEFF"/>
          </w:tcPr>
          <w:p>
            <w:pPr>
              <w:spacing w:after="0"/>
              <w:rPr>
                <w:sz w:val="17"/>
                <w:szCs w:val="17"/>
                <w:color w:val="auto"/>
              </w:rPr>
            </w:pPr>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2340" w:type="dxa"/>
            <w:vAlign w:val="bottom"/>
            <w:gridSpan w:val="6"/>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Mine Safety Disclosures</w:t>
              </w:r>
            </w:hyperlink>
          </w:p>
        </w:tc>
        <w:tc>
          <w:tcPr>
            <w:tcW w:w="7300" w:type="dxa"/>
            <w:vAlign w:val="bottom"/>
            <w:gridSpan w:val="9"/>
          </w:tcPr>
          <w:p>
            <w:pPr>
              <w:spacing w:after="0"/>
              <w:rPr>
                <w:sz w:val="17"/>
                <w:szCs w:val="17"/>
                <w:color w:val="auto"/>
              </w:rPr>
            </w:pP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48"/>
        </w:trPr>
        <w:tc>
          <w:tcPr>
            <w:tcW w:w="10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5.</w:t>
            </w:r>
          </w:p>
        </w:tc>
        <w:tc>
          <w:tcPr>
            <w:tcW w:w="9640" w:type="dxa"/>
            <w:vAlign w:val="bottom"/>
            <w:gridSpan w:val="15"/>
            <w:shd w:val="clear" w:color="auto" w:fill="CCEEFF"/>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Other Information</w:t>
              </w:r>
            </w:hyperlink>
          </w:p>
        </w:tc>
        <w:tc>
          <w:tcPr>
            <w:tcW w:w="56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40" w:type="dxa"/>
            <w:vAlign w:val="bottom"/>
          </w:tcPr>
          <w:p>
            <w:pPr>
              <w:ind w:left="40"/>
              <w:spacing w:after="0" w:line="202" w:lineRule="exact"/>
              <w:rPr>
                <w:sz w:val="20"/>
                <w:szCs w:val="20"/>
                <w:color w:val="auto"/>
              </w:rPr>
            </w:pPr>
            <w:r>
              <w:rPr>
                <w:rFonts w:ascii="Arial" w:cs="Arial" w:eastAsia="Arial" w:hAnsi="Arial"/>
                <w:sz w:val="18"/>
                <w:szCs w:val="18"/>
                <w:color w:val="auto"/>
              </w:rPr>
              <w:t>Item 6.</w:t>
            </w:r>
          </w:p>
        </w:tc>
        <w:tc>
          <w:tcPr>
            <w:tcW w:w="1320" w:type="dxa"/>
            <w:vAlign w:val="bottom"/>
            <w:gridSpan w:val="3"/>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8320" w:type="dxa"/>
            <w:vAlign w:val="bottom"/>
            <w:gridSpan w:val="12"/>
          </w:tcPr>
          <w:p>
            <w:pPr>
              <w:spacing w:after="0"/>
              <w:rPr>
                <w:sz w:val="17"/>
                <w:szCs w:val="17"/>
                <w:color w:val="auto"/>
              </w:rPr>
            </w:pPr>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January 31, 2020</w:t>
            </w: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July 31, 2019</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9"/>
              </w:rPr>
              <w:t>January 31, 2019</w:t>
            </w: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126,793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108,850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158,561</w:t>
            </w: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13,655</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9,539</w:t>
            </w:r>
          </w:p>
        </w:tc>
        <w:tc>
          <w:tcPr>
            <w:tcW w:w="3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20,762</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receivables, net</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105,325</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270,896</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87,721</w:t>
            </w: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3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113,907</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96,539</w:t>
            </w:r>
          </w:p>
        </w:tc>
        <w:tc>
          <w:tcPr>
            <w:tcW w:w="3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103,010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54,122</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42,116</w:t>
            </w: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45,212</w:t>
            </w:r>
          </w:p>
        </w:tc>
      </w:tr>
      <w:tr>
        <w:trPr>
          <w:trHeight w:val="237"/>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413,802</w:t>
            </w: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527,940</w:t>
            </w: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415,266</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 (Note 8)</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2,263,781</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1,842,500</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1,831,087</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3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96,944</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101,021</w:t>
            </w:r>
          </w:p>
        </w:tc>
        <w:tc>
          <w:tcPr>
            <w:tcW w:w="3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101,730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 (Note 8)</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1,750,011</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1,608,206</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1,547,084</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321,391</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306,173</w:t>
            </w:r>
          </w:p>
        </w:tc>
        <w:tc>
          <w:tcPr>
            <w:tcW w:w="3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305,885</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right-of-use assets (Note 4)</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227,394</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40,356</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40,237</w:t>
            </w:r>
          </w:p>
        </w:tc>
        <w:tc>
          <w:tcPr>
            <w:tcW w:w="3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43,870</w:t>
            </w:r>
          </w:p>
        </w:tc>
      </w:tr>
      <w:tr>
        <w:trPr>
          <w:trHeight w:val="27"/>
        </w:trPr>
        <w:tc>
          <w:tcPr>
            <w:tcW w:w="5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8"/>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5,113,679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4,426,077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4,244,922</w:t>
            </w: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86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Accounts payable and accrued liabilities (Note 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811,497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607,857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685,736</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43,325</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62,760</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27,544</w:t>
            </w: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Long-term debt due within one year (Note 6)</w:t>
            </w:r>
          </w:p>
        </w:tc>
        <w:tc>
          <w:tcPr>
            <w:tcW w:w="3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63,556</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48,516</w:t>
            </w:r>
          </w:p>
        </w:tc>
        <w:tc>
          <w:tcPr>
            <w:tcW w:w="3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48,493</w:t>
            </w:r>
          </w:p>
        </w:tc>
      </w:tr>
      <w:tr>
        <w:trPr>
          <w:trHeight w:val="27"/>
        </w:trPr>
        <w:tc>
          <w:tcPr>
            <w:tcW w:w="5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918,378</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719,133</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761,773</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Long-term debt, net (Note 6)</w:t>
            </w:r>
          </w:p>
        </w:tc>
        <w:tc>
          <w:tcPr>
            <w:tcW w:w="3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1,817,058</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1,527,744</w:t>
            </w:r>
          </w:p>
        </w:tc>
        <w:tc>
          <w:tcPr>
            <w:tcW w:w="3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1,345,262</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 (Note 4)</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228,474</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long-term liabilities (Note 8)</w:t>
            </w:r>
          </w:p>
        </w:tc>
        <w:tc>
          <w:tcPr>
            <w:tcW w:w="3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245,375</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283,601</w:t>
            </w:r>
          </w:p>
        </w:tc>
        <w:tc>
          <w:tcPr>
            <w:tcW w:w="3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274,998</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254,196</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168,759</w:t>
            </w: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179,794</w:t>
            </w:r>
          </w:p>
        </w:tc>
      </w:tr>
      <w:tr>
        <w:trPr>
          <w:trHeight w:val="237"/>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3,463,481</w:t>
            </w: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2,699,237</w:t>
            </w: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2,561,827</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10)</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58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0"/>
              </w:rPr>
              <w:t>Preferred stock, $0.01 par value, 25,000 shares authorized, no shares issued</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and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tcPr>
          <w:p>
            <w:pPr>
              <w:ind w:left="280"/>
              <w:spacing w:after="0"/>
              <w:rPr>
                <w:sz w:val="20"/>
                <w:szCs w:val="20"/>
                <w:color w:val="auto"/>
              </w:rPr>
            </w:pPr>
            <w:r>
              <w:rPr>
                <w:rFonts w:ascii="Arial" w:cs="Arial" w:eastAsia="Arial" w:hAnsi="Arial"/>
                <w:sz w:val="18"/>
                <w:szCs w:val="18"/>
                <w:color w:val="auto"/>
                <w:w w:val="91"/>
              </w:rPr>
              <w:t>Common stock, $0.01 par value, 100,000 shares authorized, 46,264, 46,190</w:t>
            </w: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860" w:type="dxa"/>
            <w:vAlign w:val="bottom"/>
          </w:tcPr>
          <w:p>
            <w:pPr>
              <w:ind w:left="280"/>
              <w:spacing w:after="0"/>
              <w:rPr>
                <w:sz w:val="20"/>
                <w:szCs w:val="20"/>
                <w:color w:val="auto"/>
              </w:rPr>
            </w:pPr>
            <w:r>
              <w:rPr>
                <w:rFonts w:ascii="Arial" w:cs="Arial" w:eastAsia="Arial" w:hAnsi="Arial"/>
                <w:sz w:val="18"/>
                <w:szCs w:val="18"/>
                <w:color w:val="auto"/>
              </w:rPr>
              <w:t>and 46,101 shares issued, respectively</w:t>
            </w:r>
          </w:p>
        </w:tc>
        <w:tc>
          <w:tcPr>
            <w:tcW w:w="320" w:type="dxa"/>
            <w:vAlign w:val="bottom"/>
          </w:tcPr>
          <w:p>
            <w:pPr>
              <w:spacing w:after="0"/>
              <w:rPr>
                <w:sz w:val="20"/>
                <w:szCs w:val="20"/>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462</w:t>
            </w:r>
          </w:p>
        </w:tc>
        <w:tc>
          <w:tcPr>
            <w:tcW w:w="340" w:type="dxa"/>
            <w:vAlign w:val="bottom"/>
          </w:tcPr>
          <w:p>
            <w:pPr>
              <w:spacing w:after="0"/>
              <w:rPr>
                <w:sz w:val="20"/>
                <w:szCs w:val="20"/>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461</w:t>
            </w:r>
          </w:p>
        </w:tc>
        <w:tc>
          <w:tcPr>
            <w:tcW w:w="30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461</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58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Exchangeable shares, $0.01 par value, 55, 56 and 57 shares issued and</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 respectively (Note 5)</w:t>
            </w:r>
          </w:p>
        </w:tc>
        <w:tc>
          <w:tcPr>
            <w:tcW w:w="3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1,130,906</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1,130,083</w:t>
            </w:r>
          </w:p>
        </w:tc>
        <w:tc>
          <w:tcPr>
            <w:tcW w:w="3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1,135,709</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(44,100)</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(31,730)</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(13,949)</w:t>
            </w: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717,646</w:t>
            </w:r>
          </w:p>
        </w:tc>
        <w:tc>
          <w:tcPr>
            <w:tcW w:w="340" w:type="dxa"/>
            <w:vAlign w:val="bottom"/>
          </w:tcPr>
          <w:p>
            <w:pPr>
              <w:spacing w:after="0"/>
              <w:rPr>
                <w:sz w:val="21"/>
                <w:szCs w:val="21"/>
                <w:color w:val="auto"/>
              </w:rPr>
            </w:pPr>
          </w:p>
        </w:tc>
        <w:tc>
          <w:tcPr>
            <w:tcW w:w="1440" w:type="dxa"/>
            <w:vAlign w:val="bottom"/>
          </w:tcPr>
          <w:p>
            <w:pPr>
              <w:jc w:val="right"/>
              <w:ind w:right="51"/>
              <w:spacing w:after="0"/>
              <w:rPr>
                <w:sz w:val="20"/>
                <w:szCs w:val="20"/>
                <w:color w:val="auto"/>
              </w:rPr>
            </w:pPr>
            <w:r>
              <w:rPr>
                <w:rFonts w:ascii="Arial" w:cs="Arial" w:eastAsia="Arial" w:hAnsi="Arial"/>
                <w:sz w:val="18"/>
                <w:szCs w:val="18"/>
                <w:color w:val="auto"/>
              </w:rPr>
              <w:t>759,801</w:t>
            </w:r>
          </w:p>
        </w:tc>
        <w:tc>
          <w:tcPr>
            <w:tcW w:w="3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699,045</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58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Treasury stock, at cost, 6,000, 5,905, and 5,905 shares, respectively (Note</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62"/>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(379,433)</w:t>
            </w:r>
          </w:p>
        </w:tc>
        <w:tc>
          <w:tcPr>
            <w:tcW w:w="3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(357,989)</w:t>
            </w:r>
          </w:p>
        </w:tc>
        <w:tc>
          <w:tcPr>
            <w:tcW w:w="3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(357,989)</w:t>
            </w:r>
          </w:p>
        </w:tc>
      </w:tr>
      <w:tr>
        <w:trPr>
          <w:trHeight w:val="236"/>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Vail Resorts, Inc. stockholders’ equity</w:t>
            </w: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1,425,482</w:t>
            </w: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1,500,627</w:t>
            </w: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1,463,278</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224,716</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226,213</w:t>
            </w:r>
          </w:p>
        </w:tc>
        <w:tc>
          <w:tcPr>
            <w:tcW w:w="3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219,817</w:t>
            </w:r>
          </w:p>
        </w:tc>
      </w:tr>
      <w:tr>
        <w:trPr>
          <w:trHeight w:val="236"/>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1,650,198</w:t>
            </w: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1,726,840</w:t>
            </w: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1,683,095</w:t>
            </w:r>
          </w:p>
        </w:tc>
      </w:tr>
      <w:tr>
        <w:trPr>
          <w:trHeight w:val="27"/>
        </w:trPr>
        <w:tc>
          <w:tcPr>
            <w:tcW w:w="5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5,113,679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4,426,077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4,244,922</w:t>
            </w: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ectPr>
          <w:pgSz w:w="11900" w:h="16838" w:orient="portrait"/>
          <w:cols w:equalWidth="0" w:num="1">
            <w:col w:w="11240"/>
          </w:cols>
          <w:pgMar w:left="320" w:top="553"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553"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 January 31,</w:t>
            </w:r>
          </w:p>
        </w:tc>
        <w:tc>
          <w:tcPr>
            <w:tcW w:w="360" w:type="dxa"/>
            <w:vAlign w:val="bottom"/>
          </w:tcPr>
          <w:p>
            <w:pPr>
              <w:spacing w:after="0"/>
              <w:rPr>
                <w:sz w:val="16"/>
                <w:szCs w:val="16"/>
                <w:color w:val="auto"/>
              </w:rPr>
            </w:pPr>
          </w:p>
        </w:tc>
        <w:tc>
          <w:tcPr>
            <w:tcW w:w="2800" w:type="dxa"/>
            <w:vAlign w:val="bottom"/>
            <w:gridSpan w:val="3"/>
          </w:tcPr>
          <w:p>
            <w:pPr>
              <w:jc w:val="right"/>
              <w:ind w:right="531"/>
              <w:spacing w:after="0"/>
              <w:rPr>
                <w:sz w:val="20"/>
                <w:szCs w:val="20"/>
                <w:color w:val="auto"/>
              </w:rPr>
            </w:pPr>
            <w:r>
              <w:rPr>
                <w:rFonts w:ascii="Arial" w:cs="Arial" w:eastAsia="Arial" w:hAnsi="Arial"/>
                <w:sz w:val="14"/>
                <w:szCs w:val="14"/>
                <w:b w:val="1"/>
                <w:bCs w:val="1"/>
                <w:color w:val="auto"/>
              </w:rPr>
              <w:t>Six Months Ended January 31,</w:t>
            </w:r>
          </w:p>
        </w:tc>
        <w:tc>
          <w:tcPr>
            <w:tcW w:w="0" w:type="dxa"/>
            <w:vAlign w:val="bottom"/>
          </w:tcPr>
          <w:p>
            <w:pPr>
              <w:spacing w:after="0"/>
              <w:rPr>
                <w:sz w:val="1"/>
                <w:szCs w:val="1"/>
                <w:color w:val="auto"/>
              </w:rPr>
            </w:pPr>
          </w:p>
        </w:tc>
      </w:tr>
      <w:tr>
        <w:trPr>
          <w:trHeight w:val="264"/>
        </w:trPr>
        <w:tc>
          <w:tcPr>
            <w:tcW w:w="506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Mountain and Lodging services and other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753,758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687,119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933,789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831,141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 and Lodging retail and dining</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170,674</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162,203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254,233</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238,087</w:t>
            </w:r>
          </w:p>
        </w:tc>
        <w:tc>
          <w:tcPr>
            <w:tcW w:w="0" w:type="dxa"/>
            <w:vAlign w:val="bottom"/>
          </w:tcPr>
          <w:p>
            <w:pPr>
              <w:spacing w:after="0"/>
              <w:rPr>
                <w:sz w:val="1"/>
                <w:szCs w:val="1"/>
                <w:color w:val="auto"/>
              </w:rPr>
            </w:pPr>
          </w:p>
        </w:tc>
      </w:tr>
      <w:tr>
        <w:trPr>
          <w:trHeight w:val="237"/>
        </w:trPr>
        <w:tc>
          <w:tcPr>
            <w:tcW w:w="50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Resort net revenue</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924,432</w:t>
            </w: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849,322</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1,188,022</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1,069,228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206</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4,386</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7"/>
        </w:trPr>
        <w:tc>
          <w:tcPr>
            <w:tcW w:w="50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net revenue</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924,638</w:t>
            </w: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849,578</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1,192,408</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1,069,582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 (exclusive of depreciation and amortization</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shown separately below):</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Mountain and Lodging operating expense</w:t>
            </w:r>
          </w:p>
        </w:tc>
        <w:tc>
          <w:tcPr>
            <w:tcW w:w="28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387,842</w:t>
            </w: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350,633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616,552</w:t>
            </w: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544,745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Mountain and Lodging retail and dining cost of products sold</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67,135</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63,505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104,870</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98,381</w:t>
            </w:r>
          </w:p>
        </w:tc>
        <w:tc>
          <w:tcPr>
            <w:tcW w:w="0" w:type="dxa"/>
            <w:vAlign w:val="bottom"/>
          </w:tcPr>
          <w:p>
            <w:pPr>
              <w:spacing w:after="0"/>
              <w:rPr>
                <w:sz w:val="1"/>
                <w:szCs w:val="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91,302</w:t>
            </w: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77,362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166,357</w:t>
            </w: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141,741</w:t>
            </w:r>
          </w:p>
        </w:tc>
        <w:tc>
          <w:tcPr>
            <w:tcW w:w="0" w:type="dxa"/>
            <w:vAlign w:val="bottom"/>
          </w:tcPr>
          <w:p>
            <w:pPr>
              <w:spacing w:after="0"/>
              <w:rPr>
                <w:sz w:val="1"/>
                <w:szCs w:val="1"/>
                <w:color w:val="auto"/>
              </w:rPr>
            </w:pPr>
          </w:p>
        </w:tc>
      </w:tr>
      <w:tr>
        <w:trPr>
          <w:trHeight w:val="27"/>
        </w:trPr>
        <w:tc>
          <w:tcPr>
            <w:tcW w:w="5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Resort operating expense</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546,279</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887,779</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784,867</w:t>
            </w:r>
          </w:p>
        </w:tc>
        <w:tc>
          <w:tcPr>
            <w:tcW w:w="0" w:type="dxa"/>
            <w:vAlign w:val="bottom"/>
          </w:tcPr>
          <w:p>
            <w:pPr>
              <w:spacing w:after="0"/>
              <w:rPr>
                <w:sz w:val="1"/>
                <w:szCs w:val="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Real Estate operating expense</w:t>
            </w:r>
          </w:p>
        </w:tc>
        <w:tc>
          <w:tcPr>
            <w:tcW w:w="28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1,505</w:t>
            </w: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6,798</w:t>
            </w: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7"/>
        </w:trPr>
        <w:tc>
          <w:tcPr>
            <w:tcW w:w="5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segment operating expense</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547,784</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492,889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894,577</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787,626</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Other operating (expense) income:</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(63,812)</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(121,657)</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(106,281)</w:t>
            </w:r>
          </w:p>
        </w:tc>
        <w:tc>
          <w:tcPr>
            <w:tcW w:w="0" w:type="dxa"/>
            <w:vAlign w:val="bottom"/>
          </w:tcPr>
          <w:p>
            <w:pPr>
              <w:spacing w:after="0"/>
              <w:rPr>
                <w:sz w:val="1"/>
                <w:szCs w:val="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Gain on sale of real property</w:t>
            </w:r>
          </w:p>
        </w:tc>
        <w:tc>
          <w:tcPr>
            <w:tcW w:w="28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207</w:t>
            </w: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Change in estimated fair value of contingent consideration (Note</w:t>
            </w:r>
          </w:p>
        </w:tc>
        <w:tc>
          <w:tcPr>
            <w:tcW w:w="28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40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44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122"/>
        </w:trPr>
        <w:tc>
          <w:tcPr>
            <w:tcW w:w="5060" w:type="dxa"/>
            <w:vAlign w:val="bottom"/>
            <w:vMerge w:val="restart"/>
            <w:shd w:val="clear" w:color="auto" w:fill="CCEEFF"/>
          </w:tcPr>
          <w:p>
            <w:pPr>
              <w:ind w:left="28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CCEEFF"/>
            </w:tcBorders>
            <w:vMerge w:val="continue"/>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11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11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(Loss) gain on disposal of fixed assets and other, net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(709)</w:t>
            </w: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1,558</w:t>
            </w: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
        </w:trPr>
        <w:tc>
          <w:tcPr>
            <w:tcW w:w="5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310,733</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301,848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175,203</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174,253</w:t>
            </w:r>
          </w:p>
        </w:tc>
        <w:tc>
          <w:tcPr>
            <w:tcW w:w="0" w:type="dxa"/>
            <w:vAlign w:val="bottom"/>
          </w:tcPr>
          <w:p>
            <w:pPr>
              <w:spacing w:after="0"/>
              <w:rPr>
                <w:sz w:val="1"/>
                <w:szCs w:val="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Mountain equity investment income, net</w:t>
            </w:r>
          </w:p>
        </w:tc>
        <w:tc>
          <w:tcPr>
            <w:tcW w:w="28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169</w:t>
            </w: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1,360</w:t>
            </w:r>
          </w:p>
        </w:tc>
        <w:tc>
          <w:tcPr>
            <w:tcW w:w="4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income and other, net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361</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638</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w w:val="99"/>
              </w:rPr>
              <w:t>Foreign currency (loss) gain on intercompany loans (Note 6)</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(798)</w:t>
            </w:r>
          </w:p>
        </w:tc>
        <w:tc>
          <w:tcPr>
            <w:tcW w:w="4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(438)</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(26,134)</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(48,824)</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(39,640)</w:t>
            </w:r>
          </w:p>
        </w:tc>
        <w:tc>
          <w:tcPr>
            <w:tcW w:w="0" w:type="dxa"/>
            <w:vAlign w:val="bottom"/>
          </w:tcPr>
          <w:p>
            <w:pPr>
              <w:spacing w:after="0"/>
              <w:rPr>
                <w:sz w:val="1"/>
                <w:szCs w:val="1"/>
                <w:color w:val="auto"/>
              </w:rPr>
            </w:pPr>
          </w:p>
        </w:tc>
      </w:tr>
      <w:tr>
        <w:trPr>
          <w:trHeight w:val="236"/>
        </w:trPr>
        <w:tc>
          <w:tcPr>
            <w:tcW w:w="5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284,331</w:t>
            </w: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281,963</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127,939</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134,832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(67,313)</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(20,750)</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(27,568)</w:t>
            </w:r>
          </w:p>
        </w:tc>
        <w:tc>
          <w:tcPr>
            <w:tcW w:w="0" w:type="dxa"/>
            <w:vAlign w:val="bottom"/>
          </w:tcPr>
          <w:p>
            <w:pPr>
              <w:spacing w:after="0"/>
              <w:rPr>
                <w:sz w:val="1"/>
                <w:szCs w:val="1"/>
                <w:color w:val="auto"/>
              </w:rPr>
            </w:pPr>
          </w:p>
        </w:tc>
      </w:tr>
      <w:tr>
        <w:trPr>
          <w:trHeight w:val="237"/>
        </w:trPr>
        <w:tc>
          <w:tcPr>
            <w:tcW w:w="5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217,018</w:t>
            </w: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217,990</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107,189</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107,264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(10,648)</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(7,294)</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(8,710)</w:t>
            </w:r>
          </w:p>
        </w:tc>
        <w:tc>
          <w:tcPr>
            <w:tcW w:w="0" w:type="dxa"/>
            <w:vAlign w:val="bottom"/>
          </w:tcPr>
          <w:p>
            <w:pPr>
              <w:spacing w:after="0"/>
              <w:rPr>
                <w:sz w:val="1"/>
                <w:szCs w:val="1"/>
                <w:color w:val="auto"/>
              </w:rPr>
            </w:pPr>
          </w:p>
        </w:tc>
      </w:tr>
      <w:tr>
        <w:trPr>
          <w:trHeight w:val="237"/>
        </w:trPr>
        <w:tc>
          <w:tcPr>
            <w:tcW w:w="5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206,370</w:t>
            </w: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206,349</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99,895</w:t>
            </w:r>
          </w:p>
        </w:tc>
        <w:tc>
          <w:tcPr>
            <w:tcW w:w="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98,554</w:t>
            </w:r>
          </w:p>
        </w:tc>
        <w:tc>
          <w:tcPr>
            <w:tcW w:w="0" w:type="dxa"/>
            <w:vAlign w:val="bottom"/>
          </w:tcPr>
          <w:p>
            <w:pPr>
              <w:spacing w:after="0"/>
              <w:rPr>
                <w:sz w:val="1"/>
                <w:szCs w:val="1"/>
                <w:color w:val="auto"/>
              </w:rPr>
            </w:pPr>
          </w:p>
        </w:tc>
      </w:tr>
      <w:tr>
        <w:trPr>
          <w:trHeight w:val="67"/>
        </w:trPr>
        <w:tc>
          <w:tcPr>
            <w:tcW w:w="50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amounts (Note 5):</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Basic net income per share attributable to Vail Resorts, Inc.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5.12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2.48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8"/>
              </w:rPr>
              <w:t>Diluted net income per share attributable to Vail Resorts, Inc.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2.44</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Cash dividends declared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1.76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3.52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r>
      <w:tr>
        <w:trPr>
          <w:trHeight w:val="192"/>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January 31,</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January 31,</w:t>
            </w:r>
          </w:p>
        </w:tc>
        <w:tc>
          <w:tcPr>
            <w:tcW w:w="820" w:type="dxa"/>
            <w:vAlign w:val="bottom"/>
            <w:tcBorders>
              <w:bottom w:val="single" w:sz="8" w:color="auto"/>
            </w:tcBorders>
          </w:tcPr>
          <w:p>
            <w:pPr>
              <w:spacing w:after="0"/>
              <w:rPr>
                <w:sz w:val="16"/>
                <w:szCs w:val="16"/>
                <w:color w:val="auto"/>
              </w:rPr>
            </w:pPr>
          </w:p>
        </w:tc>
      </w:tr>
      <w:tr>
        <w:trPr>
          <w:trHeight w:val="263"/>
        </w:trPr>
        <w:tc>
          <w:tcPr>
            <w:tcW w:w="55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3"/>
              </w:rPr>
              <w:t>2019</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217,018</w:t>
            </w:r>
          </w:p>
        </w:tc>
        <w:tc>
          <w:tcPr>
            <w:tcW w:w="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217,990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107,189</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107,264</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 net of tax</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(14,045)</w:t>
            </w:r>
          </w:p>
        </w:tc>
        <w:tc>
          <w:tcPr>
            <w:tcW w:w="5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7,863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(9,025)</w:t>
            </w:r>
          </w:p>
        </w:tc>
        <w:tc>
          <w:tcPr>
            <w:tcW w:w="6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(14,773)</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estimated fair value of hedging instruments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6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198,107</w:t>
            </w:r>
          </w:p>
        </w:tc>
        <w:tc>
          <w:tcPr>
            <w:tcW w:w="5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225,853</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93,601</w:t>
            </w:r>
          </w:p>
        </w:tc>
        <w:tc>
          <w:tcPr>
            <w:tcW w:w="6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92,491</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(8,568)</w:t>
            </w: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(6,076)</w:t>
            </w:r>
          </w:p>
        </w:tc>
        <w:tc>
          <w:tcPr>
            <w:tcW w:w="6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(5,659)</w:t>
            </w:r>
          </w:p>
        </w:tc>
      </w:tr>
      <w:tr>
        <w:trPr>
          <w:trHeight w:val="237"/>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Comprehensive income attributable to Vail Resorts, Inc.</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189,539</w:t>
            </w:r>
          </w:p>
        </w:tc>
        <w:tc>
          <w:tcPr>
            <w:tcW w:w="5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212,996</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87,525</w:t>
            </w:r>
          </w:p>
        </w:tc>
        <w:tc>
          <w:tcPr>
            <w:tcW w:w="6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86,832</w:t>
            </w:r>
          </w:p>
        </w:tc>
      </w:tr>
      <w:tr>
        <w:trPr>
          <w:trHeight w:val="27"/>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76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2"/>
              <w:spacing w:after="0"/>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9"/>
              </w:rPr>
              <w:t>Total Vail</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5"/>
        </w:trPr>
        <w:tc>
          <w:tcPr>
            <w:tcW w:w="3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2"/>
              <w:spacing w:after="0" w:line="135"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Resorts, Inc.</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3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5"/>
              </w:rPr>
              <w:t>Additional Paid</w:t>
            </w: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80" w:type="dxa"/>
            <w:vAlign w:val="bottom"/>
          </w:tcPr>
          <w:p>
            <w:pPr>
              <w:spacing w:after="0"/>
              <w:rPr>
                <w:sz w:val="11"/>
                <w:szCs w:val="11"/>
                <w:color w:val="auto"/>
              </w:rPr>
            </w:pPr>
          </w:p>
        </w:tc>
        <w:tc>
          <w:tcPr>
            <w:tcW w:w="720" w:type="dxa"/>
            <w:vAlign w:val="bottom"/>
          </w:tcPr>
          <w:p>
            <w:pPr>
              <w:jc w:val="right"/>
              <w:ind w:right="121"/>
              <w:spacing w:after="0" w:line="135" w:lineRule="exact"/>
              <w:rPr>
                <w:sz w:val="20"/>
                <w:szCs w:val="20"/>
                <w:color w:val="auto"/>
              </w:rPr>
            </w:pPr>
            <w:r>
              <w:rPr>
                <w:rFonts w:ascii="Arial" w:cs="Arial" w:eastAsia="Arial" w:hAnsi="Arial"/>
                <w:sz w:val="13"/>
                <w:szCs w:val="13"/>
                <w:b w:val="1"/>
                <w:bCs w:val="1"/>
                <w:color w:val="auto"/>
                <w:w w:val="90"/>
              </w:rPr>
              <w:t>Retained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8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74"/>
        </w:trPr>
        <w:tc>
          <w:tcPr>
            <w:tcW w:w="3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3"/>
                <w:szCs w:val="13"/>
                <w:b w:val="1"/>
                <w:bCs w:val="1"/>
                <w:color w:val="auto"/>
              </w:rPr>
              <w:t>Common Stock</w:t>
            </w: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rPr>
              <w:t>in Capital</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
              <w:spacing w:after="0"/>
              <w:rPr>
                <w:sz w:val="20"/>
                <w:szCs w:val="20"/>
                <w:color w:val="auto"/>
              </w:rPr>
            </w:pPr>
            <w:r>
              <w:rPr>
                <w:rFonts w:ascii="Arial" w:cs="Arial" w:eastAsia="Arial" w:hAnsi="Arial"/>
                <w:sz w:val="13"/>
                <w:szCs w:val="13"/>
                <w:b w:val="1"/>
                <w:bCs w:val="1"/>
                <w:color w:val="auto"/>
                <w:w w:val="78"/>
              </w:rPr>
              <w:t>Loss</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w w:val="89"/>
              </w:rPr>
              <w:t>Earnings</w:t>
            </w: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7"/>
              </w:rPr>
              <w:t>Treasury Stock</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Equity</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92"/>
              </w:rPr>
              <w:t>Interests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Equity</w:t>
            </w:r>
          </w:p>
        </w:tc>
      </w:tr>
      <w:tr>
        <w:trPr>
          <w:trHeight w:val="264"/>
        </w:trPr>
        <w:tc>
          <w:tcPr>
            <w:tcW w:w="3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w w:val="85"/>
              </w:rPr>
              <w:t>Vail Resorts</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8"/>
              </w:rPr>
              <w:t>Exchangeable</w:t>
            </w: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236"/>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October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580" w:type="dxa"/>
            <w:vAlign w:val="bottom"/>
            <w:tcBorders>
              <w:bottom w:val="single" w:sz="8" w:color="CCEEFF"/>
            </w:tcBorders>
            <w:shd w:val="clear" w:color="auto" w:fill="CCEEFF"/>
          </w:tcPr>
          <w:p>
            <w:pPr>
              <w:jc w:val="right"/>
              <w:ind w:right="343"/>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4"/>
              </w:rPr>
              <w:t>$ 1,130,855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(20,596)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551,863</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(322,989)</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94"/>
              </w:rPr>
              <w:t>$1,339,595</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210,206</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4"/>
              </w:rPr>
              <w:t>$1,549,801</w:t>
            </w:r>
          </w:p>
        </w:tc>
      </w:tr>
      <w:tr>
        <w:trPr>
          <w:trHeight w:val="237"/>
        </w:trPr>
        <w:tc>
          <w:tcPr>
            <w:tcW w:w="31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3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206,349</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206,349</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11,641</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217,990</w:t>
            </w:r>
          </w:p>
        </w:tc>
      </w:tr>
      <w:tr>
        <w:trPr>
          <w:trHeight w:val="220"/>
        </w:trPr>
        <w:tc>
          <w:tcPr>
            <w:tcW w:w="3140" w:type="dxa"/>
            <w:vAlign w:val="bottom"/>
          </w:tcPr>
          <w:p>
            <w:pPr>
              <w:ind w:left="180"/>
              <w:spacing w:after="0"/>
              <w:rPr>
                <w:sz w:val="20"/>
                <w:szCs w:val="20"/>
                <w:color w:val="auto"/>
              </w:rPr>
            </w:pPr>
            <w:r>
              <w:rPr>
                <w:rFonts w:ascii="Arial" w:cs="Arial" w:eastAsia="Arial" w:hAnsi="Arial"/>
                <w:sz w:val="16"/>
                <w:szCs w:val="16"/>
                <w:color w:val="auto"/>
                <w:w w:val="91"/>
              </w:rPr>
              <w:t>Foreign currency translation adjustments, net</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3140" w:type="dxa"/>
            <w:vAlign w:val="bottom"/>
          </w:tcPr>
          <w:p>
            <w:pPr>
              <w:ind w:left="180"/>
              <w:spacing w:after="0"/>
              <w:rPr>
                <w:sz w:val="20"/>
                <w:szCs w:val="20"/>
                <w:color w:val="auto"/>
              </w:rPr>
            </w:pPr>
            <w:r>
              <w:rPr>
                <w:rFonts w:ascii="Arial" w:cs="Arial" w:eastAsia="Arial" w:hAnsi="Arial"/>
                <w:sz w:val="16"/>
                <w:szCs w:val="16"/>
                <w:color w:val="auto"/>
              </w:rPr>
              <w:t>of tax</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6,647</w:t>
            </w:r>
          </w:p>
        </w:tc>
        <w:tc>
          <w:tcPr>
            <w:tcW w:w="180" w:type="dxa"/>
            <w:vAlign w:val="bottom"/>
          </w:tcPr>
          <w:p>
            <w:pPr>
              <w:spacing w:after="0"/>
              <w:rPr>
                <w:sz w:val="17"/>
                <w:szCs w:val="17"/>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6,647</w:t>
            </w:r>
          </w:p>
        </w:tc>
        <w:tc>
          <w:tcPr>
            <w:tcW w:w="16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1,216</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7,863</w:t>
            </w:r>
          </w:p>
        </w:tc>
      </w:tr>
      <w:tr>
        <w:trPr>
          <w:trHeight w:val="33"/>
        </w:trPr>
        <w:tc>
          <w:tcPr>
            <w:tcW w:w="3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212,996</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12,857</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225,853</w:t>
            </w:r>
          </w:p>
        </w:tc>
      </w:tr>
      <w:tr>
        <w:trPr>
          <w:trHeight w:val="217"/>
        </w:trPr>
        <w:tc>
          <w:tcPr>
            <w:tcW w:w="314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5,147</w:t>
            </w:r>
          </w:p>
        </w:tc>
        <w:tc>
          <w:tcPr>
            <w:tcW w:w="120" w:type="dxa"/>
            <w:vAlign w:val="bottom"/>
          </w:tcPr>
          <w:p>
            <w:pPr>
              <w:spacing w:after="0"/>
              <w:rPr>
                <w:sz w:val="18"/>
                <w:szCs w:val="18"/>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5,147</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5,147</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Issuance of shares under share award plans, net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shares withheld for employee taxes</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23"/>
        </w:trPr>
        <w:tc>
          <w:tcPr>
            <w:tcW w:w="3140" w:type="dxa"/>
            <w:vAlign w:val="bottom"/>
          </w:tcPr>
          <w:p>
            <w:pPr>
              <w:ind w:left="40"/>
              <w:spacing w:after="0"/>
              <w:rPr>
                <w:sz w:val="20"/>
                <w:szCs w:val="20"/>
                <w:color w:val="auto"/>
              </w:rPr>
            </w:pPr>
            <w:r>
              <w:rPr>
                <w:rFonts w:ascii="Arial" w:cs="Arial" w:eastAsia="Arial" w:hAnsi="Arial"/>
                <w:sz w:val="16"/>
                <w:szCs w:val="16"/>
                <w:color w:val="auto"/>
              </w:rPr>
              <w:t>Repurchase of common stock (Note 12)</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(35,000)</w:t>
            </w:r>
          </w:p>
        </w:tc>
        <w:tc>
          <w:tcPr>
            <w:tcW w:w="880" w:type="dxa"/>
            <w:vAlign w:val="bottom"/>
          </w:tcPr>
          <w:p>
            <w:pPr>
              <w:jc w:val="right"/>
              <w:spacing w:after="0"/>
              <w:rPr>
                <w:sz w:val="20"/>
                <w:szCs w:val="20"/>
                <w:color w:val="auto"/>
              </w:rPr>
            </w:pPr>
            <w:r>
              <w:rPr>
                <w:rFonts w:ascii="Arial" w:cs="Arial" w:eastAsia="Arial" w:hAnsi="Arial"/>
                <w:sz w:val="16"/>
                <w:szCs w:val="16"/>
                <w:color w:val="auto"/>
              </w:rPr>
              <w:t>(35,000)</w:t>
            </w:r>
          </w:p>
        </w:tc>
        <w:tc>
          <w:tcPr>
            <w:tcW w:w="16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(35,000)</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(Note 5)</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(59,167)</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(59,167)</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(59,167)</w:t>
            </w:r>
          </w:p>
        </w:tc>
      </w:tr>
      <w:tr>
        <w:trPr>
          <w:trHeight w:val="224"/>
        </w:trPr>
        <w:tc>
          <w:tcPr>
            <w:tcW w:w="314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 net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(3,246)</w:t>
            </w:r>
          </w:p>
        </w:tc>
        <w:tc>
          <w:tcPr>
            <w:tcW w:w="880" w:type="dxa"/>
            <w:vAlign w:val="bottom"/>
          </w:tcPr>
          <w:p>
            <w:pPr>
              <w:jc w:val="right"/>
              <w:spacing w:after="0"/>
              <w:rPr>
                <w:sz w:val="20"/>
                <w:szCs w:val="20"/>
                <w:color w:val="auto"/>
              </w:rPr>
            </w:pPr>
            <w:r>
              <w:rPr>
                <w:rFonts w:ascii="Arial" w:cs="Arial" w:eastAsia="Arial" w:hAnsi="Arial"/>
                <w:sz w:val="16"/>
                <w:szCs w:val="16"/>
                <w:color w:val="auto"/>
              </w:rPr>
              <w:t>(3,246)</w:t>
            </w:r>
          </w:p>
        </w:tc>
      </w:tr>
      <w:tr>
        <w:trPr>
          <w:trHeight w:val="33"/>
        </w:trPr>
        <w:tc>
          <w:tcPr>
            <w:tcW w:w="3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5"/>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580" w:type="dxa"/>
            <w:vAlign w:val="bottom"/>
            <w:tcBorders>
              <w:bottom w:val="single" w:sz="8" w:color="CCEEFF"/>
            </w:tcBorders>
            <w:shd w:val="clear" w:color="auto" w:fill="CCEEFF"/>
          </w:tcPr>
          <w:p>
            <w:pPr>
              <w:jc w:val="right"/>
              <w:ind w:right="343"/>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4"/>
              </w:rPr>
              <w:t>$ 1,135,709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699,045</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(357,989)</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94"/>
              </w:rPr>
              <w:t>$1,463,278</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219,817</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4"/>
              </w:rPr>
              <w:t>$1,683,095</w:t>
            </w:r>
          </w:p>
        </w:tc>
      </w:tr>
      <w:tr>
        <w:trPr>
          <w:trHeight w:val="20"/>
        </w:trPr>
        <w:tc>
          <w:tcPr>
            <w:tcW w:w="3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18"/>
        </w:trPr>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6"/>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October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580" w:type="dxa"/>
            <w:vAlign w:val="bottom"/>
            <w:tcBorders>
              <w:bottom w:val="single" w:sz="8" w:color="CCEEFF"/>
            </w:tcBorders>
            <w:shd w:val="clear" w:color="auto" w:fill="CCEEFF"/>
          </w:tcPr>
          <w:p>
            <w:pPr>
              <w:jc w:val="right"/>
              <w:ind w:right="343"/>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4"/>
              </w:rPr>
              <w:t>$ 1,126,492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(27,269)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582,235</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(379,433)</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94"/>
              </w:rPr>
              <w:t>$1,302,488</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219,948</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4"/>
              </w:rPr>
              <w:t>$1,522,436</w:t>
            </w:r>
          </w:p>
        </w:tc>
      </w:tr>
      <w:tr>
        <w:trPr>
          <w:trHeight w:val="237"/>
        </w:trPr>
        <w:tc>
          <w:tcPr>
            <w:tcW w:w="31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6"/>
        </w:trPr>
        <w:tc>
          <w:tcPr>
            <w:tcW w:w="3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206,370</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206,370</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10,648</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217,018</w:t>
            </w:r>
          </w:p>
        </w:tc>
      </w:tr>
      <w:tr>
        <w:trPr>
          <w:trHeight w:val="220"/>
        </w:trPr>
        <w:tc>
          <w:tcPr>
            <w:tcW w:w="3140" w:type="dxa"/>
            <w:vAlign w:val="bottom"/>
          </w:tcPr>
          <w:p>
            <w:pPr>
              <w:ind w:left="180"/>
              <w:spacing w:after="0"/>
              <w:rPr>
                <w:sz w:val="20"/>
                <w:szCs w:val="20"/>
                <w:color w:val="auto"/>
              </w:rPr>
            </w:pPr>
            <w:r>
              <w:rPr>
                <w:rFonts w:ascii="Arial" w:cs="Arial" w:eastAsia="Arial" w:hAnsi="Arial"/>
                <w:sz w:val="16"/>
                <w:szCs w:val="16"/>
                <w:color w:val="auto"/>
                <w:w w:val="91"/>
              </w:rPr>
              <w:t>Foreign currency translation adjustments, net</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3140" w:type="dxa"/>
            <w:vAlign w:val="bottom"/>
          </w:tcPr>
          <w:p>
            <w:pPr>
              <w:ind w:left="180"/>
              <w:spacing w:after="0"/>
              <w:rPr>
                <w:sz w:val="20"/>
                <w:szCs w:val="20"/>
                <w:color w:val="auto"/>
              </w:rPr>
            </w:pPr>
            <w:r>
              <w:rPr>
                <w:rFonts w:ascii="Arial" w:cs="Arial" w:eastAsia="Arial" w:hAnsi="Arial"/>
                <w:sz w:val="16"/>
                <w:szCs w:val="16"/>
                <w:color w:val="auto"/>
              </w:rPr>
              <w:t>of tax</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(11,965)</w:t>
            </w:r>
          </w:p>
        </w:tc>
        <w:tc>
          <w:tcPr>
            <w:tcW w:w="180" w:type="dxa"/>
            <w:vAlign w:val="bottom"/>
          </w:tcPr>
          <w:p>
            <w:pPr>
              <w:spacing w:after="0"/>
              <w:rPr>
                <w:sz w:val="17"/>
                <w:szCs w:val="17"/>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(11,965)</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(2,080)</w:t>
            </w:r>
          </w:p>
        </w:tc>
        <w:tc>
          <w:tcPr>
            <w:tcW w:w="880" w:type="dxa"/>
            <w:vAlign w:val="bottom"/>
          </w:tcPr>
          <w:p>
            <w:pPr>
              <w:jc w:val="right"/>
              <w:spacing w:after="0"/>
              <w:rPr>
                <w:sz w:val="20"/>
                <w:szCs w:val="20"/>
                <w:color w:val="auto"/>
              </w:rPr>
            </w:pPr>
            <w:r>
              <w:rPr>
                <w:rFonts w:ascii="Arial" w:cs="Arial" w:eastAsia="Arial" w:hAnsi="Arial"/>
                <w:sz w:val="16"/>
                <w:szCs w:val="16"/>
                <w:color w:val="auto"/>
              </w:rPr>
              <w:t>(14,045)</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31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Change in estimated fair value of hedging</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9"/>
        </w:trPr>
        <w:tc>
          <w:tcPr>
            <w:tcW w:w="3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instruments</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(4,866)</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(4,866)</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(4,866)</w:t>
            </w:r>
          </w:p>
        </w:tc>
      </w:tr>
      <w:tr>
        <w:trPr>
          <w:trHeight w:val="217"/>
        </w:trPr>
        <w:tc>
          <w:tcPr>
            <w:tcW w:w="3140" w:type="dxa"/>
            <w:vAlign w:val="bottom"/>
          </w:tcPr>
          <w:p>
            <w:pPr>
              <w:ind w:left="280"/>
              <w:spacing w:after="0"/>
              <w:rPr>
                <w:sz w:val="20"/>
                <w:szCs w:val="20"/>
                <w:color w:val="auto"/>
              </w:rPr>
            </w:pPr>
            <w:r>
              <w:rPr>
                <w:rFonts w:ascii="Arial" w:cs="Arial" w:eastAsia="Arial" w:hAnsi="Arial"/>
                <w:sz w:val="16"/>
                <w:szCs w:val="16"/>
                <w:color w:val="auto"/>
              </w:rPr>
              <w:t>Total comprehensive income</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189,539</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8,568</w:t>
            </w: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198,107</w:t>
            </w:r>
          </w:p>
        </w:tc>
      </w:tr>
      <w:tr>
        <w:trPr>
          <w:trHeight w:val="33"/>
        </w:trPr>
        <w:tc>
          <w:tcPr>
            <w:tcW w:w="3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5,538</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5,538</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5,538</w:t>
            </w:r>
          </w:p>
        </w:tc>
      </w:tr>
      <w:tr>
        <w:trPr>
          <w:trHeight w:val="220"/>
        </w:trPr>
        <w:tc>
          <w:tcPr>
            <w:tcW w:w="3140" w:type="dxa"/>
            <w:vAlign w:val="bottom"/>
          </w:tcPr>
          <w:p>
            <w:pPr>
              <w:ind w:left="40"/>
              <w:spacing w:after="0"/>
              <w:rPr>
                <w:sz w:val="20"/>
                <w:szCs w:val="20"/>
                <w:color w:val="auto"/>
              </w:rPr>
            </w:pPr>
            <w:r>
              <w:rPr>
                <w:rFonts w:ascii="Arial" w:cs="Arial" w:eastAsia="Arial" w:hAnsi="Arial"/>
                <w:sz w:val="16"/>
                <w:szCs w:val="16"/>
                <w:color w:val="auto"/>
                <w:w w:val="89"/>
              </w:rPr>
              <w:t>Issuance of shares under share award plans, net</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3140" w:type="dxa"/>
            <w:vAlign w:val="bottom"/>
          </w:tcPr>
          <w:p>
            <w:pPr>
              <w:ind w:left="40"/>
              <w:spacing w:after="0"/>
              <w:rPr>
                <w:sz w:val="20"/>
                <w:szCs w:val="20"/>
                <w:color w:val="auto"/>
              </w:rPr>
            </w:pPr>
            <w:r>
              <w:rPr>
                <w:rFonts w:ascii="Arial" w:cs="Arial" w:eastAsia="Arial" w:hAnsi="Arial"/>
                <w:sz w:val="16"/>
                <w:szCs w:val="16"/>
                <w:color w:val="auto"/>
              </w:rPr>
              <w:t>of shares withheld for employee taxes</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(1,124)</w:t>
            </w:r>
          </w:p>
        </w:tc>
        <w:tc>
          <w:tcPr>
            <w:tcW w:w="12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(1,124)</w:t>
            </w:r>
          </w:p>
        </w:tc>
        <w:tc>
          <w:tcPr>
            <w:tcW w:w="16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(1,124)</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6"/>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(Note 5)</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(70,959)</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(70,959)</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(70,959)</w:t>
            </w:r>
          </w:p>
        </w:tc>
      </w:tr>
      <w:tr>
        <w:trPr>
          <w:trHeight w:val="223"/>
        </w:trPr>
        <w:tc>
          <w:tcPr>
            <w:tcW w:w="314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 net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(3,800)</w:t>
            </w:r>
          </w:p>
        </w:tc>
        <w:tc>
          <w:tcPr>
            <w:tcW w:w="880" w:type="dxa"/>
            <w:vAlign w:val="bottom"/>
          </w:tcPr>
          <w:p>
            <w:pPr>
              <w:jc w:val="right"/>
              <w:spacing w:after="0"/>
              <w:rPr>
                <w:sz w:val="20"/>
                <w:szCs w:val="20"/>
                <w:color w:val="auto"/>
              </w:rPr>
            </w:pPr>
            <w:r>
              <w:rPr>
                <w:rFonts w:ascii="Arial" w:cs="Arial" w:eastAsia="Arial" w:hAnsi="Arial"/>
                <w:sz w:val="16"/>
                <w:szCs w:val="16"/>
                <w:color w:val="auto"/>
              </w:rPr>
              <w:t>(3,800)</w:t>
            </w:r>
          </w:p>
        </w:tc>
      </w:tr>
      <w:tr>
        <w:trPr>
          <w:trHeight w:val="33"/>
        </w:trPr>
        <w:tc>
          <w:tcPr>
            <w:tcW w:w="3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5"/>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31,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580" w:type="dxa"/>
            <w:vAlign w:val="bottom"/>
            <w:tcBorders>
              <w:bottom w:val="single" w:sz="8" w:color="CCEEFF"/>
            </w:tcBorders>
            <w:shd w:val="clear" w:color="auto" w:fill="CCEEFF"/>
          </w:tcPr>
          <w:p>
            <w:pPr>
              <w:jc w:val="right"/>
              <w:ind w:right="343"/>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4"/>
              </w:rPr>
              <w:t>$ 1,130,906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717,646</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(379,433)</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94"/>
              </w:rPr>
              <w:t>$1,425,482</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224,716</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4"/>
              </w:rPr>
              <w:t>$1,650,198</w:t>
            </w:r>
          </w:p>
        </w:tc>
      </w:tr>
      <w:tr>
        <w:trPr>
          <w:trHeight w:val="20"/>
        </w:trPr>
        <w:tc>
          <w:tcPr>
            <w:tcW w:w="3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5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1"/>
              <w:spacing w:after="0"/>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9"/>
              </w:rPr>
              <w:t>Total Vail</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5"/>
        </w:trPr>
        <w:tc>
          <w:tcPr>
            <w:tcW w:w="3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1"/>
              <w:spacing w:after="0" w:line="135"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Resorts, Inc.</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3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5"/>
              </w:rPr>
              <w:t>Additional Paid</w:t>
            </w: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80" w:type="dxa"/>
            <w:vAlign w:val="bottom"/>
          </w:tcPr>
          <w:p>
            <w:pPr>
              <w:spacing w:after="0"/>
              <w:rPr>
                <w:sz w:val="11"/>
                <w:szCs w:val="11"/>
                <w:color w:val="auto"/>
              </w:rPr>
            </w:pPr>
          </w:p>
        </w:tc>
        <w:tc>
          <w:tcPr>
            <w:tcW w:w="720" w:type="dxa"/>
            <w:vAlign w:val="bottom"/>
          </w:tcPr>
          <w:p>
            <w:pPr>
              <w:jc w:val="right"/>
              <w:ind w:right="121"/>
              <w:spacing w:after="0" w:line="135" w:lineRule="exact"/>
              <w:rPr>
                <w:sz w:val="20"/>
                <w:szCs w:val="20"/>
                <w:color w:val="auto"/>
              </w:rPr>
            </w:pPr>
            <w:r>
              <w:rPr>
                <w:rFonts w:ascii="Arial" w:cs="Arial" w:eastAsia="Arial" w:hAnsi="Arial"/>
                <w:sz w:val="13"/>
                <w:szCs w:val="13"/>
                <w:b w:val="1"/>
                <w:bCs w:val="1"/>
                <w:color w:val="auto"/>
                <w:w w:val="90"/>
              </w:rPr>
              <w:t>Retained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8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74"/>
        </w:trPr>
        <w:tc>
          <w:tcPr>
            <w:tcW w:w="3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3"/>
                <w:szCs w:val="13"/>
                <w:b w:val="1"/>
                <w:bCs w:val="1"/>
                <w:color w:val="auto"/>
              </w:rPr>
              <w:t>Common Stock</w:t>
            </w: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rPr>
              <w:t>in Capital</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
              <w:spacing w:after="0"/>
              <w:rPr>
                <w:sz w:val="20"/>
                <w:szCs w:val="20"/>
                <w:color w:val="auto"/>
              </w:rPr>
            </w:pPr>
            <w:r>
              <w:rPr>
                <w:rFonts w:ascii="Arial" w:cs="Arial" w:eastAsia="Arial" w:hAnsi="Arial"/>
                <w:sz w:val="13"/>
                <w:szCs w:val="13"/>
                <w:b w:val="1"/>
                <w:bCs w:val="1"/>
                <w:color w:val="auto"/>
                <w:w w:val="78"/>
              </w:rPr>
              <w:t>Loss</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w w:val="89"/>
              </w:rPr>
              <w:t>Earnings</w:t>
            </w: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7"/>
              </w:rPr>
              <w:t>Treasury Stock</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Equity</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92"/>
              </w:rPr>
              <w:t>Interests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Equity</w:t>
            </w:r>
          </w:p>
        </w:tc>
      </w:tr>
      <w:tr>
        <w:trPr>
          <w:trHeight w:val="263"/>
        </w:trPr>
        <w:tc>
          <w:tcPr>
            <w:tcW w:w="3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w w:val="85"/>
              </w:rPr>
              <w:t>Vail Resorts</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8"/>
              </w:rPr>
              <w:t>Exchangeable</w:t>
            </w: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237"/>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July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580" w:type="dxa"/>
            <w:vAlign w:val="bottom"/>
            <w:tcBorders>
              <w:bottom w:val="single" w:sz="8" w:color="CCEEFF"/>
            </w:tcBorders>
            <w:shd w:val="clear" w:color="auto" w:fill="CCEEFF"/>
          </w:tcPr>
          <w:p>
            <w:pPr>
              <w:jc w:val="right"/>
              <w:ind w:right="343"/>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4"/>
              </w:rPr>
              <w:t>$ 1,137,467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726,722</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(272,989)</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94"/>
              </w:rPr>
              <w:t>$1,589,434</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222,229</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$ 1,811,663</w:t>
            </w:r>
          </w:p>
        </w:tc>
      </w:tr>
      <w:tr>
        <w:trPr>
          <w:trHeight w:val="237"/>
        </w:trPr>
        <w:tc>
          <w:tcPr>
            <w:tcW w:w="31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6"/>
        </w:trPr>
        <w:tc>
          <w:tcPr>
            <w:tcW w:w="3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98,554</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98,554</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8,710</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107,264</w:t>
            </w:r>
          </w:p>
        </w:tc>
      </w:tr>
      <w:tr>
        <w:trPr>
          <w:trHeight w:val="220"/>
        </w:trPr>
        <w:tc>
          <w:tcPr>
            <w:tcW w:w="3140" w:type="dxa"/>
            <w:vAlign w:val="bottom"/>
          </w:tcPr>
          <w:p>
            <w:pPr>
              <w:ind w:left="180"/>
              <w:spacing w:after="0"/>
              <w:rPr>
                <w:sz w:val="20"/>
                <w:szCs w:val="20"/>
                <w:color w:val="auto"/>
              </w:rPr>
            </w:pPr>
            <w:r>
              <w:rPr>
                <w:rFonts w:ascii="Arial" w:cs="Arial" w:eastAsia="Arial" w:hAnsi="Arial"/>
                <w:sz w:val="16"/>
                <w:szCs w:val="16"/>
                <w:color w:val="auto"/>
                <w:w w:val="91"/>
              </w:rPr>
              <w:t>Foreign currency translation adjustments, net</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3140" w:type="dxa"/>
            <w:vAlign w:val="bottom"/>
          </w:tcPr>
          <w:p>
            <w:pPr>
              <w:ind w:left="180"/>
              <w:spacing w:after="0"/>
              <w:rPr>
                <w:sz w:val="20"/>
                <w:szCs w:val="20"/>
                <w:color w:val="auto"/>
              </w:rPr>
            </w:pPr>
            <w:r>
              <w:rPr>
                <w:rFonts w:ascii="Arial" w:cs="Arial" w:eastAsia="Arial" w:hAnsi="Arial"/>
                <w:sz w:val="16"/>
                <w:szCs w:val="16"/>
                <w:color w:val="auto"/>
              </w:rPr>
              <w:t>of tax</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(11,722)</w:t>
            </w:r>
          </w:p>
        </w:tc>
        <w:tc>
          <w:tcPr>
            <w:tcW w:w="180" w:type="dxa"/>
            <w:vAlign w:val="bottom"/>
          </w:tcPr>
          <w:p>
            <w:pPr>
              <w:spacing w:after="0"/>
              <w:rPr>
                <w:sz w:val="17"/>
                <w:szCs w:val="17"/>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(11,722)</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(3,051)</w:t>
            </w:r>
          </w:p>
        </w:tc>
        <w:tc>
          <w:tcPr>
            <w:tcW w:w="880" w:type="dxa"/>
            <w:vAlign w:val="bottom"/>
          </w:tcPr>
          <w:p>
            <w:pPr>
              <w:jc w:val="right"/>
              <w:spacing w:after="0"/>
              <w:rPr>
                <w:sz w:val="20"/>
                <w:szCs w:val="20"/>
                <w:color w:val="auto"/>
              </w:rPr>
            </w:pPr>
            <w:r>
              <w:rPr>
                <w:rFonts w:ascii="Arial" w:cs="Arial" w:eastAsia="Arial" w:hAnsi="Arial"/>
                <w:sz w:val="16"/>
                <w:szCs w:val="16"/>
                <w:color w:val="auto"/>
              </w:rPr>
              <w:t>(14,773)</w:t>
            </w:r>
          </w:p>
        </w:tc>
      </w:tr>
      <w:tr>
        <w:trPr>
          <w:trHeight w:val="33"/>
        </w:trPr>
        <w:tc>
          <w:tcPr>
            <w:tcW w:w="3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86,832</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5,659</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92,491</w:t>
            </w:r>
          </w:p>
        </w:tc>
      </w:tr>
      <w:tr>
        <w:trPr>
          <w:trHeight w:val="217"/>
        </w:trPr>
        <w:tc>
          <w:tcPr>
            <w:tcW w:w="314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9,900</w:t>
            </w:r>
          </w:p>
        </w:tc>
        <w:tc>
          <w:tcPr>
            <w:tcW w:w="120" w:type="dxa"/>
            <w:vAlign w:val="bottom"/>
          </w:tcPr>
          <w:p>
            <w:pPr>
              <w:spacing w:after="0"/>
              <w:rPr>
                <w:sz w:val="18"/>
                <w:szCs w:val="18"/>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9,900</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9,900</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Cumulative effect for adoption of revenue</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standard</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(7,517)</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(7,517)</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(7,517)</w:t>
            </w:r>
          </w:p>
        </w:tc>
      </w:tr>
      <w:tr>
        <w:trPr>
          <w:trHeight w:val="220"/>
        </w:trPr>
        <w:tc>
          <w:tcPr>
            <w:tcW w:w="3140" w:type="dxa"/>
            <w:vAlign w:val="bottom"/>
          </w:tcPr>
          <w:p>
            <w:pPr>
              <w:ind w:left="40"/>
              <w:spacing w:after="0"/>
              <w:rPr>
                <w:sz w:val="20"/>
                <w:szCs w:val="20"/>
                <w:color w:val="auto"/>
              </w:rPr>
            </w:pPr>
            <w:r>
              <w:rPr>
                <w:rFonts w:ascii="Arial" w:cs="Arial" w:eastAsia="Arial" w:hAnsi="Arial"/>
                <w:sz w:val="16"/>
                <w:szCs w:val="16"/>
                <w:color w:val="auto"/>
                <w:w w:val="89"/>
              </w:rPr>
              <w:t>Issuance of shares under share award plans, net</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3140" w:type="dxa"/>
            <w:vAlign w:val="bottom"/>
          </w:tcPr>
          <w:p>
            <w:pPr>
              <w:ind w:left="40"/>
              <w:spacing w:after="0"/>
              <w:rPr>
                <w:sz w:val="20"/>
                <w:szCs w:val="20"/>
                <w:color w:val="auto"/>
              </w:rPr>
            </w:pPr>
            <w:r>
              <w:rPr>
                <w:rFonts w:ascii="Arial" w:cs="Arial" w:eastAsia="Arial" w:hAnsi="Arial"/>
                <w:sz w:val="16"/>
                <w:szCs w:val="16"/>
                <w:color w:val="auto"/>
              </w:rPr>
              <w:t>of shares withheld for employee taxes</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580" w:type="dxa"/>
            <w:vAlign w:val="bottom"/>
          </w:tcPr>
          <w:p>
            <w:pPr>
              <w:spacing w:after="0"/>
              <w:rPr>
                <w:sz w:val="17"/>
                <w:szCs w:val="17"/>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(11,658)</w:t>
            </w:r>
          </w:p>
        </w:tc>
        <w:tc>
          <w:tcPr>
            <w:tcW w:w="120" w:type="dxa"/>
            <w:vAlign w:val="bottom"/>
          </w:tcPr>
          <w:p>
            <w:pPr>
              <w:spacing w:after="0"/>
              <w:rPr>
                <w:sz w:val="17"/>
                <w:szCs w:val="17"/>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(11,657)</w:t>
            </w:r>
          </w:p>
        </w:tc>
        <w:tc>
          <w:tcPr>
            <w:tcW w:w="16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(11,657)</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6"/>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 (Note 12)</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(85,000)</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(85,000)</w:t>
            </w:r>
          </w:p>
        </w:tc>
      </w:tr>
      <w:tr>
        <w:trPr>
          <w:trHeight w:val="224"/>
        </w:trPr>
        <w:tc>
          <w:tcPr>
            <w:tcW w:w="3140" w:type="dxa"/>
            <w:vAlign w:val="bottom"/>
          </w:tcPr>
          <w:p>
            <w:pPr>
              <w:ind w:left="40"/>
              <w:spacing w:after="0"/>
              <w:rPr>
                <w:sz w:val="20"/>
                <w:szCs w:val="20"/>
                <w:color w:val="auto"/>
              </w:rPr>
            </w:pPr>
            <w:r>
              <w:rPr>
                <w:rFonts w:ascii="Arial" w:cs="Arial" w:eastAsia="Arial" w:hAnsi="Arial"/>
                <w:sz w:val="16"/>
                <w:szCs w:val="16"/>
                <w:color w:val="auto"/>
              </w:rPr>
              <w:t>Dividends (Note 5)</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6"/>
              </w:rPr>
              <w:t>(118,714)</w:t>
            </w:r>
          </w:p>
        </w:tc>
        <w:tc>
          <w:tcPr>
            <w:tcW w:w="16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(118,714)</w:t>
            </w:r>
          </w:p>
        </w:tc>
        <w:tc>
          <w:tcPr>
            <w:tcW w:w="16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(118,714)</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2"/>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 interests, net</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(8,071)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(8,071)</w:t>
            </w:r>
          </w:p>
        </w:tc>
      </w:tr>
      <w:tr>
        <w:trPr>
          <w:trHeight w:val="217"/>
        </w:trPr>
        <w:tc>
          <w:tcPr>
            <w:tcW w:w="3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Balance, January 31,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580" w:type="dxa"/>
            <w:vAlign w:val="bottom"/>
            <w:tcBorders>
              <w:top w:val="single" w:sz="8" w:color="auto"/>
            </w:tcBorders>
          </w:tcPr>
          <w:p>
            <w:pPr>
              <w:jc w:val="right"/>
              <w:ind w:right="343"/>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9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94"/>
              </w:rPr>
              <w:t>$ 1,135,709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(13,949)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699,045</w:t>
            </w: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(357,989)</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94"/>
              </w:rPr>
              <w:t>$1,463,278</w:t>
            </w: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219,817</w:t>
            </w: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4"/>
              </w:rPr>
              <w:t>$1,683,095</w:t>
            </w:r>
          </w:p>
        </w:tc>
      </w:tr>
      <w:tr>
        <w:trPr>
          <w:trHeight w:val="73"/>
        </w:trPr>
        <w:tc>
          <w:tcPr>
            <w:tcW w:w="31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304"/>
        </w:trPr>
        <w:tc>
          <w:tcPr>
            <w:tcW w:w="3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6"/>
                <w:szCs w:val="16"/>
                <w:color w:val="auto"/>
              </w:rPr>
              <w:t>Balance, July 31, 2019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461</w:t>
            </w:r>
          </w:p>
        </w:tc>
        <w:tc>
          <w:tcPr>
            <w:tcW w:w="580" w:type="dxa"/>
            <w:vAlign w:val="bottom"/>
          </w:tcPr>
          <w:p>
            <w:pPr>
              <w:jc w:val="right"/>
              <w:ind w:right="343"/>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w w:val="94"/>
              </w:rPr>
              <w:t>$ 1,130,083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(31,730)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759,801</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6"/>
              </w:rPr>
              <w:t>(357,989)</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w w:val="94"/>
              </w:rPr>
              <w:t>$1,500,627</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226,213</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w w:val="94"/>
              </w:rPr>
              <w:t>$1,726,840</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4"/>
        </w:trPr>
        <w:tc>
          <w:tcPr>
            <w:tcW w:w="31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99,895</w:t>
            </w:r>
          </w:p>
        </w:tc>
        <w:tc>
          <w:tcPr>
            <w:tcW w:w="16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99,895</w:t>
            </w:r>
          </w:p>
        </w:tc>
        <w:tc>
          <w:tcPr>
            <w:tcW w:w="16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7,294</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107,189</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31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1"/>
              </w:rPr>
              <w:t>Foreign currency translation adjustments, net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3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of tax</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(7,807)</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(7,807)</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(9,025)</w:t>
            </w:r>
          </w:p>
        </w:tc>
      </w:tr>
      <w:tr>
        <w:trPr>
          <w:trHeight w:val="220"/>
        </w:trPr>
        <w:tc>
          <w:tcPr>
            <w:tcW w:w="3140" w:type="dxa"/>
            <w:vAlign w:val="bottom"/>
          </w:tcPr>
          <w:p>
            <w:pPr>
              <w:ind w:left="180"/>
              <w:spacing w:after="0"/>
              <w:rPr>
                <w:sz w:val="20"/>
                <w:szCs w:val="20"/>
                <w:color w:val="auto"/>
              </w:rPr>
            </w:pPr>
            <w:r>
              <w:rPr>
                <w:rFonts w:ascii="Arial" w:cs="Arial" w:eastAsia="Arial" w:hAnsi="Arial"/>
                <w:sz w:val="16"/>
                <w:szCs w:val="16"/>
                <w:color w:val="auto"/>
                <w:w w:val="99"/>
              </w:rPr>
              <w:t>Change in estimated fair value of hedging</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3140" w:type="dxa"/>
            <w:vAlign w:val="bottom"/>
          </w:tcPr>
          <w:p>
            <w:pPr>
              <w:ind w:left="180"/>
              <w:spacing w:after="0"/>
              <w:rPr>
                <w:sz w:val="20"/>
                <w:szCs w:val="20"/>
                <w:color w:val="auto"/>
              </w:rPr>
            </w:pPr>
            <w:r>
              <w:rPr>
                <w:rFonts w:ascii="Arial" w:cs="Arial" w:eastAsia="Arial" w:hAnsi="Arial"/>
                <w:sz w:val="16"/>
                <w:szCs w:val="16"/>
                <w:color w:val="auto"/>
              </w:rPr>
              <w:t>instruments</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(4,563)</w:t>
            </w:r>
          </w:p>
        </w:tc>
        <w:tc>
          <w:tcPr>
            <w:tcW w:w="180" w:type="dxa"/>
            <w:vAlign w:val="bottom"/>
          </w:tcPr>
          <w:p>
            <w:pPr>
              <w:spacing w:after="0"/>
              <w:rPr>
                <w:sz w:val="17"/>
                <w:szCs w:val="17"/>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(4,563)</w:t>
            </w:r>
          </w:p>
        </w:tc>
        <w:tc>
          <w:tcPr>
            <w:tcW w:w="16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(4,563)</w:t>
            </w:r>
          </w:p>
        </w:tc>
      </w:tr>
      <w:tr>
        <w:trPr>
          <w:trHeight w:val="33"/>
        </w:trPr>
        <w:tc>
          <w:tcPr>
            <w:tcW w:w="3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87,525</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6,076</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93,601</w:t>
            </w:r>
          </w:p>
        </w:tc>
      </w:tr>
      <w:tr>
        <w:trPr>
          <w:trHeight w:val="217"/>
        </w:trPr>
        <w:tc>
          <w:tcPr>
            <w:tcW w:w="314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10,789</w:t>
            </w:r>
          </w:p>
        </w:tc>
        <w:tc>
          <w:tcPr>
            <w:tcW w:w="120" w:type="dxa"/>
            <w:vAlign w:val="bottom"/>
          </w:tcPr>
          <w:p>
            <w:pPr>
              <w:spacing w:after="0"/>
              <w:rPr>
                <w:sz w:val="18"/>
                <w:szCs w:val="18"/>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10,789</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10,789</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Issuance of shares under share award plans, net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shares withheld for employee taxes</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5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(9,966)</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(9,965)</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(9,965)</w:t>
            </w:r>
          </w:p>
        </w:tc>
      </w:tr>
      <w:tr>
        <w:trPr>
          <w:trHeight w:val="223"/>
        </w:trPr>
        <w:tc>
          <w:tcPr>
            <w:tcW w:w="3140" w:type="dxa"/>
            <w:vAlign w:val="bottom"/>
          </w:tcPr>
          <w:p>
            <w:pPr>
              <w:ind w:left="40"/>
              <w:spacing w:after="0"/>
              <w:rPr>
                <w:sz w:val="20"/>
                <w:szCs w:val="20"/>
                <w:color w:val="auto"/>
              </w:rPr>
            </w:pPr>
            <w:r>
              <w:rPr>
                <w:rFonts w:ascii="Arial" w:cs="Arial" w:eastAsia="Arial" w:hAnsi="Arial"/>
                <w:sz w:val="16"/>
                <w:szCs w:val="16"/>
                <w:color w:val="auto"/>
              </w:rPr>
              <w:t>Repurchase of common stock (Note 12)</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(21,444)</w:t>
            </w:r>
          </w:p>
        </w:tc>
        <w:tc>
          <w:tcPr>
            <w:tcW w:w="880" w:type="dxa"/>
            <w:vAlign w:val="bottom"/>
          </w:tcPr>
          <w:p>
            <w:pPr>
              <w:jc w:val="right"/>
              <w:spacing w:after="0"/>
              <w:rPr>
                <w:sz w:val="20"/>
                <w:szCs w:val="20"/>
                <w:color w:val="auto"/>
              </w:rPr>
            </w:pPr>
            <w:r>
              <w:rPr>
                <w:rFonts w:ascii="Arial" w:cs="Arial" w:eastAsia="Arial" w:hAnsi="Arial"/>
                <w:sz w:val="16"/>
                <w:szCs w:val="16"/>
                <w:color w:val="auto"/>
              </w:rPr>
              <w:t>(21,444)</w:t>
            </w:r>
          </w:p>
        </w:tc>
        <w:tc>
          <w:tcPr>
            <w:tcW w:w="16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(21,444)</w:t>
            </w:r>
          </w:p>
        </w:tc>
      </w:tr>
      <w:tr>
        <w:trPr>
          <w:trHeight w:val="33"/>
        </w:trPr>
        <w:tc>
          <w:tcPr>
            <w:tcW w:w="3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6"/>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(Note 5)</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(142,050)</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(142,050)</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(142,050)</w:t>
            </w:r>
          </w:p>
        </w:tc>
      </w:tr>
      <w:tr>
        <w:trPr>
          <w:trHeight w:val="224"/>
        </w:trPr>
        <w:tc>
          <w:tcPr>
            <w:tcW w:w="314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 net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(7,573)</w:t>
            </w:r>
          </w:p>
        </w:tc>
        <w:tc>
          <w:tcPr>
            <w:tcW w:w="880" w:type="dxa"/>
            <w:vAlign w:val="bottom"/>
          </w:tcPr>
          <w:p>
            <w:pPr>
              <w:jc w:val="right"/>
              <w:spacing w:after="0"/>
              <w:rPr>
                <w:sz w:val="20"/>
                <w:szCs w:val="20"/>
                <w:color w:val="auto"/>
              </w:rPr>
            </w:pPr>
            <w:r>
              <w:rPr>
                <w:rFonts w:ascii="Arial" w:cs="Arial" w:eastAsia="Arial" w:hAnsi="Arial"/>
                <w:sz w:val="16"/>
                <w:szCs w:val="16"/>
                <w:color w:val="auto"/>
              </w:rPr>
              <w:t>(7,573)</w:t>
            </w:r>
          </w:p>
        </w:tc>
      </w:tr>
      <w:tr>
        <w:trPr>
          <w:trHeight w:val="33"/>
        </w:trPr>
        <w:tc>
          <w:tcPr>
            <w:tcW w:w="3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5"/>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31,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580" w:type="dxa"/>
            <w:vAlign w:val="bottom"/>
            <w:tcBorders>
              <w:bottom w:val="single" w:sz="8" w:color="CCEEFF"/>
            </w:tcBorders>
            <w:shd w:val="clear" w:color="auto" w:fill="CCEEFF"/>
          </w:tcPr>
          <w:p>
            <w:pPr>
              <w:jc w:val="right"/>
              <w:ind w:right="343"/>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4"/>
              </w:rPr>
              <w:t>$ 1,130,906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717,646</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(379,433)</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94"/>
              </w:rPr>
              <w:t>$1,425,482</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224,716</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4"/>
              </w:rPr>
              <w:t>$1,650,198</w:t>
            </w:r>
          </w:p>
        </w:tc>
      </w:tr>
      <w:tr>
        <w:trPr>
          <w:trHeight w:val="20"/>
        </w:trPr>
        <w:tc>
          <w:tcPr>
            <w:tcW w:w="3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consolidated condensed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70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Six Months Ended January 31,</w:t>
            </w:r>
          </w:p>
        </w:tc>
      </w:tr>
      <w:tr>
        <w:trPr>
          <w:trHeight w:val="263"/>
        </w:trPr>
        <w:tc>
          <w:tcPr>
            <w:tcW w:w="76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2019</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107,189</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107,264</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20"/>
                <w:szCs w:val="20"/>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121,657</w:t>
            </w:r>
          </w:p>
        </w:tc>
        <w:tc>
          <w:tcPr>
            <w:tcW w:w="48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106,281</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10,789</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9,900</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Deferred income taxes, net</w:t>
            </w:r>
          </w:p>
        </w:tc>
        <w:tc>
          <w:tcPr>
            <w:tcW w:w="400" w:type="dxa"/>
            <w:vAlign w:val="bottom"/>
          </w:tcPr>
          <w:p>
            <w:pPr>
              <w:spacing w:after="0"/>
              <w:rPr>
                <w:sz w:val="20"/>
                <w:szCs w:val="20"/>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23,568</w:t>
            </w:r>
          </w:p>
        </w:tc>
        <w:tc>
          <w:tcPr>
            <w:tcW w:w="48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32,279</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non-cash income, net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(977)</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r>
      <w:tr>
        <w:trPr>
          <w:trHeight w:val="223"/>
        </w:trPr>
        <w:tc>
          <w:tcPr>
            <w:tcW w:w="7660" w:type="dxa"/>
            <w:vAlign w:val="bottom"/>
          </w:tcPr>
          <w:p>
            <w:pPr>
              <w:ind w:left="40"/>
              <w:spacing w:after="0"/>
              <w:rPr>
                <w:sz w:val="20"/>
                <w:szCs w:val="20"/>
                <w:color w:val="auto"/>
              </w:rPr>
            </w:pPr>
            <w:r>
              <w:rPr>
                <w:rFonts w:ascii="Arial" w:cs="Arial" w:eastAsia="Arial" w:hAnsi="Arial"/>
                <w:sz w:val="16"/>
                <w:szCs w:val="16"/>
                <w:color w:val="auto"/>
              </w:rPr>
              <w:t>Changes in assets and liabilities: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7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Trade receivables, net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167,417</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145,305</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Inventories, net</w:t>
            </w:r>
          </w:p>
        </w:tc>
        <w:tc>
          <w:tcPr>
            <w:tcW w:w="40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(14,237)</w:t>
            </w:r>
          </w:p>
        </w:tc>
        <w:tc>
          <w:tcPr>
            <w:tcW w:w="4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(14,398)</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70,873</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97,083</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400" w:type="dxa"/>
            <w:vAlign w:val="bottom"/>
          </w:tcPr>
          <w:p>
            <w:pPr>
              <w:spacing w:after="0"/>
              <w:rPr>
                <w:sz w:val="20"/>
                <w:szCs w:val="20"/>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72,831</w:t>
            </w:r>
          </w:p>
        </w:tc>
        <w:tc>
          <w:tcPr>
            <w:tcW w:w="48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48,061</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payable - excess tax benefit from share award exercises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(2,818)</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(4,711)</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Income taxes payable - other</w:t>
            </w:r>
          </w:p>
        </w:tc>
        <w:tc>
          <w:tcPr>
            <w:tcW w:w="40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(17,647)</w:t>
            </w:r>
          </w:p>
        </w:tc>
        <w:tc>
          <w:tcPr>
            <w:tcW w:w="4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(18,000)</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 and liabilities, net</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(956)</w:t>
            </w:r>
          </w:p>
        </w:tc>
        <w:tc>
          <w:tcPr>
            <w:tcW w:w="4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(2,538)</w:t>
            </w:r>
          </w:p>
        </w:tc>
      </w:tr>
      <w:tr>
        <w:trPr>
          <w:trHeight w:val="231"/>
        </w:trPr>
        <w:tc>
          <w:tcPr>
            <w:tcW w:w="76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537,689</w:t>
            </w:r>
          </w:p>
        </w:tc>
        <w:tc>
          <w:tcPr>
            <w:tcW w:w="4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506,181</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40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(121,788)</w:t>
            </w:r>
          </w:p>
        </w:tc>
        <w:tc>
          <w:tcPr>
            <w:tcW w:w="4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(113,531)</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 of businesses, net of cash acquired</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(327,555)</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(292,610)</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Other investing activities, net</w:t>
            </w:r>
          </w:p>
        </w:tc>
        <w:tc>
          <w:tcPr>
            <w:tcW w:w="400" w:type="dxa"/>
            <w:vAlign w:val="bottom"/>
          </w:tcPr>
          <w:p>
            <w:pPr>
              <w:spacing w:after="0"/>
              <w:rPr>
                <w:sz w:val="20"/>
                <w:szCs w:val="20"/>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3,597</w:t>
            </w:r>
          </w:p>
        </w:tc>
        <w:tc>
          <w:tcPr>
            <w:tcW w:w="48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1,817</w:t>
            </w:r>
          </w:p>
        </w:tc>
      </w:tr>
      <w:tr>
        <w:trPr>
          <w:trHeight w:val="33"/>
        </w:trPr>
        <w:tc>
          <w:tcPr>
            <w:tcW w:w="7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used in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(445,746)</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(404,324)</w:t>
            </w:r>
          </w:p>
        </w:tc>
      </w:tr>
      <w:tr>
        <w:trPr>
          <w:trHeight w:val="223"/>
        </w:trPr>
        <w:tc>
          <w:tcPr>
            <w:tcW w:w="766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7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borrowings under Vail Holdings Credit Agreement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492,625</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335,625</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Proceeds from borrowings under Whistler Credit Agreement</w:t>
            </w:r>
          </w:p>
        </w:tc>
        <w:tc>
          <w:tcPr>
            <w:tcW w:w="400" w:type="dxa"/>
            <w:vAlign w:val="bottom"/>
          </w:tcPr>
          <w:p>
            <w:pPr>
              <w:spacing w:after="0"/>
              <w:rPr>
                <w:sz w:val="20"/>
                <w:szCs w:val="20"/>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7,667</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Repayments of borrowings under Vail Holdings Credit Agreement</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(355,625)</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(211,875)</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Repayments of borrowings under Whistler Credit Agreement</w:t>
            </w:r>
          </w:p>
        </w:tc>
        <w:tc>
          <w:tcPr>
            <w:tcW w:w="40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(18,863)</w:t>
            </w:r>
          </w:p>
        </w:tc>
        <w:tc>
          <w:tcPr>
            <w:tcW w:w="4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(11,193)</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Employee taxes paid for share award exercises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(9,966)</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(11,657)</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40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(142,050)</w:t>
            </w:r>
          </w:p>
        </w:tc>
        <w:tc>
          <w:tcPr>
            <w:tcW w:w="4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(118,714)</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Repurchases of common stock</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(21,444)</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(85,000)</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Other financing activities, net</w:t>
            </w:r>
          </w:p>
        </w:tc>
        <w:tc>
          <w:tcPr>
            <w:tcW w:w="40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(14,513)</w:t>
            </w:r>
          </w:p>
        </w:tc>
        <w:tc>
          <w:tcPr>
            <w:tcW w:w="4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(9,864)</w:t>
            </w:r>
          </w:p>
        </w:tc>
      </w:tr>
      <w:tr>
        <w:trPr>
          <w:trHeight w:val="33"/>
        </w:trPr>
        <w:tc>
          <w:tcPr>
            <w:tcW w:w="7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used in financing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(69,836)</w:t>
            </w:r>
          </w:p>
        </w:tc>
        <w:tc>
          <w:tcPr>
            <w:tcW w:w="4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(105,011)</w:t>
            </w:r>
          </w:p>
        </w:tc>
      </w:tr>
      <w:tr>
        <w:trPr>
          <w:trHeight w:val="230"/>
        </w:trPr>
        <w:tc>
          <w:tcPr>
            <w:tcW w:w="766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(48)</w:t>
            </w:r>
          </w:p>
        </w:tc>
        <w:tc>
          <w:tcPr>
            <w:tcW w:w="4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(2,563)</w:t>
            </w:r>
          </w:p>
        </w:tc>
      </w:tr>
      <w:tr>
        <w:trPr>
          <w:trHeight w:val="3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22,059</w:t>
            </w: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(5,717)</w:t>
            </w:r>
          </w:p>
        </w:tc>
      </w:tr>
      <w:tr>
        <w:trPr>
          <w:trHeight w:val="223"/>
        </w:trPr>
        <w:tc>
          <w:tcPr>
            <w:tcW w:w="766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7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75"/>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Beginning of period</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118,389</w:t>
            </w:r>
          </w:p>
        </w:tc>
        <w:tc>
          <w:tcPr>
            <w:tcW w:w="4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185,040</w:t>
            </w:r>
          </w:p>
        </w:tc>
      </w:tr>
      <w:tr>
        <w:trPr>
          <w:trHeight w:val="230"/>
        </w:trPr>
        <w:tc>
          <w:tcPr>
            <w:tcW w:w="766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End of period</w:t>
            </w: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140,448</w:t>
            </w:r>
          </w:p>
        </w:tc>
        <w:tc>
          <w:tcPr>
            <w:tcW w:w="48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179,323</w:t>
            </w:r>
          </w:p>
        </w:tc>
      </w:tr>
      <w:tr>
        <w:trPr>
          <w:trHeight w:val="73"/>
        </w:trPr>
        <w:tc>
          <w:tcPr>
            <w:tcW w:w="76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investing activities:</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Accrued capital expenditures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11,982</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22,731</w:t>
            </w:r>
          </w:p>
        </w:tc>
      </w:tr>
      <w:tr>
        <w:trPr>
          <w:trHeight w:val="229"/>
        </w:trPr>
        <w:tc>
          <w:tcPr>
            <w:tcW w:w="9400" w:type="dxa"/>
            <w:vAlign w:val="bottom"/>
            <w:gridSpan w:val="3"/>
          </w:tcPr>
          <w:p>
            <w:pPr>
              <w:ind w:left="2080"/>
              <w:spacing w:after="0"/>
              <w:rPr>
                <w:sz w:val="20"/>
                <w:szCs w:val="20"/>
                <w:color w:val="auto"/>
              </w:rPr>
            </w:pPr>
            <w:r>
              <w:rPr>
                <w:rFonts w:ascii="Arial" w:cs="Arial" w:eastAsia="Arial" w:hAnsi="Arial"/>
                <w:sz w:val="16"/>
                <w:szCs w:val="16"/>
                <w:color w:val="auto"/>
                <w:w w:val="93"/>
              </w:rPr>
              <w:t>The accompanying Notes are an integral part of these unaudited consolidated condensed financial statements.</w:t>
            </w:r>
          </w:p>
        </w:tc>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55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(“Vail Resorts”) is organized as a holding company and operates through various subsidiaries. Vail Resorts and its subsidiaries (collectively, the “Company”) operate in three business segments: Mountain, Lodging and Real Estate.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refers to “Resort” as the combination of the Mountain and Lodging segments. In the Mountain segment, the Company operates the following thirty-seven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846445" cy="3857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644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*Denotes a destination mountain resort which generally receives a meaningful portion of skier visits from long-distance travelers, as opposed to the Company’s regional ski areas which tend to generate skier visits from their respective local markets.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the Mountain segment includes ancillary services, primarily including ski school, dining and retail/rental operations, and for the Company’s Australian resorts, including lodging and transportation operations. Several of the resorts located in the United States (“U.S.”) operate primarily on federal land under the terms of Special Use Permits granted by the U.S. Department of Agriculture Forest Service. The operations of Whistler Blackcomb are conducted on land owned by the government of the Province of British Columbia, Canada within the traditional territory of the Squamish and Lil’wat Nations. The operations of the Company’s Australian resorts are conducted pursuant to long-term leases and licenses on land owned by the governments of New South Wales and Victoria, Australia. Okemo, Mount Sunapee and Stowe operate on land leased from the respective states in which the resorts are located and on land owned by the Company.</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concessionaire properties including the Grand Teton Lodge Company (“GTLC”), which operates destination resorts in Grand Teton National Park; a Colorado resort ground transportation company and mountain resort golf courses.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Development Company (“VRDC”), a wholly-owned subsidiary, conducts the operations of the Company’s Real Estate segment, which owns, develops and sells real estate in and around the Company’s resort communities.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53" w:right="339" w:bottom="1440"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18"/>
          <w:szCs w:val="18"/>
          <w:color w:val="auto"/>
        </w:rPr>
        <w:t>The Company’s mountain business and its lodging properties at or around the Company’s mountain resorts are seasonal in nature with peak operating seasons primarily from mid-November through mid-April in North America. The operating season at the Company’s Australian resorts, NPS concessionaire properties and golf courses generally occurs from June to early October.</w:t>
      </w:r>
    </w:p>
    <w:p>
      <w:pPr>
        <w:spacing w:after="0" w:line="180"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Consolidated Condensed Financial Statements— </w:t>
      </w:r>
      <w:r>
        <w:rPr>
          <w:rFonts w:ascii="Arial" w:cs="Arial" w:eastAsia="Arial" w:hAnsi="Arial"/>
          <w:sz w:val="17"/>
          <w:szCs w:val="17"/>
          <w:color w:val="auto"/>
        </w:rPr>
        <w:t>In the opinion of the Company, the accompanying Consolidated Condensed Financial Statements reflect</w:t>
      </w:r>
      <w:r>
        <w:rPr>
          <w:rFonts w:ascii="Arial" w:cs="Arial" w:eastAsia="Arial" w:hAnsi="Arial"/>
          <w:sz w:val="17"/>
          <w:szCs w:val="17"/>
          <w:i w:val="1"/>
          <w:iCs w:val="1"/>
          <w:color w:val="auto"/>
        </w:rPr>
        <w:t xml:space="preserve"> </w:t>
      </w:r>
      <w:r>
        <w:rPr>
          <w:rFonts w:ascii="Arial" w:cs="Arial" w:eastAsia="Arial" w:hAnsi="Arial"/>
          <w:sz w:val="17"/>
          <w:szCs w:val="17"/>
          <w:color w:val="auto"/>
        </w:rPr>
        <w:t>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2019.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2019 was derived from audited financial statements.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Use of Estimates</w:t>
      </w:r>
      <w:r>
        <w:rPr>
          <w:rFonts w:ascii="Arial" w:cs="Arial" w:eastAsia="Arial" w:hAnsi="Arial"/>
          <w:sz w:val="18"/>
          <w:szCs w:val="18"/>
          <w:color w:val="auto"/>
        </w:rPr>
        <w:t>— The preparation of financial statements in conformity with GAAP requires management to make estimates and assumptions that affect</w:t>
      </w:r>
      <w:r>
        <w:rPr>
          <w:rFonts w:ascii="Arial" w:cs="Arial" w:eastAsia="Arial" w:hAnsi="Arial"/>
          <w:sz w:val="18"/>
          <w:szCs w:val="18"/>
          <w:i w:val="1"/>
          <w:iCs w:val="1"/>
          <w:color w:val="auto"/>
        </w:rPr>
        <w:t xml:space="preserve"> </w:t>
      </w:r>
      <w:r>
        <w:rPr>
          <w:rFonts w:ascii="Arial" w:cs="Arial" w:eastAsia="Arial" w:hAnsi="Arial"/>
          <w:sz w:val="18"/>
          <w:szCs w:val="18"/>
          <w:color w:val="auto"/>
        </w:rPr>
        <w:t>the 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The recorded amounts for cash and cash equivalents, restricted cash, receivables, other current assets and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and accrued liabilities approximate fair value due to their short-term nature. The fair value of amounts outstanding under the Company’s credit agreements and the Employee Housing Bonds (as defined in Note 6, Long-Term Debt) approximate book value due to the variable nature of the interest rate, which is a market rate, associated with the debt. The recorded amounts outstanding under the Company’s EPR Secured Notes and EB-5 Development Notes (each as defined in Note 6, Long-Term Debt), which were assumed by the Company during the six months ended January 31, 2020, approximate fair value as the debt obligations were recorded at fair value in conjunction with the preliminary purchase accounting for the Peak Resorts acquisition (see Note 7, Acquisitions).</w:t>
      </w:r>
    </w:p>
    <w:p>
      <w:pPr>
        <w:spacing w:after="0" w:line="19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Accounting for Hedging Instruments</w:t>
      </w:r>
      <w:r>
        <w:rPr>
          <w:rFonts w:ascii="Arial" w:cs="Arial" w:eastAsia="Arial" w:hAnsi="Arial"/>
          <w:sz w:val="16"/>
          <w:szCs w:val="16"/>
          <w:color w:val="auto"/>
        </w:rPr>
        <w:t>— From time to time, the Company enters into interest rate swaps (the “Interest Rate Swaps”) to hedge the variability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in cash flows associated with variable-rate borrowings by converting the floating interest rate to a fixed interest rate. As of January 31, 2020, the Company hedged the future cash flows associated with $400.0 million of the principal amount outstanding of its Vail Holdings Credit Agreement (as defined in Note 6, Long-Term Debt). The accounting for changes in fair value of hedging instruments depends on the effectiveness of the hedge. In order to qualify for hedge accounting, the underlying hedged item must expose the Company to risks associated with market fluctuations and the financial instrument used must reduce the Company's exposure to market fluctuation throughout the hedge period. Changes in estimated fair value of the Interest Rate Swaps are recorded within change in estimated fair value of hedging instruments on the Company’s Consolidated Condensed Statements of Comprehensive Income, and such changes were recorded as losses of $4.9 million and $4.6 million, respectively, for the three and six months ended January 31, 2020. As of January 31, 2020, the estimated fair value of the Interest Rate Swaps was a liability of approximately $4.6 million and was recorded within other long-term liabilities on the Company’s Consolidated Condensed Balance Sheet (see Note 9, Fair Value Measurements).</w:t>
      </w:r>
    </w:p>
    <w:p>
      <w:pPr>
        <w:spacing w:after="0" w:line="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Leases</w:t>
      </w:r>
      <w:r>
        <w:rPr>
          <w:rFonts w:ascii="Arial" w:cs="Arial" w:eastAsia="Arial" w:hAnsi="Arial"/>
          <w:sz w:val="17"/>
          <w:szCs w:val="17"/>
          <w:color w:val="auto"/>
        </w:rPr>
        <w:t>— The Company determines if an arrangement is or contains a lease at inception or modification of the arrangement. An arrangement is or contains</w:t>
      </w:r>
      <w:r>
        <w:rPr>
          <w:rFonts w:ascii="Arial" w:cs="Arial" w:eastAsia="Arial" w:hAnsi="Arial"/>
          <w:sz w:val="17"/>
          <w:szCs w:val="17"/>
          <w:i w:val="1"/>
          <w:iCs w:val="1"/>
          <w:color w:val="auto"/>
        </w:rPr>
        <w:t xml:space="preserve"> </w:t>
      </w:r>
      <w:r>
        <w:rPr>
          <w:rFonts w:ascii="Arial" w:cs="Arial" w:eastAsia="Arial" w:hAnsi="Arial"/>
          <w:sz w:val="17"/>
          <w:szCs w:val="17"/>
          <w:color w:val="auto"/>
        </w:rPr>
        <w:t>a lease if there is one or more assets identified and the right to control the use of any identified asset is conveyed to the Company for a period of time in exchange for consideration. Control over the use of an identified asset means the lessee has both the right to obtain substantially all of the economic benefits from the use of the asset and the right to direct the use of the asset. Generally, the Company classifies a lease as a finance lease if the terms of the agreement effectively transfer control of the underlying asset; otherwise, it is classified as an operating lease. For contracts that contain lease and non-lease components, the Company accounts for these components separately. For leases with terms greater than twelve months, the associated lease right-of-use (“ROU”) assets and lease liabilities are recognized at the estimated present value of the future minimum lease payments over the lease term at commencement date. The Company’s leases do not provide a readily determinable implicit rate; therefore, the Company uses an estimated incremental borrowing rate to discount the future minimum lease payments. For leases containing fixed rental escalation clauses, the escalators are factored into the determination of future minimum lease payments. The Company includes options to extend a lease when it is reasonably certain that such options will be exercised. Lease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77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expense for minimum lease payments is recognized on a straight-line basis over the lease term. See Note 4, Leases for more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No. 2016-02, “Leases (Topic 842),” which supersedes “Leases (Topic 840).” The standard requires lessees to recognize the assets and liabilities arising from all leases on the balance sheet, including those classified as operating leases under previous accounting guidance, and to disclose key information about leasing arrangements. The standard also allows for an accounting policy election not to recognize on the balance sheet lease assets and liabilities for leases with a term of 12 months or less. Under the new guidance, lessees are required to recognize a lease liability and an ROU asset on their balance sheets, while lessor accounting is largely unchanged. In July 2018, the FASB released ASU No. 2018-11, “Leases (Topic 842): Targeted Improvements” which, among other items, provided an additional and optional transition method. Under this method, an entity initially applies the standard at the adoption date, including the election of certain transition reliefs, and recognizes a cumulative effect adjustment to the opening balance of retained earnings in the period of adoption.</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adopted ASU No. 2016-02 on August 1, 2019 using the modified retrospective transition method as provided by the standard. In accordance with this transition method, results for reporting periods beginning on August 1, 2019 are presented under the new standard, while prior periods were not adjusted and continue to be reported in accordance with the previously applicable accounting guidance. The Company has elected the package of practical expedients permitted under the transition guidance which allowed the Company to not reassess: (i) whether any existing or expired contracts are or contain leases; (ii) lease classification of any expired or existing leases; or (iii) initial direct costs for any existing leases. The Company has made an accounting policy election to not record leases on the balance sheet with an initial term of 12 months or less. The Company will recognize those lease payments in the Consolidated Condensed Statements of Operations on a straight-line basis over the lease term. Additionally, the Company has elected the practical expedient to not evaluate existing or expired land easements that were not previously accounted for as leases. At adoption, the Company was not able to determine the interest rate implicit in its leases; therefore, for existing operating leases, the lease liability was measured using the Company’s estimated incremental borrowing rate. For existing leases, the incremental borrowing rate used was based on the remaining lease term at the adoption date. For leases with minimum lease payments adjusted periodically for inflation, the lease liability was measured using the minimum lease payments adjusted by the inflation index at the adoption date.</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August 1, 2019, as a result of adopting the standard, the Company recorded $225.6 million of operating ROU assets and $258.0 million of related total operating lease liabilities in the Consolidated Condensed Balance Sheet (of which $223.1 million was recorded to operating lease liabilities and $34.9 million was recorded to accounts payable and accrued liabilities). As a result of the adoption, the Company reclassified $32.4 million of unfavorable lease obligations, deferred rent credits and other similar amounts to the operating ROU assets balance, primarily from other long-term liabilities, which reduced the amount recognized as operating ROU assets to $225.6 million. The adoption of the new lease standard did not result in a cumulative effect adjustment to beginning retained earnings, and did not materially affect the Company’s Consolidated Condensed Statements of Operations for the three and six months ended January 31, 2019 or Consolidated Condensed Statement of Cash Flows for the six months ended January 31, 2019. The Company’s Canyons finance lease was not affected by the implementation of this standard as the arrangement is classified and recorded as a finance lease arrangement under both the previous and new accounting guidance.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557" w:right="339" w:bottom="1440" w:gutter="0" w:footer="0" w:header="0"/>
        </w:sectPr>
      </w:pPr>
    </w:p>
    <w:bookmarkStart w:id="11" w:name="page12"/>
    <w:bookmarkEnd w:id="11"/>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net revenues disaggregated by segment and major revenue type for the three and six months ended January 31, 2020 and 2019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January 31,</w:t>
            </w:r>
          </w:p>
        </w:tc>
        <w:tc>
          <w:tcPr>
            <w:tcW w:w="340" w:type="dxa"/>
            <w:vAlign w:val="bottom"/>
          </w:tcPr>
          <w:p>
            <w:pPr>
              <w:spacing w:after="0"/>
              <w:rPr>
                <w:sz w:val="16"/>
                <w:szCs w:val="16"/>
                <w:color w:val="auto"/>
              </w:rPr>
            </w:pPr>
          </w:p>
        </w:tc>
        <w:tc>
          <w:tcPr>
            <w:tcW w:w="2680" w:type="dxa"/>
            <w:vAlign w:val="bottom"/>
            <w:gridSpan w:val="3"/>
          </w:tcPr>
          <w:p>
            <w:pPr>
              <w:jc w:val="right"/>
              <w:ind w:right="451"/>
              <w:spacing w:after="0"/>
              <w:rPr>
                <w:sz w:val="20"/>
                <w:szCs w:val="20"/>
                <w:color w:val="auto"/>
              </w:rPr>
            </w:pPr>
            <w:r>
              <w:rPr>
                <w:rFonts w:ascii="Arial" w:cs="Arial" w:eastAsia="Arial" w:hAnsi="Arial"/>
                <w:sz w:val="14"/>
                <w:szCs w:val="14"/>
                <w:b w:val="1"/>
                <w:bCs w:val="1"/>
                <w:color w:val="auto"/>
              </w:rPr>
              <w:t>Six Months Ended January 31,</w:t>
            </w:r>
          </w:p>
        </w:tc>
      </w:tr>
      <w:tr>
        <w:trPr>
          <w:trHeight w:val="264"/>
        </w:trPr>
        <w:tc>
          <w:tcPr>
            <w:tcW w:w="508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4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net revenue: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Lift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484,348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447,558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526,177</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472,243</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102,743</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111,277</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96,516</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Dining</w:t>
            </w: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75,719</w:t>
            </w:r>
          </w:p>
        </w:tc>
        <w:tc>
          <w:tcPr>
            <w:tcW w:w="4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65,409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97,348</w:t>
            </w: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83,701</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133,713</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181,628</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171,778</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49,022</w:t>
            </w:r>
          </w:p>
        </w:tc>
        <w:tc>
          <w:tcPr>
            <w:tcW w:w="4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42,426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109,947</w:t>
            </w: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96,841</w:t>
            </w:r>
          </w:p>
        </w:tc>
      </w:tr>
      <w:tr>
        <w:trPr>
          <w:trHeight w:val="27"/>
        </w:trPr>
        <w:tc>
          <w:tcPr>
            <w:tcW w:w="5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845,545</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776,073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1,026,377</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921,079</w:t>
            </w:r>
          </w:p>
        </w:tc>
      </w:tr>
      <w:tr>
        <w:trPr>
          <w:trHeight w:val="237"/>
        </w:trPr>
        <w:tc>
          <w:tcPr>
            <w:tcW w:w="5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Lodging net revenue:</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Owned hotel rooms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11,251</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31,197</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31,147</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Managed condominium rooms</w:t>
            </w: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31,500</w:t>
            </w:r>
          </w:p>
        </w:tc>
        <w:tc>
          <w:tcPr>
            <w:tcW w:w="4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28,046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46,240</w:t>
            </w: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39,164</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Dining</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11,111</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29,254</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26,318</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7,725</w:t>
            </w:r>
          </w:p>
        </w:tc>
        <w:tc>
          <w:tcPr>
            <w:tcW w:w="4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7,722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10,076</w:t>
            </w: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10,196</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Golf</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10,543</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9,459</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13,855</w:t>
            </w:r>
          </w:p>
        </w:tc>
        <w:tc>
          <w:tcPr>
            <w:tcW w:w="4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12,120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27,699</w:t>
            </w: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24,588</w:t>
            </w:r>
          </w:p>
        </w:tc>
      </w:tr>
      <w:tr>
        <w:trPr>
          <w:trHeight w:val="27"/>
        </w:trPr>
        <w:tc>
          <w:tcPr>
            <w:tcW w:w="5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75,442</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155,009</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140,872</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Payroll cost reimbursements</w:t>
            </w: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3,445</w:t>
            </w:r>
          </w:p>
        </w:tc>
        <w:tc>
          <w:tcPr>
            <w:tcW w:w="4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6,636</w:t>
            </w: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7,277</w:t>
            </w:r>
          </w:p>
        </w:tc>
      </w:tr>
      <w:tr>
        <w:trPr>
          <w:trHeight w:val="27"/>
        </w:trPr>
        <w:tc>
          <w:tcPr>
            <w:tcW w:w="5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net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78,887</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73,249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161,645</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148,149</w:t>
            </w:r>
          </w:p>
        </w:tc>
      </w:tr>
      <w:tr>
        <w:trPr>
          <w:trHeight w:val="237"/>
        </w:trPr>
        <w:tc>
          <w:tcPr>
            <w:tcW w:w="5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Resort net revenue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924,432</w:t>
            </w:r>
          </w:p>
        </w:tc>
        <w:tc>
          <w:tcPr>
            <w:tcW w:w="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849,322</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1,188,022</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1,069,228</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4,386</w:t>
            </w: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r>
      <w:tr>
        <w:trPr>
          <w:trHeight w:val="237"/>
        </w:trPr>
        <w:tc>
          <w:tcPr>
            <w:tcW w:w="50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net revenue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924,638</w:t>
            </w:r>
          </w:p>
        </w:tc>
        <w:tc>
          <w:tcPr>
            <w:tcW w:w="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849,578</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1,192,408</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1,069,582</w:t>
            </w:r>
          </w:p>
        </w:tc>
      </w:tr>
      <w:tr>
        <w:trPr>
          <w:trHeight w:val="27"/>
        </w:trPr>
        <w:tc>
          <w:tcPr>
            <w:tcW w:w="5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Deferred revenue balances of a short-term nature were $426.7 million and $335.7 million as of January 31, 2020 and July 31, 2019, respectively. Deferred revenue balances of a long-term nature, comprised primarily of long-term private club initiation fee revenue, were $125.5 million and $124.3 million as of January 31, 2020 and July 31, 2019, respectively. For the three and six months ended January 31, 2020, the Company recognized approximately $145.3 million and $179.9 million, respectively, of revenue that was included in the deferred revenue balance as of July 31, 2019. As of January 31, 2020, the weighted average remaining period over which revenue for unsatisfied performance obligations on long-term private club contracts will be recognized was approximately 16 years. Trade receivable balances were $105.3 million and $270.9 million as of January 31, 2020 and July 31, 2019,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Contracts with Customers</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January 31, 2020, $7.0 million of costs to obtain contracts with customers were recorded within other current assets on the Company’s Consolidated Condensed Balance Sheet. The amounts capitalized are subject to amortization commensurate with the revenue recognized for skier visits. The Company recorded amortization of $7.0 million for these costs during the three and six months ended January 31, 2020, which was recorded within Mountain and Lodging operating expenses on the Company’s Consolidated Condensed Statement of Operations</w:t>
      </w:r>
      <w:r>
        <w:rPr>
          <w:rFonts w:ascii="Arial" w:cs="Arial" w:eastAsia="Arial" w:hAnsi="Arial"/>
          <w:sz w:val="19"/>
          <w:szCs w:val="19"/>
          <w:color w:val="auto"/>
        </w:rPr>
        <w:t>.</w:t>
      </w:r>
    </w:p>
    <w:p>
      <w:pPr>
        <w:spacing w:after="0" w:line="169"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operating leases consist primarily of commercial and retail space, office space, employee residential units, vehicles and other equipment. The Company determines if an arrangement is or contains a lease at contract inception or modification. The Company’s lease contracts generally range from 1 year to 60 years, with some lease contracts containing one or more lease extension options, exercisable at the Company’s discretion. The Company generally does not include these lease extension options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553" w:right="339" w:bottom="1440" w:gutter="0" w:footer="0" w:header="0"/>
        </w:sectPr>
      </w:pPr>
    </w:p>
    <w:bookmarkStart w:id="12" w:name="page13"/>
    <w:bookmarkEnd w:id="12"/>
    <w:p>
      <w:pPr>
        <w:jc w:val="both"/>
        <w:spacing w:after="0" w:line="270" w:lineRule="auto"/>
        <w:rPr>
          <w:sz w:val="20"/>
          <w:szCs w:val="20"/>
          <w:color w:val="auto"/>
        </w:rPr>
      </w:pPr>
      <w:r>
        <w:rPr>
          <w:rFonts w:ascii="Arial" w:cs="Arial" w:eastAsia="Arial" w:hAnsi="Arial"/>
          <w:sz w:val="17"/>
          <w:szCs w:val="17"/>
          <w:color w:val="auto"/>
        </w:rPr>
        <w:t>in the initial lease term as it is not reasonably certain that it will exercise such options at contract inception. In addition, certain lease arrangements contain fixed and variable lease payments. The variable lease payments are primarily contingent rental payments based on: (i) a percentage of revenue related to the leased property; (ii) payments based on a percentage of sales over contractual levels; or (iii) lease payments adjusted for changes in an index or market value. These variable lease payments are typically recognized when the underlying event occurs and are included in operating expenses in the Company's Consolidated Condensed Statements of Operations in the same line item as the expense arising from fixed lease payments. The Company’s lease agreements may also include non-lease components, such as common area maintenance and insurance, which are accounted for separately as non-lease components. Future lease payments that are contingent and non-lease components are not included in the measurement of the operating lease liability. The Company’s lease agreements do not contain any material residual value guarantees or restrictive covenants. Lease expense related to lease payments is recognized on a straight-line basis over the term of the lease.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leases do not provide a readily determinable implicit rate. As a result, the Company measures the lease liability using an estimated incremental borrowing rate which is intended to reflect the rate of interest the Company would pay on a collateralized basis to borrow an amount equal to the lease payments under similar terms. The Company applies the estimated incremental borrowing rates at a portfolio level based on the economic environment associated with the lease.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the long-lived assets impairment guidance to determine recognition and measurement of an ROU asset impairment, if any. The Company monitors for events or changes in circumstances that require a reassessment.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three and six months ended January 31, 2020, were as follows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00" w:type="dxa"/>
            <w:vAlign w:val="bottom"/>
          </w:tcPr>
          <w:p>
            <w:pPr>
              <w:jc w:val="right"/>
              <w:ind w:right="215"/>
              <w:spacing w:after="0"/>
              <w:rPr>
                <w:sz w:val="20"/>
                <w:szCs w:val="20"/>
                <w:color w:val="auto"/>
              </w:rPr>
            </w:pPr>
            <w:r>
              <w:rPr>
                <w:rFonts w:ascii="Arial" w:cs="Arial" w:eastAsia="Arial" w:hAnsi="Arial"/>
                <w:sz w:val="14"/>
                <w:szCs w:val="14"/>
                <w:b w:val="1"/>
                <w:bCs w:val="1"/>
                <w:color w:val="auto"/>
                <w:w w:val="99"/>
              </w:rPr>
              <w:t>Three Months Ended</w:t>
            </w:r>
          </w:p>
        </w:tc>
        <w:tc>
          <w:tcPr>
            <w:tcW w:w="340" w:type="dxa"/>
            <w:vAlign w:val="bottom"/>
          </w:tcPr>
          <w:p>
            <w:pPr>
              <w:spacing w:after="0"/>
              <w:rPr>
                <w:sz w:val="14"/>
                <w:szCs w:val="14"/>
                <w:color w:val="auto"/>
              </w:rPr>
            </w:pPr>
          </w:p>
        </w:tc>
        <w:tc>
          <w:tcPr>
            <w:tcW w:w="1660" w:type="dxa"/>
            <w:vAlign w:val="bottom"/>
          </w:tcPr>
          <w:p>
            <w:pPr>
              <w:jc w:val="right"/>
              <w:ind w:right="315"/>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January 31, 2020</w:t>
            </w: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January 31, 2020</w:t>
            </w: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Finance leases:</w:t>
            </w:r>
          </w:p>
        </w:tc>
        <w:tc>
          <w:tcPr>
            <w:tcW w:w="2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Amortization of the finance ROU assets</w:t>
            </w: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5"/>
              <w:spacing w:after="0"/>
              <w:rPr>
                <w:sz w:val="20"/>
                <w:szCs w:val="20"/>
                <w:color w:val="auto"/>
              </w:rPr>
            </w:pPr>
            <w:r>
              <w:rPr>
                <w:rFonts w:ascii="Arial" w:cs="Arial" w:eastAsia="Arial" w:hAnsi="Arial"/>
                <w:sz w:val="18"/>
                <w:szCs w:val="18"/>
                <w:color w:val="auto"/>
              </w:rPr>
              <w:t>2,438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4,876</w:t>
            </w:r>
          </w:p>
        </w:tc>
      </w:tr>
      <w:tr>
        <w:trPr>
          <w:trHeight w:val="27"/>
        </w:trPr>
        <w:tc>
          <w:tcPr>
            <w:tcW w:w="5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on lease liabilities</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8,509</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17,017</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Operating leases:</w:t>
            </w:r>
          </w:p>
        </w:tc>
        <w:tc>
          <w:tcPr>
            <w:tcW w:w="23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expense</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10,411</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20,448</w:t>
            </w:r>
          </w:p>
        </w:tc>
      </w:tr>
      <w:tr>
        <w:trPr>
          <w:trHeight w:val="270"/>
        </w:trPr>
        <w:tc>
          <w:tcPr>
            <w:tcW w:w="5200" w:type="dxa"/>
            <w:vAlign w:val="bottom"/>
          </w:tcPr>
          <w:p>
            <w:pPr>
              <w:ind w:left="180"/>
              <w:spacing w:after="0" w:line="270" w:lineRule="exact"/>
              <w:rPr>
                <w:sz w:val="20"/>
                <w:szCs w:val="20"/>
                <w:color w:val="auto"/>
              </w:rPr>
            </w:pPr>
            <w:r>
              <w:rPr>
                <w:rFonts w:ascii="Arial" w:cs="Arial" w:eastAsia="Arial" w:hAnsi="Arial"/>
                <w:sz w:val="18"/>
                <w:szCs w:val="18"/>
                <w:color w:val="auto"/>
              </w:rPr>
              <w:t>Short-term lease expense</w:t>
            </w:r>
            <w:r>
              <w:rPr>
                <w:rFonts w:ascii="Arial" w:cs="Arial" w:eastAsia="Arial" w:hAnsi="Arial"/>
                <w:sz w:val="25"/>
                <w:szCs w:val="25"/>
                <w:color w:val="auto"/>
                <w:vertAlign w:val="superscript"/>
              </w:rPr>
              <w:t>1</w:t>
            </w: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5"/>
              <w:spacing w:after="0"/>
              <w:rPr>
                <w:sz w:val="20"/>
                <w:szCs w:val="20"/>
                <w:color w:val="auto"/>
              </w:rPr>
            </w:pPr>
            <w:r>
              <w:rPr>
                <w:rFonts w:ascii="Arial" w:cs="Arial" w:eastAsia="Arial" w:hAnsi="Arial"/>
                <w:sz w:val="18"/>
                <w:szCs w:val="18"/>
                <w:color w:val="auto"/>
              </w:rPr>
              <w:t>2,459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4,812</w:t>
            </w:r>
          </w:p>
        </w:tc>
      </w:tr>
      <w:tr>
        <w:trPr>
          <w:trHeight w:val="243"/>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Variable lease expense</w:t>
            </w:r>
          </w:p>
        </w:tc>
        <w:tc>
          <w:tcPr>
            <w:tcW w:w="2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1,339</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2,181</w:t>
            </w:r>
          </w:p>
        </w:tc>
      </w:tr>
      <w:tr>
        <w:trPr>
          <w:trHeight w:val="27"/>
        </w:trPr>
        <w:tc>
          <w:tcPr>
            <w:tcW w:w="520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00" w:hanging="92"/>
        <w:spacing w:after="0" w:line="185" w:lineRule="auto"/>
        <w:tabs>
          <w:tab w:leader="none" w:pos="100" w:val="left"/>
        </w:tabs>
        <w:numPr>
          <w:ilvl w:val="0"/>
          <w:numId w:val="7"/>
        </w:numPr>
        <w:rPr>
          <w:rFonts w:ascii="Arial" w:cs="Arial" w:eastAsia="Arial" w:hAnsi="Arial"/>
          <w:sz w:val="23"/>
          <w:szCs w:val="23"/>
          <w:color w:val="auto"/>
          <w:vertAlign w:val="superscript"/>
        </w:rPr>
      </w:pPr>
      <w:r>
        <w:rPr>
          <w:rFonts w:ascii="Arial" w:cs="Arial" w:eastAsia="Arial" w:hAnsi="Arial"/>
          <w:sz w:val="13"/>
          <w:szCs w:val="13"/>
          <w:color w:val="auto"/>
        </w:rPr>
        <w:t>Short-term lease expense is attributable to leases with terms of 12 months or less which are not included within the Company’s Consolidated Condensed Balance Sheet.</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supplemental cash flow information associated with the Company’s leasing activities for the six months ended January 31, 2020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80" w:type="dxa"/>
            <w:vAlign w:val="bottom"/>
          </w:tcPr>
          <w:p>
            <w:pPr>
              <w:jc w:val="right"/>
              <w:ind w:right="535"/>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46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January 31, 2020</w:t>
            </w: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supplemental information:</w:t>
            </w:r>
          </w:p>
        </w:tc>
        <w:tc>
          <w:tcPr>
            <w:tcW w:w="37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Operating cash outflows for operating leases</w:t>
            </w:r>
          </w:p>
        </w:tc>
        <w:tc>
          <w:tcPr>
            <w:tcW w:w="3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15"/>
              <w:spacing w:after="0"/>
              <w:rPr>
                <w:sz w:val="20"/>
                <w:szCs w:val="20"/>
                <w:color w:val="auto"/>
              </w:rPr>
            </w:pPr>
            <w:r>
              <w:rPr>
                <w:rFonts w:ascii="Arial" w:cs="Arial" w:eastAsia="Arial" w:hAnsi="Arial"/>
                <w:sz w:val="18"/>
                <w:szCs w:val="18"/>
                <w:color w:val="auto"/>
              </w:rPr>
              <w:t>25,435</w:t>
            </w:r>
          </w:p>
        </w:tc>
      </w:tr>
      <w:tr>
        <w:trPr>
          <w:trHeight w:val="27"/>
        </w:trPr>
        <w:tc>
          <w:tcPr>
            <w:tcW w:w="54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cash outflows for finance leases</w:t>
            </w:r>
          </w:p>
        </w:tc>
        <w:tc>
          <w:tcPr>
            <w:tcW w:w="3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15,180</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Financing cash outflows for finance leases</w:t>
            </w:r>
          </w:p>
        </w:tc>
        <w:tc>
          <w:tcPr>
            <w:tcW w:w="3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15"/>
              <w:spacing w:after="0"/>
              <w:rPr>
                <w:sz w:val="20"/>
                <w:szCs w:val="20"/>
                <w:color w:val="auto"/>
              </w:rPr>
            </w:pPr>
            <w:r>
              <w:rPr>
                <w:rFonts w:ascii="Arial" w:cs="Arial" w:eastAsia="Arial" w:hAnsi="Arial"/>
                <w:sz w:val="18"/>
                <w:szCs w:val="18"/>
                <w:color w:val="auto"/>
              </w:rPr>
              <w:t>5,387</w:t>
            </w:r>
          </w:p>
        </w:tc>
      </w:tr>
      <w:tr>
        <w:trPr>
          <w:trHeight w:val="594"/>
        </w:trPr>
        <w:tc>
          <w:tcPr>
            <w:tcW w:w="5460" w:type="dxa"/>
            <w:vAlign w:val="bottom"/>
          </w:tcPr>
          <w:p>
            <w:pPr>
              <w:spacing w:after="0"/>
              <w:rPr>
                <w:sz w:val="20"/>
                <w:szCs w:val="20"/>
                <w:color w:val="auto"/>
              </w:rPr>
            </w:pPr>
            <w:r>
              <w:rPr>
                <w:rFonts w:ascii="Arial" w:cs="Arial" w:eastAsia="Arial" w:hAnsi="Arial"/>
                <w:sz w:val="18"/>
                <w:szCs w:val="18"/>
                <w:color w:val="auto"/>
                <w:w w:val="90"/>
              </w:rPr>
              <w:t>Weighted-average remaining lease terms and discount rates are as follows:</w:t>
            </w:r>
          </w:p>
        </w:tc>
        <w:tc>
          <w:tcPr>
            <w:tcW w:w="37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534"/>
        </w:trPr>
        <w:tc>
          <w:tcPr>
            <w:tcW w:w="54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As of January 31, 2020</w:t>
            </w: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remaining lease term (in years)</w:t>
            </w:r>
          </w:p>
        </w:tc>
        <w:tc>
          <w:tcPr>
            <w:tcW w:w="37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3700" w:type="dxa"/>
            <w:vAlign w:val="bottom"/>
          </w:tcPr>
          <w:p>
            <w:pPr>
              <w:spacing w:after="0"/>
              <w:rPr>
                <w:sz w:val="21"/>
                <w:szCs w:val="21"/>
                <w:color w:val="auto"/>
              </w:rPr>
            </w:pPr>
          </w:p>
        </w:tc>
        <w:tc>
          <w:tcPr>
            <w:tcW w:w="2080" w:type="dxa"/>
            <w:vAlign w:val="bottom"/>
          </w:tcPr>
          <w:p>
            <w:pPr>
              <w:jc w:val="right"/>
              <w:ind w:right="95"/>
              <w:spacing w:after="0"/>
              <w:rPr>
                <w:sz w:val="20"/>
                <w:szCs w:val="20"/>
                <w:color w:val="auto"/>
              </w:rPr>
            </w:pPr>
            <w:r>
              <w:rPr>
                <w:rFonts w:ascii="Arial" w:cs="Arial" w:eastAsia="Arial" w:hAnsi="Arial"/>
                <w:sz w:val="18"/>
                <w:szCs w:val="18"/>
                <w:color w:val="auto"/>
              </w:rPr>
              <w:t>10.7</w:t>
            </w:r>
          </w:p>
        </w:tc>
      </w:tr>
      <w:tr>
        <w:trPr>
          <w:trHeight w:val="27"/>
        </w:trPr>
        <w:tc>
          <w:tcPr>
            <w:tcW w:w="54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37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43.4</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Weighted-average discount rate</w:t>
            </w:r>
          </w:p>
        </w:tc>
        <w:tc>
          <w:tcPr>
            <w:tcW w:w="370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37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37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810"/>
        </w:trPr>
        <w:tc>
          <w:tcPr>
            <w:tcW w:w="5460" w:type="dxa"/>
            <w:vAlign w:val="bottom"/>
          </w:tcPr>
          <w:p>
            <w:pPr>
              <w:spacing w:after="0"/>
              <w:rPr>
                <w:sz w:val="24"/>
                <w:szCs w:val="24"/>
                <w:color w:val="auto"/>
              </w:rPr>
            </w:pPr>
          </w:p>
        </w:tc>
        <w:tc>
          <w:tcPr>
            <w:tcW w:w="3700" w:type="dxa"/>
            <w:vAlign w:val="bottom"/>
          </w:tcPr>
          <w:p>
            <w:pPr>
              <w:jc w:val="right"/>
              <w:ind w:right="3350"/>
              <w:spacing w:after="0"/>
              <w:rPr>
                <w:sz w:val="20"/>
                <w:szCs w:val="20"/>
                <w:color w:val="auto"/>
              </w:rPr>
            </w:pPr>
            <w:r>
              <w:rPr>
                <w:rFonts w:ascii="Arial" w:cs="Arial" w:eastAsia="Arial" w:hAnsi="Arial"/>
                <w:sz w:val="18"/>
                <w:szCs w:val="18"/>
                <w:color w:val="auto"/>
              </w:rPr>
              <w:t>12</w:t>
            </w:r>
          </w:p>
        </w:tc>
        <w:tc>
          <w:tcPr>
            <w:tcW w:w="2080" w:type="dxa"/>
            <w:vAlign w:val="bottom"/>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Future minimum lease payments for operating and finance leases as of January 31, 2020 reflected by fiscal year (August 1 through July 31) are as follows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Operating Leases</w:t>
            </w: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Finance Leases</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(February 2020 through July 2020)</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30,141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14,126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45,805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28,818</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29,394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37,666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29,982</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30,582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166,166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1,805,048</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future minimum lease payments</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356,273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1,937,950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3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(92,149)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(1,594,803)</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liabilities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264,124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343,147</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in accordance with Topic 840 as of July 31, 2019, reflected by fiscal year,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00" w:type="dxa"/>
            <w:vAlign w:val="bottom"/>
            <w:gridSpan w:val="2"/>
          </w:tcPr>
          <w:p>
            <w:pPr>
              <w:ind w:left="280"/>
              <w:spacing w:after="0"/>
              <w:rPr>
                <w:sz w:val="20"/>
                <w:szCs w:val="20"/>
                <w:color w:val="auto"/>
              </w:rPr>
            </w:pPr>
            <w:r>
              <w:rPr>
                <w:rFonts w:ascii="Arial" w:cs="Arial" w:eastAsia="Arial" w:hAnsi="Arial"/>
                <w:sz w:val="14"/>
                <w:szCs w:val="14"/>
                <w:b w:val="1"/>
                <w:bCs w:val="1"/>
                <w:color w:val="auto"/>
              </w:rPr>
              <w:t>Operating Leases</w:t>
            </w:r>
          </w:p>
        </w:tc>
        <w:tc>
          <w:tcPr>
            <w:tcW w:w="420" w:type="dxa"/>
            <w:vAlign w:val="bottom"/>
          </w:tcPr>
          <w:p>
            <w:pPr>
              <w:spacing w:after="0"/>
              <w:rPr>
                <w:sz w:val="16"/>
                <w:szCs w:val="16"/>
                <w:color w:val="auto"/>
              </w:rPr>
            </w:pPr>
          </w:p>
        </w:tc>
        <w:tc>
          <w:tcPr>
            <w:tcW w:w="1940" w:type="dxa"/>
            <w:vAlign w:val="bottom"/>
          </w:tcPr>
          <w:p>
            <w:pPr>
              <w:jc w:val="right"/>
              <w:ind w:right="652"/>
              <w:spacing w:after="0"/>
              <w:rPr>
                <w:sz w:val="20"/>
                <w:szCs w:val="20"/>
                <w:color w:val="auto"/>
              </w:rPr>
            </w:pPr>
            <w:r>
              <w:rPr>
                <w:rFonts w:ascii="Arial" w:cs="Arial" w:eastAsia="Arial" w:hAnsi="Arial"/>
                <w:sz w:val="14"/>
                <w:szCs w:val="14"/>
                <w:b w:val="1"/>
                <w:bCs w:val="1"/>
                <w:color w:val="auto"/>
              </w:rPr>
              <w:t>Capital Leases</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28,253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42,512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28,818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29,394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34,840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29,982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30,582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142,526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1,805,048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future minimum lease payments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335,138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1,952,077</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180"/>
              <w:spacing w:after="0"/>
              <w:rPr>
                <w:sz w:val="20"/>
                <w:szCs w:val="20"/>
                <w:color w:val="auto"/>
              </w:rPr>
            </w:pPr>
            <w:r>
              <w:rPr>
                <w:rFonts w:ascii="Arial" w:cs="Arial" w:eastAsia="Arial" w:hAnsi="Arial"/>
                <w:sz w:val="18"/>
                <w:szCs w:val="18"/>
                <w:color w:val="auto"/>
              </w:rPr>
              <w:t>Less amount representing interest</w:t>
            </w:r>
          </w:p>
        </w:tc>
        <w:tc>
          <w:tcPr>
            <w:tcW w:w="3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color w:val="auto"/>
              </w:rPr>
              <w:t>(1,611,816)</w:t>
            </w:r>
          </w:p>
        </w:tc>
        <w:tc>
          <w:tcPr>
            <w:tcW w:w="0" w:type="dxa"/>
            <w:vAlign w:val="bottom"/>
          </w:tcPr>
          <w:p>
            <w:pPr>
              <w:spacing w:after="0" w:line="20" w:lineRule="exact"/>
              <w:rPr>
                <w:sz w:val="1"/>
                <w:szCs w:val="1"/>
                <w:color w:val="auto"/>
              </w:rPr>
            </w:pPr>
          </w:p>
        </w:tc>
      </w:tr>
      <w:tr>
        <w:trPr>
          <w:trHeight w:val="230"/>
        </w:trPr>
        <w:tc>
          <w:tcPr>
            <w:tcW w:w="64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future minimum lease payments</w:t>
            </w:r>
          </w:p>
        </w:tc>
        <w:tc>
          <w:tcPr>
            <w:tcW w:w="38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340,261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current portion of operating lease liabilities of approximately $35.7 million as of January 31, 2020 is recorded within accounts payables and accrued liabilities in the Consolidated Condensed Balance Sheet. Finance lease liabilities are recorded within long-term debt, net in the Consolidated Condensed Balance Sheets.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Canyons finance lease obligation represents the only material finance lease entered into by the Company as of January 31, 2020. As of January 31, 2020, the Company has recorded $122.7 million of finance lease ROU assets in connection with the Canyons lease, net of $60.9 million of accumulated amortization, which is included within property, plant and equipment in the Company’s Consolidated Condensed Balance Sheet.</w:t>
      </w:r>
    </w:p>
    <w:p>
      <w:pPr>
        <w:spacing w:after="0" w:line="16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earnings per share (“EPS”) excludes dilution and is computed by dividing net income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Company’s acquisition of Whistler Blackcomb in October 2016, the Company issued consideration in the form of shares of Vail Resorts common stock (the “Vail Shares”) and shares of the Company’s wholly-owned Canadian subsidiary (“Exchangeco”). Whistler Blackcomb shareholders elected to receive 3,327,719 Vail Shares and 418,095 shares of Exchangeco (the “Exchangeco Shares”). Both Vail Shares and Exchangeco Shares have a par value of $0.01 per share, and Exchangeco Shares, while outstanding, are substantially the economic equivalent of Vail Shares and are exchangeable, at any time prior to the seventh anniversary of the closing of the acquisition, into Vail Shares. The Company’s calculation of weighted-average shares outstanding includes the Exchangeco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55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Presented below is basic and diluted EPS for the three months ended January 31, 2020 and 2019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b w:val="1"/>
                <w:bCs w:val="1"/>
                <w:color w:val="auto"/>
                <w:w w:val="99"/>
              </w:rPr>
              <w:t>Three Months Ended January 31,</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55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9"/>
              </w:rPr>
              <w:t>2020</w:t>
            </w:r>
          </w:p>
        </w:tc>
        <w:tc>
          <w:tcPr>
            <w:tcW w:w="1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2019</w:t>
            </w:r>
          </w:p>
        </w:tc>
        <w:tc>
          <w:tcPr>
            <w:tcW w:w="1060" w:type="dxa"/>
            <w:vAlign w:val="bottom"/>
            <w:tcBorders>
              <w:bottom w:val="single" w:sz="8" w:color="auto"/>
            </w:tcBorders>
          </w:tcPr>
          <w:p>
            <w:pPr>
              <w:spacing w:after="0"/>
              <w:rPr>
                <w:sz w:val="22"/>
                <w:szCs w:val="22"/>
                <w:color w:val="auto"/>
              </w:rPr>
            </w:pPr>
          </w:p>
        </w:tc>
      </w:tr>
      <w:tr>
        <w:trPr>
          <w:trHeight w:val="263"/>
        </w:trPr>
        <w:tc>
          <w:tcPr>
            <w:tcW w:w="55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Basic</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Diluted</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Basic</w:t>
            </w: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Diluted</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Net income attributable to Vail Resorts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206,370</w:t>
            </w:r>
          </w:p>
        </w:tc>
        <w:tc>
          <w:tcPr>
            <w:tcW w:w="4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206,370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206,349</w:t>
            </w:r>
          </w:p>
        </w:tc>
        <w:tc>
          <w:tcPr>
            <w:tcW w:w="5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206,349</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Vail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40,261</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40,261</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40,271</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40,271</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5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57</w:t>
            </w:r>
          </w:p>
        </w:tc>
      </w:tr>
      <w:tr>
        <w:trPr>
          <w:trHeight w:val="27"/>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40,316</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40,316</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40,328</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40,328</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625</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798</w:t>
            </w:r>
          </w:p>
        </w:tc>
      </w:tr>
      <w:tr>
        <w:trPr>
          <w:trHeight w:val="27"/>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8"/>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40,316</w:t>
            </w:r>
          </w:p>
        </w:tc>
        <w:tc>
          <w:tcPr>
            <w:tcW w:w="4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40,941</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40,328</w:t>
            </w: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41,126</w:t>
            </w:r>
          </w:p>
        </w:tc>
      </w:tr>
      <w:tr>
        <w:trPr>
          <w:trHeight w:val="237"/>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per share attributable to Vail Resorts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4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5.04</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5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5.02</w:t>
            </w:r>
          </w:p>
        </w:tc>
      </w:tr>
      <w:tr>
        <w:trPr>
          <w:trHeight w:val="27"/>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computes the effect of dilutive securities using the treasury stock method and average market prices during the period. The number of shares issuable upon the exercise of share based awards excluded from the calculation of diluted EPS because the effect of their inclusion would have been anti-dilutive totaled approximately 28,000 and 56,000 for the three months ended January 31, 2020 and 2019,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basic and diluted EPS for the six months ended January 31, 2020 and 2019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Six Months Ended January 31,</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55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2020</w:t>
            </w:r>
          </w:p>
        </w:tc>
        <w:tc>
          <w:tcPr>
            <w:tcW w:w="10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2019</w:t>
            </w:r>
          </w:p>
        </w:tc>
        <w:tc>
          <w:tcPr>
            <w:tcW w:w="1060" w:type="dxa"/>
            <w:vAlign w:val="bottom"/>
            <w:tcBorders>
              <w:bottom w:val="single" w:sz="8" w:color="auto"/>
            </w:tcBorders>
          </w:tcPr>
          <w:p>
            <w:pPr>
              <w:spacing w:after="0"/>
              <w:rPr>
                <w:sz w:val="22"/>
                <w:szCs w:val="22"/>
                <w:color w:val="auto"/>
              </w:rPr>
            </w:pPr>
          </w:p>
        </w:tc>
      </w:tr>
      <w:tr>
        <w:trPr>
          <w:trHeight w:val="263"/>
        </w:trPr>
        <w:tc>
          <w:tcPr>
            <w:tcW w:w="55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Basic</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Diluted</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Basic</w:t>
            </w: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Diluted</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Net income attributable to Vail Resorts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99,895</w:t>
            </w:r>
          </w:p>
        </w:tc>
        <w:tc>
          <w:tcPr>
            <w:tcW w:w="4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99,895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98,554</w:t>
            </w:r>
          </w:p>
        </w:tc>
        <w:tc>
          <w:tcPr>
            <w:tcW w:w="5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98,554</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Vail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40,274</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40,274</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40,359</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40,359</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c>
          <w:tcPr>
            <w:tcW w:w="4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5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57</w:t>
            </w:r>
          </w:p>
        </w:tc>
      </w:tr>
      <w:tr>
        <w:trPr>
          <w:trHeight w:val="27"/>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40,329</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40,329</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40,416</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40,416</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644</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870</w:t>
            </w:r>
          </w:p>
        </w:tc>
      </w:tr>
      <w:tr>
        <w:trPr>
          <w:trHeight w:val="27"/>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40,329</w:t>
            </w: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40,973</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40,416</w:t>
            </w: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41,286</w:t>
            </w:r>
          </w:p>
        </w:tc>
      </w:tr>
      <w:tr>
        <w:trPr>
          <w:trHeight w:val="237"/>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per share attributable to Vail Resorts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4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2.44</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5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2.39</w:t>
            </w:r>
          </w:p>
        </w:tc>
      </w:tr>
      <w:tr>
        <w:trPr>
          <w:trHeight w:val="27"/>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number of shares issuable upon the exercise of share based awards excluded from the calculation of diluted EPS because the effect of their inclusion would have been anti-dilutive totaled approximately 23,000 and 40,000 for the six months ended January 31, 2020 and 2019,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and six months ended January 31, 2020, the Company paid cash dividends of $1.76 and $3.52 per share, respectively ($71.0 million and $142.1 million, respectively, in the aggregate). During the three and six months ended January 31, 2019, the Company paid cash dividends of $1.47 and $2.94 per share, respectively ($59.2 million and $118.7 million, respectively, in the aggregate). On March 5, 2020, the Company’s Board of Directors declared a quarterly cash dividend of $1.76 per share, for Vail Shares, payable on April 9, 2020 to stockholders of record as of March 26, 2020. Additionally, a Canadian dollar equivalent dividend on the Exchangeco Shares will be payable on April 9, 2020 to the shareholders of record on March 26, 2020.</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557" w:right="339" w:bottom="1440" w:gutter="0" w:footer="0" w:header="0"/>
        </w:sectPr>
      </w:pPr>
    </w:p>
    <w:bookmarkStart w:id="15" w:name="page16"/>
    <w:bookmarkEnd w:id="15"/>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net as of January 31, 2020, July 31, 2019 and January 31, 2019 is summarized as follows (in thousands):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Maturity</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January 31, 2020</w:t>
            </w: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July 31, 2019</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8"/>
              </w:rPr>
              <w:t>January 31, 2019</w:t>
            </w: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Vail Holdings Credit Agreement term loan (a)</w:t>
            </w:r>
          </w:p>
        </w:tc>
        <w:tc>
          <w:tcPr>
            <w:tcW w:w="1480" w:type="dxa"/>
            <w:vAlign w:val="bottom"/>
            <w:tcBorders>
              <w:bottom w:val="single" w:sz="8" w:color="CCEEFF"/>
            </w:tcBorders>
            <w:shd w:val="clear" w:color="auto" w:fill="CCEEFF"/>
          </w:tcPr>
          <w:p>
            <w:pPr>
              <w:jc w:val="center"/>
              <w:ind w:left="72"/>
              <w:spacing w:after="0"/>
              <w:rPr>
                <w:sz w:val="20"/>
                <w:szCs w:val="20"/>
                <w:color w:val="auto"/>
              </w:rPr>
            </w:pPr>
            <w:r>
              <w:rPr>
                <w:rFonts w:ascii="Arial" w:cs="Arial" w:eastAsia="Arial" w:hAnsi="Arial"/>
                <w:sz w:val="18"/>
                <w:szCs w:val="18"/>
                <w:color w:val="auto"/>
                <w:w w:val="89"/>
              </w:rPr>
              <w:t>2024</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1,234,375</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914,375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938,125</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Vail Holdings Credit Agreement revolver (a)</w:t>
            </w:r>
          </w:p>
        </w:tc>
        <w:tc>
          <w:tcPr>
            <w:tcW w:w="1480" w:type="dxa"/>
            <w:vAlign w:val="bottom"/>
          </w:tcPr>
          <w:p>
            <w:pPr>
              <w:jc w:val="center"/>
              <w:ind w:left="72"/>
              <w:spacing w:after="0"/>
              <w:rPr>
                <w:sz w:val="20"/>
                <w:szCs w:val="20"/>
                <w:color w:val="auto"/>
              </w:rPr>
            </w:pPr>
            <w:r>
              <w:rPr>
                <w:rFonts w:ascii="Arial" w:cs="Arial" w:eastAsia="Arial" w:hAnsi="Arial"/>
                <w:sz w:val="18"/>
                <w:szCs w:val="18"/>
                <w:color w:val="auto"/>
                <w:w w:val="89"/>
              </w:rPr>
              <w:t>2024</w:t>
            </w:r>
          </w:p>
        </w:tc>
        <w:tc>
          <w:tcPr>
            <w:tcW w:w="40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25,000</w:t>
            </w:r>
          </w:p>
        </w:tc>
        <w:tc>
          <w:tcPr>
            <w:tcW w:w="3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208,000</w:t>
            </w:r>
          </w:p>
        </w:tc>
        <w:tc>
          <w:tcPr>
            <w:tcW w:w="28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Whistler Credit Agreement revolver (b)</w:t>
            </w:r>
          </w:p>
        </w:tc>
        <w:tc>
          <w:tcPr>
            <w:tcW w:w="1480" w:type="dxa"/>
            <w:vAlign w:val="bottom"/>
            <w:tcBorders>
              <w:bottom w:val="single" w:sz="8" w:color="CCEEFF"/>
            </w:tcBorders>
            <w:shd w:val="clear" w:color="auto" w:fill="CCEEFF"/>
          </w:tcPr>
          <w:p>
            <w:pPr>
              <w:jc w:val="center"/>
              <w:ind w:left="72"/>
              <w:spacing w:after="0"/>
              <w:rPr>
                <w:sz w:val="20"/>
                <w:szCs w:val="20"/>
                <w:color w:val="auto"/>
              </w:rPr>
            </w:pPr>
            <w:r>
              <w:rPr>
                <w:rFonts w:ascii="Arial" w:cs="Arial" w:eastAsia="Arial" w:hAnsi="Arial"/>
                <w:sz w:val="18"/>
                <w:szCs w:val="18"/>
                <w:color w:val="auto"/>
                <w:w w:val="89"/>
              </w:rPr>
              <w:t>2024</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26,447</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45,454</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60,904</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EPR Secured Notes (c)</w:t>
            </w:r>
          </w:p>
        </w:tc>
        <w:tc>
          <w:tcPr>
            <w:tcW w:w="1480" w:type="dxa"/>
            <w:vAlign w:val="bottom"/>
          </w:tcPr>
          <w:p>
            <w:pPr>
              <w:jc w:val="center"/>
              <w:ind w:left="92"/>
              <w:spacing w:after="0"/>
              <w:rPr>
                <w:sz w:val="20"/>
                <w:szCs w:val="20"/>
                <w:color w:val="auto"/>
              </w:rPr>
            </w:pPr>
            <w:r>
              <w:rPr>
                <w:rFonts w:ascii="Arial" w:cs="Arial" w:eastAsia="Arial" w:hAnsi="Arial"/>
                <w:sz w:val="18"/>
                <w:szCs w:val="18"/>
                <w:color w:val="auto"/>
                <w:w w:val="90"/>
              </w:rPr>
              <w:t>2034-2036</w:t>
            </w:r>
          </w:p>
        </w:tc>
        <w:tc>
          <w:tcPr>
            <w:tcW w:w="40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114,162</w:t>
            </w:r>
          </w:p>
        </w:tc>
        <w:tc>
          <w:tcPr>
            <w:tcW w:w="3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EB-5 Development Notes (d)</w:t>
            </w:r>
          </w:p>
        </w:tc>
        <w:tc>
          <w:tcPr>
            <w:tcW w:w="1480" w:type="dxa"/>
            <w:vAlign w:val="bottom"/>
            <w:tcBorders>
              <w:bottom w:val="single" w:sz="8" w:color="CCEEFF"/>
            </w:tcBorders>
            <w:shd w:val="clear" w:color="auto" w:fill="CCEEFF"/>
          </w:tcPr>
          <w:p>
            <w:pPr>
              <w:jc w:val="center"/>
              <w:ind w:left="72"/>
              <w:spacing w:after="0"/>
              <w:rPr>
                <w:sz w:val="20"/>
                <w:szCs w:val="20"/>
                <w:color w:val="auto"/>
              </w:rPr>
            </w:pPr>
            <w:r>
              <w:rPr>
                <w:rFonts w:ascii="Arial" w:cs="Arial" w:eastAsia="Arial" w:hAnsi="Arial"/>
                <w:sz w:val="18"/>
                <w:szCs w:val="18"/>
                <w:color w:val="auto"/>
                <w:w w:val="89"/>
              </w:rPr>
              <w:t>2021</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51,500</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Employee housing bonds</w:t>
            </w:r>
          </w:p>
        </w:tc>
        <w:tc>
          <w:tcPr>
            <w:tcW w:w="1480" w:type="dxa"/>
            <w:vAlign w:val="bottom"/>
          </w:tcPr>
          <w:p>
            <w:pPr>
              <w:jc w:val="center"/>
              <w:ind w:left="92"/>
              <w:spacing w:after="0"/>
              <w:rPr>
                <w:sz w:val="20"/>
                <w:szCs w:val="20"/>
                <w:color w:val="auto"/>
              </w:rPr>
            </w:pPr>
            <w:r>
              <w:rPr>
                <w:rFonts w:ascii="Arial" w:cs="Arial" w:eastAsia="Arial" w:hAnsi="Arial"/>
                <w:sz w:val="18"/>
                <w:szCs w:val="18"/>
                <w:color w:val="auto"/>
                <w:w w:val="90"/>
              </w:rPr>
              <w:t>2027-2039</w:t>
            </w:r>
          </w:p>
        </w:tc>
        <w:tc>
          <w:tcPr>
            <w:tcW w:w="40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52,575</w:t>
            </w:r>
          </w:p>
        </w:tc>
        <w:tc>
          <w:tcPr>
            <w:tcW w:w="3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52,575</w:t>
            </w:r>
          </w:p>
        </w:tc>
        <w:tc>
          <w:tcPr>
            <w:tcW w:w="28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52,575</w:t>
            </w:r>
          </w:p>
        </w:tc>
      </w:tr>
      <w:tr>
        <w:trPr>
          <w:trHeight w:val="27"/>
        </w:trPr>
        <w:tc>
          <w:tcPr>
            <w:tcW w:w="4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Canyons obligation</w:t>
            </w:r>
          </w:p>
        </w:tc>
        <w:tc>
          <w:tcPr>
            <w:tcW w:w="1480" w:type="dxa"/>
            <w:vAlign w:val="bottom"/>
            <w:tcBorders>
              <w:bottom w:val="single" w:sz="8" w:color="CCEEFF"/>
            </w:tcBorders>
            <w:shd w:val="clear" w:color="auto" w:fill="CCEEFF"/>
          </w:tcPr>
          <w:p>
            <w:pPr>
              <w:jc w:val="center"/>
              <w:ind w:left="72"/>
              <w:spacing w:after="0"/>
              <w:rPr>
                <w:sz w:val="20"/>
                <w:szCs w:val="20"/>
                <w:color w:val="auto"/>
              </w:rPr>
            </w:pPr>
            <w:r>
              <w:rPr>
                <w:rFonts w:ascii="Arial" w:cs="Arial" w:eastAsia="Arial" w:hAnsi="Arial"/>
                <w:sz w:val="18"/>
                <w:szCs w:val="18"/>
                <w:color w:val="auto"/>
                <w:w w:val="89"/>
              </w:rPr>
              <w:t>2063</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343,147</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340,261</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337,385</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tcPr>
          <w:p>
            <w:pPr>
              <w:jc w:val="center"/>
              <w:ind w:left="92"/>
              <w:spacing w:after="0"/>
              <w:rPr>
                <w:sz w:val="20"/>
                <w:szCs w:val="20"/>
                <w:color w:val="auto"/>
              </w:rPr>
            </w:pPr>
            <w:r>
              <w:rPr>
                <w:rFonts w:ascii="Arial" w:cs="Arial" w:eastAsia="Arial" w:hAnsi="Arial"/>
                <w:sz w:val="18"/>
                <w:szCs w:val="18"/>
                <w:color w:val="auto"/>
                <w:w w:val="90"/>
              </w:rPr>
              <w:t>2020-2032</w:t>
            </w:r>
          </w:p>
        </w:tc>
        <w:tc>
          <w:tcPr>
            <w:tcW w:w="40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19,360</w:t>
            </w:r>
          </w:p>
        </w:tc>
        <w:tc>
          <w:tcPr>
            <w:tcW w:w="3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19,465</w:t>
            </w:r>
          </w:p>
        </w:tc>
        <w:tc>
          <w:tcPr>
            <w:tcW w:w="28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8,656</w:t>
            </w:r>
          </w:p>
        </w:tc>
      </w:tr>
      <w:tr>
        <w:trPr>
          <w:trHeight w:val="27"/>
        </w:trPr>
        <w:tc>
          <w:tcPr>
            <w:tcW w:w="4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debt</w:t>
            </w:r>
          </w:p>
        </w:tc>
        <w:tc>
          <w:tcPr>
            <w:tcW w:w="14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1,866,566</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1,580,130</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1,397,645</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w w:val="98"/>
              </w:rPr>
              <w:t>Less: Unamortized premiums, discounts and debt issuance</w:t>
            </w:r>
          </w:p>
        </w:tc>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costs</w:t>
            </w:r>
          </w:p>
        </w:tc>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(14,048)</w:t>
            </w:r>
          </w:p>
        </w:tc>
        <w:tc>
          <w:tcPr>
            <w:tcW w:w="32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3,870</w:t>
            </w:r>
          </w:p>
        </w:tc>
        <w:tc>
          <w:tcPr>
            <w:tcW w:w="28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3,890</w:t>
            </w:r>
          </w:p>
        </w:tc>
      </w:tr>
      <w:tr>
        <w:trPr>
          <w:trHeight w:val="27"/>
        </w:trPr>
        <w:tc>
          <w:tcPr>
            <w:tcW w:w="4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 (e)</w:t>
            </w:r>
          </w:p>
        </w:tc>
        <w:tc>
          <w:tcPr>
            <w:tcW w:w="14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63,556</w:t>
            </w: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48,516</w:t>
            </w: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48,493</w:t>
            </w:r>
          </w:p>
        </w:tc>
      </w:tr>
      <w:tr>
        <w:trPr>
          <w:trHeight w:val="237"/>
        </w:trPr>
        <w:tc>
          <w:tcPr>
            <w:tcW w:w="468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Long-term debt, net</w:t>
            </w:r>
          </w:p>
        </w:tc>
        <w:tc>
          <w:tcPr>
            <w:tcW w:w="14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1,817,058</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1,527,744</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1,345,262</w:t>
            </w:r>
          </w:p>
        </w:tc>
      </w:tr>
      <w:tr>
        <w:trPr>
          <w:trHeight w:val="27"/>
        </w:trPr>
        <w:tc>
          <w:tcPr>
            <w:tcW w:w="4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540" w:hanging="316"/>
        <w:spacing w:after="0" w:line="285"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September 23, 2019, in order to fund the acquisition of Peak Resorts, Inc. (“Peak Resorts”), which included the prepayment of certain portions of the outstanding debt and lease obligations of Peak Resorts contemporaneous with the closing of the transaction (see Note 7, Acquisitions), the Company’s wholly-owned subsidiary, Vail Holdings, Inc. (“VHI”), entered into the Second Amendment to the Eighth Amended and Restated Credit Agreement (the “Vail Holdings Credit Agreement”), with Bank of America, N.A., as administrative agent, and other lenders named therein, through which those lenders agreed to provide an additional $335.6 million in incremental term loans and agreed, on behalf of all lenders, to extend the maturity date for the outstanding term loans and revolver facility under the Vail Holdings Credit Agreement to September 23, 2024. No other material terms of the Vail Holdings Credit Agreement were altered under the amendment. As of January 31, 2020, the Vail Holdings Credit Agreement consists of a $500.0 million revolving credit facility and a $1.25 billion term loan facility. The term loan facility is subject to quarterly amortization of principal of approximately $15.6 million (which began in January 2020), in equal installments, for a total of five percent of principal payable in each year and the final payment of all amounts outstanding, plus accrued and unpaid interest due in September 2024. The proceeds of the loans made under the Vail Holdings Credit Agreement may be used to fund the Company’s working capital needs, capital expenditures, acquisitions, investments and other general corporate purposes, including the issuance of letters of credit. Borrowings under the Vail Holdings Credit Agreement, including the term loan facility, bear interest annually at LIBOR plus 1.50% as of January 31, 2020 (3.15% as of January 31, 2020). Interest rate margins may fluctuate based upon the ratio of the Company’s Net Funded Debt to Adjusted EBITDA on a trailing four-quarter basis.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(0.3% as of January 31, 2020). During the six months ended January 31, 2020, the Company entered into various interest rate swap agreements to hedge the LIBOR-based variable interest rate component of underlying cash flows of $400.0 million in principal amount of its Vail Holdings Credit Agreement for the remaining term of the agreement at an effective rate of 1.46%.</w:t>
      </w:r>
    </w:p>
    <w:p>
      <w:pPr>
        <w:spacing w:after="0" w:line="222" w:lineRule="exact"/>
        <w:rPr>
          <w:rFonts w:ascii="Arial" w:cs="Arial" w:eastAsia="Arial" w:hAnsi="Arial"/>
          <w:sz w:val="16"/>
          <w:szCs w:val="16"/>
          <w:color w:val="auto"/>
        </w:rPr>
      </w:pPr>
    </w:p>
    <w:p>
      <w:pPr>
        <w:jc w:val="both"/>
        <w:ind w:left="540" w:hanging="316"/>
        <w:spacing w:after="0" w:line="269"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Whistler Mountain Resort Limited Partnership (“Whistler LP”) and Blackcomb Skiing Enterprises Limited Partnership (“Blackcomb LP”), together “The WB Partnerships,” are party to a credit agreement, dated as of November 12, 2013 (as amended, the “Whistler Credit Agreement”), by and among Whistler LP, Blackcomb LP, certain subsidiaries of Whistler LP and Blackcomb LP party thereto as guarantors (the “Whistler Subsidiary Guarantors”), the financial institutions party thereto as lenders and The Toronto-Dominion Bank, as administrative agent. The Whistler Credit Agreement consists of a C$300.0 million revolving credit facility. During the three months ended January 31, 2020, the Company entered into an amendment of the Whistler Credit Agreement which extended the maturity date of the revolving credit facility to December 15, 2024. No other material terms of the Whistler Credit Agreement were altered. As of January 31, 2020, all borrowings under the Whistler Credit Agreement were made in Canadian dollars and by way of the issuance of bankers’ acceptances plus 1.75% (approximately 3.78% as of January 31, 2020). The Whistler Credit Agreement also includes a quarterly unused commitment fee based on the Consolidated Total Leverage Ratio, which as of January 31, 2020 is equal to 0.3937% per annum.</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553" w:right="339" w:bottom="1440" w:gutter="0" w:footer="0" w:header="0"/>
        </w:sectPr>
      </w:pPr>
    </w:p>
    <w:bookmarkStart w:id="16" w:name="page17"/>
    <w:bookmarkEnd w:id="16"/>
    <w:p>
      <w:pPr>
        <w:jc w:val="both"/>
        <w:ind w:left="320" w:hanging="316"/>
        <w:spacing w:after="0" w:line="286" w:lineRule="auto"/>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September 24, 2019, in conjunction with the acquisition of Peak Resorts (see Note 7, Acquisitions),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spacing w:after="0" w:line="57" w:lineRule="exact"/>
        <w:rPr>
          <w:rFonts w:ascii="Arial" w:cs="Arial" w:eastAsia="Arial" w:hAnsi="Arial"/>
          <w:sz w:val="17"/>
          <w:szCs w:val="17"/>
          <w:color w:val="auto"/>
        </w:rPr>
      </w:pPr>
    </w:p>
    <w:p>
      <w:pPr>
        <w:ind w:left="980" w:hanging="328"/>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The Alpine Valley Secured Note. </w:t>
      </w:r>
      <w:r>
        <w:rPr>
          <w:rFonts w:ascii="Arial" w:cs="Arial" w:eastAsia="Arial" w:hAnsi="Arial"/>
          <w:sz w:val="18"/>
          <w:szCs w:val="18"/>
          <w:color w:val="auto"/>
        </w:rPr>
        <w:t>The $4.6 million Alpine Valley Secured Note provides for interest payments through its maturity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 2034. As of January 31, 2020, interest on this note accrued at a rate of 11.21%.</w:t>
      </w:r>
    </w:p>
    <w:p>
      <w:pPr>
        <w:spacing w:after="0" w:line="8" w:lineRule="exact"/>
        <w:rPr>
          <w:rFonts w:ascii="Arial" w:cs="Arial" w:eastAsia="Arial" w:hAnsi="Arial"/>
          <w:sz w:val="18"/>
          <w:szCs w:val="18"/>
          <w:color w:val="auto"/>
        </w:rPr>
      </w:pPr>
    </w:p>
    <w:p>
      <w:pPr>
        <w:ind w:left="980" w:hanging="328"/>
        <w:spacing w:after="0" w:line="298"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The Boston Mills/Brandywine Secured Note. </w:t>
      </w:r>
      <w:r>
        <w:rPr>
          <w:rFonts w:ascii="Arial" w:cs="Arial" w:eastAsia="Arial" w:hAnsi="Arial"/>
          <w:sz w:val="17"/>
          <w:szCs w:val="17"/>
          <w:color w:val="auto"/>
        </w:rPr>
        <w:t>The $23.3 million Boston Mills/Brandywine Secured Note provides for interest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its maturity on December 1, 2034. As of January 31, 2020, interest on this note accrued at a rate of 10.75%.</w:t>
      </w:r>
    </w:p>
    <w:p>
      <w:pPr>
        <w:ind w:left="980" w:right="20" w:hanging="328"/>
        <w:spacing w:after="0" w:line="298"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The Jack Frost/Big Boulder Secured Note. </w:t>
      </w:r>
      <w:r>
        <w:rPr>
          <w:rFonts w:ascii="Arial" w:cs="Arial" w:eastAsia="Arial" w:hAnsi="Arial"/>
          <w:sz w:val="17"/>
          <w:szCs w:val="17"/>
          <w:color w:val="auto"/>
        </w:rPr>
        <w:t>The $14.3 million Jack Frost/Big Boulder Secured Note provides for interest payments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its maturity on December 1, 2034. As of January 31, 2020, interest on this note accrued at a rate of 10.75%.</w:t>
      </w:r>
    </w:p>
    <w:p>
      <w:pPr>
        <w:ind w:left="980" w:right="20" w:hanging="328"/>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The Mount Snow Secured Note. </w:t>
      </w:r>
      <w:r>
        <w:rPr>
          <w:rFonts w:ascii="Arial" w:cs="Arial" w:eastAsia="Arial" w:hAnsi="Arial"/>
          <w:sz w:val="18"/>
          <w:szCs w:val="18"/>
          <w:color w:val="auto"/>
        </w:rPr>
        <w:t>The $51.1 million Mount Snow Secured Note provides for interest payments through its maturity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 2034. As of January 31, 2020, interest on this note accrued at a rate of 11.61%.</w:t>
      </w:r>
    </w:p>
    <w:p>
      <w:pPr>
        <w:spacing w:after="0" w:line="8" w:lineRule="exact"/>
        <w:rPr>
          <w:rFonts w:ascii="Arial" w:cs="Arial" w:eastAsia="Arial" w:hAnsi="Arial"/>
          <w:sz w:val="18"/>
          <w:szCs w:val="18"/>
          <w:color w:val="auto"/>
        </w:rPr>
      </w:pPr>
    </w:p>
    <w:p>
      <w:pPr>
        <w:ind w:left="980" w:hanging="328"/>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The Hunter Mountain Secured Note. </w:t>
      </w:r>
      <w:r>
        <w:rPr>
          <w:rFonts w:ascii="Arial" w:cs="Arial" w:eastAsia="Arial" w:hAnsi="Arial"/>
          <w:sz w:val="18"/>
          <w:szCs w:val="18"/>
          <w:color w:val="auto"/>
        </w:rPr>
        <w:t>The $21.0 million Hunter Mountain Secured Note provides for interest payments through its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on January 5, 2036. As of January 31, 2020, interest on this note accrued at a rate of 8.43%.</w:t>
      </w:r>
    </w:p>
    <w:p>
      <w:pPr>
        <w:spacing w:after="0" w:line="62" w:lineRule="exact"/>
        <w:rPr>
          <w:sz w:val="20"/>
          <w:szCs w:val="20"/>
          <w:color w:val="auto"/>
        </w:rPr>
      </w:pPr>
    </w:p>
    <w:p>
      <w:pPr>
        <w:jc w:val="both"/>
        <w:ind w:left="320"/>
        <w:spacing w:after="0" w:line="284" w:lineRule="auto"/>
        <w:rPr>
          <w:sz w:val="20"/>
          <w:szCs w:val="20"/>
          <w:color w:val="auto"/>
        </w:rPr>
      </w:pPr>
      <w:r>
        <w:rPr>
          <w:rFonts w:ascii="Arial" w:cs="Arial" w:eastAsia="Arial" w:hAnsi="Arial"/>
          <w:sz w:val="16"/>
          <w:szCs w:val="16"/>
          <w:color w:val="auto"/>
        </w:rPr>
        <w:t>The EPR Secured Notes are secured by all or substantially all of the assets of Peak Resorts and its subsidiaries, including mortgages on the Alpine Valley, Boston Mills, Brandywine, Jack Frost, Big Boulder, Mount Snow and Hunter Mountain ski resorts. The EPR Secured Notes bear interest at specified interest rates, as discussed above, which are subject to increase each year by the lesser of (i) three times the percentage increase in the Consumer Price Index or (ii) a capped index (the “Capped CPI Index”), which is 1.75% for the Hunter Mountain Secured Note and 1.50% for all other notes. The EPR Agreements provide for affirmative and negative covenants that restrict, among other things, the ability of Peak Resorts and its subsidiaries to incur indebtedness, dispose of assets, make distributions and make investments. In addition, the EPR Agreements include restrictive covenants, including maximum leverage ratio and consolidated fixed charge ratio. An additional contingent interest payment would be due to EPR if, on a calendar year basis, the gross receipts from the properties securing any of the individual EPR Secured Notes (the “Gross Receipts”) are more than the result (the “Interest Quotient”) of dividing the total interest charges for the EPR Secured Notes by a specified percentage rate (the “Additional Interest Rate”). In such a case, the additional interest payment would equal the difference between the Gross Receipts and the Interest Quotient multiplied by the Additional Interest Rate. This calculation is made on an aggregated basis for the notes secured by the Jack Frost, Big Boulder, Boston Mills, Brandywine and Alpine Valley ski resorts, where the Additional Interest Rate is 10.0%; on a standalone basis for the note secured by the Company’s Mount Snow ski resort, where the Additional Interest Rate is 12.0%; and on a standalone basis for the note secured by the Company’s Hunter Mountain ski resort, where the Additional Interest Rate is 8.0%. Peak Resorts does not have the right to prepay the EPR Secured Notes. The EPR Secured Notes were recorded at their estimated fair value in conjunction with the acquisition of Peak Resorts on September 24, 2019, and as such their respective carrying values approximate fair value as of January 31, 2020. The EPR Agreements grant EPR certain other rights including (i) the option to purchase the Boston Mills, Brandywine, Jack Frost, Big Boulder or Alpine Valley resorts, which is exercisable no sooner than two years and no later than one year prior to the maturity dates of the applicable EPR Secured Note for such properties, with any closings to be held on the applicable maturity dates; and, if EPR exercises the purchase option, EPR will enter into an agreement with the Company for the lease of each acquired property for an initial term of 20 years, plus options to extend the lease for two additional periods of ten years each; (ii) a right of first refusal through 2021, subject to certain conditions, to provide all or a portion of the financing associated with any purchase, ground lease, sale/leaseback, management or financing transaction contemplated by Peak Resorts with respect to any new or existing ski resort properties; and (iii) a right of first refusal through 2021 to purchase the Company’s Attitash ski resort in the event the Company were to desire to sell the Attitash ski resort. To date, EPR has not exercised any such purchase options.</w:t>
      </w:r>
    </w:p>
    <w:p>
      <w:pPr>
        <w:spacing w:after="0" w:line="13" w:lineRule="exact"/>
        <w:rPr>
          <w:sz w:val="20"/>
          <w:szCs w:val="20"/>
          <w:color w:val="auto"/>
        </w:rPr>
      </w:pPr>
    </w:p>
    <w:p>
      <w:pPr>
        <w:jc w:val="both"/>
        <w:ind w:left="320" w:right="20"/>
        <w:spacing w:after="0" w:line="305" w:lineRule="auto"/>
        <w:rPr>
          <w:sz w:val="20"/>
          <w:szCs w:val="20"/>
          <w:color w:val="auto"/>
        </w:rPr>
      </w:pPr>
      <w:r>
        <w:rPr>
          <w:rFonts w:ascii="Arial" w:cs="Arial" w:eastAsia="Arial" w:hAnsi="Arial"/>
          <w:sz w:val="16"/>
          <w:szCs w:val="16"/>
          <w:color w:val="auto"/>
        </w:rPr>
        <w:t>In addition, Peak Resorts is required to maintain a debt service reserve account which amounts are applied to fund interest payments and other amounts due and payable to EPR. As of January 31, 2020 the Company had funded the EPR debt service reserve account in an amount equal to approximately $3.4 million, which was included in other current assets in the Company’s Consolidated Condensed Balance Sheet.</w:t>
      </w:r>
    </w:p>
    <w:p>
      <w:pPr>
        <w:spacing w:after="0" w:line="1" w:lineRule="exact"/>
        <w:rPr>
          <w:sz w:val="20"/>
          <w:szCs w:val="20"/>
          <w:color w:val="auto"/>
        </w:rPr>
      </w:pPr>
    </w:p>
    <w:p>
      <w:pPr>
        <w:jc w:val="both"/>
        <w:ind w:left="320" w:hanging="316"/>
        <w:spacing w:after="0" w:line="255"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Peak Resorts serves as the general partner for two limited partnerships, Carinthia Group 1, LP and Carinthia Group 2, LP (together, the “Carinthia Partnerships”), which were formed to raise $52.0 million through the Immigrant Investor Program administered by the U.S. Citizenship and Immigration Services (“USCIS”), pursuant to the Immigration and Nationality Act (the “EB-5 Program”). The EB-5 Program was created to stimulate the U.S. economy through the creation of jobs and capital investments in U.S. companies by foreign investors. The program allocates immigrant visas to qualified individuals (“EB-5 Investors”) seeking lawful permanent resident status based on their investment in a U.S commercial enterprise.</w:t>
      </w:r>
    </w:p>
    <w:p>
      <w:pPr>
        <w:spacing w:after="0" w:line="24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540" w:top="557" w:right="339" w:bottom="1440" w:gutter="0" w:footer="0" w:header="0"/>
        </w:sectPr>
      </w:pPr>
    </w:p>
    <w:bookmarkStart w:id="17" w:name="page18"/>
    <w:bookmarkEnd w:id="17"/>
    <w:p>
      <w:pPr>
        <w:jc w:val="both"/>
        <w:ind w:left="540"/>
        <w:spacing w:after="0" w:line="288" w:lineRule="auto"/>
        <w:rPr>
          <w:sz w:val="20"/>
          <w:szCs w:val="20"/>
          <w:color w:val="auto"/>
        </w:rPr>
      </w:pPr>
      <w:r>
        <w:rPr>
          <w:rFonts w:ascii="Arial" w:cs="Arial" w:eastAsia="Arial" w:hAnsi="Arial"/>
          <w:sz w:val="16"/>
          <w:szCs w:val="16"/>
          <w:color w:val="auto"/>
        </w:rPr>
        <w:t>On December 27, 2016, Peak Resorts borrowed $52.0 million from the Carinthia Partnerships to fund two capital projects at Mount Snow. The amounts were borrowed through two loan agreements, which provided $30.0 million and $22.0 million (together, the “EB-5 Development Notes”). Amounts outstanding under the EB-5 Development Notes accrue simple interest at a fixed rate of 1.0% per annum until the maturity date, which is December 27, 2021, subject to an extension of up to two additional years at the option of the borrowers, with lender consent. If the maturity date is extended, amounts outstanding under the EB-5 Development Notes will accrue simple interest at a fixed rate of 7.0% per annum during the first year of extension and a fixed rate of 10.0% per annum during the second year of extension. Upon an event of default (as defined), amounts outstanding under the EB-5 Development Notes shall bear interest at the rate of 5.0% per annum, subject to the extension increases. While the EB-5 Development Notes are outstanding, Peak Resorts is restricted from taking certain actions without the consent of the lenders, including, but not limited to, transferring or disposing of the properties or assets financed with loan proceeds. In addition, Peak Resorts is prohibited from prepaying outstanding amounts owed if such prepayment would jeopardize any of the EB-5 Investors from being admitted to the U.S. via the EB-5 Program.</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  Current maturities represent principal payments due in the next 12 months.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Aggregate maturities of debt outstanding as of January 31, 2020 reflected by fiscal year (August 1 through July 31) are as follows (in thousands):</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00" w:type="dxa"/>
            <w:vAlign w:val="bottom"/>
          </w:tcPr>
          <w:p>
            <w:pPr>
              <w:jc w:val="right"/>
              <w:ind w:right="610"/>
              <w:spacing w:after="0"/>
              <w:rPr>
                <w:sz w:val="20"/>
                <w:szCs w:val="20"/>
                <w:color w:val="auto"/>
              </w:rPr>
            </w:pPr>
            <w:r>
              <w:rPr>
                <w:rFonts w:ascii="Arial" w:cs="Arial" w:eastAsia="Arial" w:hAnsi="Arial"/>
                <w:sz w:val="18"/>
                <w:szCs w:val="18"/>
                <w:b w:val="1"/>
                <w:bCs w:val="1"/>
                <w:color w:val="auto"/>
              </w:rPr>
              <w:t>Total</w:t>
            </w:r>
          </w:p>
        </w:tc>
      </w:tr>
      <w:tr>
        <w:trPr>
          <w:trHeight w:val="27"/>
        </w:trPr>
        <w:tc>
          <w:tcPr>
            <w:tcW w:w="62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(February 2020 through July 2020)</w:t>
            </w:r>
          </w:p>
        </w:tc>
        <w:tc>
          <w:tcPr>
            <w:tcW w:w="36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37,998</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2021</w:t>
            </w:r>
          </w:p>
        </w:tc>
        <w:tc>
          <w:tcPr>
            <w:tcW w:w="36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63,640</w:t>
            </w:r>
          </w:p>
        </w:tc>
      </w:tr>
      <w:tr>
        <w:trPr>
          <w:trHeight w:val="27"/>
        </w:trPr>
        <w:tc>
          <w:tcPr>
            <w:tcW w:w="62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6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115,383</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2023</w:t>
            </w:r>
          </w:p>
        </w:tc>
        <w:tc>
          <w:tcPr>
            <w:tcW w:w="36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63,736</w:t>
            </w:r>
          </w:p>
        </w:tc>
      </w:tr>
      <w:tr>
        <w:trPr>
          <w:trHeight w:val="27"/>
        </w:trPr>
        <w:tc>
          <w:tcPr>
            <w:tcW w:w="62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6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63,794</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6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1,522,015</w:t>
            </w:r>
          </w:p>
        </w:tc>
      </w:tr>
      <w:tr>
        <w:trPr>
          <w:trHeight w:val="27"/>
        </w:trPr>
        <w:tc>
          <w:tcPr>
            <w:tcW w:w="62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8"/>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36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1,866,566</w:t>
            </w:r>
          </w:p>
        </w:tc>
      </w:tr>
      <w:tr>
        <w:trPr>
          <w:trHeight w:val="20"/>
        </w:trPr>
        <w:tc>
          <w:tcPr>
            <w:tcW w:w="6200" w:type="dxa"/>
            <w:vAlign w:val="bottom"/>
            <w:tcBorders>
              <w:top w:val="single" w:sz="8" w:color="auto"/>
              <w:bottom w:val="single" w:sz="8" w:color="auto"/>
            </w:tcBorders>
          </w:tcPr>
          <w:p>
            <w:pPr>
              <w:spacing w:after="0" w:line="20" w:lineRule="exact"/>
              <w:rPr>
                <w:sz w:val="1"/>
                <w:szCs w:val="1"/>
                <w:color w:val="auto"/>
              </w:rPr>
            </w:pPr>
          </w:p>
        </w:tc>
        <w:tc>
          <w:tcPr>
            <w:tcW w:w="36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recorded gross interest expense of $26.1 million and $21.0 million for the three months ended January 31, 2020 and 2019, respectively, of which $0.3 million and $0.4 million, respectively, were amortization of deferred financing costs. The Company recorded gross interest expense of $48.8 million and $39.6 million for the six months ended January 31, 2020 and 2019, respectively, of which $0.7 million were amortization of deferred financing costs in both periods. The Company was in compliance with all of its financial and operating covenants required to be maintained under its debt instruments for all periods presented.</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Company’s acquisition of Whistler Blackcomb in October 2016, VHI funded a portion of the purchase price through an intercompany loan to Whistler Blackcomb of $210.0 million,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$0.8 million and $0.4 million, respectively, of non-cash foreign currency loss on the intercompany loan to Whistler Blackcomb for the three and six months ended January 31, 2020 on the Company’s Consolidated Condensed Statements of Operations. The Company recognized approximately $0.5 million and $(1.9) million, respectively, of non-cash foreign currency gain (loss) on the intercompany loan to Whistler Blackcomb for the three and six months ended January 31, 2019 on the Company’s Consolidated Condensed Statements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557" w:right="339" w:bottom="1440" w:gutter="0" w:footer="0" w:header="0"/>
        </w:sectPr>
      </w:pPr>
    </w:p>
    <w:bookmarkStart w:id="18" w:name="page19"/>
    <w:bookmarkEnd w:id="18"/>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Peak Resorts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September 24, 2019, the Company, through a wholly-owned subsidiary, acquired 100 percent of the outstanding stock of Peak Resorts, Inc. (“Peak Resorts”) at a purchase price of $11.00 per share or approximately $264.5 million. In addition, contemporaneous with the closing of the transaction, Peak Resorts was required to pay approximately $70.2 million of certain outstanding debt instruments and lease obligations in order to complete the transaction. Accordingly, the total purchase price, including the repayment of certain outstanding debt instruments and lease obligations, was approximately $334.7 million, for which the Company borrowed approximately $335.6 million under the Vail Holdings Credit Agreement (see Note 6, Long-Term Debt) to fund the acquisition, repayment of debt instruments and lease obligations, and associated acquisition related expenses. The newly acquired resorts include: Mount Snow in Vermont; Hunter Mountain in New York; Attitash Mountain Resort, Wildcat Mountain and Crotched Mountain in New Hampshire; Liberty Mountain Resort, Roundtop Mountain Resort, Whitetail Resort, Jack Frost and Big Boulder in Pennsylvania; Alpine Valley, Boston Mills, Brandywine and Mad River Mountain in Ohio; Hidden Valley and Snow Creek in Missouri; and Paoli Peaks in Indiana. The Company assumed the Special Use Permits from the U.S. Forest Service for Attitash, Mount Snow and Wildcat Mountain, and assumed the land leases for Mad River and Paoli Peaks. The acquisition included the mountain operations of the resorts, including base area skier services (food and beverage, retail and rental, lift ticket offices and ski and snowboard school facilities), as well as lodging operations at certain resorts.</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40" w:type="dxa"/>
            <w:vAlign w:val="bottom"/>
          </w:tcPr>
          <w:p>
            <w:pPr>
              <w:jc w:val="right"/>
              <w:ind w:right="254"/>
              <w:spacing w:after="0"/>
              <w:rPr>
                <w:sz w:val="20"/>
                <w:szCs w:val="20"/>
                <w:color w:val="auto"/>
              </w:rPr>
            </w:pPr>
            <w:r>
              <w:rPr>
                <w:rFonts w:ascii="Arial" w:cs="Arial" w:eastAsia="Arial" w:hAnsi="Arial"/>
                <w:sz w:val="14"/>
                <w:szCs w:val="14"/>
                <w:b w:val="1"/>
                <w:bCs w:val="1"/>
                <w:color w:val="auto"/>
              </w:rPr>
              <w:t>Acquisition Date</w:t>
            </w:r>
          </w:p>
        </w:tc>
      </w:tr>
      <w:tr>
        <w:trPr>
          <w:trHeight w:val="192"/>
        </w:trPr>
        <w:tc>
          <w:tcPr>
            <w:tcW w:w="586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Estimated Fair Value</w:t>
            </w: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19,578</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7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427,793</w:t>
            </w:r>
          </w:p>
        </w:tc>
      </w:tr>
      <w:tr>
        <w:trPr>
          <w:trHeight w:val="27"/>
        </w:trPr>
        <w:tc>
          <w:tcPr>
            <w:tcW w:w="58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7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146,259</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37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19,221</w:t>
            </w:r>
          </w:p>
        </w:tc>
      </w:tr>
      <w:tr>
        <w:trPr>
          <w:trHeight w:val="27"/>
        </w:trPr>
        <w:tc>
          <w:tcPr>
            <w:tcW w:w="58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7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16,203</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Assumed long-term debt</w:t>
            </w:r>
          </w:p>
        </w:tc>
        <w:tc>
          <w:tcPr>
            <w:tcW w:w="37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(184,668)</w:t>
            </w:r>
          </w:p>
        </w:tc>
      </w:tr>
      <w:tr>
        <w:trPr>
          <w:trHeight w:val="27"/>
        </w:trPr>
        <w:tc>
          <w:tcPr>
            <w:tcW w:w="58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7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(109,656)</w:t>
            </w:r>
          </w:p>
        </w:tc>
      </w:tr>
      <w:tr>
        <w:trPr>
          <w:trHeight w:val="237"/>
        </w:trPr>
        <w:tc>
          <w:tcPr>
            <w:tcW w:w="58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Net assets acquired</w:t>
            </w:r>
          </w:p>
        </w:tc>
        <w:tc>
          <w:tcPr>
            <w:tcW w:w="3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334,730</w:t>
            </w:r>
          </w:p>
        </w:tc>
      </w:tr>
      <w:tr>
        <w:trPr>
          <w:trHeight w:val="27"/>
        </w:trPr>
        <w:tc>
          <w:tcPr>
            <w:tcW w:w="58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Identifiable intangible assets acquired in the transaction were primarily related to trade names and property management contracts.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resorts and other factors, and is not expected to be deductible for income tax purposes. The Company assumed various debt obligations of Peak Resorts, which were recorded at their respective estimated fair values as of the acquisition date (see Note 6, Long-Term Debt). The Company recognized $2.4 million of acquisition related expenses associated with the transaction within Mountain and Lodging operating expense in its Consolidated Condensed Statement of Operations for the six months ended January 31, 2020. The operating results of Peak Resorts are reported within the Mountain and Lodging segments prospectively from the date of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Falls Creek and Hotham Resorts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4, 2019, the Company, through a wholly-owned subsidiary, acquired ski field leases and related infrastructure used to operate two resorts in Victoria, Australia. The Company acquired Australian Alpine Enterprises Holdings Pty. Ltd and all related corporate entities that operate the Falls Creek and Hotham resorts from Living and Leisure Australia Group, a subsidiary of Merlin Entertainments, for a cash purchase price of approximately AU$178.9 million ($127.4 million), after adjustments for certain agreed-upon terms, including an increase in the purchase price for operating losses incurred for the period from December 29, 2018 through closing. The acquisition included the mountain operations of both resorts, including base area skier services (ski and snowboard school facilities, retail and rental, reservation and property management operations).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553"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40" w:type="dxa"/>
            <w:vAlign w:val="bottom"/>
          </w:tcPr>
          <w:p>
            <w:pPr>
              <w:jc w:val="right"/>
              <w:ind w:right="255"/>
              <w:spacing w:after="0"/>
              <w:rPr>
                <w:sz w:val="20"/>
                <w:szCs w:val="20"/>
                <w:color w:val="auto"/>
              </w:rPr>
            </w:pPr>
            <w:r>
              <w:rPr>
                <w:rFonts w:ascii="Arial" w:cs="Arial" w:eastAsia="Arial" w:hAnsi="Arial"/>
                <w:sz w:val="14"/>
                <w:szCs w:val="14"/>
                <w:b w:val="1"/>
                <w:bCs w:val="1"/>
                <w:color w:val="auto"/>
              </w:rPr>
              <w:t>Acquisition Date</w:t>
            </w:r>
          </w:p>
        </w:tc>
      </w:tr>
      <w:tr>
        <w:trPr>
          <w:trHeight w:val="192"/>
        </w:trPr>
        <w:tc>
          <w:tcPr>
            <w:tcW w:w="64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5"/>
              </w:rPr>
              <w:t>Estimated Fair Value</w:t>
            </w: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6,986</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24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54,889</w:t>
            </w:r>
          </w:p>
        </w:tc>
      </w:tr>
      <w:tr>
        <w:trPr>
          <w:trHeight w:val="27"/>
        </w:trPr>
        <w:tc>
          <w:tcPr>
            <w:tcW w:w="64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71,538</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Identifiable intangible assets and other assets</w:t>
            </w:r>
          </w:p>
        </w:tc>
        <w:tc>
          <w:tcPr>
            <w:tcW w:w="324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5,833</w:t>
            </w:r>
          </w:p>
        </w:tc>
      </w:tr>
      <w:tr>
        <w:trPr>
          <w:trHeight w:val="27"/>
        </w:trPr>
        <w:tc>
          <w:tcPr>
            <w:tcW w:w="64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(11,894)</w:t>
            </w:r>
          </w:p>
        </w:tc>
      </w:tr>
      <w:tr>
        <w:trPr>
          <w:trHeight w:val="237"/>
        </w:trPr>
        <w:tc>
          <w:tcPr>
            <w:tcW w:w="640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Net assets acquired</w:t>
            </w:r>
          </w:p>
        </w:tc>
        <w:tc>
          <w:tcPr>
            <w:tcW w:w="3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127,352</w:t>
            </w:r>
          </w:p>
        </w:tc>
      </w:tr>
      <w:tr>
        <w:trPr>
          <w:trHeight w:val="27"/>
        </w:trPr>
        <w:tc>
          <w:tcPr>
            <w:tcW w:w="640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Identifiable intangible assets acquired in the transaction were primarily related to trade names.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assets acquired and liabilities assumed was recorded as goodwill. The goodwill recognized is attributable primarily to expected synergies, the assembled workforce of Falls Creek and Hotham and other factors. None of the goodwill is expected to be deductible for income tax purposes under Australian tax law. The operating results of Falls Creek and Hotham are reported within the Mountain segment prospectively from the date of acquisition.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Stevens Pass Resort</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August 15, 2018, the Company, through a wholly-owned subsidiary, acquired Stevens Pass Resort in the State of Washington from Ski Resort Holdings, LLC, an affiliate of Oz Real Estate (“Ski Resort Holdings”), for total cash consideration of $64.0 million, after adjustments for certain agreed-upon terms. The Company borrowed $70.0 million on August 15, 2018 under its Vail Holdings Credit Agreement term loan (see Note 6, Long-Term Debt) to fund the transaction and associated acquisition related expenses. The acquisition included the mountain operations of the resort, including base area skier services (food and beverage, retail and rental, lift ticket offices and ski and snowboard school facilities).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purchase price allocation to estimated fair values of the identifiable assets acquired and liabilities assumed at the date the transaction was effective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40" w:type="dxa"/>
            <w:vAlign w:val="bottom"/>
          </w:tcPr>
          <w:p>
            <w:pPr>
              <w:jc w:val="right"/>
              <w:ind w:right="234"/>
              <w:spacing w:after="0"/>
              <w:rPr>
                <w:sz w:val="20"/>
                <w:szCs w:val="20"/>
                <w:color w:val="auto"/>
              </w:rPr>
            </w:pPr>
            <w:r>
              <w:rPr>
                <w:rFonts w:ascii="Arial" w:cs="Arial" w:eastAsia="Arial" w:hAnsi="Arial"/>
                <w:sz w:val="14"/>
                <w:szCs w:val="14"/>
                <w:b w:val="1"/>
                <w:bCs w:val="1"/>
                <w:color w:val="auto"/>
              </w:rPr>
              <w:t>Acquisition Date</w:t>
            </w:r>
          </w:p>
        </w:tc>
      </w:tr>
      <w:tr>
        <w:trPr>
          <w:trHeight w:val="192"/>
        </w:trPr>
        <w:tc>
          <w:tcPr>
            <w:tcW w:w="590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Estimated Fair Value</w:t>
            </w: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752</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8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34,865</w:t>
            </w:r>
          </w:p>
        </w:tc>
      </w:tr>
      <w:tr>
        <w:trPr>
          <w:trHeight w:val="27"/>
        </w:trPr>
        <w:tc>
          <w:tcPr>
            <w:tcW w:w="59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28,878</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Identifiable intangible assets</w:t>
            </w:r>
          </w:p>
        </w:tc>
        <w:tc>
          <w:tcPr>
            <w:tcW w:w="38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2,680</w:t>
            </w:r>
          </w:p>
        </w:tc>
      </w:tr>
      <w:tr>
        <w:trPr>
          <w:trHeight w:val="27"/>
        </w:trPr>
        <w:tc>
          <w:tcPr>
            <w:tcW w:w="59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8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886</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8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(4,029)</w:t>
            </w:r>
          </w:p>
        </w:tc>
      </w:tr>
      <w:tr>
        <w:trPr>
          <w:trHeight w:val="27"/>
        </w:trPr>
        <w:tc>
          <w:tcPr>
            <w:tcW w:w="59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assets acquired</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64,032</w:t>
            </w:r>
          </w:p>
        </w:tc>
      </w:tr>
      <w:tr>
        <w:trPr>
          <w:trHeight w:val="20"/>
        </w:trPr>
        <w:tc>
          <w:tcPr>
            <w:tcW w:w="5900" w:type="dxa"/>
            <w:vAlign w:val="bottom"/>
            <w:tcBorders>
              <w:top w:val="single" w:sz="8" w:color="auto"/>
              <w:bottom w:val="single" w:sz="8" w:color="auto"/>
            </w:tcBorders>
          </w:tcPr>
          <w:p>
            <w:pPr>
              <w:spacing w:after="0" w:line="20" w:lineRule="exact"/>
              <w:rPr>
                <w:sz w:val="1"/>
                <w:szCs w:val="1"/>
                <w:color w:val="auto"/>
              </w:rPr>
            </w:pPr>
          </w:p>
        </w:tc>
        <w:tc>
          <w:tcPr>
            <w:tcW w:w="38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assets acquired and liabilities assumed was recorded as goodwill. The goodwill recognized is attributable primarily to expected synergies, the assembled workforce of Stevens Pass and other factors, and is expected to be deductible for income tax purposes. The Company recognized $1.2 million of acquisition related expenses associated with the transaction within Mountain and Lodging operating expense in its Consolidated Condensed Statement of Operations for the six months ended January 31, 2019. The operating results of Stevens Pass are reported within the Mountain segment prospectively from the date of acquisition.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Triple Peaks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27, 2018, the Company, through a wholly-owned subsidiary, acquired Triple Peaks, LLC (“Triple Peaks”), the parent company of Okemo Mountain Resort in Vermont, Crested Butte Mountain Resort in Colorado, and Mount Sunapee Resort in New Hampshire, for a cash purchase price of approximately $74.1 million, after adjustments for certain agreed-upon terms. In addition, contemporaneous with the closing of the transaction, Triple Peaks paid $155.0 million to pay the remaining obligations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557" w:right="339"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8"/>
          <w:szCs w:val="18"/>
          <w:color w:val="auto"/>
        </w:rPr>
        <w:t>of the leases that all three resorts had with Ski Resort Holdings, with funds provided by the Company. Accordingly, the total purchase price, including the repayment of lease obligations, was $229.1 million, for which the Company utilized cash on hand and borrowed $195.6 million under the Vail Holdings Credit Agreement term loan (see Note 6, Long-Term Debt) to fund the transaction and associated acquisition related expenses. The Company obtained a new Special Use Permit from the U.S. Forest Service for Crested Butte, and assumed the state land leases for Okemo and Mount Sunapee. The acquisition included the mountain operations of the resorts, including base area skier services (food and beverage, retail and rental, lift ticket offices and ski and snowboard school facilities).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purchase price allocation to estimated fair values of the identifiable assets acquired and liabilities assumed at the date the transaction was effective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40" w:type="dxa"/>
            <w:vAlign w:val="bottom"/>
          </w:tcPr>
          <w:p>
            <w:pPr>
              <w:jc w:val="right"/>
              <w:ind w:right="234"/>
              <w:spacing w:after="0"/>
              <w:rPr>
                <w:sz w:val="20"/>
                <w:szCs w:val="20"/>
                <w:color w:val="auto"/>
              </w:rPr>
            </w:pPr>
            <w:r>
              <w:rPr>
                <w:rFonts w:ascii="Arial" w:cs="Arial" w:eastAsia="Arial" w:hAnsi="Arial"/>
                <w:sz w:val="14"/>
                <w:szCs w:val="14"/>
                <w:b w:val="1"/>
                <w:bCs w:val="1"/>
                <w:color w:val="auto"/>
              </w:rPr>
              <w:t>Acquisition Date</w:t>
            </w:r>
          </w:p>
        </w:tc>
      </w:tr>
      <w:tr>
        <w:trPr>
          <w:trHeight w:val="192"/>
        </w:trPr>
        <w:tc>
          <w:tcPr>
            <w:tcW w:w="590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Estimated Fair Value</w:t>
            </w:r>
          </w:p>
        </w:tc>
      </w:tr>
      <w:tr>
        <w:trPr>
          <w:trHeight w:val="249"/>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5,197</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8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159,799</w:t>
            </w:r>
          </w:p>
        </w:tc>
      </w:tr>
      <w:tr>
        <w:trPr>
          <w:trHeight w:val="27"/>
        </w:trPr>
        <w:tc>
          <w:tcPr>
            <w:tcW w:w="59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51,742</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Identifiable intangible assets</w:t>
            </w:r>
          </w:p>
        </w:tc>
        <w:tc>
          <w:tcPr>
            <w:tcW w:w="38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27,360</w:t>
            </w:r>
          </w:p>
        </w:tc>
      </w:tr>
      <w:tr>
        <w:trPr>
          <w:trHeight w:val="27"/>
        </w:trPr>
        <w:tc>
          <w:tcPr>
            <w:tcW w:w="59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8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3,093</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8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(18,098)</w:t>
            </w:r>
          </w:p>
        </w:tc>
      </w:tr>
      <w:tr>
        <w:trPr>
          <w:trHeight w:val="27"/>
        </w:trPr>
        <w:tc>
          <w:tcPr>
            <w:tcW w:w="590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8"/>
        </w:trPr>
        <w:tc>
          <w:tcPr>
            <w:tcW w:w="5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assets acquired</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229,093</w:t>
            </w:r>
          </w:p>
        </w:tc>
      </w:tr>
      <w:tr>
        <w:trPr>
          <w:trHeight w:val="20"/>
        </w:trPr>
        <w:tc>
          <w:tcPr>
            <w:tcW w:w="5900" w:type="dxa"/>
            <w:vAlign w:val="bottom"/>
            <w:tcBorders>
              <w:top w:val="single" w:sz="8" w:color="auto"/>
              <w:bottom w:val="single" w:sz="8" w:color="auto"/>
            </w:tcBorders>
          </w:tcPr>
          <w:p>
            <w:pPr>
              <w:spacing w:after="0" w:line="20" w:lineRule="exact"/>
              <w:rPr>
                <w:sz w:val="1"/>
                <w:szCs w:val="1"/>
                <w:color w:val="auto"/>
              </w:rPr>
            </w:pPr>
          </w:p>
        </w:tc>
        <w:tc>
          <w:tcPr>
            <w:tcW w:w="38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Identifiable intangible assets acquired in the transaction were primarily related to property management contracts and trade names.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assets acquired and liabilities assumed was recorded as goodwill. The goodwill recognized is attributable primarily to expected synergies, the assembled workforce of the resorts and other factors, and is expected to be deductible for income tax purposes. The Company recognized $2.8 million of acquisition related expenses associated with the transaction within Mountain and Lodging operating expense in its Consolidated Condensed Statement of Operations for the six months ended January 31, 2019. The operating results of Triple Peaks are reported within the Mountain and Lodging segments prospectively from the date of acquisition.</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estimated fair values of assets acquired and liabilities assumed in the acquisitions of Peak Resorts, Falls Creek and Hotham are preliminary and are based on the information that was available as of the respective acquisition dates. The Company believes that this information provides a reasonable basis for estimating the fair values of assets acquired and liabilities assumed; however, the Company is obtaining additional information necessary to finalize those estimated fair values. Therefore, the preliminary measurements of estimated fair values reflected are subject to change. The Company expects to finalize the valuation and complete the purchase consideration allocation no later than one year from the respective acquisition dates.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presents the unaudited pro forma consolidated financial information of the Company as if the acquisitions of Peak Resorts, Falls Creek &amp; Hotham, Triple Peaks and Stevens Pass were completed at the beginning of the fiscal year preceding the fiscal year in which each respective acquisition occurred. The following unaudited pro forma financial information includes adjustments for (i) depreciation on acquired property, plant and equipment; (ii) amortization of intangible assets recorded at the date of the transactions; (iii) lease expenses incurred by the prior owners which the Company will not be subject to; (iv) transaction and business integration related costs; and (v) interest expense associated with financing the transactions. This unaudited pro forma financial information is presented for informational purposes only and does not purport to be indicative of the results of future operations or the results that would have occurred had the transaction taken place on August 1, 2018 (in thousands, except per share amounts).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55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Three Months Ended January 31,</w:t>
            </w:r>
          </w:p>
        </w:tc>
      </w:tr>
      <w:tr>
        <w:trPr>
          <w:trHeight w:val="250"/>
        </w:trPr>
        <w:tc>
          <w:tcPr>
            <w:tcW w:w="67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21"/>
                <w:szCs w:val="2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revenue</w:t>
            </w:r>
          </w:p>
        </w:tc>
        <w:tc>
          <w:tcPr>
            <w:tcW w:w="1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935,410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 forma net income attributable to Vail Resorts, Inc.</w:t>
            </w:r>
          </w:p>
        </w:tc>
        <w:tc>
          <w:tcPr>
            <w:tcW w:w="1280" w:type="dxa"/>
            <w:vAlign w:val="bottom"/>
          </w:tcPr>
          <w:p>
            <w:pPr>
              <w:spacing w:after="0"/>
              <w:rPr>
                <w:sz w:val="21"/>
                <w:szCs w:val="21"/>
                <w:color w:val="auto"/>
              </w:rPr>
            </w:pPr>
          </w:p>
        </w:tc>
        <w:tc>
          <w:tcPr>
            <w:tcW w:w="92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220,499</w:t>
            </w:r>
          </w:p>
        </w:tc>
      </w:tr>
      <w:tr>
        <w:trPr>
          <w:trHeight w:val="27"/>
        </w:trPr>
        <w:tc>
          <w:tcPr>
            <w:tcW w:w="6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basic net income per share attributable to Vail Resorts, Inc.</w:t>
            </w:r>
          </w:p>
        </w:tc>
        <w:tc>
          <w:tcPr>
            <w:tcW w:w="1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 forma diluted net income per share attributable to Vail Resorts, Inc.</w:t>
            </w:r>
          </w:p>
        </w:tc>
        <w:tc>
          <w:tcPr>
            <w:tcW w:w="1280" w:type="dxa"/>
            <w:vAlign w:val="bottom"/>
          </w:tcPr>
          <w:p>
            <w:pPr>
              <w:spacing w:after="0"/>
              <w:rPr>
                <w:sz w:val="21"/>
                <w:szCs w:val="21"/>
                <w:color w:val="auto"/>
              </w:rPr>
            </w:pPr>
          </w:p>
        </w:tc>
        <w:tc>
          <w:tcPr>
            <w:tcW w:w="92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5.36</w:t>
            </w:r>
          </w:p>
        </w:tc>
      </w:tr>
      <w:tr>
        <w:trPr>
          <w:trHeight w:val="27"/>
        </w:trPr>
        <w:tc>
          <w:tcPr>
            <w:tcW w:w="67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608"/>
        </w:trPr>
        <w:tc>
          <w:tcPr>
            <w:tcW w:w="676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w w:val="93"/>
              </w:rPr>
              <w:t>Six Months Ended January 31,</w:t>
            </w:r>
          </w:p>
        </w:tc>
        <w:tc>
          <w:tcPr>
            <w:tcW w:w="900" w:type="dxa"/>
            <w:vAlign w:val="bottom"/>
            <w:tcBorders>
              <w:bottom w:val="single" w:sz="8" w:color="auto"/>
            </w:tcBorders>
          </w:tcPr>
          <w:p>
            <w:pPr>
              <w:spacing w:after="0"/>
              <w:rPr>
                <w:sz w:val="24"/>
                <w:szCs w:val="24"/>
                <w:color w:val="auto"/>
              </w:rPr>
            </w:pPr>
          </w:p>
        </w:tc>
      </w:tr>
      <w:tr>
        <w:trPr>
          <w:trHeight w:val="250"/>
        </w:trPr>
        <w:tc>
          <w:tcPr>
            <w:tcW w:w="67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21"/>
                <w:szCs w:val="2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revenue</w:t>
            </w:r>
          </w:p>
        </w:tc>
        <w:tc>
          <w:tcPr>
            <w:tcW w:w="1280" w:type="dxa"/>
            <w:vAlign w:val="bottom"/>
            <w:tcBorders>
              <w:bottom w:val="single" w:sz="8" w:color="CCEEFF"/>
            </w:tcBorders>
            <w:shd w:val="clear" w:color="auto" w:fill="CCEEFF"/>
          </w:tcPr>
          <w:p>
            <w:pPr>
              <w:jc w:val="right"/>
              <w:ind w:right="107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1,199,067</w:t>
            </w:r>
          </w:p>
        </w:tc>
        <w:tc>
          <w:tcPr>
            <w:tcW w:w="1380" w:type="dxa"/>
            <w:vAlign w:val="bottom"/>
            <w:tcBorders>
              <w:bottom w:val="single" w:sz="8" w:color="CCEEFF"/>
            </w:tcBorders>
            <w:shd w:val="clear" w:color="auto" w:fill="CCEEFF"/>
          </w:tcPr>
          <w:p>
            <w:pPr>
              <w:jc w:val="right"/>
              <w:ind w:right="113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1,195,296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 forma net income attributable to Vail Resorts, Inc.</w:t>
            </w:r>
          </w:p>
        </w:tc>
        <w:tc>
          <w:tcPr>
            <w:tcW w:w="1280" w:type="dxa"/>
            <w:vAlign w:val="bottom"/>
          </w:tcPr>
          <w:p>
            <w:pPr>
              <w:jc w:val="right"/>
              <w:ind w:right="1074"/>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95,850</w:t>
            </w:r>
          </w:p>
        </w:tc>
        <w:tc>
          <w:tcPr>
            <w:tcW w:w="1380" w:type="dxa"/>
            <w:vAlign w:val="bottom"/>
          </w:tcPr>
          <w:p>
            <w:pPr>
              <w:jc w:val="right"/>
              <w:ind w:right="1136"/>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99,569</w:t>
            </w:r>
          </w:p>
        </w:tc>
      </w:tr>
      <w:tr>
        <w:trPr>
          <w:trHeight w:val="27"/>
        </w:trPr>
        <w:tc>
          <w:tcPr>
            <w:tcW w:w="6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basic net income per share attributable to Vail Resorts, Inc.</w:t>
            </w:r>
          </w:p>
        </w:tc>
        <w:tc>
          <w:tcPr>
            <w:tcW w:w="1280" w:type="dxa"/>
            <w:vAlign w:val="bottom"/>
            <w:tcBorders>
              <w:bottom w:val="single" w:sz="8" w:color="CCEEFF"/>
            </w:tcBorders>
            <w:shd w:val="clear" w:color="auto" w:fill="CCEEFF"/>
          </w:tcPr>
          <w:p>
            <w:pPr>
              <w:jc w:val="right"/>
              <w:ind w:right="107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380" w:type="dxa"/>
            <w:vAlign w:val="bottom"/>
            <w:tcBorders>
              <w:bottom w:val="single" w:sz="8" w:color="CCEEFF"/>
            </w:tcBorders>
            <w:shd w:val="clear" w:color="auto" w:fill="CCEEFF"/>
          </w:tcPr>
          <w:p>
            <w:pPr>
              <w:jc w:val="right"/>
              <w:ind w:right="113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Pro forma diluted net income per share attributable to Vail Resorts, Inc.</w:t>
            </w:r>
          </w:p>
        </w:tc>
        <w:tc>
          <w:tcPr>
            <w:tcW w:w="1280" w:type="dxa"/>
            <w:vAlign w:val="bottom"/>
          </w:tcPr>
          <w:p>
            <w:pPr>
              <w:jc w:val="right"/>
              <w:ind w:right="1074"/>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1380" w:type="dxa"/>
            <w:vAlign w:val="bottom"/>
          </w:tcPr>
          <w:p>
            <w:pPr>
              <w:jc w:val="right"/>
              <w:ind w:right="1136"/>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2.41</w:t>
            </w:r>
          </w:p>
        </w:tc>
      </w:tr>
      <w:tr>
        <w:trPr>
          <w:trHeight w:val="27"/>
        </w:trPr>
        <w:tc>
          <w:tcPr>
            <w:tcW w:w="67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Supplementary Balance Sheet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property, plant and equipment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8"/>
              </w:rPr>
              <w:t>January 31, 2020</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July 31, 2019</w:t>
            </w: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8"/>
              </w:rPr>
              <w:t>January 31, 2019</w:t>
            </w: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749,669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619,561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617,492</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32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1,475,415</w:t>
            </w:r>
          </w:p>
        </w:tc>
        <w:tc>
          <w:tcPr>
            <w:tcW w:w="30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1,284,438</w:t>
            </w:r>
          </w:p>
        </w:tc>
        <w:tc>
          <w:tcPr>
            <w:tcW w:w="2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1,280,972</w:t>
            </w:r>
          </w:p>
        </w:tc>
      </w:tr>
      <w:tr>
        <w:trPr>
          <w:trHeight w:val="27"/>
        </w:trPr>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1,253,476</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1,160,817</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1,139,443</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2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450,903</w:t>
            </w:r>
          </w:p>
        </w:tc>
        <w:tc>
          <w:tcPr>
            <w:tcW w:w="30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309,271</w:t>
            </w:r>
          </w:p>
        </w:tc>
        <w:tc>
          <w:tcPr>
            <w:tcW w:w="2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323,406</w:t>
            </w:r>
          </w:p>
        </w:tc>
      </w:tr>
      <w:tr>
        <w:trPr>
          <w:trHeight w:val="27"/>
        </w:trPr>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121,390</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118,815</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122,038</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Vehicles</w:t>
            </w:r>
          </w:p>
        </w:tc>
        <w:tc>
          <w:tcPr>
            <w:tcW w:w="32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70,820</w:t>
            </w:r>
          </w:p>
        </w:tc>
        <w:tc>
          <w:tcPr>
            <w:tcW w:w="30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65,556</w:t>
            </w:r>
          </w:p>
        </w:tc>
        <w:tc>
          <w:tcPr>
            <w:tcW w:w="2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65,642</w:t>
            </w:r>
          </w:p>
        </w:tc>
      </w:tr>
      <w:tr>
        <w:trPr>
          <w:trHeight w:val="27"/>
        </w:trPr>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53,325</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79,282</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23,342</w:t>
            </w:r>
          </w:p>
        </w:tc>
      </w:tr>
      <w:tr>
        <w:trPr>
          <w:trHeight w:val="237"/>
        </w:trPr>
        <w:tc>
          <w:tcPr>
            <w:tcW w:w="61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Gross property, plant and equipment</w:t>
            </w:r>
          </w:p>
        </w:tc>
        <w:tc>
          <w:tcPr>
            <w:tcW w:w="3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4,174,998</w:t>
            </w:r>
          </w:p>
        </w:tc>
        <w:tc>
          <w:tcPr>
            <w:tcW w:w="3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3,637,740</w:t>
            </w:r>
          </w:p>
        </w:tc>
        <w:tc>
          <w:tcPr>
            <w:tcW w:w="2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3,572,335</w:t>
            </w:r>
          </w:p>
        </w:tc>
      </w:tr>
      <w:tr>
        <w:trPr>
          <w:trHeight w:val="27"/>
        </w:trPr>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(1,911,217)</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(1,795,240)</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(1,741,248)</w:t>
            </w:r>
          </w:p>
        </w:tc>
      </w:tr>
      <w:tr>
        <w:trPr>
          <w:trHeight w:val="237"/>
        </w:trPr>
        <w:tc>
          <w:tcPr>
            <w:tcW w:w="61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2,263,781</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1,842,500</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1,831,087</w:t>
            </w:r>
          </w:p>
        </w:tc>
      </w:tr>
      <w:tr>
        <w:trPr>
          <w:trHeight w:val="27"/>
        </w:trPr>
        <w:tc>
          <w:tcPr>
            <w:tcW w:w="6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628"/>
        </w:trPr>
        <w:tc>
          <w:tcPr>
            <w:tcW w:w="6180" w:type="dxa"/>
            <w:vAlign w:val="bottom"/>
          </w:tcPr>
          <w:p>
            <w:pPr>
              <w:spacing w:after="0"/>
              <w:rPr>
                <w:sz w:val="20"/>
                <w:szCs w:val="20"/>
                <w:color w:val="auto"/>
              </w:rPr>
            </w:pPr>
            <w:r>
              <w:rPr>
                <w:rFonts w:ascii="Arial" w:cs="Arial" w:eastAsia="Arial" w:hAnsi="Arial"/>
                <w:sz w:val="18"/>
                <w:szCs w:val="18"/>
                <w:color w:val="auto"/>
                <w:w w:val="93"/>
              </w:rPr>
              <w:t>The composition of accounts payable and accrued liabilities follows (in thousands):</w:t>
            </w: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99"/>
        </w:trPr>
        <w:tc>
          <w:tcPr>
            <w:tcW w:w="6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8"/>
              </w:rPr>
              <w:t>January 31, 2020</w:t>
            </w: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July 31, 2019</w:t>
            </w: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8"/>
              </w:rPr>
              <w:t>January 31, 2019</w:t>
            </w: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payables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126,836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96,377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106,183</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426,672</w:t>
            </w:r>
          </w:p>
        </w:tc>
        <w:tc>
          <w:tcPr>
            <w:tcW w:w="30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335,669</w:t>
            </w:r>
          </w:p>
        </w:tc>
        <w:tc>
          <w:tcPr>
            <w:tcW w:w="2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346,356</w:t>
            </w:r>
          </w:p>
        </w:tc>
      </w:tr>
      <w:tr>
        <w:trPr>
          <w:trHeight w:val="27"/>
        </w:trPr>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salaries, wages and deferred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48,591</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50,318</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66,090</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Accrued benefits</w:t>
            </w:r>
          </w:p>
        </w:tc>
        <w:tc>
          <w:tcPr>
            <w:tcW w:w="32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46,622</w:t>
            </w:r>
          </w:p>
        </w:tc>
        <w:tc>
          <w:tcPr>
            <w:tcW w:w="30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37,797</w:t>
            </w:r>
          </w:p>
        </w:tc>
        <w:tc>
          <w:tcPr>
            <w:tcW w:w="2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37,991</w:t>
            </w:r>
          </w:p>
        </w:tc>
      </w:tr>
      <w:tr>
        <w:trPr>
          <w:trHeight w:val="27"/>
        </w:trPr>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63,432</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32,108</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52,867</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99,344</w:t>
            </w:r>
          </w:p>
        </w:tc>
        <w:tc>
          <w:tcPr>
            <w:tcW w:w="30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55,588</w:t>
            </w:r>
          </w:p>
        </w:tc>
        <w:tc>
          <w:tcPr>
            <w:tcW w:w="2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76,249</w:t>
            </w:r>
          </w:p>
        </w:tc>
      </w:tr>
      <w:tr>
        <w:trPr>
          <w:trHeight w:val="27"/>
        </w:trPr>
        <w:tc>
          <w:tcPr>
            <w:tcW w:w="6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8"/>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accounts payable and accrued liabilities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811,497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607,857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685,736</w:t>
            </w:r>
          </w:p>
        </w:tc>
      </w:tr>
      <w:tr>
        <w:trPr>
          <w:trHeight w:val="20"/>
        </w:trPr>
        <w:tc>
          <w:tcPr>
            <w:tcW w:w="6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6180" w:type="dxa"/>
            <w:vAlign w:val="bottom"/>
          </w:tcPr>
          <w:p>
            <w:pPr>
              <w:spacing w:after="0"/>
              <w:rPr>
                <w:sz w:val="20"/>
                <w:szCs w:val="20"/>
                <w:color w:val="auto"/>
              </w:rPr>
            </w:pPr>
            <w:r>
              <w:rPr>
                <w:rFonts w:ascii="Arial" w:cs="Arial" w:eastAsia="Arial" w:hAnsi="Arial"/>
                <w:sz w:val="18"/>
                <w:szCs w:val="18"/>
                <w:color w:val="auto"/>
              </w:rPr>
              <w:t>The composition of other long-term liabilities follows (in thousands):</w:t>
            </w: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99"/>
        </w:trPr>
        <w:tc>
          <w:tcPr>
            <w:tcW w:w="6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8"/>
              </w:rPr>
              <w:t>January 31, 2020</w:t>
            </w: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July 31, 2019</w:t>
            </w: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8"/>
              </w:rPr>
              <w:t>January 31, 2019</w:t>
            </w: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club deferred initiation fee revenue</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108,674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109,749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112,065</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Unfavorable lease obligation, net</w:t>
            </w:r>
          </w:p>
        </w:tc>
        <w:tc>
          <w:tcPr>
            <w:tcW w:w="32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1,607</w:t>
            </w:r>
          </w:p>
        </w:tc>
        <w:tc>
          <w:tcPr>
            <w:tcW w:w="30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19,017</w:t>
            </w:r>
          </w:p>
        </w:tc>
        <w:tc>
          <w:tcPr>
            <w:tcW w:w="2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20,450</w:t>
            </w:r>
          </w:p>
        </w:tc>
      </w:tr>
      <w:tr>
        <w:trPr>
          <w:trHeight w:val="27"/>
        </w:trPr>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135,094</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154,835</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142,483</w:t>
            </w:r>
          </w:p>
        </w:tc>
      </w:tr>
      <w:tr>
        <w:trPr>
          <w:trHeight w:val="236"/>
        </w:trPr>
        <w:tc>
          <w:tcPr>
            <w:tcW w:w="61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other long-term liabilities</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245,375</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283,601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274,998</w:t>
            </w:r>
          </w:p>
        </w:tc>
      </w:tr>
      <w:tr>
        <w:trPr>
          <w:trHeight w:val="27"/>
        </w:trPr>
        <w:tc>
          <w:tcPr>
            <w:tcW w:w="6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845"/>
        </w:trPr>
        <w:tc>
          <w:tcPr>
            <w:tcW w:w="6180" w:type="dxa"/>
            <w:vAlign w:val="bottom"/>
          </w:tcPr>
          <w:p>
            <w:pPr>
              <w:ind w:left="554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240"/>
          </w:cols>
          <w:pgMar w:left="320" w:top="778" w:right="339" w:bottom="1440" w:gutter="0" w:footer="0" w:header="0"/>
        </w:sectPr>
      </w:pPr>
    </w:p>
    <w:bookmarkStart w:id="22" w:name="page23"/>
    <w:bookmarkEnd w:id="22"/>
    <w:p>
      <w:pPr>
        <w:jc w:val="both"/>
        <w:ind w:right="20"/>
        <w:spacing w:after="0" w:line="277" w:lineRule="auto"/>
        <w:rPr>
          <w:sz w:val="20"/>
          <w:szCs w:val="20"/>
          <w:color w:val="auto"/>
        </w:rPr>
      </w:pPr>
      <w:r>
        <w:rPr>
          <w:rFonts w:ascii="Arial" w:cs="Arial" w:eastAsia="Arial" w:hAnsi="Arial"/>
          <w:sz w:val="18"/>
          <w:szCs w:val="18"/>
          <w:color w:val="auto"/>
        </w:rPr>
        <w:t>The changes in the net carrying amount of goodwill allocated between the Company’s segments for the six months ended January 31, 2020 are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Mountain</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Lodging</w:t>
            </w: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Goodwill, net</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July 31, 2019</w:t>
            </w:r>
          </w:p>
        </w:tc>
        <w:tc>
          <w:tcPr>
            <w:tcW w:w="11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1,540,307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67,899</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1,608,206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Acquisitions (including measurement period adjustments)</w:t>
            </w:r>
          </w:p>
        </w:tc>
        <w:tc>
          <w:tcPr>
            <w:tcW w:w="1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146,367</w:t>
            </w:r>
          </w:p>
        </w:tc>
        <w:tc>
          <w:tcPr>
            <w:tcW w:w="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146,367</w:t>
            </w:r>
          </w:p>
        </w:tc>
      </w:tr>
      <w:tr>
        <w:trPr>
          <w:trHeight w:val="27"/>
        </w:trPr>
        <w:tc>
          <w:tcPr>
            <w:tcW w:w="5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Effects of changes in foreign currency exchange rates</w:t>
            </w:r>
          </w:p>
        </w:tc>
        <w:tc>
          <w:tcPr>
            <w:tcW w:w="1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3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(4,562)</w:t>
            </w:r>
          </w:p>
        </w:tc>
      </w:tr>
      <w:tr>
        <w:trPr>
          <w:trHeight w:val="237"/>
        </w:trPr>
        <w:tc>
          <w:tcPr>
            <w:tcW w:w="50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Balance at January 31, 2020</w:t>
            </w:r>
          </w:p>
        </w:tc>
        <w:tc>
          <w:tcPr>
            <w:tcW w:w="11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1,682,112</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67,899</w:t>
            </w:r>
          </w:p>
        </w:tc>
        <w:tc>
          <w:tcPr>
            <w:tcW w:w="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1,750,011</w:t>
            </w:r>
          </w:p>
        </w:tc>
      </w:tr>
      <w:tr>
        <w:trPr>
          <w:trHeight w:val="27"/>
        </w:trPr>
        <w:tc>
          <w:tcPr>
            <w:tcW w:w="5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FASB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that reflect unadjusted quoted prices in active markets that are accessible to the Company for identical assets or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Inputs include quoted prices for similar assets and liabilities in active and inactive markets or that are observable for the asset or liability either directly or indirectly;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which are supported by little or no market activity.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557" w:right="339" w:bottom="1440" w:gutter="0" w:footer="0" w:header="0"/>
        </w:sectPr>
      </w:pPr>
    </w:p>
    <w:bookmarkStart w:id="23" w:name="page24"/>
    <w:bookmarkEnd w:id="23"/>
    <w:p>
      <w:pPr>
        <w:jc w:val="both"/>
        <w:ind w:right="20"/>
        <w:spacing w:after="0" w:line="277" w:lineRule="auto"/>
        <w:rPr>
          <w:sz w:val="20"/>
          <w:szCs w:val="20"/>
          <w:color w:val="auto"/>
        </w:rPr>
      </w:pPr>
      <w:r>
        <w:rPr>
          <w:rFonts w:ascii="Arial" w:cs="Arial" w:eastAsia="Arial" w:hAnsi="Arial"/>
          <w:sz w:val="18"/>
          <w:szCs w:val="18"/>
          <w:color w:val="auto"/>
        </w:rPr>
        <w:t>The table below summarizes the Company’s cash equivalents, other current assets, Interest Rate Swaps and Contingent Consideration measured at estimated fair value (all other assets and liabilities measured at fair value are immaterial)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420" w:type="dxa"/>
            <w:vAlign w:val="bottom"/>
            <w:tcBorders>
              <w:bottom w:val="single" w:sz="8" w:color="auto"/>
            </w:tcBorders>
            <w:gridSpan w:val="6"/>
          </w:tcPr>
          <w:p>
            <w:pPr>
              <w:jc w:val="center"/>
              <w:ind w:left="596"/>
              <w:spacing w:after="0"/>
              <w:rPr>
                <w:sz w:val="20"/>
                <w:szCs w:val="20"/>
                <w:color w:val="auto"/>
              </w:rPr>
            </w:pPr>
            <w:r>
              <w:rPr>
                <w:rFonts w:ascii="Arial" w:cs="Arial" w:eastAsia="Arial" w:hAnsi="Arial"/>
                <w:sz w:val="14"/>
                <w:szCs w:val="14"/>
                <w:b w:val="1"/>
                <w:bCs w:val="1"/>
                <w:color w:val="auto"/>
                <w:w w:val="93"/>
              </w:rPr>
              <w:t>Estimated Fair Value Measurement as of January 31, 2020</w:t>
            </w:r>
          </w:p>
        </w:tc>
        <w:tc>
          <w:tcPr>
            <w:tcW w:w="980" w:type="dxa"/>
            <w:vAlign w:val="bottom"/>
            <w:tcBorders>
              <w:bottom w:val="single" w:sz="8" w:color="auto"/>
            </w:tcBorders>
          </w:tcPr>
          <w:p>
            <w:pPr>
              <w:spacing w:after="0"/>
              <w:rPr>
                <w:sz w:val="16"/>
                <w:szCs w:val="16"/>
                <w:color w:val="auto"/>
              </w:rPr>
            </w:pPr>
          </w:p>
        </w:tc>
      </w:tr>
      <w:tr>
        <w:trPr>
          <w:trHeight w:val="264"/>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75"/>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55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Money Market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3,052</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3,052</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2,401</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7,717</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7,717</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55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Interest Rate Swaps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4,563</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4,563</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23,500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23,500</w:t>
            </w:r>
          </w:p>
        </w:tc>
      </w:tr>
      <w:tr>
        <w:trPr>
          <w:trHeight w:val="527"/>
        </w:trPr>
        <w:tc>
          <w:tcPr>
            <w:tcW w:w="552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4420" w:type="dxa"/>
            <w:vAlign w:val="bottom"/>
            <w:tcBorders>
              <w:top w:val="single" w:sz="8" w:color="auto"/>
              <w:bottom w:val="single" w:sz="8" w:color="auto"/>
            </w:tcBorders>
            <w:gridSpan w:val="6"/>
          </w:tcPr>
          <w:p>
            <w:pPr>
              <w:jc w:val="center"/>
              <w:ind w:left="596"/>
              <w:spacing w:after="0"/>
              <w:rPr>
                <w:sz w:val="20"/>
                <w:szCs w:val="20"/>
                <w:color w:val="auto"/>
              </w:rPr>
            </w:pPr>
            <w:r>
              <w:rPr>
                <w:rFonts w:ascii="Arial" w:cs="Arial" w:eastAsia="Arial" w:hAnsi="Arial"/>
                <w:sz w:val="14"/>
                <w:szCs w:val="14"/>
                <w:b w:val="1"/>
                <w:bCs w:val="1"/>
                <w:color w:val="auto"/>
                <w:w w:val="93"/>
              </w:rPr>
              <w:t>Estimated Fair Value Measurement as of July 31, 2019</w:t>
            </w:r>
          </w:p>
        </w:tc>
        <w:tc>
          <w:tcPr>
            <w:tcW w:w="980" w:type="dxa"/>
            <w:vAlign w:val="bottom"/>
            <w:tcBorders>
              <w:top w:val="single" w:sz="8" w:color="auto"/>
              <w:bottom w:val="single" w:sz="8" w:color="auto"/>
            </w:tcBorders>
          </w:tcPr>
          <w:p>
            <w:pPr>
              <w:spacing w:after="0"/>
              <w:rPr>
                <w:sz w:val="24"/>
                <w:szCs w:val="24"/>
                <w:color w:val="auto"/>
              </w:rPr>
            </w:pPr>
          </w:p>
        </w:tc>
      </w:tr>
      <w:tr>
        <w:trPr>
          <w:trHeight w:val="264"/>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75"/>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55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Money Market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3,043</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3,043</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2,401</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7,871</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7,871</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55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27,200</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27,200</w:t>
            </w:r>
          </w:p>
        </w:tc>
      </w:tr>
      <w:tr>
        <w:trPr>
          <w:trHeight w:val="27"/>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gridSpan w:val="6"/>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527"/>
        </w:trPr>
        <w:tc>
          <w:tcPr>
            <w:tcW w:w="55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6"/>
          </w:tcPr>
          <w:p>
            <w:pPr>
              <w:jc w:val="center"/>
              <w:ind w:left="596"/>
              <w:spacing w:after="0"/>
              <w:rPr>
                <w:sz w:val="20"/>
                <w:szCs w:val="20"/>
                <w:color w:val="auto"/>
              </w:rPr>
            </w:pPr>
            <w:r>
              <w:rPr>
                <w:rFonts w:ascii="Arial" w:cs="Arial" w:eastAsia="Arial" w:hAnsi="Arial"/>
                <w:sz w:val="14"/>
                <w:szCs w:val="14"/>
                <w:b w:val="1"/>
                <w:bCs w:val="1"/>
                <w:color w:val="auto"/>
                <w:w w:val="93"/>
              </w:rPr>
              <w:t>Estimated Fair Value Measurement as of January 31, 2019</w:t>
            </w:r>
          </w:p>
        </w:tc>
        <w:tc>
          <w:tcPr>
            <w:tcW w:w="980" w:type="dxa"/>
            <w:vAlign w:val="bottom"/>
            <w:tcBorders>
              <w:bottom w:val="single" w:sz="8" w:color="auto"/>
            </w:tcBorders>
          </w:tcPr>
          <w:p>
            <w:pPr>
              <w:spacing w:after="0"/>
              <w:rPr>
                <w:sz w:val="24"/>
                <w:szCs w:val="24"/>
                <w:color w:val="auto"/>
              </w:rPr>
            </w:pPr>
          </w:p>
        </w:tc>
      </w:tr>
      <w:tr>
        <w:trPr>
          <w:trHeight w:val="264"/>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7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55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Money Market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3,031</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3,031</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2,401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2,401</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6,774</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6,774</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55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23,733</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23,733</w:t>
            </w:r>
          </w:p>
        </w:tc>
      </w:tr>
      <w:tr>
        <w:trPr>
          <w:trHeight w:val="27"/>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cash equivalents, other current assets and Interest Rate Swaps are measured utilizing quoted market prices or pricing models whereby all significant inputs are either observable or corroborated by observable market data. During the six months ended January 31, 2020, the Company entered into the Interest Rate Swaps to hedge the LIBOR-based variable interest rate component of underlying cash flows of $400.0 million in principal amount of its Vail Holdings Credit Agreement. Settlements or payments resulting from the Interest Rate Swaps are recognized in interest expense, net on the Company’s Consolidated Condensed Statements of Operations, and changes in the estimated fair value are recognized in change in estimated fair value of hedging instruments on the Company’s Consolidated Condensed Statements of Comprehensive Income. The estimated fair value of the Interest Rate Swaps are included within other long-term liabilities on the Company’s Consolidated Condensed Balance Sheet as of January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Contingent Consideration during the six months ended January 31, 2020 and 2019 were as follows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7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31, 2019 and 2018, respectively</w:t>
            </w:r>
          </w:p>
        </w:tc>
        <w:tc>
          <w:tcPr>
            <w:tcW w:w="244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27,200</w:t>
            </w:r>
          </w:p>
        </w:tc>
        <w:tc>
          <w:tcPr>
            <w:tcW w:w="72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21,900</w:t>
            </w:r>
          </w:p>
        </w:tc>
      </w:tr>
      <w:tr>
        <w:trPr>
          <w:trHeight w:val="243"/>
        </w:trPr>
        <w:tc>
          <w:tcPr>
            <w:tcW w:w="5760" w:type="dxa"/>
            <w:vAlign w:val="bottom"/>
          </w:tcPr>
          <w:p>
            <w:pPr>
              <w:ind w:left="280"/>
              <w:spacing w:after="0"/>
              <w:rPr>
                <w:sz w:val="20"/>
                <w:szCs w:val="20"/>
                <w:color w:val="auto"/>
              </w:rPr>
            </w:pPr>
            <w:r>
              <w:rPr>
                <w:rFonts w:ascii="Arial" w:cs="Arial" w:eastAsia="Arial" w:hAnsi="Arial"/>
                <w:sz w:val="18"/>
                <w:szCs w:val="18"/>
                <w:color w:val="auto"/>
              </w:rPr>
              <w:t>Payments</w:t>
            </w:r>
          </w:p>
        </w:tc>
        <w:tc>
          <w:tcPr>
            <w:tcW w:w="24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(6,436)</w:t>
            </w:r>
          </w:p>
        </w:tc>
        <w:tc>
          <w:tcPr>
            <w:tcW w:w="7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57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estimated fair value</w:t>
            </w:r>
          </w:p>
        </w:tc>
        <w:tc>
          <w:tcPr>
            <w:tcW w:w="24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2,736</w:t>
            </w:r>
          </w:p>
        </w:tc>
        <w:tc>
          <w:tcPr>
            <w:tcW w:w="7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1,900</w:t>
            </w:r>
          </w:p>
        </w:tc>
      </w:tr>
      <w:tr>
        <w:trPr>
          <w:trHeight w:val="236"/>
        </w:trPr>
        <w:tc>
          <w:tcPr>
            <w:tcW w:w="57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January 31, 2020 and 2019, respectively</w:t>
            </w:r>
          </w:p>
        </w:tc>
        <w:tc>
          <w:tcPr>
            <w:tcW w:w="24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23,500</w:t>
            </w:r>
          </w:p>
        </w:tc>
        <w:tc>
          <w:tcPr>
            <w:tcW w:w="7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23,733</w:t>
            </w:r>
          </w:p>
        </w:tc>
      </w:tr>
      <w:tr>
        <w:trPr>
          <w:trHeight w:val="27"/>
        </w:trPr>
        <w:tc>
          <w:tcPr>
            <w:tcW w:w="57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lease for Park City provides for participating contingent payments (the “Contingent Consideration”) to the landlord of 42% of the amount by which EBITDA for the Park City resort operations, as calculated under the lease, exceeds approximately $35 million, as established at the transaction date, with such threshold amount subsequently increased annually by an inflation linked index and a 10% adjustment for any capital improvements or investments made under the lease by the Company.</w:t>
      </w:r>
    </w:p>
    <w:p>
      <w:pPr>
        <w:sectPr>
          <w:pgSz w:w="11900" w:h="16838" w:orient="portrait"/>
          <w:cols w:equalWidth="0" w:num="1">
            <w:col w:w="11240"/>
          </w:cols>
          <w:pgMar w:left="320" w:top="557"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557" w:right="339" w:bottom="1440" w:gutter="0" w:footer="0" w:header="0"/>
          <w:type w:val="continuous"/>
        </w:sectPr>
      </w:pPr>
    </w:p>
    <w:bookmarkStart w:id="24" w:name="page25"/>
    <w:bookmarkEnd w:id="24"/>
    <w:p>
      <w:pPr>
        <w:jc w:val="both"/>
        <w:spacing w:after="0" w:line="272" w:lineRule="auto"/>
        <w:rPr>
          <w:sz w:val="20"/>
          <w:szCs w:val="20"/>
          <w:color w:val="auto"/>
        </w:rPr>
      </w:pPr>
      <w:r>
        <w:rPr>
          <w:rFonts w:ascii="Arial" w:cs="Arial" w:eastAsia="Arial" w:hAnsi="Arial"/>
          <w:sz w:val="17"/>
          <w:szCs w:val="17"/>
          <w:color w:val="auto"/>
        </w:rPr>
        <w:t>The estimated fair value of Contingent Consideration includes the future period resort operations of Park City in the calculation of EBITDA on which participating contingent payments are made, which is determined on the basis of estimated subsequent year performance, escalated by an assumed growth factor. The Company estimated the fair value of the Contingent Consideration payments using an option pricing valuation model. Key assumptions included a discount rate of 11.15%, volatility of 17.0% and future period Park City EBITDA, which are unobservable inputs and thus are considered Level 3 inputs. 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would result in a change in the estimated fair value within the range of approximately $3.9 million to $6.1 million.</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Contingent Consideration is classified as a liability, which is remeasured to fair value at each reporting date until the contingency is resolved. During the six months ended January 31, 2020, the Company made a payment to the landlord for Contingent Consideration of approximately $6.4 million and recorded an increase of approximately $2.7 million primarily related to the estimated Contingent Consideration payment for the fiscal year ending July 31, 2019. These changes resulted in an estimated fair value of the Contingent Consideration of approximately $23.5 million, which is reflected in other long-term liabilities in the Company’s Consolidated Condensed Balance Sheet.</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Metropolitan Districts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credit-enhances $6.3 million of bonds issued by Holland Creek Metropolitan District (“HCMD”) through a $6.4 million letter of credit issued under the Vail Holdings Credit Agreement. HCMD’s bonds were issued and used to build infrastructure associated with the Company’s Red Sky Ranch residential development. The Company has agreed to pay capital improvement fees to the Red Sky Ranch Metropolitan District (“RSRMD”) until RSRMD’s revenue streams from property taxes are sufficient to meet debt service requirements under HCMD’s bonds. The Company has recorded a liability of $2.0 million primarily within other long-term liabilities in the accompanying Consolidated Condensed Balance Sheets, as of January 31, 2020, July 31, 2019 and January 31, 2019, respectively, with respect to the estimated present value of future RSRMD capital improvement fees. The Company estimates it will make capital improvement fee payments under this arrangement through the fiscal year ending July 31, 2031.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Guarantees/Indemnifications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January 31, 2020, the Company had various letters of credit outstanding totaling $75.5 million, consisting of $53.4 million to support the Employee Housing Bonds and $22.1 million primarily for workers’ compensation, a wind energy purchase agreement and insurance-related deductibles. The Company also had surety bonds of $9.6 million as of January 31, 2020, primarily to provide collateral for its U.S. workers compensation self-insurance programs.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773"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due to the unique set of facts and circumstances likely to be involved in each particular claim and indemnification provision. Historically, payments made by the Company under these obligations have not been material.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Company has entered into strategic long-term season pass alliance agreements with third-party mountain resorts in which the Company has committed to pay minimum revenue guarantees over the remaining terms of these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Self-Insurance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8, Supplementary Balance Sheet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 a party to various lawsuits arising in the ordinary course of business. Management believes the Company has adequate insurance coverage and/or has accrued for all loss contingencies for asserted and unasserted matters deemed to be probable losses and estimable. As of January 31, 2020, July 31, 2019 and January 31, 2019, the accruals for the above loss contingencies were not material individually or in the aggregate.</w:t>
      </w:r>
    </w:p>
    <w:p>
      <w:pPr>
        <w:spacing w:after="0" w:line="145"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concessionaire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reports its segment results using Reported EBITDA (defined as segment net revenue less segment operating expenses, plus or minus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Items excluded from Reported EBITDA are significant components in understanding and assessing financial performance. Reported EBITDA should not be considered in isolation or as an alternative to, or substitute for, net income, net change in cash and cash equivalents or other financial statement data presented in the Consolidated Condensed Financial Statements as indicators of financial performance or liquidity.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utilizes Reported EBITDA in evaluating the performance of the Company and in allocating resources to its segments. Mountain Reported EBITDA consists of Mountain net revenue less Mountain operating expense plus or minus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used to evaluate performance, except as shown in the table below.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557" w:right="339" w:bottom="1440" w:gutter="0" w:footer="0" w:header="0"/>
        </w:sectPr>
      </w:pPr>
    </w:p>
    <w:bookmarkStart w:id="26" w:name="page27"/>
    <w:bookmarkEnd w:id="26"/>
    <w:p>
      <w:pPr>
        <w:ind w:right="20"/>
        <w:spacing w:after="0" w:line="277" w:lineRule="auto"/>
        <w:rPr>
          <w:sz w:val="20"/>
          <w:szCs w:val="20"/>
          <w:color w:val="auto"/>
        </w:rPr>
      </w:pPr>
      <w:r>
        <w:rPr>
          <w:rFonts w:ascii="Arial" w:cs="Arial" w:eastAsia="Arial" w:hAnsi="Arial"/>
          <w:sz w:val="18"/>
          <w:szCs w:val="18"/>
          <w:color w:val="auto"/>
        </w:rPr>
        <w:t>The following table presents financial information by reportable segment, which is used by management in evaluating performance and allocating resources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January 31,</w:t>
            </w:r>
          </w:p>
        </w:tc>
        <w:tc>
          <w:tcPr>
            <w:tcW w:w="340" w:type="dxa"/>
            <w:vAlign w:val="bottom"/>
          </w:tcPr>
          <w:p>
            <w:pPr>
              <w:spacing w:after="0"/>
              <w:rPr>
                <w:sz w:val="16"/>
                <w:szCs w:val="16"/>
                <w:color w:val="auto"/>
              </w:rPr>
            </w:pPr>
          </w:p>
        </w:tc>
        <w:tc>
          <w:tcPr>
            <w:tcW w:w="2680" w:type="dxa"/>
            <w:vAlign w:val="bottom"/>
            <w:gridSpan w:val="3"/>
          </w:tcPr>
          <w:p>
            <w:pPr>
              <w:jc w:val="right"/>
              <w:ind w:right="451"/>
              <w:spacing w:after="0"/>
              <w:rPr>
                <w:sz w:val="20"/>
                <w:szCs w:val="20"/>
                <w:color w:val="auto"/>
              </w:rPr>
            </w:pPr>
            <w:r>
              <w:rPr>
                <w:rFonts w:ascii="Arial" w:cs="Arial" w:eastAsia="Arial" w:hAnsi="Arial"/>
                <w:sz w:val="14"/>
                <w:szCs w:val="14"/>
                <w:b w:val="1"/>
                <w:bCs w:val="1"/>
                <w:color w:val="auto"/>
              </w:rPr>
              <w:t>Six Months Ended January 31,</w:t>
            </w:r>
          </w:p>
        </w:tc>
      </w:tr>
      <w:tr>
        <w:trPr>
          <w:trHeight w:val="264"/>
        </w:trPr>
        <w:tc>
          <w:tcPr>
            <w:tcW w:w="508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4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Lift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484,348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447,558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526,177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472,243</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102,743</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111,277</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96,516</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Dining</w:t>
            </w:r>
          </w:p>
        </w:tc>
        <w:tc>
          <w:tcPr>
            <w:tcW w:w="28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75,719</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65,409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97,348</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83,701</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133,713</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181,628</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171,778</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49,022</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42,426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109,947</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96,841</w:t>
            </w:r>
          </w:p>
        </w:tc>
      </w:tr>
      <w:tr>
        <w:trPr>
          <w:trHeight w:val="27"/>
        </w:trPr>
        <w:tc>
          <w:tcPr>
            <w:tcW w:w="5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845,545</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776,073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1,026,377</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921,079</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Lodging</w:t>
            </w:r>
          </w:p>
        </w:tc>
        <w:tc>
          <w:tcPr>
            <w:tcW w:w="28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78,887</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73,249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161,645</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148,149</w:t>
            </w:r>
          </w:p>
        </w:tc>
      </w:tr>
      <w:tr>
        <w:trPr>
          <w:trHeight w:val="27"/>
        </w:trPr>
        <w:tc>
          <w:tcPr>
            <w:tcW w:w="5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Resort net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924,432</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849,322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1,188,022</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1,069,228</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Real Estate</w:t>
            </w:r>
          </w:p>
        </w:tc>
        <w:tc>
          <w:tcPr>
            <w:tcW w:w="28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206</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4,386</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354</w:t>
            </w:r>
          </w:p>
        </w:tc>
      </w:tr>
      <w:tr>
        <w:trPr>
          <w:trHeight w:val="27"/>
        </w:trPr>
        <w:tc>
          <w:tcPr>
            <w:tcW w:w="5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924,638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849,578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1,192,408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1,069,582</w:t>
            </w:r>
          </w:p>
        </w:tc>
      </w:tr>
      <w:tr>
        <w:trPr>
          <w:trHeight w:val="20"/>
        </w:trPr>
        <w:tc>
          <w:tcPr>
            <w:tcW w:w="5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080" w:type="dxa"/>
            <w:vAlign w:val="bottom"/>
          </w:tcPr>
          <w:p>
            <w:pPr>
              <w:ind w:left="40"/>
              <w:spacing w:after="0"/>
              <w:rPr>
                <w:sz w:val="20"/>
                <w:szCs w:val="20"/>
                <w:color w:val="auto"/>
              </w:rPr>
            </w:pPr>
            <w:r>
              <w:rPr>
                <w:rFonts w:ascii="Arial" w:cs="Arial" w:eastAsia="Arial" w:hAnsi="Arial"/>
                <w:sz w:val="18"/>
                <w:szCs w:val="18"/>
                <w:color w:val="auto"/>
              </w:rPr>
              <w:t>Segment operating expense:</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472,686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424,008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734,694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646,371</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Lodging</w:t>
            </w:r>
          </w:p>
        </w:tc>
        <w:tc>
          <w:tcPr>
            <w:tcW w:w="28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73,593</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67,492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153,085</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138,496</w:t>
            </w:r>
          </w:p>
        </w:tc>
      </w:tr>
      <w:tr>
        <w:trPr>
          <w:trHeight w:val="27"/>
        </w:trPr>
        <w:tc>
          <w:tcPr>
            <w:tcW w:w="5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546,279</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491,500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887,779</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784,867</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Real Estate</w:t>
            </w:r>
          </w:p>
        </w:tc>
        <w:tc>
          <w:tcPr>
            <w:tcW w:w="28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1,505</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6,798</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2,759</w:t>
            </w:r>
          </w:p>
        </w:tc>
      </w:tr>
      <w:tr>
        <w:trPr>
          <w:trHeight w:val="27"/>
        </w:trPr>
        <w:tc>
          <w:tcPr>
            <w:tcW w:w="5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8"/>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expense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547,784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492,889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894,577</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787,626</w:t>
            </w:r>
          </w:p>
        </w:tc>
      </w:tr>
      <w:tr>
        <w:trPr>
          <w:trHeight w:val="20"/>
        </w:trPr>
        <w:tc>
          <w:tcPr>
            <w:tcW w:w="5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080" w:type="dxa"/>
            <w:vAlign w:val="bottom"/>
          </w:tcPr>
          <w:p>
            <w:pPr>
              <w:ind w:left="40"/>
              <w:spacing w:after="0"/>
              <w:rPr>
                <w:sz w:val="20"/>
                <w:szCs w:val="20"/>
                <w:color w:val="auto"/>
              </w:rPr>
            </w:pPr>
            <w:r>
              <w:rPr>
                <w:rFonts w:ascii="Arial" w:cs="Arial" w:eastAsia="Arial" w:hAnsi="Arial"/>
                <w:sz w:val="18"/>
                <w:szCs w:val="18"/>
                <w:color w:val="auto"/>
              </w:rPr>
              <w:t>Gain on sale of real property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207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equity investment income, net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1,360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Reported EBITDA:</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373,028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352,225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293,043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275,818</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Lodging</w:t>
            </w:r>
          </w:p>
        </w:tc>
        <w:tc>
          <w:tcPr>
            <w:tcW w:w="28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5,294</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5,757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8,560</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9,653</w:t>
            </w:r>
          </w:p>
        </w:tc>
      </w:tr>
      <w:tr>
        <w:trPr>
          <w:trHeight w:val="27"/>
        </w:trPr>
        <w:tc>
          <w:tcPr>
            <w:tcW w:w="5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378,322</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357,982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301,603</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285,471</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Real Estate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(1,299)</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(2,205)</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(2,405)</w:t>
            </w:r>
          </w:p>
        </w:tc>
      </w:tr>
      <w:tr>
        <w:trPr>
          <w:trHeight w:val="27"/>
        </w:trPr>
        <w:tc>
          <w:tcPr>
            <w:tcW w:w="5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Reported EBITDA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377,023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356,849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299,398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283,066</w:t>
            </w:r>
          </w:p>
        </w:tc>
      </w:tr>
      <w:tr>
        <w:trPr>
          <w:trHeight w:val="20"/>
        </w:trPr>
        <w:tc>
          <w:tcPr>
            <w:tcW w:w="5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08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96,944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101,730</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96,944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101,730</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Reconciliation from net income attributable to Vail Resorts, Inc. to</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Reported EBITDA:</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206,370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206,349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99,895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98,554</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10,648</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11,641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7,294</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8,710</w:t>
            </w:r>
          </w:p>
        </w:tc>
      </w:tr>
      <w:tr>
        <w:trPr>
          <w:trHeight w:val="237"/>
        </w:trPr>
        <w:tc>
          <w:tcPr>
            <w:tcW w:w="50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217,018</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217,990</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107,189</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107,264</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67,313</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63,973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20,750</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27,568</w:t>
            </w:r>
          </w:p>
        </w:tc>
      </w:tr>
      <w:tr>
        <w:trPr>
          <w:trHeight w:val="237"/>
        </w:trPr>
        <w:tc>
          <w:tcPr>
            <w:tcW w:w="50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284,331</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281,963</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127,939</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134,832</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63,812</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121,657</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106,281</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Change in estimated fair value of contingent consideration</w:t>
            </w:r>
          </w:p>
        </w:tc>
        <w:tc>
          <w:tcPr>
            <w:tcW w:w="28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1,600</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2,736</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1,900</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(gain) on disposal of fixed assets and other,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709</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(1,558)</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Investment income and other,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(361)</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(638)</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(970)</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loss (gain) on intercompany loans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798</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438</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1,861</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26,134</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21,002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48,824</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39,640</w:t>
            </w:r>
          </w:p>
        </w:tc>
      </w:tr>
      <w:tr>
        <w:trPr>
          <w:trHeight w:val="27"/>
        </w:trPr>
        <w:tc>
          <w:tcPr>
            <w:tcW w:w="5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Reported EBITDA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377,023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356,849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299,398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283,066</w:t>
            </w:r>
          </w:p>
        </w:tc>
      </w:tr>
      <w:tr>
        <w:trPr>
          <w:trHeight w:val="20"/>
        </w:trPr>
        <w:tc>
          <w:tcPr>
            <w:tcW w:w="5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628"/>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1"/>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27" w:name="page28"/>
    <w:bookmarkEnd w:id="27"/>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March 9, 2006, the Company’s Board of Directors approved a share repurchase program, authorizing the Company to repurchase up to 3,000,000 Vail Shares. On July 16, 2008, the Company’s Board of Directors increased the authorization by an additional 3,000,000 Vail Shares, and on December 4, 2015, the Company’s Board of Directors increased the authorization by an additional 1,500,000 Vail Shares for a total authorization to repurchase up to 7,500,000 Vail Shares. The Company repurchased zero and 95,618 Vail Shares (at a total cost of approximately $21.4 million), respectively, during the three and six months ended January 31, 2020. The Company repurchased 155,111 and 353,007 Vail Shares, respectively (at a total cost of approximately $35.0 million and $85.0 million, respectively) during the three and six months ended January 31, 2019. Since inception of its share repurchase program through January 31, 2020, the Company has repurchased 6,000,341 Vail Shares for approximately $379.4 million. As of January 31, 2020, 1,499,659 Vail Shares remained available to repurchase under the existing share repurchase program, which has no expiration date. Vail Shares purchased pursuant to the repurchase program will be held as treasury shares and may be used for the issuance of Vail Shares under the Company’s employee share award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together with its subsidiaries, is referred to throughout this Quarterly Report on Form 10-Q for the period ended January 31, 2020 (“Form 10-Q”) as “we,” “us,” “our” or the “Company.”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should be read in conjunction with our Annual Report on Form 10-K for the fiscal year ended July 31, 2019 (“Form 10-K”) and the Consolidated Condensed Financial Statements as of January 31, 2020 and 2019 and for the three and six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our filings with the Securities and Exchange Commission (“SEC”), including the risks described in Item 1A “Risk Factors” of Part I of our Form 10-K, which was filed on September 26, 2019.</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MD&amp;A includes discussion of financial performance within each of our three segments. We have chosen to specifically include segment Reported EBITDA (defined as segment net revenue less segment operating expense, plus or minus segment equity investment income or loss and for the Real Estate segment, plus gain or loss on sale of real property) and Net Debt (defined as long-term debt, net plus long-term debt due within one year less cash and cash equivalents), in the following discussion because we consider these measurements to be significant indications of our financial performance and available capital resources. Resort Reported EBITDA, Total Reported EBITDA and Net Debt are not measures of financial performance or liquidity under accounting principles generally accepted in the United States (“GAAP”). We utilize segment Reported EBITDA in evaluating our performance and in allocating resources to our segments. We also believe that Net Debt is an important measurement as it is an indicator of our ability to obtain additional capital resources for our future cash needs. Refer to the end of the Results of Operations section for a reconciliation of net income attributable to Vail Resorts, Inc. to Total Reported EBITDA and long-term debt, net to Net Debt.</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Items excluded from Reported EBITDA and Net Debt are significant components in understanding and assessing financial performance or liquidity. Reported EBITDA and Net Debt should not be considered in isolation or as an alternative to, or substitute for, net income (loss), net change in cash and cash equivalents or other financial statement data presented in the Consolidated Condensed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operations are grouped into three integrated and interdependent segments: Mountain, Lodging and Real Estate. We refer to “Resort” as the combination of the Mountain and Lodging segments.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55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the Mountain segment, the Company operates the following thirty-seven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46445" cy="3857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6445"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*Denotes a destination mountain resort which generally receives a meaningful portion of skier visits from long-distance travelers, as opposed to our regional ski areas which tend to generate skier visits from their respective local markets.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Additionally, we operate ancillary services, primarily including ski school, dining and retail/rental operations, and for our Australian ski areas, including lodging and transportation operations. Mountain segment revenue is seasonal, with the majority of revenue earned from our North American ski operations occurring in our second and third fiscal quarters and the majority of revenue earned from our Australian ski operations occurring in our first and fourth fiscal quarters. Our North American destination mountain resorts and regional ski areas (collectively, “Resorts”) are typically open for business from mid-November through mid-April, which is the peak operating season for the Mountain segment, and our Australian ski areas are typically open for business from June to early October. Consequently, our first fiscal quarter is a seasonally low period as our North American ski operations are generally not open for business until our second fiscal quarter, while the activity of our Australian ski areas peak season and our North American summer operating results are not sufficient to offset the losses incurred during the seasonally low periods at our North American Resorts. Revenue of the Mountain segment during the first and fourth fiscal quarters is primarily generated from summer and group related visitation at our North American destination mountain resorts, retail/rental operations and peak season Australian ski operations. Our largest source of Mountain segment revenue is the sale of lift tickets (including pass products), which represented approximately 57% and 58% of Mountain net revenue for the three months ended January 31, 2020 and 2019, respectively.</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Lift revenue is driven by volume and pricing. Pricing is impacted by both absolute pricing, as well as the mix of resort visitation of guests, which impacts the price points at which various products are purchased. The demographic mix of guests that visit our North American destination mountain resorts is divided into two primary categories: (i) out-of-state and international (“Destination”) guests and (ii) in-state and local (“Local”) guests. For the three months ended January 31, 2020, Destination guests comprised approximately 55% of our North American destination mountain resort skier visits (excluding complimentary access), while Local guests comprised approximately 45% of our North American destination mountain resort skier visits (excluding complimentary access), which compares to 53% and 47%, respectively, for the three months ended January 31, 2019. Destination guests generally purchase our higher-priced lift tickets (including pass products) and utilize more ancillary services such as ski school, dining and retail/rental, as well as lodging at or around our mountain resorts. Destination guest visitation is less likely to be impacted by changes in the weather during the current season, but may be more impacted by adverse economic conditions,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557"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global geopolitical climate or weather conditions in the immediately preceding ski season. Local guests tend to be more value-oriented and weather sensitive.</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offer a variety of pass products for all of our Resorts, marketed towards both Destination and Local guests. Our pass product offerings range from providing access to one or a combination of our Resorts for a certain number of days to our Epic Pass, which allows pass holders unlimited and unrestricted access to all of our Resorts. The Epic Day Pass, which we began offering for the 2019/2020 North American ski season, is a customizable one to seven day pass product valid at each of our resorts, purchased in advance of the season, for those skier and riders who expect to ski a certain number of days during the season. Our pass program provides a compelling value proposition to our guests, which in turn assists us in developing a loyal base of customers who commit to ski at our Resorts generally in advance of the ski season and typically ski more days each season at our Resorts than those guests who do not buy pass products. Additionally, we have entered into strategic long-term season pass alliance agreements with third-party mountain resorts including Telluride Ski Resort in Colorado, Sun Valley Resort in Idaho, Snowbasin Resort in Utah, Hakuba Valley and Rusutsu Resort in Japan, Resorts of the Canadian Rockies in Canada, Les 3 Vallées in France, 4 Vallées in Switzerland and Skirama Dolomiti in Italy, which further increases the value proposition of our pass products. As such, our pass program drives strong customer loyalty; mitigates exposure to more weather sensitive guests; generates additional ancillary spending; and provides cash flow in advance of winter season operations. In addition, our pass program attracts new guests to our Resorts. All of our pass products, including the Epic Pass and Epic Day Pass, are predominately sold prior to the start of the ski season. Pass product revenue, although primarily collected prior to the ski season, is recognized in the Consolidated Condensed Statements of Operations throughout the ski season primarily based on historical visitation.</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Lift revenue consists of pass product lift revenue (“pass revenue”) and non-pass product lift revenue (“non-pass revenue”). For the three months ended January 31, 2020 and 2019, approximately 58% and 53%, respectively, of our total lift revenue recognized was comprised of pass product revenue. Pass product revenue recognized year to date, which is primarily recognized in our second fiscal quarter, represents approximately 50% and 51% of our total North American pass product sales for the 2019/2020 and 2018/2019 North American ski seasons, respectively, with the remaining North American pass product revenue almost entirely recognized as lift revenue in our third fiscal quarter ending April 30. Pass product revenue, although primarily collected prior to the ski season, is recognized in the Consolidated Condensed Statements of Operations throughout the ski season primarily based on historical visitation. For the 2019/2020 North American ski season, our historical visitation trend has shifted the allocation of pass holder visitation to our fiscal third quarter as compared to our fiscal second quarter. As a result, our allocation of fiscal year 2020 pass revenue for the three months ended January 31, 2020 is approximately $11 million lower than it would have been under the prior year allocation.</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cost structure of our mountain resort operations has a significant fixed component with variable expenses including, but not limited to, land use permit or lease fees, credit card fees, retail/rental cost of sales and labor, ski school labor and dining operations; as such, profit margins can fluctuate greatly based on the level of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Resorts; (iii) National Park Service (“NPS”) concessionaire properties, including the Grand Teton Lodge Company (“GTLC”); (iv) a Colorado resort ground transportation company; and (v) mountain resort golf courses.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performance of our lodging properties (including managed condominium units and our Colorado resort ground transportation company) proximate to our mountain resorts is closely aligned with the performance of the Mountain segment and generally experiences similar seasonal trends, particularly with respect to visitation by Destination guests. Revenues from such properties represented approximately 93% of Lodging segment net revenue (excluding Lodging segment revenue associated with reimbursement of payroll costs) for both the three months ended January 31, 2020 and 2019.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as such, the revenue and corresponding expense have no effect on our Lodging Reported EBITDA, which we use to evaluate Lodging segment performance. Revenue of the Lodging segment during our first and fourth fiscal quarters is generated primarily by the operations of our NPS concessionaire properties (as their operating season generally occurs from June to the end of September); mountain resort golf operations and seasonally lower volume from our other owned and managed properties and businesses.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55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Together with those risk factors we have identified in our Form 10-K, we have identified the following important factors (as well as risks and uncertainties associated with such factors) that could impact our future financial performance or condition:</w:t>
      </w:r>
    </w:p>
    <w:p>
      <w:pPr>
        <w:spacing w:after="0" w:line="170" w:lineRule="exact"/>
        <w:rPr>
          <w:sz w:val="20"/>
          <w:szCs w:val="20"/>
          <w:color w:val="auto"/>
        </w:rPr>
      </w:pPr>
    </w:p>
    <w:p>
      <w:pPr>
        <w:jc w:val="both"/>
        <w:ind w:left="640" w:hanging="322"/>
        <w:spacing w:after="0" w:line="269"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timing and amount of snowfall can have an impact on Mountain and Lodging revenue, particularly with regards to skier visits and the duration and frequency of guest visitation. To help mitigate this impact, we sell a variety of pass products prior to the beginning of the ski season which results in a more stabilized stream of lift revenue. Additionally, our pass products provide a compelling value proposition to our guests, which in turn create a guest commitment predominately prior to the start of the ski season. During fiscal 2019, pass product revenue represented approximately 47% of total lift revenue. Pass revenue increased approximately $41.1 million, or 17.2%, for the three months ended January 31, 2020 compared to the same period in the prior year, primarily due to increased pass product sales for the 2019/2020 North American ski season compared to the 2018/2019 North American ski season. Additionally, deferred revenue related to North American product pass sales was approximately $286.0 million as of January 31, 2020, excluding deferred revenue assumed in the Peak Resorts acquisition (compared to approximately $234.0 million as of January 31, 2019), which will be almost entirely recognized as lift revenue during our third fiscal quarter ending April 30, 2020, subject to final adjustments required under U.S. GAAP.</w:t>
      </w:r>
    </w:p>
    <w:p>
      <w:pPr>
        <w:spacing w:after="0" w:line="185" w:lineRule="exact"/>
        <w:rPr>
          <w:rFonts w:ascii="Arial" w:cs="Arial" w:eastAsia="Arial" w:hAnsi="Arial"/>
          <w:sz w:val="17"/>
          <w:szCs w:val="17"/>
          <w:color w:val="auto"/>
        </w:rPr>
      </w:pPr>
    </w:p>
    <w:p>
      <w:pPr>
        <w:jc w:val="both"/>
        <w:ind w:left="640" w:hanging="322"/>
        <w:spacing w:after="0" w:line="255"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current outbreak of coronavirus, which originated in China and has recently spread to other regions, including the U.S., Japan and Europe, has led to certain global travel restrictions and other adverse global economic impacts. Although we are uncertain as to the ultimate severity and duration of the coronavirus outbreak and the impact it may have on our business, we have seen a marked negative change in performance in the week ended March 8, 2020 as compared to the prior week, with destination skier visits modestly below expectations. We expect this trend to continue and potentially worsen in upcoming weeks. We will continue to closely monitor relevant events so that we are able to respond to such developments as they occur.</w:t>
      </w:r>
    </w:p>
    <w:p>
      <w:pPr>
        <w:spacing w:after="0" w:line="205" w:lineRule="exact"/>
        <w:rPr>
          <w:rFonts w:ascii="Arial" w:cs="Arial" w:eastAsia="Arial" w:hAnsi="Arial"/>
          <w:sz w:val="18"/>
          <w:szCs w:val="18"/>
          <w:color w:val="auto"/>
        </w:rPr>
      </w:pPr>
    </w:p>
    <w:p>
      <w:pPr>
        <w:jc w:val="both"/>
        <w:ind w:left="640" w:hanging="322"/>
        <w:spacing w:after="0" w:line="25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After a challenging start in the early season, destination guest visitation at our western U.S. resorts improved significantly during the holiday period and was in line with our expectations. The improvement continued through January though Colorado was modestly below our expectations for the post-holiday period, partially offset by strong performance at our Park City resort. Our Pacific Northwest resorts (Whistler Blackcomb and Stevens Pass) experienced the lowest snowfall in over 30 years through December 31, 2019, resulting in very poor results through the early season and critical holiday period. Visitation at those resorts continued to be challenging and below our expectation in January, with Whistler Blackcomb experiencing weaker than expected recovery in North American and international destination visitation. We cannot predict the impact that the early season period results or future weather conditions will have on our skier visitation and results of operations for the remainder of the 2019/2020 North American ski season.</w:t>
      </w:r>
    </w:p>
    <w:p>
      <w:pPr>
        <w:spacing w:after="0" w:line="191" w:lineRule="exact"/>
        <w:rPr>
          <w:rFonts w:ascii="Arial" w:cs="Arial" w:eastAsia="Arial" w:hAnsi="Arial"/>
          <w:sz w:val="18"/>
          <w:szCs w:val="18"/>
          <w:color w:val="auto"/>
        </w:rPr>
      </w:pPr>
    </w:p>
    <w:p>
      <w:pPr>
        <w:jc w:val="both"/>
        <w:ind w:left="640" w:hanging="322"/>
        <w:spacing w:after="0" w:line="255"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Key North American economic indicators have remained steady into calendar year 2020, including strong consumer confidence and declines in the unemployment rate. However, the growth in the North American economy may be impacted by economic challenges in North America or declining or slowing growth in economies outside of North America, accompanied by devaluation of currencies, rising inflation, trade tariffs and lower commodity prices. Given these economic uncertainties, we cannot predict what the impact of the overall North American or global economy will be on overall travel and leisure spending or more specifically, on our guest visitation, guest spending or other related trends for the remainder of the 2019/2020 North American ski season.</w:t>
      </w:r>
    </w:p>
    <w:p>
      <w:pPr>
        <w:spacing w:after="0" w:line="192" w:lineRule="exact"/>
        <w:rPr>
          <w:rFonts w:ascii="Arial" w:cs="Arial" w:eastAsia="Arial" w:hAnsi="Arial"/>
          <w:sz w:val="18"/>
          <w:szCs w:val="18"/>
          <w:color w:val="auto"/>
        </w:rPr>
      </w:pPr>
    </w:p>
    <w:p>
      <w:pPr>
        <w:jc w:val="both"/>
        <w:ind w:left="640" w:hanging="322"/>
        <w:spacing w:after="0" w:line="259"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January 31, 2020, we had $393.8 million available under the revolver component of our Eighth Amended and Restated Credit Agreement, dated as of August 15, 2018 and as amended most recently on September 23, 2019 (the “Vail Holdings Credit Agreement”), which represents the total commitment of $500.0 million less outstanding borrowings of $25.0 million and certain letters of credit outstanding of $81.2 million. Additionally, we have a credit facility which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557" w:right="339" w:bottom="1440" w:gutter="0" w:footer="0" w:header="0"/>
        </w:sectPr>
      </w:pPr>
    </w:p>
    <w:bookmarkStart w:id="31" w:name="page32"/>
    <w:bookmarkEnd w:id="31"/>
    <w:p>
      <w:pPr>
        <w:jc w:val="both"/>
        <w:ind w:left="640"/>
        <w:spacing w:after="0" w:line="311" w:lineRule="auto"/>
        <w:rPr>
          <w:sz w:val="20"/>
          <w:szCs w:val="20"/>
          <w:color w:val="auto"/>
        </w:rPr>
      </w:pPr>
      <w:r>
        <w:rPr>
          <w:rFonts w:ascii="Arial" w:cs="Arial" w:eastAsia="Arial" w:hAnsi="Arial"/>
          <w:sz w:val="16"/>
          <w:szCs w:val="16"/>
          <w:color w:val="auto"/>
        </w:rPr>
        <w:t>supports the liquidity needs of Whistler Blackcomb (the “Whistler Credit Agreement”). As of January 31, 2020, we had C$264.1 million ($199.6 million) available under the revolver component of the Whistler Credit Agreement (which represents the total commitment of C$300.0 million ($226.7 million) less outstanding borrowings of C$35.0 million ($26.4 million) and a letter of credit outstanding of C$0.9 million ($0.7 million)).</w:t>
      </w:r>
    </w:p>
    <w:p>
      <w:pPr>
        <w:spacing w:after="0" w:line="149" w:lineRule="exact"/>
        <w:rPr>
          <w:sz w:val="20"/>
          <w:szCs w:val="20"/>
          <w:color w:val="auto"/>
        </w:rPr>
      </w:pPr>
    </w:p>
    <w:p>
      <w:pPr>
        <w:jc w:val="both"/>
        <w:ind w:left="640"/>
        <w:spacing w:after="0" w:line="257" w:lineRule="auto"/>
        <w:rPr>
          <w:sz w:val="20"/>
          <w:szCs w:val="20"/>
          <w:color w:val="auto"/>
        </w:rPr>
      </w:pPr>
      <w:r>
        <w:rPr>
          <w:rFonts w:ascii="Arial" w:cs="Arial" w:eastAsia="Arial" w:hAnsi="Arial"/>
          <w:sz w:val="18"/>
          <w:szCs w:val="18"/>
          <w:color w:val="auto"/>
        </w:rPr>
        <w:t>We believe that the terms of our credit agreements allow for sufficient flexibility in our ability to make future acquisitions, investments, distributions to stockholders and incur additional debt. This, combined with the continued positive cash flow from operating activities of our Mountain and Lodging segments less resort capital expenditures, has and is anticipated to continue to provide us with significant liquidity. We believe our liquidity will allow us to consider strategic investments and other forms of returning value to our stockholders including additional share repurchases and the continued payment of a quarterly cash dividend.</w:t>
      </w:r>
    </w:p>
    <w:p>
      <w:pPr>
        <w:spacing w:after="0" w:line="188" w:lineRule="exact"/>
        <w:rPr>
          <w:sz w:val="20"/>
          <w:szCs w:val="20"/>
          <w:color w:val="auto"/>
        </w:rPr>
      </w:pPr>
    </w:p>
    <w:p>
      <w:pPr>
        <w:jc w:val="both"/>
        <w:ind w:left="640" w:hanging="322"/>
        <w:spacing w:after="0" w:line="268"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September 24, 2019, through a wholly-owned subsidiary, we acquired 100 percent of the outstanding stock of Peak Resorts, Inc. (“Peak Resorts”) at a purchase price of $11.00 per share or approximately $264.5 million. In addition, contemporaneous with the closing the transaction, Peak Resorts was required to pay approximately $70.2 million of certain outstanding debt instruments and lease obligations in order to complete the transaction. Accordingly, the total purchase price, including the repayment of certain outstanding debt instruments and lease obligations, was approximately $334.7 million, for which we borrowed approximately $335.6 million under the Vail Holdings Credit Agreement to fund the acquisition, repayment of debt instruments and lease obligations, and associated acquisition related expenses. The newly acquired resorts include: Mount Snow in Vermont; Hunter Mountain in New York; Attitash Mountain Resort, Wildcat Mountain and Crotched Mountain in New Hampshire; Liberty Mountain Resort, Roundtop Mountain Resort, Whitetail Resort, Jack Frost and Big Boulder in Pennsylvania; Alpine Valley, Boston Mills, Brandywine and Mad River Mountain in Ohio; Hidden Valley and Snow Creek in Missouri; and Paoli Peaks in Indiana. The acquisition included the mountain operations of the resorts, including base area skier services (food and beverage, retail and rental, lift ticket offices and ski and snowboard school facilities), as well as lodging operations at certain resorts. We expect that the acquisition of Peak Resorts will positively contribute to our annual results of operations; however we cannot predict the ultimate impact the new resorts will have on our future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operating results for the three and six months ended January 31, 2020, compared to the three and six months ended January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January 31,</w:t>
            </w:r>
          </w:p>
        </w:tc>
        <w:tc>
          <w:tcPr>
            <w:tcW w:w="280" w:type="dxa"/>
            <w:vAlign w:val="bottom"/>
          </w:tcPr>
          <w:p>
            <w:pPr>
              <w:spacing w:after="0"/>
              <w:rPr>
                <w:sz w:val="16"/>
                <w:szCs w:val="16"/>
                <w:color w:val="auto"/>
              </w:rPr>
            </w:pPr>
          </w:p>
        </w:tc>
        <w:tc>
          <w:tcPr>
            <w:tcW w:w="2520" w:type="dxa"/>
            <w:vAlign w:val="bottom"/>
            <w:gridSpan w:val="3"/>
          </w:tcPr>
          <w:p>
            <w:pPr>
              <w:jc w:val="right"/>
              <w:ind w:right="353"/>
              <w:spacing w:after="0"/>
              <w:rPr>
                <w:sz w:val="20"/>
                <w:szCs w:val="20"/>
                <w:color w:val="auto"/>
              </w:rPr>
            </w:pPr>
            <w:r>
              <w:rPr>
                <w:rFonts w:ascii="Arial" w:cs="Arial" w:eastAsia="Arial" w:hAnsi="Arial"/>
                <w:sz w:val="14"/>
                <w:szCs w:val="14"/>
                <w:b w:val="1"/>
                <w:bCs w:val="1"/>
                <w:color w:val="auto"/>
              </w:rPr>
              <w:t>Six Months Ended January 31,</w:t>
            </w:r>
          </w:p>
        </w:tc>
      </w:tr>
      <w:tr>
        <w:trPr>
          <w:trHeight w:val="264"/>
        </w:trPr>
        <w:tc>
          <w:tcPr>
            <w:tcW w:w="552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206,370</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206,349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99,895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98,554</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284,331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281,963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127,939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134,832</w:t>
            </w:r>
          </w:p>
        </w:tc>
      </w:tr>
      <w:tr>
        <w:trPr>
          <w:trHeight w:val="27"/>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373,028</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352,225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293,043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275,818</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24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5,294</w:t>
            </w:r>
          </w:p>
        </w:tc>
        <w:tc>
          <w:tcPr>
            <w:tcW w:w="4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5,757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8,560</w:t>
            </w:r>
          </w:p>
        </w:tc>
        <w:tc>
          <w:tcPr>
            <w:tcW w:w="4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9,653</w:t>
            </w:r>
          </w:p>
        </w:tc>
      </w:tr>
      <w:tr>
        <w:trPr>
          <w:trHeight w:val="27"/>
        </w:trPr>
        <w:tc>
          <w:tcPr>
            <w:tcW w:w="5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Reported EBITDA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378,322</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357,982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301,603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285,471</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Real Estate Reported EBITDA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(1,299)</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(2,205)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(2,405)</w:t>
            </w:r>
          </w:p>
        </w:tc>
      </w:tr>
      <w:tr>
        <w:trPr>
          <w:trHeight w:val="27"/>
        </w:trPr>
        <w:tc>
          <w:tcPr>
            <w:tcW w:w="5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consolidated condensed results of operations, including any consolidated financial metrics pertaining thereto, include the operations of Peak Resorts (acquired September 24, 2019), Falls Creek and Hotham (acquired April 4, 2019), Triple Peaks (acquired September 27, 2018) and Stevens Pass (acquired August 15, 2018), prospectively from their respective dates of acquisition.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55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2020 compared to the three months ended January 31, 2019</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Mountain segment operating results for the three months ended January 31, 2020 and 2019 are presented by category as follows (in thousands, except effective ticket price (“ETP”)). ETP is calculated as lift revenue divided by total skier visits for each applicable period presented.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9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January 31,</w:t>
            </w:r>
          </w:p>
        </w:tc>
        <w:tc>
          <w:tcPr>
            <w:tcW w:w="720" w:type="dxa"/>
            <w:vAlign w:val="bottom"/>
          </w:tcPr>
          <w:p>
            <w:pPr>
              <w:spacing w:after="0"/>
              <w:rPr>
                <w:sz w:val="14"/>
                <w:szCs w:val="14"/>
                <w:color w:val="auto"/>
              </w:rPr>
            </w:pPr>
          </w:p>
        </w:tc>
        <w:tc>
          <w:tcPr>
            <w:tcW w:w="2020" w:type="dxa"/>
            <w:vAlign w:val="bottom"/>
          </w:tcPr>
          <w:p>
            <w:pPr>
              <w:jc w:val="center"/>
              <w:ind w:left="33"/>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54"/>
        </w:trPr>
        <w:tc>
          <w:tcPr>
            <w:tcW w:w="55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20" w:type="dxa"/>
            <w:vAlign w:val="bottom"/>
            <w:vMerge w:val="restart"/>
          </w:tcPr>
          <w:p>
            <w:pPr>
              <w:jc w:val="center"/>
              <w:ind w:left="13"/>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520" w:type="dxa"/>
            <w:vAlign w:val="bottom"/>
          </w:tcPr>
          <w:p>
            <w:pPr>
              <w:spacing w:after="0"/>
              <w:rPr>
                <w:sz w:val="5"/>
                <w:szCs w:val="5"/>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5"/>
                <w:szCs w:val="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72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Mountain revenue:</w:t>
            </w: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Lift</w:t>
            </w: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484,348</w:t>
            </w:r>
          </w:p>
        </w:tc>
        <w:tc>
          <w:tcPr>
            <w:tcW w:w="1160" w:type="dxa"/>
            <w:vAlign w:val="bottom"/>
          </w:tcPr>
          <w:p>
            <w:pPr>
              <w:jc w:val="right"/>
              <w:ind w:right="855"/>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447,558</w:t>
            </w:r>
          </w:p>
        </w:tc>
        <w:tc>
          <w:tcPr>
            <w:tcW w:w="2020" w:type="dxa"/>
            <w:vAlign w:val="bottom"/>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102,743</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92,244</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Dining</w:t>
            </w:r>
          </w:p>
        </w:tc>
        <w:tc>
          <w:tcPr>
            <w:tcW w:w="10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75,719</w:t>
            </w:r>
          </w:p>
        </w:tc>
        <w:tc>
          <w:tcPr>
            <w:tcW w:w="1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65,409</w:t>
            </w:r>
          </w:p>
        </w:tc>
        <w:tc>
          <w:tcPr>
            <w:tcW w:w="2020" w:type="dxa"/>
            <w:vAlign w:val="bottom"/>
          </w:tcPr>
          <w:p>
            <w:pPr>
              <w:jc w:val="right"/>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133,713</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128,436</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49,022</w:t>
            </w:r>
          </w:p>
        </w:tc>
        <w:tc>
          <w:tcPr>
            <w:tcW w:w="1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42,426</w:t>
            </w:r>
          </w:p>
        </w:tc>
        <w:tc>
          <w:tcPr>
            <w:tcW w:w="2020" w:type="dxa"/>
            <w:vAlign w:val="bottom"/>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7"/>
        </w:trPr>
        <w:tc>
          <w:tcPr>
            <w:tcW w:w="5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10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845,545</w:t>
            </w:r>
          </w:p>
        </w:tc>
        <w:tc>
          <w:tcPr>
            <w:tcW w:w="1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776,073</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37"/>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operating expense:</w:t>
            </w:r>
          </w:p>
        </w:tc>
        <w:tc>
          <w:tcPr>
            <w:tcW w:w="10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Labor and labor-related benefits</w:t>
            </w: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195,224</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172,818</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Retail cost of sales</w:t>
            </w:r>
          </w:p>
        </w:tc>
        <w:tc>
          <w:tcPr>
            <w:tcW w:w="10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41,985</w:t>
            </w:r>
          </w:p>
        </w:tc>
        <w:tc>
          <w:tcPr>
            <w:tcW w:w="1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43,721</w:t>
            </w:r>
          </w:p>
        </w:tc>
        <w:tc>
          <w:tcPr>
            <w:tcW w:w="20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related fees</w:t>
            </w: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38,368</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39,830</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0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77,975</w:t>
            </w:r>
          </w:p>
        </w:tc>
        <w:tc>
          <w:tcPr>
            <w:tcW w:w="1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65,847</w:t>
            </w:r>
          </w:p>
        </w:tc>
        <w:tc>
          <w:tcPr>
            <w:tcW w:w="2020" w:type="dxa"/>
            <w:vAlign w:val="bottom"/>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119,134</w:t>
            </w:r>
          </w:p>
        </w:tc>
        <w:tc>
          <w:tcPr>
            <w:tcW w:w="1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101,792</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0" w:type="dxa"/>
            <w:vAlign w:val="bottom"/>
          </w:tcPr>
          <w:p>
            <w:pPr>
              <w:spacing w:after="0"/>
              <w:rPr>
                <w:sz w:val="1"/>
                <w:szCs w:val="1"/>
                <w:color w:val="auto"/>
              </w:rPr>
            </w:pPr>
          </w:p>
        </w:tc>
      </w:tr>
      <w:tr>
        <w:trPr>
          <w:trHeight w:val="237"/>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Mountain operating expense</w:t>
            </w:r>
          </w:p>
        </w:tc>
        <w:tc>
          <w:tcPr>
            <w:tcW w:w="10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472,686</w:t>
            </w:r>
          </w:p>
        </w:tc>
        <w:tc>
          <w:tcPr>
            <w:tcW w:w="1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424,008</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equity investment income, net</w:t>
            </w: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7"/>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Reported EBITDA</w:t>
            </w:r>
          </w:p>
        </w:tc>
        <w:tc>
          <w:tcPr>
            <w:tcW w:w="1080" w:type="dxa"/>
            <w:vAlign w:val="bottom"/>
            <w:tcBorders>
              <w:top w:val="single" w:sz="8" w:color="auto"/>
            </w:tcBorders>
          </w:tcPr>
          <w:p>
            <w:pPr>
              <w:jc w:val="right"/>
              <w:ind w:right="877"/>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373,028</w:t>
            </w:r>
          </w:p>
        </w:tc>
        <w:tc>
          <w:tcPr>
            <w:tcW w:w="1160" w:type="dxa"/>
            <w:vAlign w:val="bottom"/>
            <w:tcBorders>
              <w:top w:val="single" w:sz="8" w:color="auto"/>
            </w:tcBorders>
          </w:tcPr>
          <w:p>
            <w:pPr>
              <w:jc w:val="right"/>
              <w:ind w:right="855"/>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352,225</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67"/>
        </w:trPr>
        <w:tc>
          <w:tcPr>
            <w:tcW w:w="55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Total skier visits</w:t>
            </w:r>
          </w:p>
        </w:tc>
        <w:tc>
          <w:tcPr>
            <w:tcW w:w="10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7,096</w:t>
            </w:r>
          </w:p>
        </w:tc>
        <w:tc>
          <w:tcPr>
            <w:tcW w:w="1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6,521</w:t>
            </w:r>
          </w:p>
        </w:tc>
        <w:tc>
          <w:tcPr>
            <w:tcW w:w="2020" w:type="dxa"/>
            <w:vAlign w:val="bottom"/>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ETP</w:t>
            </w:r>
          </w:p>
        </w:tc>
        <w:tc>
          <w:tcPr>
            <w:tcW w:w="1080" w:type="dxa"/>
            <w:vAlign w:val="bottom"/>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68.26</w:t>
            </w:r>
          </w:p>
        </w:tc>
        <w:tc>
          <w:tcPr>
            <w:tcW w:w="116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68.63</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$4.6 million and $4.3 million of stock-based compensation expense for the three months ended January 31, 2020 and 2019, respectively.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Mountain Reported EBITDA increased by $20.8 million, or 5.9%, primarily due to strong North American pass sales growth for the 2019/2020 North American ski season and the incremental operations of Peak Resorts, partially offset by lower results at our western U.S. resorts and Whistler Blackcomb and an increase in general and administrative expense. Mountain segment results include $1.9 million and $2.9 million of acquisition and integration related expenses for the three months ended January 31, 2020 and 2019, respectively, which are recorded within Mountain other operating expense. Additionally, operating results from Whistler Blackcomb, which are translated from Canadian dollars to U.S. dollars, were positively affected by an increase in the Canadian dollar exchange rate as compared to the prior year.</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Lift revenue increased $36.8 million, or 8.2%, primarily due to an increase in pass product revenue and incremental revenue from Peak Resorts, partially offset by a decrease in non-pass revenue at our western U.S. resorts and Whistler Blackcomb. Pass revenue increased 17.2%, which was driven by a combination of an increase in pricing and units sold and was also favorably impacted by increased pass sales to Destination guests, as well as the introduction of the Epic Day Pass. Non-pass revenue decreased 2.1% primarily due to decreased non-pass visitation at our western U.S. resorts and Whistler Blackcomb, partially offset by an increase in non-pass ETP (excluding Peak Resorts) of 4.0% and incremental non-pass revenue from Peak Resorts of approximately $25.9 million. Total non-pass ETP, including the impact of Peak Resorts, decreased 10.9%.</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Ski school revenue increased $10.5 million, or 11.4%, primarily as a result of incremental revenue from Peak Resorts of approximately $7.5 million, as well as increased revenue from our western U.S. resorts and Whistler Blackcomb. Dining revenue increased $10.3 million, or 15.8%, primarily as a result of incremental revenue from Peak Resorts of approximately $11.7 million, partially offset by a decrease in revenue at our western U.S. resorts and Whistler Blackcomb. Retail/rental revenue increased $5.3 million, or 4.1%, primarily as a result of incremental revenues from Peak Resorts of approximately $12.6 million, partially offset by a decrease in retail sales volumes primarily at our stores proximate to the San Francisco Bay Area.</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557" w:right="3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Other revenue mainly consists of other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increased $6.6 million, or 15.5%, primarily as a result of incremental revenue from Peak Resorts.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expense increased $48.7 million, or 11.5%, which was primarily attributable to incremental operating expenses from Peak Resorts. Additionally, operating expense includes $1.9 million and $2.9 million of acquisition and integration related expenses for the three months ended January 31, 2020 and 2019, respectively.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Labor and labor-related benefits increased 13.0% primarily due to incremental expenses from Peak Resorts of approximately $20.9 million, as well as normal wage adjustments. Retail cost of sales decreased 4.0% compared to a decrease in retail sales of 2.6%. Resort related fees decreased 3.7% primarily due to decreases in revenue on which those fees are based, partially offset by incremental expenses from Peak Resorts of approximately $1.8 million. General and administrative expense increased 18.4% primarily due to incremental expenses from Peak Resorts, Falls Creek and Hotham of approximately $7.3 million, as well as an increase in allocated corporate overhead costs. Other expense increased 17.0% primarily due to incremental operating expenses from Peak Resorts.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joint venture.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2020 compared to the six months ended January 31, 2019</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Mountain segment operating results for the six months ended January 31, 2020 and 2019 are presented by category as follows (in thousands, except ETP):</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60" w:type="dxa"/>
            <w:vAlign w:val="bottom"/>
            <w:gridSpan w:val="3"/>
          </w:tcPr>
          <w:p>
            <w:pPr>
              <w:jc w:val="right"/>
              <w:ind w:right="791"/>
              <w:spacing w:after="0"/>
              <w:rPr>
                <w:sz w:val="20"/>
                <w:szCs w:val="20"/>
                <w:color w:val="auto"/>
              </w:rPr>
            </w:pPr>
            <w:r>
              <w:rPr>
                <w:rFonts w:ascii="Arial" w:cs="Arial" w:eastAsia="Arial" w:hAnsi="Arial"/>
                <w:sz w:val="14"/>
                <w:szCs w:val="14"/>
                <w:b w:val="1"/>
                <w:bCs w:val="1"/>
                <w:color w:val="auto"/>
              </w:rPr>
              <w:t>Six Months Ended January 31,</w:t>
            </w:r>
          </w:p>
        </w:tc>
        <w:tc>
          <w:tcPr>
            <w:tcW w:w="2020" w:type="dxa"/>
            <w:vAlign w:val="bottom"/>
          </w:tcPr>
          <w:p>
            <w:pPr>
              <w:jc w:val="center"/>
              <w:ind w:left="33"/>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54"/>
        </w:trPr>
        <w:tc>
          <w:tcPr>
            <w:tcW w:w="55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20" w:type="dxa"/>
            <w:vAlign w:val="bottom"/>
            <w:vMerge w:val="restart"/>
          </w:tcPr>
          <w:p>
            <w:pPr>
              <w:jc w:val="center"/>
              <w:ind w:left="13"/>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380" w:type="dxa"/>
            <w:vAlign w:val="bottom"/>
            <w:vMerge w:val="restart"/>
          </w:tcPr>
          <w:p>
            <w:pPr>
              <w:jc w:val="right"/>
              <w:ind w:right="672"/>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5"/>
                <w:szCs w:val="5"/>
                <w:color w:val="auto"/>
              </w:rPr>
            </w:pPr>
          </w:p>
        </w:tc>
        <w:tc>
          <w:tcPr>
            <w:tcW w:w="1360" w:type="dxa"/>
            <w:vAlign w:val="bottom"/>
            <w:vMerge w:val="restart"/>
          </w:tcPr>
          <w:p>
            <w:pPr>
              <w:jc w:val="right"/>
              <w:ind w:right="651"/>
              <w:spacing w:after="0"/>
              <w:rPr>
                <w:sz w:val="20"/>
                <w:szCs w:val="20"/>
                <w:color w:val="auto"/>
              </w:rPr>
            </w:pPr>
            <w:r>
              <w:rPr>
                <w:rFonts w:ascii="Arial" w:cs="Arial" w:eastAsia="Arial" w:hAnsi="Arial"/>
                <w:sz w:val="14"/>
                <w:szCs w:val="14"/>
                <w:b w:val="1"/>
                <w:bCs w:val="1"/>
                <w:color w:val="auto"/>
              </w:rPr>
              <w:t>2019</w:t>
            </w:r>
          </w:p>
        </w:tc>
        <w:tc>
          <w:tcPr>
            <w:tcW w:w="2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5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202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Mountain revenue: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Lift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526,177</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472,243</w:t>
            </w:r>
          </w:p>
        </w:tc>
        <w:tc>
          <w:tcPr>
            <w:tcW w:w="2020" w:type="dxa"/>
            <w:vAlign w:val="bottom"/>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111,277</w:t>
            </w:r>
          </w:p>
        </w:tc>
        <w:tc>
          <w:tcPr>
            <w:tcW w:w="5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96,516</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Dining</w:t>
            </w:r>
          </w:p>
        </w:tc>
        <w:tc>
          <w:tcPr>
            <w:tcW w:w="4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97,348</w:t>
            </w:r>
          </w:p>
        </w:tc>
        <w:tc>
          <w:tcPr>
            <w:tcW w:w="5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83,701</w:t>
            </w:r>
          </w:p>
        </w:tc>
        <w:tc>
          <w:tcPr>
            <w:tcW w:w="2020" w:type="dxa"/>
            <w:vAlign w:val="bottom"/>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181,628</w:t>
            </w:r>
          </w:p>
        </w:tc>
        <w:tc>
          <w:tcPr>
            <w:tcW w:w="5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171,778</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109,947</w:t>
            </w:r>
          </w:p>
        </w:tc>
        <w:tc>
          <w:tcPr>
            <w:tcW w:w="5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96,841</w:t>
            </w:r>
          </w:p>
        </w:tc>
        <w:tc>
          <w:tcPr>
            <w:tcW w:w="2020" w:type="dxa"/>
            <w:vAlign w:val="bottom"/>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7"/>
        </w:trPr>
        <w:tc>
          <w:tcPr>
            <w:tcW w:w="5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1,026,377</w:t>
            </w:r>
          </w:p>
        </w:tc>
        <w:tc>
          <w:tcPr>
            <w:tcW w:w="5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921,079</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37"/>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operating expense:</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Labor and labor-related benefits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286,699</w:t>
            </w:r>
          </w:p>
        </w:tc>
        <w:tc>
          <w:tcPr>
            <w:tcW w:w="5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249,068</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Retail cost of sales</w:t>
            </w:r>
          </w:p>
        </w:tc>
        <w:tc>
          <w:tcPr>
            <w:tcW w:w="4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65,264</w:t>
            </w:r>
          </w:p>
        </w:tc>
        <w:tc>
          <w:tcPr>
            <w:tcW w:w="5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66,137</w:t>
            </w:r>
          </w:p>
        </w:tc>
        <w:tc>
          <w:tcPr>
            <w:tcW w:w="20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related fees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42,814</w:t>
            </w:r>
          </w:p>
        </w:tc>
        <w:tc>
          <w:tcPr>
            <w:tcW w:w="5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43,194</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142,644</w:t>
            </w:r>
          </w:p>
        </w:tc>
        <w:tc>
          <w:tcPr>
            <w:tcW w:w="5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120,550</w:t>
            </w:r>
          </w:p>
        </w:tc>
        <w:tc>
          <w:tcPr>
            <w:tcW w:w="2020" w:type="dxa"/>
            <w:vAlign w:val="bottom"/>
          </w:tcPr>
          <w:p>
            <w:pPr>
              <w:jc w:val="right"/>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197,273</w:t>
            </w:r>
          </w:p>
        </w:tc>
        <w:tc>
          <w:tcPr>
            <w:tcW w:w="5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167,422</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0" w:type="dxa"/>
            <w:vAlign w:val="bottom"/>
          </w:tcPr>
          <w:p>
            <w:pPr>
              <w:spacing w:after="0"/>
              <w:rPr>
                <w:sz w:val="1"/>
                <w:szCs w:val="1"/>
                <w:color w:val="auto"/>
              </w:rPr>
            </w:pPr>
          </w:p>
        </w:tc>
      </w:tr>
      <w:tr>
        <w:trPr>
          <w:trHeight w:val="237"/>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Mountain operating expense</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734,694</w:t>
            </w:r>
          </w:p>
        </w:tc>
        <w:tc>
          <w:tcPr>
            <w:tcW w:w="5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646,371</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equity investment income, net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1,360</w:t>
            </w:r>
          </w:p>
        </w:tc>
        <w:tc>
          <w:tcPr>
            <w:tcW w:w="5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1,110</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36"/>
        </w:trPr>
        <w:tc>
          <w:tcPr>
            <w:tcW w:w="5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Reported EBITDA</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293,043</w:t>
            </w:r>
          </w:p>
        </w:tc>
        <w:tc>
          <w:tcPr>
            <w:tcW w:w="5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275,818</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67"/>
        </w:trPr>
        <w:tc>
          <w:tcPr>
            <w:tcW w:w="55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Total skier visits</w:t>
            </w:r>
          </w:p>
        </w:tc>
        <w:tc>
          <w:tcPr>
            <w:tcW w:w="4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8,030</w:t>
            </w:r>
          </w:p>
        </w:tc>
        <w:tc>
          <w:tcPr>
            <w:tcW w:w="5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7,028</w:t>
            </w:r>
          </w:p>
        </w:tc>
        <w:tc>
          <w:tcPr>
            <w:tcW w:w="2020" w:type="dxa"/>
            <w:vAlign w:val="bottom"/>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ETP</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65.53</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67.19</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$9.0 million and $8.2 million of stock-based compensation expense for the six months ended January 31, 2020 and 2019, respectively.</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Mountain Reported EBITDA increased by $17.2 million, or 6.2%, primarily due to strong North American pass sales growth for the 2019/2020 North American ski season and the incremental operations of Peak Resorts, partially offset by lower results at our western U.S. resorts and Whistler Blackcomb and an increase in general and administrative expense. Mountain segment results include $10.9 million and $9.5 million of acquisition and integration related expenses for the six months ended January 31, 2020 and 2019, respectively, which are recorded within Mountain other operating expense.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557" w:right="339" w:bottom="1440" w:gutter="0" w:footer="0" w:header="0"/>
        </w:sectPr>
      </w:pPr>
    </w:p>
    <w:bookmarkStart w:id="34" w:name="page35"/>
    <w:bookmarkEnd w:id="34"/>
    <w:p>
      <w:pPr>
        <w:jc w:val="both"/>
        <w:spacing w:after="0" w:line="273" w:lineRule="auto"/>
        <w:rPr>
          <w:sz w:val="20"/>
          <w:szCs w:val="20"/>
          <w:color w:val="auto"/>
        </w:rPr>
      </w:pPr>
      <w:r>
        <w:rPr>
          <w:rFonts w:ascii="Arial" w:cs="Arial" w:eastAsia="Arial" w:hAnsi="Arial"/>
          <w:sz w:val="17"/>
          <w:szCs w:val="17"/>
          <w:color w:val="auto"/>
        </w:rPr>
        <w:t>As our North American resorts opened for ski season operations primarily during our second fiscal quarter, certain components of Mountain segment net revenue, such as North American lift and ski school revenues for the six months ended January 31, 2020 and 2019 are materially unchanged as compared to those same components for the three months ended January 31, 2020 and 2019. Accordingly, the primary basis for the changes to these components of our North American resorts for the six months ended January 31, 2020 as compared to the prior period are discussed above under the section heading “</w:t>
      </w:r>
      <w:r>
        <w:rPr>
          <w:rFonts w:ascii="Arial" w:cs="Arial" w:eastAsia="Arial" w:hAnsi="Arial"/>
          <w:sz w:val="17"/>
          <w:szCs w:val="17"/>
          <w:i w:val="1"/>
          <w:iCs w:val="1"/>
          <w:color w:val="auto"/>
        </w:rPr>
        <w:t>Three</w:t>
      </w:r>
      <w:r>
        <w:rPr>
          <w:rFonts w:ascii="Arial" w:cs="Arial" w:eastAsia="Arial" w:hAnsi="Arial"/>
          <w:sz w:val="17"/>
          <w:szCs w:val="17"/>
          <w:color w:val="auto"/>
        </w:rPr>
        <w:t xml:space="preserve"> </w:t>
      </w:r>
      <w:r>
        <w:rPr>
          <w:rFonts w:ascii="Arial" w:cs="Arial" w:eastAsia="Arial" w:hAnsi="Arial"/>
          <w:sz w:val="17"/>
          <w:szCs w:val="17"/>
          <w:i w:val="1"/>
          <w:iCs w:val="1"/>
          <w:color w:val="auto"/>
        </w:rPr>
        <w:t>months ended January 31, 2020 compared to the three months ended January 31, 2019.</w:t>
      </w:r>
      <w:r>
        <w:rPr>
          <w:rFonts w:ascii="Arial" w:cs="Arial" w:eastAsia="Arial" w:hAnsi="Arial"/>
          <w:sz w:val="17"/>
          <w:szCs w:val="17"/>
          <w:color w:val="auto"/>
        </w:rPr>
        <w:t>” Additionally, lift revenue and ski school revenue both increased as</w:t>
      </w:r>
      <w:r>
        <w:rPr>
          <w:rFonts w:ascii="Arial" w:cs="Arial" w:eastAsia="Arial" w:hAnsi="Arial"/>
          <w:sz w:val="17"/>
          <w:szCs w:val="17"/>
          <w:i w:val="1"/>
          <w:iCs w:val="1"/>
          <w:color w:val="auto"/>
        </w:rPr>
        <w:t xml:space="preserve"> </w:t>
      </w:r>
      <w:r>
        <w:rPr>
          <w:rFonts w:ascii="Arial" w:cs="Arial" w:eastAsia="Arial" w:hAnsi="Arial"/>
          <w:sz w:val="17"/>
          <w:szCs w:val="17"/>
          <w:color w:val="auto"/>
        </w:rPr>
        <w:t>a result of incremental revenue from Falls Creek and Hotham.</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Dining revenue increased $13.6 million, or 16.3%, primarily due to incremental revenue from Peak Resorts. Retail/rental revenue increased $9.9 million, or 5.7%, primarily as a result of $16.5 million of incremental revenue from Peak Resorts, Falls Creek and Hotham, partially offset by a decrease in retail sales volumes primarily at our stores proximate to the San Francisco Bay Area.</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Other revenue mainly consists of summer visitation and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is also comprised of Australian ski area lodging and transportation revenue. Other revenue increased $13.1 million, or 13.5%, primarily as a result of incremental revenue from Peak Resorts of approximately $6.6 million, as well as increases in mountain activities and services revenue at our other North American resorts.</w:t>
      </w:r>
    </w:p>
    <w:p>
      <w:pPr>
        <w:spacing w:after="0" w:line="1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Operating expense increased $88.3 million, or 13.7%, which was primarily attributable to incremental post-acquisition operating expenses from Peak Resorts, Falls Creek, Hotham, Triple Peaks and Stevens Pass. Additionally, operating expense includes $10.9 million and $9.5 million of acquisition and integration related expenses for the six months ended January 31, 2020 and 2019, respectively.</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Labor and labor-related benefits increased 15.1% primarily due to incremental expenses from Peak Resorts, Falls Creek, Hotham, Triple Peaks and Stevens Pass of approximately $33.7 million, as well as normal wage adjustments. General and administrative expense increased 18.3% primarily due to incremental expenses from Peak Resorts, Falls Creek and Hotham of approximately $11.4 million, as well as an increase in allocated corporate overhead costs. Other expense increased 17.8%, primarily due to incremental operating expenses from Peak Resorts, Falls Creek, Hotham and Triple Peaks.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joint venture.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55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2020 compared to the three months ended January 31, 2019</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Lodging segment operating results for the three months ended January 31, 2020 and 2019 are presented by category as follows (in thousands, except average daily rates (“ADR”) and revenue per available room (“RevPAR”)):</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00" w:type="dxa"/>
            <w:vAlign w:val="bottom"/>
            <w:gridSpan w:val="3"/>
          </w:tcPr>
          <w:p>
            <w:pPr>
              <w:jc w:val="right"/>
              <w:ind w:right="491"/>
              <w:spacing w:after="0"/>
              <w:rPr>
                <w:sz w:val="20"/>
                <w:szCs w:val="20"/>
                <w:color w:val="auto"/>
              </w:rPr>
            </w:pPr>
            <w:r>
              <w:rPr>
                <w:rFonts w:ascii="Arial" w:cs="Arial" w:eastAsia="Arial" w:hAnsi="Arial"/>
                <w:sz w:val="14"/>
                <w:szCs w:val="14"/>
                <w:b w:val="1"/>
                <w:bCs w:val="1"/>
                <w:color w:val="auto"/>
              </w:rPr>
              <w:t>Three Months Ended January 31,</w:t>
            </w:r>
          </w:p>
        </w:tc>
        <w:tc>
          <w:tcPr>
            <w:tcW w:w="1800" w:type="dxa"/>
            <w:vAlign w:val="bottom"/>
          </w:tcPr>
          <w:p>
            <w:pPr>
              <w:jc w:val="center"/>
              <w:ind w:left="12"/>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54"/>
        </w:trPr>
        <w:tc>
          <w:tcPr>
            <w:tcW w:w="62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800" w:type="dxa"/>
            <w:vAlign w:val="bottom"/>
            <w:vMerge w:val="restart"/>
          </w:tcPr>
          <w:p>
            <w:pPr>
              <w:jc w:val="center"/>
              <w:ind w:left="12"/>
              <w:spacing w:after="0" w:line="13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65"/>
        </w:trPr>
        <w:tc>
          <w:tcPr>
            <w:tcW w:w="6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5"/>
                <w:szCs w:val="5"/>
                <w:color w:val="auto"/>
              </w:rPr>
            </w:pPr>
          </w:p>
        </w:tc>
        <w:tc>
          <w:tcPr>
            <w:tcW w:w="120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net revenue:</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Owned hotel rooms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11,251</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11,548</w:t>
            </w:r>
          </w:p>
        </w:tc>
        <w:tc>
          <w:tcPr>
            <w:tcW w:w="18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Managed condominium rooms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31,500</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28,046</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Dining</w:t>
            </w:r>
          </w:p>
        </w:tc>
        <w:tc>
          <w:tcPr>
            <w:tcW w:w="34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11,111</w:t>
            </w:r>
          </w:p>
        </w:tc>
        <w:tc>
          <w:tcPr>
            <w:tcW w:w="4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10,189</w:t>
            </w:r>
          </w:p>
        </w:tc>
        <w:tc>
          <w:tcPr>
            <w:tcW w:w="1800" w:type="dxa"/>
            <w:vAlign w:val="bottom"/>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7,725</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7,722</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13,855</w:t>
            </w:r>
          </w:p>
        </w:tc>
        <w:tc>
          <w:tcPr>
            <w:tcW w:w="4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12,120</w:t>
            </w:r>
          </w:p>
        </w:tc>
        <w:tc>
          <w:tcPr>
            <w:tcW w:w="1800" w:type="dxa"/>
            <w:vAlign w:val="bottom"/>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7"/>
        </w:trPr>
        <w:tc>
          <w:tcPr>
            <w:tcW w:w="6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75,442</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69,625</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Payroll cost reimbursements</w:t>
            </w:r>
          </w:p>
        </w:tc>
        <w:tc>
          <w:tcPr>
            <w:tcW w:w="34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3,445</w:t>
            </w:r>
          </w:p>
        </w:tc>
        <w:tc>
          <w:tcPr>
            <w:tcW w:w="4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3,624</w:t>
            </w:r>
          </w:p>
        </w:tc>
        <w:tc>
          <w:tcPr>
            <w:tcW w:w="18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6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net revenue</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78,887</w:t>
            </w:r>
          </w:p>
        </w:tc>
        <w:tc>
          <w:tcPr>
            <w:tcW w:w="4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73,249</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37"/>
        </w:trPr>
        <w:tc>
          <w:tcPr>
            <w:tcW w:w="6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Lodging operating expense:</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Labor and labor-related benefits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33,929</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32,173</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13,327</w:t>
            </w:r>
          </w:p>
        </w:tc>
        <w:tc>
          <w:tcPr>
            <w:tcW w:w="4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11,515</w:t>
            </w:r>
          </w:p>
        </w:tc>
        <w:tc>
          <w:tcPr>
            <w:tcW w:w="1800" w:type="dxa"/>
            <w:vAlign w:val="bottom"/>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22,892</w:t>
            </w: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20,180</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37"/>
        </w:trPr>
        <w:tc>
          <w:tcPr>
            <w:tcW w:w="62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70,148</w:t>
            </w: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63,868</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Reimbursed payroll costs</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3,445</w:t>
            </w: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3,624</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6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Lodging operating expense</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73,593</w:t>
            </w: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67,492</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7"/>
        </w:trPr>
        <w:tc>
          <w:tcPr>
            <w:tcW w:w="6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Reported EBITDA</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5,294</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5,757</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6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Owned hotel statistics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ADR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265.15</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269.45</w:t>
            </w:r>
          </w:p>
        </w:tc>
        <w:tc>
          <w:tcPr>
            <w:tcW w:w="18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RevPAR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143.15</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177.04</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Managed condominium statistics:</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404.14</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407.11</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RevPAR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144.85</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145.76</w:t>
            </w:r>
          </w:p>
        </w:tc>
        <w:tc>
          <w:tcPr>
            <w:tcW w:w="18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Owned hotel and managed condominium statistics (combined):</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ADR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371.45</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372.43</w:t>
            </w:r>
          </w:p>
        </w:tc>
        <w:tc>
          <w:tcPr>
            <w:tcW w:w="18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0"/>
        </w:trPr>
        <w:tc>
          <w:tcPr>
            <w:tcW w:w="6200" w:type="dxa"/>
            <w:vAlign w:val="bottom"/>
          </w:tcPr>
          <w:p>
            <w:pPr>
              <w:ind w:left="280"/>
              <w:spacing w:after="0"/>
              <w:rPr>
                <w:sz w:val="20"/>
                <w:szCs w:val="20"/>
                <w:color w:val="auto"/>
              </w:rPr>
            </w:pPr>
            <w:r>
              <w:rPr>
                <w:rFonts w:ascii="Arial" w:cs="Arial" w:eastAsia="Arial" w:hAnsi="Arial"/>
                <w:sz w:val="18"/>
                <w:szCs w:val="18"/>
                <w:color w:val="auto"/>
              </w:rPr>
              <w:t>RevPAR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144.56</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150.61</w:t>
            </w:r>
          </w:p>
        </w:tc>
        <w:tc>
          <w:tcPr>
            <w:tcW w:w="18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firstLine="8"/>
        <w:spacing w:after="0" w:line="229" w:lineRule="auto"/>
        <w:tabs>
          <w:tab w:leader="none" w:pos="184"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Owned hotel RevPAR for the three months ended January 31, 2020 declined from the prior comparative period primarily due to the inclusion of properties acquired through the Peak Resorts acquisition, partially offset by the sale of a higher-occupancy lodging property that occurred in April 2019.</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Lodging Reported EBITDA includes $0.9 million and $0.8 million of stock-based compensation expense for the three months ended January 31, 2020 and 2019, respectively. Lodging Reported EBITDA decreased $0.5 million, or 8.0%, primarily due to an increase in general and administrative expense, partially offset by the benefit of the incremental operations of Peak Resorts.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managed condominium rooms increased $3.5 million, or 12.3%, primarily due to incremental revenue from our managed lodging properties at Peak Resorts of approximately $1.5 million, as well as increased revenue at our lodging properties proximate to our western U.S. resorts. Other revenue increased $1.7 million, or 14.6%, primarily due to increases in ancillary revenue and incremental revenue from our lodging properties at Peak Resorts of approximately $0.7 million.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 (excluding reimbursed payroll costs) increased 9.8%. Labor and labor related benefits increased 5.5 % primarily due to incremental labor expenses from Peak Resorts. General and administrative expense increased 15.7% associated with a $1.3 million accrual during the period for a contingent obligation in addition to higher allocated corporate overhead costs. Other expenses increased 13.4% primarily due to incremental expenses from Peak Resorts of approximately $1.5 million, as well as increases in property tax expense and variable operating expenses associated with increases in revenue.</w:t>
      </w:r>
    </w:p>
    <w:p>
      <w:pPr>
        <w:sectPr>
          <w:pgSz w:w="11900" w:h="16838" w:orient="portrait"/>
          <w:cols w:equalWidth="0" w:num="1">
            <w:col w:w="11240"/>
          </w:cols>
          <w:pgMar w:left="320" w:top="557"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557" w:right="339" w:bottom="1440" w:gutter="0" w:footer="0" w:header="0"/>
          <w:type w:val="continuous"/>
        </w:sectPr>
      </w:pPr>
    </w:p>
    <w:bookmarkStart w:id="36" w:name="page37"/>
    <w:bookmarkEnd w:id="36"/>
    <w:p>
      <w:pPr>
        <w:jc w:val="both"/>
        <w:spacing w:after="0" w:line="311" w:lineRule="auto"/>
        <w:rPr>
          <w:sz w:val="20"/>
          <w:szCs w:val="20"/>
          <w:color w:val="auto"/>
        </w:rPr>
      </w:pPr>
      <w:r>
        <w:rPr>
          <w:rFonts w:ascii="Arial" w:cs="Arial" w:eastAsia="Arial" w:hAnsi="Arial"/>
          <w:sz w:val="16"/>
          <w:szCs w:val="16"/>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2020 compared to the six months ended January 31, 2019</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Lodging segment operating results for the six months ended January 31, 2020 and 2019 are presented by category as follows (in thousands, except ADR and RevPAR):</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80" w:type="dxa"/>
            <w:vAlign w:val="bottom"/>
            <w:gridSpan w:val="3"/>
          </w:tcPr>
          <w:p>
            <w:pPr>
              <w:jc w:val="right"/>
              <w:ind w:right="571"/>
              <w:spacing w:after="0"/>
              <w:rPr>
                <w:sz w:val="20"/>
                <w:szCs w:val="20"/>
                <w:color w:val="auto"/>
              </w:rPr>
            </w:pPr>
            <w:r>
              <w:rPr>
                <w:rFonts w:ascii="Arial" w:cs="Arial" w:eastAsia="Arial" w:hAnsi="Arial"/>
                <w:sz w:val="14"/>
                <w:szCs w:val="14"/>
                <w:b w:val="1"/>
                <w:bCs w:val="1"/>
                <w:color w:val="auto"/>
              </w:rPr>
              <w:t>Six Months Ended January 31,</w:t>
            </w:r>
          </w:p>
        </w:tc>
        <w:tc>
          <w:tcPr>
            <w:tcW w:w="1800" w:type="dxa"/>
            <w:vAlign w:val="bottom"/>
          </w:tcPr>
          <w:p>
            <w:pPr>
              <w:jc w:val="center"/>
              <w:ind w:left="12"/>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54"/>
        </w:trPr>
        <w:tc>
          <w:tcPr>
            <w:tcW w:w="62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800" w:type="dxa"/>
            <w:vAlign w:val="bottom"/>
            <w:vMerge w:val="restart"/>
          </w:tcPr>
          <w:p>
            <w:pPr>
              <w:jc w:val="center"/>
              <w:ind w:left="12"/>
              <w:spacing w:after="0" w:line="13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65"/>
        </w:trPr>
        <w:tc>
          <w:tcPr>
            <w:tcW w:w="6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5"/>
                <w:szCs w:val="5"/>
                <w:color w:val="auto"/>
              </w:rPr>
            </w:pPr>
          </w:p>
        </w:tc>
        <w:tc>
          <w:tcPr>
            <w:tcW w:w="120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49"/>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net revenue: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Owned hotel rooms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31,197</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31,147</w:t>
            </w:r>
          </w:p>
        </w:tc>
        <w:tc>
          <w:tcPr>
            <w:tcW w:w="1800" w:type="dxa"/>
            <w:vAlign w:val="bottom"/>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Managed condominium rooms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46,240</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39,164</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Dining</w:t>
            </w:r>
          </w:p>
        </w:tc>
        <w:tc>
          <w:tcPr>
            <w:tcW w:w="36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29,254</w:t>
            </w:r>
          </w:p>
        </w:tc>
        <w:tc>
          <w:tcPr>
            <w:tcW w:w="4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26,318</w:t>
            </w:r>
          </w:p>
        </w:tc>
        <w:tc>
          <w:tcPr>
            <w:tcW w:w="1800" w:type="dxa"/>
            <w:vAlign w:val="bottom"/>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10,076</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10,196</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Golf</w:t>
            </w:r>
          </w:p>
        </w:tc>
        <w:tc>
          <w:tcPr>
            <w:tcW w:w="36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10,543</w:t>
            </w:r>
          </w:p>
        </w:tc>
        <w:tc>
          <w:tcPr>
            <w:tcW w:w="4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9,459</w:t>
            </w:r>
          </w:p>
        </w:tc>
        <w:tc>
          <w:tcPr>
            <w:tcW w:w="1800" w:type="dxa"/>
            <w:vAlign w:val="bottom"/>
          </w:tcPr>
          <w:p>
            <w:pPr>
              <w:jc w:val="right"/>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27,699</w:t>
            </w: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24,588</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37"/>
        </w:trPr>
        <w:tc>
          <w:tcPr>
            <w:tcW w:w="6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155,009</w:t>
            </w: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140,872</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Payroll cost reimbursements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6,636</w:t>
            </w: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7,277</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7"/>
        </w:trPr>
        <w:tc>
          <w:tcPr>
            <w:tcW w:w="6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Lodging net revenue</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161,645</w:t>
            </w: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148,149</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7"/>
        </w:trPr>
        <w:tc>
          <w:tcPr>
            <w:tcW w:w="6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operating expense: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Labor and labor-related benefits</w:t>
            </w:r>
          </w:p>
        </w:tc>
        <w:tc>
          <w:tcPr>
            <w:tcW w:w="36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71,544</w:t>
            </w:r>
          </w:p>
        </w:tc>
        <w:tc>
          <w:tcPr>
            <w:tcW w:w="4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65,624</w:t>
            </w:r>
          </w:p>
        </w:tc>
        <w:tc>
          <w:tcPr>
            <w:tcW w:w="1800" w:type="dxa"/>
            <w:vAlign w:val="bottom"/>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23,713</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21,191</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51,192</w:t>
            </w:r>
          </w:p>
        </w:tc>
        <w:tc>
          <w:tcPr>
            <w:tcW w:w="4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44,404</w:t>
            </w:r>
          </w:p>
        </w:tc>
        <w:tc>
          <w:tcPr>
            <w:tcW w:w="1800" w:type="dxa"/>
            <w:vAlign w:val="bottom"/>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7"/>
        </w:trPr>
        <w:tc>
          <w:tcPr>
            <w:tcW w:w="6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146,449</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131,219</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Reimbursed payroll costs</w:t>
            </w:r>
          </w:p>
        </w:tc>
        <w:tc>
          <w:tcPr>
            <w:tcW w:w="36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6,636</w:t>
            </w:r>
          </w:p>
        </w:tc>
        <w:tc>
          <w:tcPr>
            <w:tcW w:w="4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7,277</w:t>
            </w:r>
          </w:p>
        </w:tc>
        <w:tc>
          <w:tcPr>
            <w:tcW w:w="180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6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operating expense</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153,085</w:t>
            </w:r>
          </w:p>
        </w:tc>
        <w:tc>
          <w:tcPr>
            <w:tcW w:w="4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138,496</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37"/>
        </w:trPr>
        <w:tc>
          <w:tcPr>
            <w:tcW w:w="6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Lodging Reported EBITDA</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8,560</w:t>
            </w:r>
          </w:p>
        </w:tc>
        <w:tc>
          <w:tcPr>
            <w:tcW w:w="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9,653</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67"/>
        </w:trPr>
        <w:tc>
          <w:tcPr>
            <w:tcW w:w="62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40"/>
              <w:spacing w:after="0" w:line="270" w:lineRule="exact"/>
              <w:rPr>
                <w:sz w:val="20"/>
                <w:szCs w:val="20"/>
                <w:color w:val="auto"/>
              </w:rPr>
            </w:pPr>
            <w:r>
              <w:rPr>
                <w:rFonts w:ascii="Arial" w:cs="Arial" w:eastAsia="Arial" w:hAnsi="Arial"/>
                <w:sz w:val="18"/>
                <w:szCs w:val="18"/>
                <w:color w:val="auto"/>
              </w:rPr>
              <w:t>Owned hotel statistics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247.92</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245.76</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RevPAR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155.22</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167.47</w:t>
            </w:r>
          </w:p>
        </w:tc>
        <w:tc>
          <w:tcPr>
            <w:tcW w:w="18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Managed condominium statistics: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ADR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313.72</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323.44</w:t>
            </w:r>
          </w:p>
        </w:tc>
        <w:tc>
          <w:tcPr>
            <w:tcW w:w="18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RevPAR</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100.40</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103.33</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Owned hotel and managed condominium statistics (combined):</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291.74</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294.63</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RevPAR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111.59</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117.21</w:t>
            </w:r>
          </w:p>
        </w:tc>
        <w:tc>
          <w:tcPr>
            <w:tcW w:w="18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right="20" w:firstLine="8"/>
        <w:spacing w:after="0" w:line="246" w:lineRule="auto"/>
        <w:tabs>
          <w:tab w:leader="none" w:pos="167"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Owned hotel RevPAR for the six months ended January 31, 2020 declined from the prior comparative period primarily due to the inclusion of properties acquired through the Peak Resorts acquisition, partially offset by the sale of a higher-occupancy lodging property that occurred in April 2019.</w:t>
      </w:r>
    </w:p>
    <w:p>
      <w:pPr>
        <w:spacing w:after="0" w:line="10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Lodging Reported EBITDA includes $1.7 million and $1.6 million of stock-based compensation expense for the six months ended January 31, 2020 and 2019, respectively. Lodging Reported EBITDA decreased $1.1 million, or 11.3%, primarily due to an increase in general and administrative expense and an increase in expenses across our lodging properties, partially offset by the benefit of the incremental operations of Peak Resorts and Triple Peaks.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from managed condominium rooms increased $7.1 million, or 18.1%, primarily due to incremental revenue from our lodging properties at Peak Resorts, Crested Butte and Okemo of approximately $3.5 million, as well as an increase in revenue at our lodging properties proximate to our western U.S. resorts.</w:t>
      </w:r>
    </w:p>
    <w:p>
      <w:pPr>
        <w:sectPr>
          <w:pgSz w:w="11900" w:h="16838" w:orient="portrait"/>
          <w:cols w:equalWidth="0" w:num="1">
            <w:col w:w="11240"/>
          </w:cols>
          <w:pgMar w:left="320" w:top="773"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773" w:right="339" w:bottom="1440" w:gutter="0" w:footer="0" w:header="0"/>
          <w:type w:val="continuous"/>
        </w:sectPr>
      </w:pPr>
    </w:p>
    <w:bookmarkStart w:id="37" w:name="page38"/>
    <w:bookmarkEnd w:id="37"/>
    <w:p>
      <w:pPr>
        <w:jc w:val="both"/>
        <w:spacing w:after="0" w:line="257" w:lineRule="auto"/>
        <w:rPr>
          <w:sz w:val="20"/>
          <w:szCs w:val="20"/>
          <w:color w:val="auto"/>
        </w:rPr>
      </w:pPr>
      <w:r>
        <w:rPr>
          <w:rFonts w:ascii="Arial" w:cs="Arial" w:eastAsia="Arial" w:hAnsi="Arial"/>
          <w:sz w:val="18"/>
          <w:szCs w:val="18"/>
          <w:color w:val="auto"/>
        </w:rPr>
        <w:t>Dining revenue increased $2.9 million, or 11.2%, primarily due to incremental revenue from our lodging properties at Peak Resorts, Okemo and Crested Butte. Golf revenue increased $1.1 million, or 11.5%, primarily due to incremental revenue from our Okemo and Peak Resorts golf operations. Other revenue increased $3.1 million, or 12.7%, primarily due to incremental revenue from our lodging properties at Peak Resorts, Okemo and Crested Butte of approximately $1.4 million, as well as a business interruption insurance recovery related to a closed event facility in Breckenridge and increases in ancillary revenue.</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Operating expense (excluding reimbursed payroll costs) increased 11.6%. Labor and labor-related benefits increased 9.0%, primarily due to incremental labor expenses from Peak Resorts, Okemo, Crested Butte of approximately $4.5 million, as well as normal wage increases. General and administrative expense increased 11.9% primarily associated with a $1.3 million accrual during the period for a contingent obligation in addition to higher allocated corporate overhead costs. Other expense increased 15.3% primarily due to incremental expenses from Peak Resorts, Okemo and Crested Butte of approximately $3.6 million, as well as an increase in property tax expense and variable operating expenses associated with increases in revenue.</w:t>
      </w:r>
    </w:p>
    <w:p>
      <w:pPr>
        <w:spacing w:after="0" w:line="1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on sale of real property and Real Estate Reported EBITDA.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2020 compared to the three months ended January 31, 2019</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three months ended January 31, 2020 and 2019 are presented by category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302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Three Months Ended January 31,</w:t>
            </w:r>
          </w:p>
        </w:tc>
        <w:tc>
          <w:tcPr>
            <w:tcW w:w="660" w:type="dxa"/>
            <w:vAlign w:val="bottom"/>
          </w:tcPr>
          <w:p>
            <w:pPr>
              <w:spacing w:after="0"/>
              <w:rPr>
                <w:sz w:val="14"/>
                <w:szCs w:val="14"/>
                <w:color w:val="auto"/>
              </w:rPr>
            </w:pPr>
          </w:p>
        </w:tc>
        <w:tc>
          <w:tcPr>
            <w:tcW w:w="2020" w:type="dxa"/>
            <w:vAlign w:val="bottom"/>
          </w:tcPr>
          <w:p>
            <w:pPr>
              <w:jc w:val="center"/>
              <w:ind w:left="19"/>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54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20" w:type="dxa"/>
            <w:vAlign w:val="bottom"/>
            <w:vMerge w:val="restart"/>
          </w:tcPr>
          <w:p>
            <w:pPr>
              <w:jc w:val="center"/>
              <w:ind w:left="19"/>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540" w:type="dxa"/>
            <w:vAlign w:val="bottom"/>
          </w:tcPr>
          <w:p>
            <w:pPr>
              <w:spacing w:after="0"/>
              <w:rPr>
                <w:sz w:val="5"/>
                <w:szCs w:val="5"/>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5"/>
                <w:szCs w:val="5"/>
                <w:color w:val="auto"/>
              </w:rPr>
            </w:pPr>
          </w:p>
        </w:tc>
        <w:tc>
          <w:tcPr>
            <w:tcW w:w="12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206</w:t>
            </w:r>
          </w:p>
        </w:tc>
        <w:tc>
          <w:tcPr>
            <w:tcW w:w="120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Total Real Estate operating expense</w:t>
            </w:r>
          </w:p>
        </w:tc>
        <w:tc>
          <w:tcPr>
            <w:tcW w:w="112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1,505</w:t>
            </w:r>
          </w:p>
        </w:tc>
        <w:tc>
          <w:tcPr>
            <w:tcW w:w="120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1,389</w:t>
            </w:r>
          </w:p>
        </w:tc>
        <w:tc>
          <w:tcPr>
            <w:tcW w:w="2020" w:type="dxa"/>
            <w:vAlign w:val="bottom"/>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7"/>
        </w:trPr>
        <w:tc>
          <w:tcPr>
            <w:tcW w:w="5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Reported EBITDA</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20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5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2020</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of $1.5 million was primarily comprised of general and administrative costs, such as labor and labor-related benefits, professional services and allocated corporate overhead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2019</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of $1.4 million was primarily comprised of general and administrative costs, such as labor and labor-related benefits, professional services and allocated corporate overhead costs.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77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Six months ended January 31, 2020 compared to the six months ended January 31, 2019</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six months ended January 31, 2020 and 2019 are presented by category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3040" w:type="dxa"/>
            <w:vAlign w:val="bottom"/>
            <w:gridSpan w:val="3"/>
          </w:tcPr>
          <w:p>
            <w:pPr>
              <w:jc w:val="right"/>
              <w:ind w:right="136"/>
              <w:spacing w:after="0"/>
              <w:rPr>
                <w:sz w:val="20"/>
                <w:szCs w:val="20"/>
                <w:color w:val="auto"/>
              </w:rPr>
            </w:pPr>
            <w:r>
              <w:rPr>
                <w:rFonts w:ascii="Arial" w:cs="Arial" w:eastAsia="Arial" w:hAnsi="Arial"/>
                <w:sz w:val="14"/>
                <w:szCs w:val="14"/>
                <w:b w:val="1"/>
                <w:bCs w:val="1"/>
                <w:color w:val="auto"/>
              </w:rPr>
              <w:t>Six Months Ended January 31,</w:t>
            </w:r>
          </w:p>
        </w:tc>
        <w:tc>
          <w:tcPr>
            <w:tcW w:w="660" w:type="dxa"/>
            <w:vAlign w:val="bottom"/>
          </w:tcPr>
          <w:p>
            <w:pPr>
              <w:spacing w:after="0"/>
              <w:rPr>
                <w:sz w:val="14"/>
                <w:szCs w:val="14"/>
                <w:color w:val="auto"/>
              </w:rPr>
            </w:pPr>
          </w:p>
        </w:tc>
        <w:tc>
          <w:tcPr>
            <w:tcW w:w="1980" w:type="dxa"/>
            <w:vAlign w:val="bottom"/>
          </w:tcPr>
          <w:p>
            <w:pPr>
              <w:jc w:val="center"/>
              <w:ind w:left="36"/>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54"/>
        </w:trPr>
        <w:tc>
          <w:tcPr>
            <w:tcW w:w="55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980" w:type="dxa"/>
            <w:vAlign w:val="bottom"/>
            <w:vMerge w:val="restart"/>
          </w:tcPr>
          <w:p>
            <w:pPr>
              <w:jc w:val="center"/>
              <w:ind w:left="36"/>
              <w:spacing w:after="0" w:line="13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65"/>
        </w:trPr>
        <w:tc>
          <w:tcPr>
            <w:tcW w:w="5560" w:type="dxa"/>
            <w:vAlign w:val="bottom"/>
          </w:tcPr>
          <w:p>
            <w:pPr>
              <w:spacing w:after="0"/>
              <w:rPr>
                <w:sz w:val="5"/>
                <w:szCs w:val="5"/>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5"/>
                <w:szCs w:val="5"/>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5"/>
                <w:szCs w:val="5"/>
                <w:color w:val="auto"/>
              </w:rPr>
            </w:pPr>
          </w:p>
        </w:tc>
        <w:tc>
          <w:tcPr>
            <w:tcW w:w="1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4,386</w:t>
            </w:r>
          </w:p>
        </w:tc>
        <w:tc>
          <w:tcPr>
            <w:tcW w:w="120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1,139.0%</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Real Estate operating expense:</w:t>
            </w: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sales (including sales commission)</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3,932</w:t>
            </w:r>
          </w:p>
        </w:tc>
        <w:tc>
          <w:tcPr>
            <w:tcW w:w="1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5560" w:type="dxa"/>
            <w:vAlign w:val="bottom"/>
          </w:tcPr>
          <w:p>
            <w:pPr>
              <w:ind w:left="28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2,866</w:t>
            </w:r>
          </w:p>
        </w:tc>
        <w:tc>
          <w:tcPr>
            <w:tcW w:w="12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2,759</w:t>
            </w:r>
          </w:p>
        </w:tc>
        <w:tc>
          <w:tcPr>
            <w:tcW w:w="19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operating expense</w:t>
            </w:r>
          </w:p>
        </w:tc>
        <w:tc>
          <w:tcPr>
            <w:tcW w:w="1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6,798</w:t>
            </w:r>
          </w:p>
        </w:tc>
        <w:tc>
          <w:tcPr>
            <w:tcW w:w="1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2,759</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37"/>
        </w:trPr>
        <w:tc>
          <w:tcPr>
            <w:tcW w:w="5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Gain on sale of real property</w:t>
            </w:r>
          </w:p>
        </w:tc>
        <w:tc>
          <w:tcPr>
            <w:tcW w:w="1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207</w:t>
            </w:r>
          </w:p>
        </w:tc>
        <w:tc>
          <w:tcPr>
            <w:tcW w:w="1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98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Reported EBITDA</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20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5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2020</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six months ended January 31, 2020, we closed on the sale of a development land parcel for $4.1 million which was recorded within Real Estate net revenue, with a corresponding cost of sale (including sales commission) of $3.9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of $2.9 million was primarily comprised of general and administrative costs, such as labor and labor-related benefits, professional services and allocated corporate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2019</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of $2.8 million was primarily comprised of general and administrative costs, such as labor and labor-related benefits, professional services and allocated corporate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segment operating results, the following material items contributed to our overall financial results for the three and six months ended January 31, 2020 and 2019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3"/>
          </w:tcPr>
          <w:p>
            <w:pPr>
              <w:jc w:val="right"/>
              <w:ind w:right="59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3"/>
          </w:tcPr>
          <w:p>
            <w:pPr>
              <w:jc w:val="right"/>
              <w:ind w:right="633"/>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January 31,</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Increase</w:t>
            </w: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January 31,</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72"/>
        </w:trPr>
        <w:tc>
          <w:tcPr>
            <w:tcW w:w="3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6"/>
                <w:szCs w:val="6"/>
                <w:color w:val="auto"/>
              </w:rPr>
            </w:pPr>
          </w:p>
        </w:tc>
        <w:tc>
          <w:tcPr>
            <w:tcW w:w="8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6"/>
                <w:szCs w:val="6"/>
                <w:color w:val="auto"/>
              </w:rPr>
            </w:pPr>
          </w:p>
        </w:tc>
        <w:tc>
          <w:tcPr>
            <w:tcW w:w="86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4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49"/>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(63,812)</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(55,238)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(121,657)</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3"/>
              </w:rPr>
              <w:t>(106,281)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29"/>
        </w:trPr>
        <w:tc>
          <w:tcPr>
            <w:tcW w:w="3400" w:type="dxa"/>
            <w:vAlign w:val="bottom"/>
          </w:tcPr>
          <w:p>
            <w:pPr>
              <w:ind w:left="40"/>
              <w:spacing w:after="0"/>
              <w:rPr>
                <w:sz w:val="20"/>
                <w:szCs w:val="20"/>
                <w:color w:val="auto"/>
              </w:rPr>
            </w:pPr>
            <w:r>
              <w:rPr>
                <w:rFonts w:ascii="Arial" w:cs="Arial" w:eastAsia="Arial" w:hAnsi="Arial"/>
                <w:sz w:val="18"/>
                <w:szCs w:val="18"/>
                <w:color w:val="auto"/>
                <w:w w:val="92"/>
              </w:rPr>
              <w:t>Foreign currency (loss) gain on intercompany</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40"/>
              <w:spacing w:after="0"/>
              <w:rPr>
                <w:sz w:val="20"/>
                <w:szCs w:val="20"/>
                <w:color w:val="auto"/>
              </w:rPr>
            </w:pPr>
            <w:r>
              <w:rPr>
                <w:rFonts w:ascii="Arial" w:cs="Arial" w:eastAsia="Arial" w:hAnsi="Arial"/>
                <w:sz w:val="18"/>
                <w:szCs w:val="18"/>
                <w:color w:val="auto"/>
              </w:rPr>
              <w:t>loans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7"/>
              <w:spacing w:after="0"/>
              <w:rPr>
                <w:sz w:val="20"/>
                <w:szCs w:val="20"/>
                <w:color w:val="auto"/>
              </w:rPr>
            </w:pPr>
            <w:r>
              <w:rPr>
                <w:rFonts w:ascii="Arial" w:cs="Arial" w:eastAsia="Arial" w:hAnsi="Arial"/>
                <w:sz w:val="18"/>
                <w:szCs w:val="18"/>
                <w:color w:val="auto"/>
              </w:rPr>
              <w:t>(798)</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450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(277.3)%</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97"/>
              <w:spacing w:after="0"/>
              <w:rPr>
                <w:sz w:val="20"/>
                <w:szCs w:val="20"/>
                <w:color w:val="auto"/>
              </w:rPr>
            </w:pPr>
            <w:r>
              <w:rPr>
                <w:rFonts w:ascii="Arial" w:cs="Arial" w:eastAsia="Arial" w:hAnsi="Arial"/>
                <w:sz w:val="18"/>
                <w:szCs w:val="18"/>
                <w:color w:val="auto"/>
              </w:rPr>
              <w:t>(438)</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(1,861)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76.5 %</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(26,134)</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(21,002)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(48,824)</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(39,640)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7"/>
              <w:spacing w:after="0"/>
              <w:rPr>
                <w:sz w:val="20"/>
                <w:szCs w:val="20"/>
                <w:color w:val="auto"/>
              </w:rPr>
            </w:pPr>
            <w:r>
              <w:rPr>
                <w:rFonts w:ascii="Arial" w:cs="Arial" w:eastAsia="Arial" w:hAnsi="Arial"/>
                <w:sz w:val="18"/>
                <w:szCs w:val="18"/>
                <w:color w:val="auto"/>
              </w:rPr>
              <w:t>(67,313)</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(63,973)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5.2 %</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97"/>
              <w:spacing w:after="0"/>
              <w:rPr>
                <w:sz w:val="20"/>
                <w:szCs w:val="20"/>
                <w:color w:val="auto"/>
              </w:rPr>
            </w:pPr>
            <w:r>
              <w:rPr>
                <w:rFonts w:ascii="Arial" w:cs="Arial" w:eastAsia="Arial" w:hAnsi="Arial"/>
                <w:sz w:val="18"/>
                <w:szCs w:val="18"/>
                <w:color w:val="auto"/>
              </w:rPr>
              <w:t>(20,750)</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(27,568)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 expense</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23.7%</w:t>
            </w: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 pts</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 pts)</w:t>
            </w:r>
          </w:p>
        </w:tc>
        <w:tc>
          <w:tcPr>
            <w:tcW w:w="0" w:type="dxa"/>
            <w:vAlign w:val="bottom"/>
          </w:tcPr>
          <w:p>
            <w:pPr>
              <w:spacing w:after="0"/>
              <w:rPr>
                <w:sz w:val="1"/>
                <w:szCs w:val="1"/>
                <w:color w:val="auto"/>
              </w:rPr>
            </w:pPr>
          </w:p>
        </w:tc>
      </w:tr>
      <w:tr>
        <w:trPr>
          <w:trHeight w:val="27"/>
        </w:trPr>
        <w:tc>
          <w:tcPr>
            <w:tcW w:w="3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for the three and six months ended January 31, 2020 increased $8.6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$15.4 million, respectively, compared to the same period in the prior year, primarily due to assets acquired in the Peak Resorts, Falls Creek, Hotham, Triple Peaks and Stevens Pass acquisitions.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Foreign currency (loss) gain on intercompany loans. </w:t>
      </w:r>
      <w:r>
        <w:rPr>
          <w:rFonts w:ascii="Arial" w:cs="Arial" w:eastAsia="Arial" w:hAnsi="Arial"/>
          <w:sz w:val="17"/>
          <w:szCs w:val="17"/>
          <w:color w:val="auto"/>
        </w:rPr>
        <w:t>Foreign currency (loss) gain on intercompany loans for the three and six months ended January 31,</w:t>
      </w:r>
      <w:r>
        <w:rPr>
          <w:rFonts w:ascii="Arial" w:cs="Arial" w:eastAsia="Arial" w:hAnsi="Arial"/>
          <w:sz w:val="17"/>
          <w:szCs w:val="17"/>
          <w:i w:val="1"/>
          <w:iCs w:val="1"/>
          <w:color w:val="auto"/>
        </w:rPr>
        <w:t xml:space="preserve"> </w:t>
      </w:r>
      <w:r>
        <w:rPr>
          <w:rFonts w:ascii="Arial" w:cs="Arial" w:eastAsia="Arial" w:hAnsi="Arial"/>
          <w:sz w:val="17"/>
          <w:szCs w:val="17"/>
          <w:color w:val="auto"/>
        </w:rPr>
        <w:t>2020 decreased $1.2 million and increased $1.4 million, respectively, as a result of the Canadian dollar fluctuating relative to the U.S. dollar compared to the same respective periods in the prior year, and was associated with an intercompany loan from Vail Holdings, Inc. to Whistler Blackcomb in the original amount of $210.0 million that was funded, effective as of November 1, 2016, in connection with the acquisition of Whistler Blackcomb. This intercompany loan requires foreign currency remeasurement to Canadian dollars, the functional currency for Whistler Blackcomb. As a result, foreign currency fluctuations associated with the loan are recorded within our results of operations.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net for the three and six months ended January 31, 2020 increased $5.1 million and $9.2 million,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the prior year, primarily due to interest expense associated with incremental term loan borrowings under the Vail Holdings Credit Agreement of $335.6 million, which were used to fund the Peak Resorts acquisition, as well as incremental interest expense associated with debt obligations assumed in the Peak Resorts acquisition.</w:t>
      </w:r>
    </w:p>
    <w:p>
      <w:pPr>
        <w:sectPr>
          <w:pgSz w:w="11900" w:h="16838" w:orient="portrait"/>
          <w:cols w:equalWidth="0" w:num="1">
            <w:col w:w="11240"/>
          </w:cols>
          <w:pgMar w:left="320" w:top="557"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557" w:right="339" w:bottom="1440" w:gutter="0" w:footer="0" w:header="0"/>
          <w:type w:val="continuous"/>
        </w:sectPr>
      </w:pPr>
    </w:p>
    <w:bookmarkStart w:id="39" w:name="page40"/>
    <w:bookmarkEnd w:id="39"/>
    <w:p>
      <w:pPr>
        <w:jc w:val="both"/>
        <w:spacing w:after="0" w:line="296"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The effective tax rate provision for the three and six months ended January 31, 2020 was 23.7% and 16.2%, compared to 22.7%</w:t>
      </w:r>
      <w:r>
        <w:rPr>
          <w:rFonts w:ascii="Arial" w:cs="Arial" w:eastAsia="Arial" w:hAnsi="Arial"/>
          <w:sz w:val="16"/>
          <w:szCs w:val="16"/>
          <w:i w:val="1"/>
          <w:iCs w:val="1"/>
          <w:color w:val="auto"/>
        </w:rPr>
        <w:t xml:space="preserve"> </w:t>
      </w:r>
      <w:r>
        <w:rPr>
          <w:rFonts w:ascii="Arial" w:cs="Arial" w:eastAsia="Arial" w:hAnsi="Arial"/>
          <w:sz w:val="16"/>
          <w:szCs w:val="16"/>
          <w:color w:val="auto"/>
        </w:rPr>
        <w:t>and 20.4%, respectively, for the three and six months ended January 31, 2019. The interim period effective tax rate is primarily driven by (i) anticipated pre-tax book income for the full fiscal year, adjusted for items that are deductible/non-deductible for tax purposes only (i.e., permanent items); (ii) excess tax benefits from employee share awards and enacted tax legislation, which are both recorded as discrete items; (iii) taxable income generated by state and foreign jurisdictions that varies from anticipated consolidated pre-tax book loss and (iv) the amount of net income attributable to noncontrolling interests.</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decrease in the effective tax rate provision during the six months ended January 31, 2020 compared to the six months ended January 31, 2019 was primarily due to the U.S. federal tax reform rate reduction impact on the lapse in the statute of limitations for an uncertain tax position, partially offset by a decrease in excess tax benefits from employee share awards that were exercised (stock appreciation rights) and that vested (restricted stock awards), which are recorded within provision for income taxes on the Company’s Consolidated Condensed Statements of Operations. Excess tax benefits totaled $2.8 million and $4.7 million, respectively, for the six months ended January 31, 2020 and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Segment Earnings and Net Debt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net income attributable to Vail Resorts, Inc. to Total Reported EBITDA for the three and six months ended January 31, 2020 and 2019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January 31,</w:t>
            </w:r>
          </w:p>
        </w:tc>
        <w:tc>
          <w:tcPr>
            <w:tcW w:w="340" w:type="dxa"/>
            <w:vAlign w:val="bottom"/>
          </w:tcPr>
          <w:p>
            <w:pPr>
              <w:spacing w:after="0"/>
              <w:rPr>
                <w:sz w:val="16"/>
                <w:szCs w:val="16"/>
                <w:color w:val="auto"/>
              </w:rPr>
            </w:pPr>
          </w:p>
        </w:tc>
        <w:tc>
          <w:tcPr>
            <w:tcW w:w="2680" w:type="dxa"/>
            <w:vAlign w:val="bottom"/>
            <w:gridSpan w:val="3"/>
          </w:tcPr>
          <w:p>
            <w:pPr>
              <w:jc w:val="right"/>
              <w:ind w:right="451"/>
              <w:spacing w:after="0"/>
              <w:rPr>
                <w:sz w:val="20"/>
                <w:szCs w:val="20"/>
                <w:color w:val="auto"/>
              </w:rPr>
            </w:pPr>
            <w:r>
              <w:rPr>
                <w:rFonts w:ascii="Arial" w:cs="Arial" w:eastAsia="Arial" w:hAnsi="Arial"/>
                <w:sz w:val="14"/>
                <w:szCs w:val="14"/>
                <w:b w:val="1"/>
                <w:bCs w:val="1"/>
                <w:color w:val="auto"/>
              </w:rPr>
              <w:t>Six Months Ended January 31,</w:t>
            </w:r>
          </w:p>
        </w:tc>
      </w:tr>
      <w:tr>
        <w:trPr>
          <w:trHeight w:val="263"/>
        </w:trPr>
        <w:tc>
          <w:tcPr>
            <w:tcW w:w="508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Vail Resorts, Inc.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206,370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206,349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99,895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98,554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10,648</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11,641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7,294</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8,710</w:t>
            </w:r>
          </w:p>
        </w:tc>
      </w:tr>
      <w:tr>
        <w:trPr>
          <w:trHeight w:val="27"/>
        </w:trPr>
        <w:tc>
          <w:tcPr>
            <w:tcW w:w="5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217,018</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217,990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107,189</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107,264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67,313</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63,973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20,750</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27,568</w:t>
            </w:r>
          </w:p>
        </w:tc>
      </w:tr>
      <w:tr>
        <w:trPr>
          <w:trHeight w:val="27"/>
        </w:trPr>
        <w:tc>
          <w:tcPr>
            <w:tcW w:w="5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284,331</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281,963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127,939</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134,832</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63,812</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55,238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121,657</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106,281</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(gain) on disposal of fixed assets and other,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709</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(1,558)</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1,600</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2,736</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1,900</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 and other,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(638)</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Foreign currency loss (gain) on intercompany loans</w:t>
            </w:r>
          </w:p>
        </w:tc>
        <w:tc>
          <w:tcPr>
            <w:tcW w:w="30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798</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438</w:t>
            </w:r>
          </w:p>
        </w:tc>
        <w:tc>
          <w:tcPr>
            <w:tcW w:w="4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1,861</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26,134</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21,002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48,824</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39,640</w:t>
            </w:r>
          </w:p>
        </w:tc>
      </w:tr>
      <w:tr>
        <w:trPr>
          <w:trHeight w:val="237"/>
        </w:trPr>
        <w:tc>
          <w:tcPr>
            <w:tcW w:w="50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Reported EBITDA</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377,023</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356,849</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299,398</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283,066</w:t>
            </w:r>
          </w:p>
        </w:tc>
      </w:tr>
      <w:tr>
        <w:trPr>
          <w:trHeight w:val="67"/>
        </w:trPr>
        <w:tc>
          <w:tcPr>
            <w:tcW w:w="50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305"/>
        </w:trPr>
        <w:tc>
          <w:tcPr>
            <w:tcW w:w="5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Mountain Reported EBITDA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373,028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352,225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293,043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275,818</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Reported EBITDA</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5,294</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8,560</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9,653</w:t>
            </w:r>
          </w:p>
        </w:tc>
      </w:tr>
      <w:tr>
        <w:trPr>
          <w:trHeight w:val="237"/>
        </w:trPr>
        <w:tc>
          <w:tcPr>
            <w:tcW w:w="50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Resort Reported EBITDA</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378,322</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357,982</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301,603</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285,471</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Reported EBITDA</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(2,205)</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w:t>
            </w:r>
          </w:p>
        </w:tc>
      </w:tr>
      <w:tr>
        <w:trPr>
          <w:trHeight w:val="237"/>
        </w:trPr>
        <w:tc>
          <w:tcPr>
            <w:tcW w:w="5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Reported EBITDA</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377,023</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356,849</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299,398</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283,066</w:t>
            </w:r>
          </w:p>
        </w:tc>
      </w:tr>
      <w:tr>
        <w:trPr>
          <w:trHeight w:val="27"/>
        </w:trPr>
        <w:tc>
          <w:tcPr>
            <w:tcW w:w="5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long-term debt, net to Net Debt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January 31,</w:t>
            </w:r>
          </w:p>
        </w:tc>
        <w:tc>
          <w:tcPr>
            <w:tcW w:w="1080" w:type="dxa"/>
            <w:vAlign w:val="bottom"/>
            <w:tcBorders>
              <w:bottom w:val="single" w:sz="8" w:color="auto"/>
            </w:tcBorders>
          </w:tcPr>
          <w:p>
            <w:pPr>
              <w:spacing w:after="0"/>
              <w:rPr>
                <w:sz w:val="16"/>
                <w:szCs w:val="16"/>
                <w:color w:val="auto"/>
              </w:rPr>
            </w:pPr>
          </w:p>
        </w:tc>
      </w:tr>
      <w:tr>
        <w:trPr>
          <w:trHeight w:val="263"/>
        </w:trPr>
        <w:tc>
          <w:tcPr>
            <w:tcW w:w="4080" w:type="dxa"/>
            <w:vAlign w:val="bottom"/>
            <w:tcBorders>
              <w:bottom w:val="single" w:sz="8" w:color="auto"/>
            </w:tcBorders>
          </w:tcPr>
          <w:p>
            <w:pPr>
              <w:spacing w:after="0"/>
              <w:rPr>
                <w:sz w:val="22"/>
                <w:szCs w:val="22"/>
                <w:color w:val="auto"/>
              </w:rPr>
            </w:pPr>
          </w:p>
        </w:tc>
        <w:tc>
          <w:tcPr>
            <w:tcW w:w="3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4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1,817,058</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1,345,262</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Long-term debt due within one year</w:t>
            </w:r>
          </w:p>
        </w:tc>
        <w:tc>
          <w:tcPr>
            <w:tcW w:w="3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63,556</w:t>
            </w:r>
          </w:p>
        </w:tc>
        <w:tc>
          <w:tcPr>
            <w:tcW w:w="5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48,493</w:t>
            </w:r>
          </w:p>
        </w:tc>
      </w:tr>
      <w:tr>
        <w:trPr>
          <w:trHeight w:val="27"/>
        </w:trPr>
        <w:tc>
          <w:tcPr>
            <w:tcW w:w="408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3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1,880,614</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1,393,755</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Less: cash and cash equivalents</w:t>
            </w:r>
          </w:p>
        </w:tc>
        <w:tc>
          <w:tcPr>
            <w:tcW w:w="3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126,793</w:t>
            </w:r>
          </w:p>
        </w:tc>
        <w:tc>
          <w:tcPr>
            <w:tcW w:w="5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158,561</w:t>
            </w:r>
          </w:p>
        </w:tc>
      </w:tr>
      <w:tr>
        <w:trPr>
          <w:trHeight w:val="27"/>
        </w:trPr>
        <w:tc>
          <w:tcPr>
            <w:tcW w:w="408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Debt</w:t>
            </w:r>
          </w:p>
        </w:tc>
        <w:tc>
          <w:tcPr>
            <w:tcW w:w="4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1,753,821</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1,235,194</w:t>
            </w:r>
          </w:p>
        </w:tc>
      </w:tr>
      <w:tr>
        <w:trPr>
          <w:trHeight w:val="20"/>
        </w:trPr>
        <w:tc>
          <w:tcPr>
            <w:tcW w:w="4080" w:type="dxa"/>
            <w:vAlign w:val="bottom"/>
            <w:tcBorders>
              <w:top w:val="single" w:sz="8" w:color="auto"/>
              <w:bottom w:val="single" w:sz="8" w:color="auto"/>
            </w:tcBorders>
          </w:tcPr>
          <w:p>
            <w:pPr>
              <w:spacing w:after="0" w:line="20" w:lineRule="exact"/>
              <w:rPr>
                <w:sz w:val="1"/>
                <w:szCs w:val="1"/>
                <w:color w:val="auto"/>
              </w:rPr>
            </w:pPr>
          </w:p>
        </w:tc>
        <w:tc>
          <w:tcPr>
            <w:tcW w:w="3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4080" w:type="dxa"/>
            <w:vAlign w:val="bottom"/>
          </w:tcPr>
          <w:p>
            <w:pPr>
              <w:spacing w:after="0"/>
              <w:rPr>
                <w:sz w:val="24"/>
                <w:szCs w:val="24"/>
                <w:color w:val="auto"/>
              </w:rPr>
            </w:pPr>
          </w:p>
        </w:tc>
        <w:tc>
          <w:tcPr>
            <w:tcW w:w="3920" w:type="dxa"/>
            <w:vAlign w:val="bottom"/>
          </w:tcPr>
          <w:p>
            <w:pPr>
              <w:jc w:val="right"/>
              <w:ind w:right="2190"/>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240"/>
          </w:cols>
          <w:pgMar w:left="320" w:top="77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Changes in significant sources of cash for the six months ended January 31, 2020 and 2019 are presented by categories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4"/>
                <w:szCs w:val="14"/>
                <w:b w:val="1"/>
                <w:bCs w:val="1"/>
                <w:color w:val="auto"/>
              </w:rPr>
              <w:t>Six Months Ended January 31,</w:t>
            </w:r>
          </w:p>
        </w:tc>
        <w:tc>
          <w:tcPr>
            <w:tcW w:w="760" w:type="dxa"/>
            <w:vAlign w:val="bottom"/>
            <w:tcBorders>
              <w:bottom w:val="single" w:sz="8" w:color="auto"/>
            </w:tcBorders>
          </w:tcPr>
          <w:p>
            <w:pPr>
              <w:spacing w:after="0"/>
              <w:rPr>
                <w:sz w:val="16"/>
                <w:szCs w:val="16"/>
                <w:color w:val="auto"/>
              </w:rPr>
            </w:pPr>
          </w:p>
        </w:tc>
      </w:tr>
      <w:tr>
        <w:trPr>
          <w:trHeight w:val="264"/>
        </w:trPr>
        <w:tc>
          <w:tcPr>
            <w:tcW w:w="7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22"/>
                <w:szCs w:val="2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tcBorders>
              <w:bottom w:val="single" w:sz="8" w:color="CCEEFF"/>
            </w:tcBorders>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5"/>
              </w:rPr>
              <w:t>537,689</w:t>
            </w:r>
          </w:p>
        </w:tc>
        <w:tc>
          <w:tcPr>
            <w:tcW w:w="1100" w:type="dxa"/>
            <w:vAlign w:val="bottom"/>
            <w:tcBorders>
              <w:bottom w:val="single" w:sz="8" w:color="CCEEFF"/>
            </w:tcBorders>
            <w:shd w:val="clear" w:color="auto" w:fill="CCEEFF"/>
          </w:tcPr>
          <w:p>
            <w:pPr>
              <w:jc w:val="right"/>
              <w:ind w:right="835"/>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506,181</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Pr>
          <w:p>
            <w:pPr>
              <w:jc w:val="right"/>
              <w:ind w:right="837"/>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w w:val="88"/>
              </w:rPr>
              <w:t>(445,746)</w:t>
            </w:r>
          </w:p>
        </w:tc>
        <w:tc>
          <w:tcPr>
            <w:tcW w:w="1100" w:type="dxa"/>
            <w:vAlign w:val="bottom"/>
          </w:tcPr>
          <w:p>
            <w:pPr>
              <w:jc w:val="right"/>
              <w:ind w:right="83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0"/>
              </w:rPr>
              <w:t>(404,324)</w:t>
            </w:r>
          </w:p>
        </w:tc>
      </w:tr>
      <w:tr>
        <w:trPr>
          <w:trHeight w:val="27"/>
        </w:trPr>
        <w:tc>
          <w:tcPr>
            <w:tcW w:w="7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(69,836)</w:t>
            </w:r>
          </w:p>
        </w:tc>
        <w:tc>
          <w:tcPr>
            <w:tcW w:w="110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(105,011)</w:t>
            </w:r>
          </w:p>
        </w:tc>
      </w:tr>
      <w:tr>
        <w:trPr>
          <w:trHeight w:val="27"/>
        </w:trPr>
        <w:tc>
          <w:tcPr>
            <w:tcW w:w="75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January 31, 2020 compared to the six months ended January 31, 2019</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generated $537.7 million of cash from operating activities during the six months ended January 31, 2020, an increase of $31.5 million compared to $506.2 million of cash generated during the six months ended January 31, 2019. The increase in operating cash flows was primarily a result of increased North American pass product sales for the 2019/2020 North American ski season, of which only a portion has been reflected as lift revenue in operating results as of January 31, 2020, as well as improved Mountain segment operating results for the six months ended January 31, 2020 compared to the six months ended January 31, 2019. These increases were partially offset by a decrease in accounts payable (excluding accounts payable assumed through acquisitions) and an increase in cash interest payments primarily associated with incremental term loan borrowings under our Vail Holdings Credit Agreement. Additionally, we generated approximately $4.2 million of proceeds from real estate development land parcel sales during the six months ended January 31, 2020 compared to $0.1 million in proceeds from real estate development project closings that occurred in the prior year.</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investing activities for the six months ended January 31, 2020 increased by $41.4 million primarily due to cash payments of $327.6 million, net of cash acquired, related to the acquisition of Peak Resorts during the six months ended January 31, 2020, as compared to cash payments of $292.6 million, net of cash acquired, related to the acquisitions of Triple Peaks and Stevens Pass during the six months January 31, 2019. In addition, cash used in investing activities increased due to additional capital expenditures of $8.3 million during the six months ended January 31, 2020 compared to the six months ended January 31, 2019.</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used in financing activities decreased by $35.2 million during the six months ended January 31, 2020 compared to the six months ended January 31, 2019, primarily due to an increase in proceeds from incremental borrowings under the term loan portion of our Vail Holdings Credit Agreement from $265.6 million during the six months ended January 31, 2019, which were used to fund the Triple Peaks and Stevens Pass acquisitions, to $335.6 million during the six months ended January 31, 2020, which were used to fund the Peak Resorts acquisition. Additionally, repurchases of common stock decreased by $63.6 million. These decreases in cash used in financing activities were partially offset by (i) an increase in net payments on borrowings under the revolver portion of our Vail Holdings Credit Agreement of $53.0 million, (ii) an increase in dividends paid of $23.3 million, (iii) an increase of $15.3 million in net payments on borrowings under our Whistler Credit Agreement and (iv) a payment for contingent consideration with regard to our lease for Park City.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Sources of Cash</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$126.8 million of cash and cash equivalents as of January 31, 2020, compared to $158.6 million as of January 31, 2019. We currently anticipate that our Mountain and Lodging segment operating results will continue to provide a significant source of future operating cash flows (primarily those generated in our second and third fiscal quarters).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our $126.8 million of cash and cash equivalents at January 31, 2020, we had $393.8 million available under the revolver component of our Vail Holdings Credit Agreement as of January 31, 2020 (which represents the total commitment of $500.0 million less outstanding borrowings of $25.0 million and certain letters of credit outstanding of $81.2 million). Additionally, we had C$264.1 million ($199.6 million) available under the revolver component of our Whistler Credit Agreement (which represents the total commitment of C$300.0 million ($226.7 million) less outstanding borrowings of C$35.0 million ($26.4 million) and a letter of credit outstanding of C$0.9 million ($0.7 million). We expect that our liquidity needs in the near term will be met by continued use of operating cash flows and borrowings under both the Vail Holdings Credit Agreement and Whistler Credit Agreement, if needed. The Vail Holdings Credit Agreement and the Whistler Credit Agreement provide adequate flexibility and are priced favorably with any new borrowings currently priced at LIBOR plus 1.5% and Bankers Acceptance Rate plus 1.75%, respectively.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55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Expenditures</w:t>
      </w:r>
    </w:p>
    <w:p>
      <w:pPr>
        <w:spacing w:after="0" w:line="9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have historically invested significant amounts of cash in capital expenditures for our resort operations, and we expect to continue to do so, subject to operating performance particularly as it relates to discretionary projects. In addition, we may incur capital expenditures for retained ownership interests associated with third-party real estate development projects. Currently planned capital expenditures primarily include investments that will allow us to maintain our high-quality standards, as well as certain incremental discretionary improvements at our Resorts, throughout our owned hotels and in technology that can impact the full network. We evaluate additional discretionary capital improvements based on an expected level of return on investment. We currently anticipate we will spend approximately $155 million to $160 million on resort capital expenditures during calendar year 2020, excluding one-time items associated with integrations, the one-time Triple Peaks and Stevens Pass transformation plan, one-time Peak Resorts capital improvements, real estate related capital and approximately $4 million of reimbursable investments associated with insurance recoveries that we had originally expected to occur in calendar 2019. We expect that our total capital plan, including one-time items, will be approximately $210 million to $215 million. Included in these estimated capital expenditures are approximately $95 million to $100 million of maintenance capital expenditures, which are necessary to maintain appearance and level of service appropriate to our resort operations. Discretionary expenditures expected for calendar year 2020 include, among other projects, a 250 acre lift-served terrain expansion in the signature McCoy Park area of Beaver Creek, a new four-person high speed lift to service the popular Peak 7 in Breckenridge, a replacement of the four-person Peru lift at Keystone with a six-person high speed chairlift (subject to government approvals) and a significant increase in the seating capacity at the Rendezvous Lodge Restaurant on Blackcomb Mountain at Whistler Blackcomb. Additionally, we remain focused on investments that will further our company-wide data driven approach, including the second phase of implementing our automated digital marketing platform that will allow us to aggregate a more holistic view of the guest that will drive improvements in personalization and engagement across all lines of business, including ski school and rentals. We are also planning to completely revamp and upgrade our digital ski rental online platforms and our EpicMix mobile app, which will offer new functionality and an improved user experience. We plan to continue to invest in corporate infrastructure and technology to improve our scalability and efficiency, including the implementation of an automated workforce planning system to optimize our labor scheduling and improved financial systems to enhance business analytics. We are planning to complete the $3 million initial phase of a two-year, $15 million investment program across Peak Resorts. We are also planning to complete the second and final phase of a two-year, $35 million investment program for Crested Butte, Okemo and Stevens Pass, and planning to spend approximately $24 million on integration activities primarily related to Peak Resorts. We currently plan to utilize cash on hand, borrowings available under our credit agreements and/or cash flow generated from future operations to provide the cash necessary to complete our capital plans.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 of Peak Resorts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23, 2019, we entered into an amendment to our Vail Holdings Credit Agreement in which the term loan was increased by approximately $335.6 million, and we utilized the proceeds to fund the acquisition of 100 percent of the outstanding stock of Peak Resorts on September 24, 2019 at a purchase price of $11.00 per share or approximately $264.5 million, and to prepay certain portions of Peak Resorts outstanding debt and lease obligations that were required to be paid in order to complete the transaction.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January 31, 2020, principal payments on the majority of our long-term debt ($1,522.0 million of the total $1,866.6 million debt outstanding as of January 31, 2020) are not due until fiscal 2025 and beyond. As of January 31, 2020 and 2019, total long-term debt, net (including long-term debt due within one year) was $1,880.6 million and $1,393.8 million, respectively. Net Debt (defined as long-term debt, net plus long-term debt due within one year less cash and cash equivalents) increased from $1,235.2 million as of January 31, 2019 to $1,753.8 million as of January 31, 2020, primarily due to $335.6 million in incremental term loans, as discussed above, resulting from the September 23, 2019 amendment of our Vail Holdings Credit Agreement. Additionally, in conjunction with the acquisition of Peak Resorts, we assumed certain debt obligations of Peak Resorts, which have maturities ranging from 2021 through 2036 and were recorded at their estimated fair values of approximately $184.7 million. See Notes to the Consolidated Condensed Financial Statements for additional information.</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Vail Holdings Credit Agreement provides for (i) a revolving loan facility in an aggregate principal amount of $500.0 million and (ii) a term loan facility of $1.25 billion. We expect that our liquidity needs in the near term will be met by continued use of operating cash flows and borrowings under both the Vail Holdings Credit Agreement and Whistler Credit Agreement.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debt service requirements can be impacted by changing interest rates as we had approximately $0.9 billion of variable-rate debt outstanding as of January 31, 2020. A 100-basis point change in our borrowing rates would cause our annual interest payments to change by approximately $9.4 million. Additionally, the annual payments associated with the financing of the Canyons Resort transaction increase by the greater of CPI less 1%, or 2%. The fluctuation in our debt service requirements, in addition to interest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557" w:right="339" w:bottom="1440" w:gutter="0" w:footer="0" w:header="0"/>
        </w:sectPr>
      </w:pPr>
    </w:p>
    <w:bookmarkStart w:id="42" w:name="page43"/>
    <w:bookmarkEnd w:id="42"/>
    <w:p>
      <w:pPr>
        <w:jc w:val="both"/>
        <w:spacing w:after="0" w:line="275" w:lineRule="auto"/>
        <w:rPr>
          <w:sz w:val="20"/>
          <w:szCs w:val="20"/>
          <w:color w:val="auto"/>
        </w:rPr>
      </w:pPr>
      <w:r>
        <w:rPr>
          <w:rFonts w:ascii="Arial" w:cs="Arial" w:eastAsia="Arial" w:hAnsi="Arial"/>
          <w:sz w:val="17"/>
          <w:szCs w:val="17"/>
          <w:color w:val="auto"/>
        </w:rPr>
        <w:t>rate and inflation changes, may be impacted by future borrowings under our credit agreements or other alternative financing arrangements we may enter into. Our long term liquidity needs depend upon operating results that impact the borrowing capacity under our credit agreements, which can be mitigated by adjustments to capital expenditures, flexibility of investment activities and the ability to obtain favorable future financing. We can respond to liquidity impacts of changes in the business and economic environment by managing our capital expenditures, the timing of new real estate development activity and the payment of our regular quarterly cash dividend on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 Payments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fiscal 2011, our Board of Directors approved the commencement of a regular quarterly cash dividend on our common stock at an annual rate of $0.60 per share, subject to quarterly declaration. Since the initial commencement of a regular quarterly cash dividend, our Board of Directors has annually approved an increase to our cash dividend on our common stock and on March 5, 2020, our Board of Directors approved a quarterly cash dividend of $1.76 per share (or approximately $71.0 million per quarter based upon shares outstanding as of January 31, 2020). For the six months ended January 31, 2020, we paid cash dividends of $3.52 per share ($142.1 million in the aggregate). These dividends were funded through available cash on hand and borrowings under the revolving portion of our Vail Holdings Credit Agreement. Subject to the discretion of our Board of Directors, applicable law and contractual restrictions, we anticipate paying regular quarterly cash dividends on our common stock for the foreseeable future. The amount, if any, of the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share repurchase program is conducted under authorizations made from time to time by our Board of Directors. On March 9, 2006, our Board of Directors initially authorized the repurchase of up to 3,000,000 shares of Vail Resorts common stock (“Vail Shares”) and later authorized additional repurchases of up to 3,000,000 Vail Shares (July 16, 2008) and 1,500,000 Vail Shares (December 4, 2015), for a total authorization to repurchase up to 7,500,000 Vail Shares. During the six months ended January 31, 2020 and 2019, respectively, we repurchased 95,618 Vail Shares (at a total cost of approximately $21.4 million) and 353,007 Vail Shares (at a total cost of approximately $85.0 million). Since inception of this stock repurchase program through January 31, 2020, we have repurchased 6,000,341 Vail Shares at a cost of approximately $379.4 million. As of January 31, 2020, 1,499,659 Vail Shares remained available to repurchase under the existing repurchase authorization.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 share repurchase program has no expiration date.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Limitations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must abide by certain restrictive financial covenants under our credit agreements. The most restrictive of those covenants include the following covenants: for the Vail Holdings Credit Agreement, Net Funded Debt to Adjusted EBITDA ratio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In addition, our financing arrangements limit our ability to make certain restricted payments, pay dividends on or redeem or repurchase stock, make certain investments,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were in compliance with all restrictive financial covenants in our debt instruments as of January 31, 2020. We expect that we will meet all applicable financial maintenance covenants in our credit agreements throughout the fiscal year ending July 31, 2020.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55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for any historical information contained herein, the matters discussed or incorporated by reference in this Form 10-Q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188" w:lineRule="exact"/>
        <w:rPr>
          <w:sz w:val="20"/>
          <w:szCs w:val="20"/>
          <w:color w:val="auto"/>
        </w:rPr>
      </w:pP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prolonged weakness in general economic conditions, including adverse effects on the overall travel and leisure related industries;</w:t>
      </w:r>
    </w:p>
    <w:p>
      <w:pPr>
        <w:spacing w:after="0" w:line="23"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willingness or ability of our guests to travel due to terrorism, the uncertainty of military conflicts or outbreaks of contagious diseases (such as the current outbreak of coronavirus), and the cost and availability of travel options and changing consumer preferences;</w:t>
      </w:r>
    </w:p>
    <w:p>
      <w:pPr>
        <w:ind w:left="820" w:hanging="65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unfavorable weather conditions or the impact of natural disasters;</w:t>
      </w:r>
    </w:p>
    <w:p>
      <w:pPr>
        <w:spacing w:after="0" w:line="9" w:lineRule="exact"/>
        <w:rPr>
          <w:rFonts w:ascii="Arial" w:cs="Arial" w:eastAsia="Arial" w:hAnsi="Arial"/>
          <w:sz w:val="18"/>
          <w:szCs w:val="18"/>
          <w:color w:val="auto"/>
        </w:rPr>
      </w:pPr>
    </w:p>
    <w:p>
      <w:pPr>
        <w:ind w:left="820" w:hanging="650"/>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risks related to our reliance on information technology, including our failure to maintain the integrity of our customer or employee data and our ability to adapt to technological developments or industry trends;</w:t>
      </w: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cyber-attacks;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the seasonality of our business combined with adverse events that occur during our peak operating periods;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mountain and lodging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the high fixed cost structure of our business;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fund resort capital expenditures;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a disruption in our water supply that would impact our snowmaking capabilities and operations;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government permits or approvals for our use of public land or to make operational and capital improvements;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federal, state, local and foreign government laws, rules and regulations;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changes in security and privacy laws and regulations which could increase our operating costs and adversely affect our ability to market our products and services effectively;</w:t>
      </w:r>
    </w:p>
    <w:p>
      <w:pPr>
        <w:ind w:left="820" w:hanging="650"/>
        <w:spacing w:after="0" w:line="250" w:lineRule="auto"/>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workforce, including increased labor costs, loss of key personnel and our ability to hire and retain a sufficient seasonal workforce;</w:t>
      </w: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adverse consequences of current or future legal claims;</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 deterioration in the quality or reputation of our brands, including our ability to protect our intellectual property and the risk of accidents at our mountain resorts;</w:t>
      </w:r>
    </w:p>
    <w:p>
      <w:pPr>
        <w:ind w:left="820" w:right="20" w:hanging="650"/>
        <w:spacing w:after="0" w:line="250" w:lineRule="auto"/>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acquired businesses, or that acquired businesses may fail to perform in accordance with expectations, including Hotham, Falls Creek, Peak Resorts or future acquisitions;</w:t>
      </w: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satisfy the requirements of Section 404 of the Sarbanes-Oxley Act of 2002 with respect to acquired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international operations;</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foreign currency exchange rates where the Company has foreign currency exposure, primarily the Canadian and Australian dollars;</w:t>
      </w:r>
    </w:p>
    <w:p>
      <w:pPr>
        <w:ind w:left="820" w:hanging="650"/>
        <w:spacing w:after="0" w:line="250" w:lineRule="auto"/>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accounting judgments and estimates, accounting principles, policies or guidelines or adverse determinations by taxing authorities, as well as risks associated with uncertainty of the impact of tax reform legislation in the United States; and</w:t>
      </w:r>
    </w:p>
    <w:p>
      <w:pPr>
        <w:ind w:left="820" w:hanging="650"/>
        <w:spacing w:after="0"/>
        <w:tabs>
          <w:tab w:leader="none" w:pos="8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 materially adverse change in our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All forward-looking statements attributable to us or any persons acting on our behalf are expressly qualified in their entirety by these cautionary statements.</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one or more of these risks or uncertainties materialize, or if underlying assumptions prove incorrect, our actual results may vary materially from those expected, estimated or projected. Given these uncertainties, users of the information included in this Form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553" w:right="339" w:bottom="1440" w:gutter="0" w:footer="0" w:header="0"/>
        </w:sectPr>
      </w:pPr>
    </w:p>
    <w:bookmarkStart w:id="44" w:name="page45"/>
    <w:bookmarkEnd w:id="44"/>
    <w:p>
      <w:pPr>
        <w:jc w:val="both"/>
        <w:spacing w:after="0" w:line="257" w:lineRule="auto"/>
        <w:rPr>
          <w:sz w:val="20"/>
          <w:szCs w:val="20"/>
          <w:color w:val="auto"/>
        </w:rPr>
      </w:pPr>
      <w:r>
        <w:rPr>
          <w:rFonts w:ascii="Arial" w:cs="Arial" w:eastAsia="Arial" w:hAnsi="Arial"/>
          <w:sz w:val="18"/>
          <w:szCs w:val="18"/>
          <w:color w:val="auto"/>
        </w:rPr>
        <w:t>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in Part I, Item 1A “Risk Factors” of our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Our exposure to market risk is limited primarily to the fluctuating interest rates associated with variable rate indebtedness. As</w:t>
      </w:r>
      <w:r>
        <w:rPr>
          <w:rFonts w:ascii="Arial" w:cs="Arial" w:eastAsia="Arial" w:hAnsi="Arial"/>
          <w:sz w:val="17"/>
          <w:szCs w:val="17"/>
          <w:i w:val="1"/>
          <w:iCs w:val="1"/>
          <w:color w:val="auto"/>
        </w:rPr>
        <w:t xml:space="preserve"> </w:t>
      </w:r>
      <w:r>
        <w:rPr>
          <w:rFonts w:ascii="Arial" w:cs="Arial" w:eastAsia="Arial" w:hAnsi="Arial"/>
          <w:sz w:val="17"/>
          <w:szCs w:val="17"/>
          <w:color w:val="auto"/>
        </w:rPr>
        <w:t>of January 31, 2020, we had approximately $0.9 billion of variable rate indebtedness, representing approximately 50.3% of our total debt outstanding, at an average interest rate during the three and six months ended January 31, 2020 of 4.2% and 3.8%, respectively. Based on variable-rate borrowings outstanding as of January 31, 2020, a 100-basis point (or 1.0%) change in our borrowing rates would result in our annual interest payments changing by approximately $9.4 million. Our market risk exposure fluctuates based on changes in underlying interest rates.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January 31, 2020, we entered into interest rate swap agreements to fix the interest rate on a portion of our Vail Holdings Credit Agreement, which has the effect of fixing the underlying floating interest rate component of $400.0 million of the principal amount outstanding at an effective rate of 1.46%.</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Foreign Currency Exchange Rate Risk. </w:t>
      </w:r>
      <w:r>
        <w:rPr>
          <w:rFonts w:ascii="Arial" w:cs="Arial" w:eastAsia="Arial" w:hAnsi="Arial"/>
          <w:sz w:val="17"/>
          <w:szCs w:val="17"/>
          <w:color w:val="auto"/>
        </w:rPr>
        <w:t>We are exposed to currency translation risk because the results of our international entities are reported in local</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which we then translate to U.S. dollars for inclusion in our Consolidated Condensed Financial Statements. As a result, changes between the foreign exchange rates, in particular the Canadian dollar and Australian dollar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have and could materially change due to fluctuations in the Canadian dollar exchange rate. The results of Whistler Blackcomb and our Australian resorts are reported in Canadian dollars and Australian dollars, respectively, which we then translate to U.S. dollars for inclusion in our Consolidated Condensed Financial Statements. We do not currently enter into hedging arrangements to minimize the impact of foreign currency fluctuations on our operations.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amounts of foreign currency translation adjustments, net of tax, representing losses, and foreign currency loss on intercompany loans recognized in comprehensive income (in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Six Months Ended January 31,</w:t>
            </w:r>
          </w:p>
        </w:tc>
        <w:tc>
          <w:tcPr>
            <w:tcW w:w="700" w:type="dxa"/>
            <w:vAlign w:val="bottom"/>
            <w:tcBorders>
              <w:bottom w:val="single" w:sz="8" w:color="auto"/>
            </w:tcBorders>
          </w:tcPr>
          <w:p>
            <w:pPr>
              <w:spacing w:after="0"/>
              <w:rPr>
                <w:sz w:val="16"/>
                <w:szCs w:val="16"/>
                <w:color w:val="auto"/>
              </w:rPr>
            </w:pPr>
          </w:p>
        </w:tc>
      </w:tr>
      <w:tr>
        <w:trPr>
          <w:trHeight w:val="263"/>
        </w:trPr>
        <w:tc>
          <w:tcPr>
            <w:tcW w:w="75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r>
      <w:tr>
        <w:trPr>
          <w:trHeight w:val="24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 net of tax</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(9,025)</w:t>
            </w:r>
          </w:p>
        </w:tc>
        <w:tc>
          <w:tcPr>
            <w:tcW w:w="116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(14,773)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Foreign currency loss on intercompany loans</w:t>
            </w:r>
          </w:p>
        </w:tc>
        <w:tc>
          <w:tcPr>
            <w:tcW w:w="1140" w:type="dxa"/>
            <w:vAlign w:val="bottom"/>
          </w:tcPr>
          <w:p>
            <w:pPr>
              <w:jc w:val="right"/>
              <w:ind w:right="939"/>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(438)</w:t>
            </w:r>
          </w:p>
        </w:tc>
        <w:tc>
          <w:tcPr>
            <w:tcW w:w="1160" w:type="dxa"/>
            <w:vAlign w:val="bottom"/>
          </w:tcPr>
          <w:p>
            <w:pPr>
              <w:jc w:val="right"/>
              <w:ind w:right="896"/>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(1,861)</w:t>
            </w:r>
          </w:p>
        </w:tc>
      </w:tr>
      <w:tr>
        <w:trPr>
          <w:trHeight w:val="34"/>
        </w:trPr>
        <w:tc>
          <w:tcPr>
            <w:tcW w:w="7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of the Company, under the supervision and with participation of the Chief Executive Officer (“CEO”) and Chief Financial Officer (“CFO”), evaluated the effectiveness of the Company’s disclosure controls and procedures as such term is defined in Rule 13a-15(e) and 15d-15(e) under the Securities Exchange Act of 1934 (the “Act”) as of the end of the period covered by this report on Form 10-Q.</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six months ended January 31, 2020, the Company implemented certain internal controls in connection with its adoption of the new lease accounting standard. There were no other changes in the Company’s internal control over financial reporting that occurred during its most recent fiscal quarter that have materially affected, or are reasonably likely to materially affect, the Company’s internal control over financial reporting.</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upon their evaluation of the Company’s disclosure controls and procedures, the CEO and the CFO concluded that the disclosure controls and procedures are effective to provide reasonable assurance that information required to be disclosed by the Company in the reports that it files or submits under the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557" w:right="339" w:bottom="1440" w:gutter="0" w:footer="0" w:header="0"/>
        </w:sectPr>
      </w:pPr>
    </w:p>
    <w:bookmarkStart w:id="45" w:name="page46"/>
    <w:bookmarkEnd w:id="45"/>
    <w:p>
      <w:pPr>
        <w:jc w:val="both"/>
        <w:spacing w:after="0" w:line="263" w:lineRule="auto"/>
        <w:rPr>
          <w:sz w:val="20"/>
          <w:szCs w:val="20"/>
          <w:color w:val="auto"/>
        </w:rPr>
      </w:pPr>
      <w:r>
        <w:rPr>
          <w:rFonts w:ascii="Arial" w:cs="Arial" w:eastAsia="Arial" w:hAnsi="Arial"/>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risk factors we previously disclosed in our Annual Report on Form 10-K, filed with the SEC on September 26, 2019, as of and for the year ended July 31, 2019.</w:t>
      </w:r>
    </w:p>
    <w:p>
      <w:pPr>
        <w:spacing w:after="0" w:line="166" w:lineRule="exact"/>
        <w:rPr>
          <w:sz w:val="20"/>
          <w:szCs w:val="20"/>
          <w:color w:val="auto"/>
        </w:rPr>
      </w:pPr>
    </w:p>
    <w:p>
      <w:pPr>
        <w:ind w:right="4140"/>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Exchangeable Shares</w:t>
      </w:r>
    </w:p>
    <w:p>
      <w:pPr>
        <w:jc w:val="both"/>
        <w:spacing w:after="0" w:line="254" w:lineRule="auto"/>
        <w:rPr>
          <w:sz w:val="20"/>
          <w:szCs w:val="20"/>
          <w:color w:val="auto"/>
        </w:rPr>
      </w:pPr>
      <w:r>
        <w:rPr>
          <w:rFonts w:ascii="Arial" w:cs="Arial" w:eastAsia="Arial" w:hAnsi="Arial"/>
          <w:sz w:val="18"/>
          <w:szCs w:val="18"/>
          <w:color w:val="auto"/>
        </w:rPr>
        <w:t>On October 17, 2016, the Company acquired all of the outstanding common shares of Whistler Blackcomb. Part of the consideration paid to Whistler Blackcomb shareholders consisted of 3,327,719 Vail Shares and 418,095 shares of the Company’s wholly-owned Canadian subsidiary (the “Exchangeco Shares”). Each Exchangeco Share is exchangeable by the holder thereof for one Vail Share (subject to customary adjustments for stock splits or other reorganizations). In addition, the Company may require all outstanding Exchangeco Shares to be exchanged into an equal number of Vail Shares upon the occurrence of certain events and at any time following the seventh anniversary of the closing of the transaction. Exchangeco Shares, while outstanding, are substantially the economic equivalent of the corresponding Vail Shares. As of January 31, 2020, 55,057 Exchangeco Shares had not yet been exchanged into Vail Shares.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issued at closing of the Whistler Blackcomb acquisition were issued in reliance upon Section 3(a)(10) of the Securities Act of 1933, as amended (the “Securities Act”), which exempts from the registration requirements under the Securities Act any securities that are issued in exchange for one or more bona fide outstanding securities where the terms and conditions of such issuance and exchange are approved, after a hearing upon the fairness of such terms and conditions at which all persons to whom it is proposed to issue securities in such exchange shall have the right to appear, by any court expressly authorized by law to grant such approval. Although exempt from the registration requirements under the Securities Act, such shares are listed and freely tradeable on the New York Stock Exchange.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71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either filed or furnished herewith or, if so indicated, incorporated by reference to the documents indicated in parentheses, which have previously been filed or furnished with the Securities and Exchange Commission.</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880" w:type="dxa"/>
            <w:vAlign w:val="bottom"/>
          </w:tcPr>
          <w:p>
            <w:pPr>
              <w:spacing w:after="0"/>
              <w:rPr>
                <w:sz w:val="14"/>
                <w:szCs w:val="14"/>
                <w:color w:val="auto"/>
              </w:rPr>
            </w:pPr>
          </w:p>
        </w:tc>
        <w:tc>
          <w:tcPr>
            <w:tcW w:w="594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3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880" w:type="dxa"/>
            <w:vAlign w:val="bottom"/>
          </w:tcPr>
          <w:p>
            <w:pPr>
              <w:spacing w:after="0"/>
              <w:rPr>
                <w:sz w:val="16"/>
                <w:szCs w:val="16"/>
                <w:color w:val="auto"/>
              </w:rPr>
            </w:pPr>
          </w:p>
        </w:tc>
        <w:tc>
          <w:tcPr>
            <w:tcW w:w="59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1340" w:type="dxa"/>
            <w:vAlign w:val="bottom"/>
          </w:tcPr>
          <w:p>
            <w:pPr>
              <w:spacing w:after="0"/>
              <w:rPr>
                <w:sz w:val="20"/>
                <w:szCs w:val="20"/>
                <w:color w:val="auto"/>
              </w:rPr>
            </w:pPr>
            <w:r>
              <w:rPr>
                <w:rFonts w:ascii="Arial" w:cs="Arial" w:eastAsia="Arial" w:hAnsi="Arial"/>
                <w:sz w:val="18"/>
                <w:szCs w:val="18"/>
                <w:color w:val="auto"/>
              </w:rPr>
              <w:t>10.1</w:t>
            </w:r>
          </w:p>
        </w:tc>
        <w:tc>
          <w:tcPr>
            <w:tcW w:w="9820" w:type="dxa"/>
            <w:vAlign w:val="bottom"/>
            <w:tcBorders>
              <w:bottom w:val="single" w:sz="8" w:color="0000FF"/>
            </w:tcBorders>
            <w:gridSpan w:val="4"/>
          </w:tcPr>
          <w:p>
            <w:pPr>
              <w:spacing w:after="0"/>
              <w:rPr>
                <w:rFonts w:ascii="Arial" w:cs="Arial" w:eastAsia="Arial" w:hAnsi="Arial"/>
                <w:sz w:val="18"/>
                <w:szCs w:val="18"/>
                <w:color w:val="0000FF"/>
                <w:w w:val="94"/>
              </w:rPr>
            </w:pPr>
            <w:hyperlink w:anchor="page49">
              <w:r>
                <w:rPr>
                  <w:rFonts w:ascii="Arial" w:cs="Arial" w:eastAsia="Arial" w:hAnsi="Arial"/>
                  <w:sz w:val="18"/>
                  <w:szCs w:val="18"/>
                  <w:color w:val="0000FF"/>
                  <w:w w:val="94"/>
                </w:rPr>
                <w:t>Fifth Amending Agreement, dated as of November 21, 2019, among Whistler Mountain Resort Limited Partnership and Blackcomb</w:t>
              </w:r>
            </w:hyperlink>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982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w:anchor="page49">
              <w:r>
                <w:rPr>
                  <w:rFonts w:ascii="Arial" w:cs="Arial" w:eastAsia="Arial" w:hAnsi="Arial"/>
                  <w:sz w:val="18"/>
                  <w:szCs w:val="18"/>
                  <w:color w:val="0000FF"/>
                  <w:w w:val="91"/>
                </w:rPr>
                <w:t>Skiing Enterprises Limited Partnership, as borrowers, the Guarantors Party thereto, and The Toronto-Dominion Bank, as administrative</w:t>
              </w:r>
            </w:hyperlink>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9820" w:type="dxa"/>
            <w:vAlign w:val="bottom"/>
            <w:gridSpan w:val="4"/>
          </w:tcPr>
          <w:p>
            <w:pPr>
              <w:spacing w:after="0" w:line="196" w:lineRule="exact"/>
              <w:rPr>
                <w:rFonts w:ascii="Arial" w:cs="Arial" w:eastAsia="Arial" w:hAnsi="Arial"/>
                <w:sz w:val="18"/>
                <w:szCs w:val="18"/>
                <w:color w:val="0000FF"/>
              </w:rPr>
            </w:pPr>
            <w:hyperlink w:anchor="page49">
              <w:r>
                <w:rPr>
                  <w:rFonts w:ascii="Arial" w:cs="Arial" w:eastAsia="Arial" w:hAnsi="Arial"/>
                  <w:sz w:val="18"/>
                  <w:szCs w:val="18"/>
                  <w:color w:val="0000FF"/>
                </w:rPr>
                <w:t>agent, on its own behalf and on behalf of the Lenders.</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31.1</w:t>
            </w:r>
          </w:p>
        </w:tc>
        <w:tc>
          <w:tcPr>
            <w:tcW w:w="724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65">
              <w:r>
                <w:rPr>
                  <w:rFonts w:ascii="Arial" w:cs="Arial" w:eastAsia="Arial" w:hAnsi="Arial"/>
                  <w:sz w:val="18"/>
                  <w:szCs w:val="18"/>
                  <w:color w:val="0000FF"/>
                  <w:w w:val="92"/>
                </w:rPr>
                <w:t>Certification of Chief Executive Officer pursuant to Section 302 of the Sarbanes-Oxley Act of 2002.</w:t>
              </w:r>
            </w:hyperlink>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31.2</w:t>
            </w:r>
          </w:p>
        </w:tc>
        <w:tc>
          <w:tcPr>
            <w:tcW w:w="9820" w:type="dxa"/>
            <w:vAlign w:val="bottom"/>
            <w:gridSpan w:val="4"/>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380" w:right="20" w:hanging="1345"/>
        <w:spacing w:after="0" w:line="277" w:lineRule="auto"/>
        <w:tabs>
          <w:tab w:leader="none" w:pos="1380" w:val="left"/>
        </w:tabs>
        <w:numPr>
          <w:ilvl w:val="0"/>
          <w:numId w:val="19"/>
        </w:numPr>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Certifications of Chief Executive Officer and Chief Financial Officer pursuant to 18 U.S.C. Section 1350 as adopted pursuant to Section</w:t>
        </w:r>
      </w:hyperlink>
      <w:r>
        <w:rPr>
          <w:rFonts w:ascii="Arial" w:cs="Arial" w:eastAsia="Arial" w:hAnsi="Arial"/>
          <w:sz w:val="18"/>
          <w:szCs w:val="18"/>
          <w:u w:val="single" w:color="auto"/>
          <w:color w:val="0000FF"/>
        </w:rPr>
        <w:t xml:space="preserve"> </w:t>
      </w:r>
      <w:hyperlink w:anchor="page67">
        <w:r>
          <w:rPr>
            <w:rFonts w:ascii="Arial" w:cs="Arial" w:eastAsia="Arial" w:hAnsi="Arial"/>
            <w:sz w:val="18"/>
            <w:szCs w:val="18"/>
            <w:u w:val="single" w:color="auto"/>
            <w:color w:val="0000FF"/>
          </w:rPr>
          <w:t>906 of the Sarbanes-Oxley Act of 2002.</w:t>
        </w:r>
      </w:hyperlink>
    </w:p>
    <w:p>
      <w:pPr>
        <w:spacing w:after="0" w:line="170" w:lineRule="exact"/>
        <w:rPr>
          <w:rFonts w:ascii="Arial" w:cs="Arial" w:eastAsia="Arial" w:hAnsi="Arial"/>
          <w:sz w:val="18"/>
          <w:szCs w:val="18"/>
          <w:color w:val="auto"/>
        </w:rPr>
      </w:pPr>
    </w:p>
    <w:tbl>
      <w:tblPr>
        <w:tblLayout w:type="fixed"/>
        <w:tblInd w:w="4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0160" w:type="dxa"/>
            <w:vAlign w:val="bottom"/>
          </w:tcPr>
          <w:p>
            <w:pPr>
              <w:ind w:left="34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as its XBRL tags are embedded within the</w:t>
            </w:r>
          </w:p>
        </w:tc>
      </w:tr>
      <w:tr>
        <w:trPr>
          <w:trHeight w:val="230"/>
        </w:trPr>
        <w:tc>
          <w:tcPr>
            <w:tcW w:w="1000" w:type="dxa"/>
            <w:vAlign w:val="bottom"/>
          </w:tcPr>
          <w:p>
            <w:pPr>
              <w:spacing w:after="0"/>
              <w:rPr>
                <w:sz w:val="20"/>
                <w:szCs w:val="20"/>
                <w:color w:val="auto"/>
              </w:rPr>
            </w:pPr>
          </w:p>
        </w:tc>
        <w:tc>
          <w:tcPr>
            <w:tcW w:w="10160" w:type="dxa"/>
            <w:vAlign w:val="bottom"/>
          </w:tcPr>
          <w:p>
            <w:pPr>
              <w:ind w:left="340"/>
              <w:spacing w:after="0"/>
              <w:rPr>
                <w:sz w:val="20"/>
                <w:szCs w:val="20"/>
                <w:color w:val="auto"/>
              </w:rPr>
            </w:pPr>
            <w:r>
              <w:rPr>
                <w:rFonts w:ascii="Arial" w:cs="Arial" w:eastAsia="Arial" w:hAnsi="Arial"/>
                <w:sz w:val="18"/>
                <w:szCs w:val="18"/>
                <w:color w:val="auto"/>
              </w:rPr>
              <w:t>inline XBRL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tcPr>
          <w:p>
            <w:pPr>
              <w:ind w:left="340"/>
              <w:spacing w:after="0"/>
              <w:rPr>
                <w:sz w:val="20"/>
                <w:szCs w:val="20"/>
                <w:color w:val="auto"/>
              </w:rPr>
            </w:pPr>
            <w:r>
              <w:rPr>
                <w:rFonts w:ascii="Arial" w:cs="Arial" w:eastAsia="Arial" w:hAnsi="Arial"/>
                <w:sz w:val="18"/>
                <w:szCs w:val="18"/>
                <w:color w:val="auto"/>
              </w:rPr>
              <w:t>XBRL Schema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tcPr>
          <w:p>
            <w:pPr>
              <w:ind w:left="340"/>
              <w:spacing w:after="0"/>
              <w:rPr>
                <w:sz w:val="20"/>
                <w:szCs w:val="20"/>
                <w:color w:val="auto"/>
              </w:rPr>
            </w:pPr>
            <w:r>
              <w:rPr>
                <w:rFonts w:ascii="Arial" w:cs="Arial" w:eastAsia="Arial" w:hAnsi="Arial"/>
                <w:sz w:val="18"/>
                <w:szCs w:val="18"/>
                <w:color w:val="auto"/>
              </w:rPr>
              <w:t>XBRL Calculation Linkbase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tcPr>
          <w:p>
            <w:pPr>
              <w:ind w:left="340"/>
              <w:spacing w:after="0"/>
              <w:rPr>
                <w:sz w:val="20"/>
                <w:szCs w:val="20"/>
                <w:color w:val="auto"/>
              </w:rPr>
            </w:pPr>
            <w:r>
              <w:rPr>
                <w:rFonts w:ascii="Arial" w:cs="Arial" w:eastAsia="Arial" w:hAnsi="Arial"/>
                <w:sz w:val="18"/>
                <w:szCs w:val="18"/>
                <w:color w:val="auto"/>
              </w:rPr>
              <w:t>XBRL Definition Linkbase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tcPr>
          <w:p>
            <w:pPr>
              <w:ind w:left="340"/>
              <w:spacing w:after="0"/>
              <w:rPr>
                <w:sz w:val="20"/>
                <w:szCs w:val="20"/>
                <w:color w:val="auto"/>
              </w:rPr>
            </w:pPr>
            <w:r>
              <w:rPr>
                <w:rFonts w:ascii="Arial" w:cs="Arial" w:eastAsia="Arial" w:hAnsi="Arial"/>
                <w:sz w:val="18"/>
                <w:szCs w:val="18"/>
                <w:color w:val="auto"/>
              </w:rPr>
              <w:t>XBRL Label Linkbase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rFonts w:ascii="Arial" w:cs="Arial" w:eastAsia="Arial" w:hAnsi="Arial"/>
          <w:sz w:val="18"/>
          <w:szCs w:val="18"/>
          <w:color w:val="auto"/>
        </w:rPr>
      </w:pPr>
    </w:p>
    <w:p>
      <w:pPr>
        <w:ind w:left="5540" w:right="3680" w:hanging="5505"/>
        <w:spacing w:after="0" w:line="809" w:lineRule="auto"/>
        <w:tabs>
          <w:tab w:leader="none" w:pos="139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cover page from this Quarterly Report on Form 10-Q, formatted in inline XBRL. 46</w:t>
      </w:r>
    </w:p>
    <w:p>
      <w:pPr>
        <w:sectPr>
          <w:pgSz w:w="11900" w:h="16838" w:orient="portrait"/>
          <w:cols w:equalWidth="0" w:num="1">
            <w:col w:w="11220"/>
          </w:cols>
          <w:pgMar w:left="320" w:top="553" w:right="35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Vail Resorts, Inc.</w:t>
      </w:r>
    </w:p>
    <w:p>
      <w:pPr>
        <w:spacing w:after="0" w:line="387" w:lineRule="exact"/>
        <w:rPr>
          <w:sz w:val="20"/>
          <w:szCs w:val="20"/>
          <w:color w:val="auto"/>
        </w:rPr>
      </w:pPr>
    </w:p>
    <w:p>
      <w:pPr>
        <w:ind w:left="40"/>
        <w:spacing w:after="0"/>
        <w:tabs>
          <w:tab w:leader="none" w:pos="5580" w:val="left"/>
          <w:tab w:leader="none" w:pos="7720" w:val="left"/>
        </w:tabs>
        <w:rPr>
          <w:sz w:val="20"/>
          <w:szCs w:val="20"/>
          <w:color w:val="auto"/>
        </w:rPr>
      </w:pPr>
      <w:r>
        <w:rPr>
          <w:rFonts w:ascii="Arial" w:cs="Arial" w:eastAsia="Arial" w:hAnsi="Arial"/>
          <w:sz w:val="18"/>
          <w:szCs w:val="18"/>
          <w:color w:val="auto"/>
        </w:rPr>
        <w:t>Date: March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31750</wp:posOffset>
            </wp:positionV>
            <wp:extent cx="3042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7"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left="40"/>
        <w:spacing w:after="0"/>
        <w:tabs>
          <w:tab w:leader="none" w:pos="5580" w:val="left"/>
          <w:tab w:leader="none" w:pos="7820" w:val="left"/>
        </w:tabs>
        <w:rPr>
          <w:sz w:val="20"/>
          <w:szCs w:val="20"/>
          <w:color w:val="auto"/>
        </w:rPr>
      </w:pPr>
      <w:r>
        <w:rPr>
          <w:rFonts w:ascii="Arial" w:cs="Arial" w:eastAsia="Arial" w:hAnsi="Arial"/>
          <w:sz w:val="18"/>
          <w:szCs w:val="18"/>
          <w:color w:val="auto"/>
        </w:rPr>
        <w:t>Date: March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H.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31750</wp:posOffset>
            </wp:positionV>
            <wp:extent cx="30429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57"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Ryan H. Siurek</w:t>
      </w:r>
    </w:p>
    <w:p>
      <w:pPr>
        <w:spacing w:after="0" w:line="6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Senior Vice President, Controller and</w:t>
      </w:r>
    </w:p>
    <w:p>
      <w:pPr>
        <w:spacing w:after="0" w:line="2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Chief Accounting Officer</w:t>
      </w:r>
    </w:p>
    <w:p>
      <w:pPr>
        <w:spacing w:after="0" w:line="49"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320" w:top="553" w:right="37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AMENDING AGREEMENT</w:t>
      </w:r>
    </w:p>
    <w:p>
      <w:pPr>
        <w:spacing w:after="0" w:line="225" w:lineRule="exact"/>
        <w:rPr>
          <w:sz w:val="20"/>
          <w:szCs w:val="20"/>
          <w:color w:val="auto"/>
        </w:rPr>
      </w:pPr>
    </w:p>
    <w:p>
      <w:pPr>
        <w:jc w:val="both"/>
        <w:ind w:firstLine="1296"/>
        <w:spacing w:after="0" w:line="303" w:lineRule="auto"/>
        <w:rPr>
          <w:sz w:val="20"/>
          <w:szCs w:val="20"/>
          <w:color w:val="auto"/>
        </w:rPr>
      </w:pPr>
      <w:r>
        <w:rPr>
          <w:rFonts w:ascii="Arial" w:cs="Arial" w:eastAsia="Arial" w:hAnsi="Arial"/>
          <w:sz w:val="16"/>
          <w:szCs w:val="16"/>
          <w:b w:val="1"/>
          <w:bCs w:val="1"/>
          <w:color w:val="auto"/>
        </w:rPr>
        <w:t xml:space="preserve">THIS FIFTH AMENDING AGREEMENT </w:t>
      </w:r>
      <w:r>
        <w:rPr>
          <w:rFonts w:ascii="Arial" w:cs="Arial" w:eastAsia="Arial" w:hAnsi="Arial"/>
          <w:sz w:val="16"/>
          <w:szCs w:val="16"/>
          <w:color w:val="auto"/>
        </w:rPr>
        <w:t>(the “</w:t>
      </w:r>
      <w:r>
        <w:rPr>
          <w:rFonts w:ascii="Arial" w:cs="Arial" w:eastAsia="Arial" w:hAnsi="Arial"/>
          <w:sz w:val="16"/>
          <w:szCs w:val="16"/>
          <w:b w:val="1"/>
          <w:bCs w:val="1"/>
          <w:color w:val="auto"/>
        </w:rPr>
        <w:t>Amendment</w:t>
      </w:r>
      <w:r>
        <w:rPr>
          <w:rFonts w:ascii="Arial" w:cs="Arial" w:eastAsia="Arial" w:hAnsi="Arial"/>
          <w:sz w:val="16"/>
          <w:szCs w:val="16"/>
          <w:color w:val="auto"/>
        </w:rPr>
        <w:t>”) is dated as of November 21, 2019 and is entered into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Whistler Mountain Resort Limited Partnership (“</w:t>
      </w:r>
      <w:r>
        <w:rPr>
          <w:rFonts w:ascii="Arial" w:cs="Arial" w:eastAsia="Arial" w:hAnsi="Arial"/>
          <w:sz w:val="16"/>
          <w:szCs w:val="16"/>
          <w:b w:val="1"/>
          <w:bCs w:val="1"/>
          <w:color w:val="auto"/>
        </w:rPr>
        <w:t>Whistler LP</w:t>
      </w:r>
      <w:r>
        <w:rPr>
          <w:rFonts w:ascii="Arial" w:cs="Arial" w:eastAsia="Arial" w:hAnsi="Arial"/>
          <w:sz w:val="16"/>
          <w:szCs w:val="16"/>
          <w:color w:val="auto"/>
        </w:rPr>
        <w:t>”), by its general partner, Whistler Blackcomb Holdings Inc. (the “</w:t>
      </w:r>
      <w:r>
        <w:rPr>
          <w:rFonts w:ascii="Arial" w:cs="Arial" w:eastAsia="Arial" w:hAnsi="Arial"/>
          <w:sz w:val="16"/>
          <w:szCs w:val="16"/>
          <w:b w:val="1"/>
          <w:bCs w:val="1"/>
          <w:color w:val="auto"/>
        </w:rPr>
        <w:t>Parent GP</w:t>
      </w:r>
      <w:r>
        <w:rPr>
          <w:rFonts w:ascii="Arial" w:cs="Arial" w:eastAsia="Arial" w:hAnsi="Arial"/>
          <w:sz w:val="16"/>
          <w:szCs w:val="16"/>
          <w:color w:val="auto"/>
        </w:rPr>
        <w:t>”), and Blackcomb Skiing Enterprises Limited Partnership (“</w:t>
      </w:r>
      <w:r>
        <w:rPr>
          <w:rFonts w:ascii="Arial" w:cs="Arial" w:eastAsia="Arial" w:hAnsi="Arial"/>
          <w:sz w:val="16"/>
          <w:szCs w:val="16"/>
          <w:b w:val="1"/>
          <w:bCs w:val="1"/>
          <w:color w:val="auto"/>
        </w:rPr>
        <w:t>Blackcomb LP</w:t>
      </w:r>
      <w:r>
        <w:rPr>
          <w:rFonts w:ascii="Arial" w:cs="Arial" w:eastAsia="Arial" w:hAnsi="Arial"/>
          <w:sz w:val="16"/>
          <w:szCs w:val="16"/>
          <w:color w:val="auto"/>
        </w:rPr>
        <w:t>” and together with Whistler LP, the “</w:t>
      </w:r>
      <w:r>
        <w:rPr>
          <w:rFonts w:ascii="Arial" w:cs="Arial" w:eastAsia="Arial" w:hAnsi="Arial"/>
          <w:sz w:val="16"/>
          <w:szCs w:val="16"/>
          <w:b w:val="1"/>
          <w:bCs w:val="1"/>
          <w:color w:val="auto"/>
        </w:rPr>
        <w:t>Borrowers</w:t>
      </w:r>
      <w:r>
        <w:rPr>
          <w:rFonts w:ascii="Arial" w:cs="Arial" w:eastAsia="Arial" w:hAnsi="Arial"/>
          <w:sz w:val="16"/>
          <w:szCs w:val="16"/>
          <w:color w:val="auto"/>
        </w:rPr>
        <w:t>”), by its general partner, Parent GP, the guarantors party hereto, each of the lenders party hereto, and The Toronto-Dominion Bank, as administrative agent (the “</w:t>
      </w:r>
      <w:r>
        <w:rPr>
          <w:rFonts w:ascii="Arial" w:cs="Arial" w:eastAsia="Arial" w:hAnsi="Arial"/>
          <w:sz w:val="16"/>
          <w:szCs w:val="16"/>
          <w:b w:val="1"/>
          <w:bCs w:val="1"/>
          <w:color w:val="auto"/>
        </w:rPr>
        <w:t>Administrative Agent</w:t>
      </w:r>
      <w:r>
        <w:rPr>
          <w:rFonts w:ascii="Arial" w:cs="Arial" w:eastAsia="Arial" w:hAnsi="Arial"/>
          <w:sz w:val="16"/>
          <w:szCs w:val="16"/>
          <w:color w:val="auto"/>
        </w:rPr>
        <w:t>”);</w:t>
      </w:r>
    </w:p>
    <w:p>
      <w:pPr>
        <w:spacing w:after="0" w:line="15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Borrowers, the lenders from time to time party thereto (the “</w:t>
      </w:r>
      <w:r>
        <w:rPr>
          <w:rFonts w:ascii="Arial" w:cs="Arial" w:eastAsia="Arial" w:hAnsi="Arial"/>
          <w:sz w:val="17"/>
          <w:szCs w:val="17"/>
          <w:b w:val="1"/>
          <w:bCs w:val="1"/>
          <w:color w:val="auto"/>
        </w:rPr>
        <w:t>Lenders</w:t>
      </w:r>
      <w:r>
        <w:rPr>
          <w:rFonts w:ascii="Arial" w:cs="Arial" w:eastAsia="Arial" w:hAnsi="Arial"/>
          <w:sz w:val="17"/>
          <w:szCs w:val="17"/>
          <w:color w:val="auto"/>
        </w:rPr>
        <w:t>”), the guarantors from time to time party thereto</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color w:val="auto"/>
        </w:rPr>
        <w:t>Guarantors</w:t>
      </w:r>
      <w:r>
        <w:rPr>
          <w:rFonts w:ascii="Arial" w:cs="Arial" w:eastAsia="Arial" w:hAnsi="Arial"/>
          <w:sz w:val="17"/>
          <w:szCs w:val="17"/>
          <w:color w:val="auto"/>
        </w:rPr>
        <w:t>”) and the Administrative Agent are parties to an Amended and Restated Credit Agreement dated as of November 12, 2013, as amended by a First Amending Agreement dated as of October 30, 2014, a Second Amending Agreement and Waiver dated as of October 14, 2016, a Third Amending Agreement dated as of February 13, 2017 and a Fourth Amending Agreement dated as of November 30, 2019 (as amended, restated, amended and restated, supplemented, extended or otherwise modified to but excluding the date hereof, the “</w:t>
      </w:r>
      <w:r>
        <w:rPr>
          <w:rFonts w:ascii="Arial" w:cs="Arial" w:eastAsia="Arial" w:hAnsi="Arial"/>
          <w:sz w:val="17"/>
          <w:szCs w:val="17"/>
          <w:b w:val="1"/>
          <w:bCs w:val="1"/>
          <w:color w:val="auto"/>
        </w:rPr>
        <w:t>Credit Agreement</w:t>
      </w:r>
      <w:r>
        <w:rPr>
          <w:rFonts w:ascii="Arial" w:cs="Arial" w:eastAsia="Arial" w:hAnsi="Arial"/>
          <w:sz w:val="17"/>
          <w:szCs w:val="17"/>
          <w:color w:val="auto"/>
        </w:rPr>
        <w:t>”);</w:t>
      </w:r>
    </w:p>
    <w:p>
      <w:pPr>
        <w:spacing w:after="0" w:line="168"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AND WHEREAS </w:t>
      </w:r>
      <w:r>
        <w:rPr>
          <w:rFonts w:ascii="Arial" w:cs="Arial" w:eastAsia="Arial" w:hAnsi="Arial"/>
          <w:sz w:val="18"/>
          <w:szCs w:val="18"/>
          <w:color w:val="auto"/>
        </w:rPr>
        <w:t>the Borrowers have submitted an extension request (the “</w:t>
      </w:r>
      <w:r>
        <w:rPr>
          <w:rFonts w:ascii="Arial" w:cs="Arial" w:eastAsia="Arial" w:hAnsi="Arial"/>
          <w:sz w:val="18"/>
          <w:szCs w:val="18"/>
          <w:b w:val="1"/>
          <w:bCs w:val="1"/>
          <w:color w:val="auto"/>
        </w:rPr>
        <w:t>Extension Reques</w:t>
      </w:r>
      <w:r>
        <w:rPr>
          <w:rFonts w:ascii="Arial" w:cs="Arial" w:eastAsia="Arial" w:hAnsi="Arial"/>
          <w:sz w:val="18"/>
          <w:szCs w:val="18"/>
          <w:color w:val="auto"/>
        </w:rPr>
        <w:t>t”) to extend the Maturity Date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Agreement to December 15, 2024 (the “</w:t>
      </w:r>
      <w:r>
        <w:rPr>
          <w:rFonts w:ascii="Arial" w:cs="Arial" w:eastAsia="Arial" w:hAnsi="Arial"/>
          <w:sz w:val="18"/>
          <w:szCs w:val="18"/>
          <w:b w:val="1"/>
          <w:bCs w:val="1"/>
          <w:color w:val="auto"/>
        </w:rPr>
        <w:t>New Maturity Date</w:t>
      </w:r>
      <w:r>
        <w:rPr>
          <w:rFonts w:ascii="Arial" w:cs="Arial" w:eastAsia="Arial" w:hAnsi="Arial"/>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 xml:space="preserve">AND WHEREAS </w:t>
      </w:r>
      <w:r>
        <w:rPr>
          <w:rFonts w:ascii="Arial" w:cs="Arial" w:eastAsia="Arial" w:hAnsi="Arial"/>
          <w:sz w:val="16"/>
          <w:szCs w:val="16"/>
          <w:color w:val="auto"/>
        </w:rPr>
        <w:t>pursuant to Section 18.01 of the Credit Agreement, the Extension Request requires the approval of all of the affected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Lenders;</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 xml:space="preserve">AND WHEREAS </w:t>
      </w:r>
      <w:r>
        <w:rPr>
          <w:rFonts w:ascii="Arial" w:cs="Arial" w:eastAsia="Arial" w:hAnsi="Arial"/>
          <w:sz w:val="17"/>
          <w:szCs w:val="17"/>
          <w:color w:val="auto"/>
        </w:rPr>
        <w:t>the parties wish to make certain ancillary amendments to the Credit Agreement in connection with the Extension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Request;</w:t>
      </w:r>
    </w:p>
    <w:p>
      <w:pPr>
        <w:spacing w:after="0" w:line="207"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the receipt and sufficiency of which are hereby acknowledged by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the parties hereto hereby agree as follows: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Capitalized terms used in this Amendment and not otherwise defined herein shall have the meanings ascribed to them in the Credit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 TO CREDIT AGREEMENT</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Subject to the satisfaction of each of the conditions set forth in this Amendment, and in reliance on the representations, warranties and agreements contained in this Amendment, the Credit Agreement is hereby amended as follows: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Definition of Maturity Date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Section 1.01 of the Credit Agreement is hereby amended by deleting the definition of “Maturity Date” in its entirety and replacing it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Maturity Date</w:t>
      </w:r>
      <w:r>
        <w:rPr>
          <w:rFonts w:ascii="Arial" w:cs="Arial" w:eastAsia="Arial" w:hAnsi="Arial"/>
          <w:sz w:val="16"/>
          <w:szCs w:val="16"/>
          <w:color w:val="auto"/>
        </w:rPr>
        <w:t>” means December 15, 2024, or any subsequent date to which the Maturity Date is extended in accordance with Section 2.11.”</w:t>
      </w:r>
    </w:p>
    <w:p>
      <w:pPr>
        <w:sectPr>
          <w:pgSz w:w="11900" w:h="16838" w:orient="portrait"/>
          <w:cols w:equalWidth="0" w:num="1">
            <w:col w:w="11240"/>
          </w:cols>
          <w:pgMar w:left="320" w:top="337" w:right="339" w:bottom="1440" w:gutter="0" w:footer="0" w:header="0"/>
        </w:sectPr>
      </w:pPr>
    </w:p>
    <w:bookmarkStart w:id="49" w:name="page50"/>
    <w:bookmarkEnd w:id="49"/>
    <w:p>
      <w:pPr>
        <w:spacing w:after="0"/>
        <w:tabs>
          <w:tab w:leader="none" w:pos="12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Additional Definitions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1.01 of the Credit Agreement is hereby amended by adding the following definitions in alphabetical order:</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CDOR Scheduled Unavailability Date</w:t>
      </w:r>
      <w:r>
        <w:rPr>
          <w:rFonts w:ascii="Arial" w:cs="Arial" w:eastAsia="Arial" w:hAnsi="Arial"/>
          <w:sz w:val="18"/>
          <w:szCs w:val="18"/>
          <w:color w:val="auto"/>
        </w:rPr>
        <w:t>” has the meaning attributed thereto in Section 3.07(1)(c).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CDOR Successor Rate</w:t>
      </w:r>
      <w:r>
        <w:rPr>
          <w:rFonts w:ascii="Arial" w:cs="Arial" w:eastAsia="Arial" w:hAnsi="Arial"/>
          <w:sz w:val="18"/>
          <w:szCs w:val="18"/>
          <w:color w:val="auto"/>
        </w:rPr>
        <w:t>” has the meaning set forth in Section 3.07(1).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 Successor Rate</w:t>
      </w:r>
      <w:r>
        <w:rPr>
          <w:rFonts w:ascii="Arial" w:cs="Arial" w:eastAsia="Arial" w:hAnsi="Arial"/>
          <w:sz w:val="18"/>
          <w:szCs w:val="18"/>
          <w:color w:val="auto"/>
        </w:rPr>
        <w:t>” has the meaning set forth in Section 3.08(1)(a).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Scheduled Unavailability Date</w:t>
      </w:r>
      <w:r>
        <w:rPr>
          <w:rFonts w:ascii="Arial" w:cs="Arial" w:eastAsia="Arial" w:hAnsi="Arial"/>
          <w:sz w:val="18"/>
          <w:szCs w:val="18"/>
          <w:color w:val="auto"/>
        </w:rPr>
        <w:t>” has the meaning set forth in Section 3.08(1)(c).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Screen Rate</w:t>
      </w:r>
      <w:r>
        <w:rPr>
          <w:rFonts w:ascii="Arial" w:cs="Arial" w:eastAsia="Arial" w:hAnsi="Arial"/>
          <w:sz w:val="18"/>
          <w:szCs w:val="18"/>
          <w:color w:val="auto"/>
        </w:rPr>
        <w:t>” has the meaning set forth in Section 3.08(1)(a).”</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CDOR Discontinuation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Article 3 of the Credit Agreement is hereby amended by adding the following Section 3.07:</w:t>
      </w:r>
    </w:p>
    <w:p>
      <w:pPr>
        <w:spacing w:after="0" w:line="221"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3.07</w:t>
      </w:r>
      <w:r>
        <w:rPr>
          <w:sz w:val="20"/>
          <w:szCs w:val="20"/>
          <w:color w:val="auto"/>
        </w:rPr>
        <w:tab/>
      </w:r>
      <w:r>
        <w:rPr>
          <w:rFonts w:ascii="Arial" w:cs="Arial" w:eastAsia="Arial" w:hAnsi="Arial"/>
          <w:sz w:val="16"/>
          <w:szCs w:val="16"/>
          <w:b w:val="1"/>
          <w:bCs w:val="1"/>
          <w:color w:val="auto"/>
        </w:rPr>
        <w:t>CDOR Discontinuation</w:t>
      </w:r>
    </w:p>
    <w:p>
      <w:pPr>
        <w:spacing w:after="0" w:line="229" w:lineRule="exact"/>
        <w:rPr>
          <w:sz w:val="20"/>
          <w:szCs w:val="20"/>
          <w:color w:val="auto"/>
        </w:rPr>
      </w:pPr>
    </w:p>
    <w:p>
      <w:pPr>
        <w:ind w:left="1300" w:right="20" w:hanging="644"/>
        <w:spacing w:after="0" w:line="308"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the Administrative Agent determines (which determination shall be conclusive absent manifest error), or the Borrowers or the Majority Lenders notify the Administrative Agent that the Borrower or Majority Lenders (as applicable) have determined that:</w:t>
      </w:r>
    </w:p>
    <w:p>
      <w:pPr>
        <w:spacing w:after="0" w:line="146" w:lineRule="exact"/>
        <w:rPr>
          <w:rFonts w:ascii="Arial" w:cs="Arial" w:eastAsia="Arial" w:hAnsi="Arial"/>
          <w:sz w:val="17"/>
          <w:szCs w:val="17"/>
          <w:color w:val="auto"/>
        </w:rPr>
      </w:pPr>
    </w:p>
    <w:p>
      <w:pPr>
        <w:jc w:val="both"/>
        <w:ind w:left="1960" w:hanging="656"/>
        <w:spacing w:after="0" w:line="263" w:lineRule="auto"/>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CDOR (including, in all references within this Section 3.07, the BA Discount Rate), including because the Reuters Screen CDOR Page is not available or published on a current basis for the applicable Interest Period, and such circumstances are unlikely to be temporary;</w:t>
      </w:r>
    </w:p>
    <w:p>
      <w:pPr>
        <w:spacing w:after="0" w:line="183"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administrator of CDOR or a Governmental Authority having jurisdiction has made a public statement identifying a specific date after which CDOR will permanently or indefinitely cease to be made available or permitted to be used for determining the interest rate of loans;</w:t>
      </w:r>
    </w:p>
    <w:p>
      <w:pPr>
        <w:spacing w:after="0" w:line="183" w:lineRule="exact"/>
        <w:rPr>
          <w:rFonts w:ascii="Arial" w:cs="Arial" w:eastAsia="Arial" w:hAnsi="Arial"/>
          <w:sz w:val="18"/>
          <w:szCs w:val="18"/>
          <w:color w:val="auto"/>
        </w:rPr>
      </w:pPr>
    </w:p>
    <w:p>
      <w:pPr>
        <w:jc w:val="both"/>
        <w:ind w:left="1960" w:hanging="656"/>
        <w:spacing w:after="0" w:line="286" w:lineRule="auto"/>
        <w:tabs>
          <w:tab w:leader="none" w:pos="19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 Governmental Authority having jurisdiction over the Administrative Agent has made a public statement identifying a specific date after which CDOR shall no longer be permitted to be used for determining the interest rate of loans (each such specific date in paragraph (b) above and in this paragraph (c) a “</w:t>
      </w:r>
      <w:r>
        <w:rPr>
          <w:rFonts w:ascii="Arial" w:cs="Arial" w:eastAsia="Arial" w:hAnsi="Arial"/>
          <w:sz w:val="17"/>
          <w:szCs w:val="17"/>
          <w:b w:val="1"/>
          <w:bCs w:val="1"/>
          <w:color w:val="auto"/>
        </w:rPr>
        <w:t>CDOR Scheduled Unavailability Date</w:t>
      </w:r>
      <w:r>
        <w:rPr>
          <w:rFonts w:ascii="Arial" w:cs="Arial" w:eastAsia="Arial" w:hAnsi="Arial"/>
          <w:sz w:val="17"/>
          <w:szCs w:val="17"/>
          <w:color w:val="auto"/>
        </w:rPr>
        <w:t>”); or</w:t>
      </w:r>
    </w:p>
    <w:p>
      <w:pPr>
        <w:spacing w:after="0" w:line="165" w:lineRule="exact"/>
        <w:rPr>
          <w:rFonts w:ascii="Arial" w:cs="Arial" w:eastAsia="Arial" w:hAnsi="Arial"/>
          <w:sz w:val="17"/>
          <w:szCs w:val="17"/>
          <w:color w:val="auto"/>
        </w:rPr>
      </w:pPr>
    </w:p>
    <w:p>
      <w:pPr>
        <w:ind w:left="1960" w:hanging="656"/>
        <w:spacing w:after="0" w:line="308" w:lineRule="auto"/>
        <w:tabs>
          <w:tab w:leader="none" w:pos="19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syndicated loans currently being executed, or that include language similar to that contained in this Section 3.07(1), are being executed or amended (as applicable) to incorporate or adopt a new benchmark interest rate to replace CDOR,</w:t>
      </w:r>
    </w:p>
    <w:p>
      <w:pPr>
        <w:spacing w:after="0" w:line="146" w:lineRule="exact"/>
        <w:rPr>
          <w:sz w:val="20"/>
          <w:szCs w:val="20"/>
          <w:color w:val="auto"/>
        </w:rPr>
      </w:pPr>
    </w:p>
    <w:p>
      <w:pPr>
        <w:jc w:val="both"/>
        <w:ind w:left="1300"/>
        <w:spacing w:after="0" w:line="293" w:lineRule="auto"/>
        <w:rPr>
          <w:sz w:val="20"/>
          <w:szCs w:val="20"/>
          <w:color w:val="auto"/>
        </w:rPr>
      </w:pPr>
      <w:r>
        <w:rPr>
          <w:rFonts w:ascii="Arial" w:cs="Arial" w:eastAsia="Arial" w:hAnsi="Arial"/>
          <w:sz w:val="16"/>
          <w:szCs w:val="16"/>
          <w:color w:val="auto"/>
        </w:rPr>
        <w:t>then reasonably promptly after such determination by the Administrative Agent or receipt by the Administrative Agent of such notice, as applicable, the Administrative Agent and the Borrowers may mutually agree upon a successor rate to CDOR, and the Administrative Agent and the Borrowers may amend this Agreement to replace CDOR with an alternate benchmark rate (including any mathematical or other adjustments to the benchmark (if any) incorporated therein), giving due consideration to any evolving or then existing convention for similar Canadian Dollars denominated syndicated credit facilities for such alternative benchmarks (any such proposed rate, a “</w:t>
      </w:r>
      <w:r>
        <w:rPr>
          <w:rFonts w:ascii="Arial" w:cs="Arial" w:eastAsia="Arial" w:hAnsi="Arial"/>
          <w:sz w:val="16"/>
          <w:szCs w:val="16"/>
          <w:b w:val="1"/>
          <w:bCs w:val="1"/>
          <w:color w:val="auto"/>
        </w:rPr>
        <w:t>CDOR</w:t>
      </w:r>
      <w:r>
        <w:rPr>
          <w:rFonts w:ascii="Arial" w:cs="Arial" w:eastAsia="Arial" w:hAnsi="Arial"/>
          <w:sz w:val="16"/>
          <w:szCs w:val="16"/>
          <w:color w:val="auto"/>
        </w:rPr>
        <w:t xml:space="preserve"> </w:t>
      </w:r>
      <w:r>
        <w:rPr>
          <w:rFonts w:ascii="Arial" w:cs="Arial" w:eastAsia="Arial" w:hAnsi="Arial"/>
          <w:sz w:val="16"/>
          <w:szCs w:val="16"/>
          <w:b w:val="1"/>
          <w:bCs w:val="1"/>
          <w:color w:val="auto"/>
        </w:rPr>
        <w:t>Successor Rate</w:t>
      </w:r>
      <w:r>
        <w:rPr>
          <w:rFonts w:ascii="Arial" w:cs="Arial" w:eastAsia="Arial" w:hAnsi="Arial"/>
          <w:sz w:val="16"/>
          <w:szCs w:val="16"/>
          <w:color w:val="auto"/>
        </w:rPr>
        <w:t>”), together with any proposed CDOR Successor Rate conforming changes and any such amendment shall become</w:t>
      </w:r>
    </w:p>
    <w:p>
      <w:pPr>
        <w:sectPr>
          <w:pgSz w:w="11900" w:h="16838" w:orient="portrait"/>
          <w:cols w:equalWidth="0" w:num="1">
            <w:col w:w="11240"/>
          </w:cols>
          <w:pgMar w:left="320" w:top="337" w:right="339" w:bottom="1440" w:gutter="0" w:footer="0" w:header="0"/>
        </w:sectPr>
      </w:pPr>
    </w:p>
    <w:bookmarkStart w:id="50" w:name="page51"/>
    <w:bookmarkEnd w:id="50"/>
    <w:p>
      <w:pPr>
        <w:jc w:val="both"/>
        <w:ind w:left="1300"/>
        <w:spacing w:after="0" w:line="263" w:lineRule="auto"/>
        <w:rPr>
          <w:sz w:val="20"/>
          <w:szCs w:val="20"/>
          <w:color w:val="auto"/>
        </w:rPr>
      </w:pPr>
      <w:r>
        <w:rPr>
          <w:rFonts w:ascii="Arial" w:cs="Arial" w:eastAsia="Arial" w:hAnsi="Arial"/>
          <w:sz w:val="18"/>
          <w:szCs w:val="18"/>
          <w:color w:val="auto"/>
        </w:rPr>
        <w:t>effective at 5:00 p.m. (Toronto time) on the fifth Business Day after the Administrative Agent shall have posted such proposed amendment to all Lenders and the Borrowers unless, prior to such time, Lenders comprising the Majority Lenders have delivered to the Administrative Agent written notice that such Majority Lenders do not accept such amendment.</w:t>
      </w:r>
    </w:p>
    <w:p>
      <w:pPr>
        <w:spacing w:after="0" w:line="184" w:lineRule="exact"/>
        <w:rPr>
          <w:sz w:val="20"/>
          <w:szCs w:val="20"/>
          <w:color w:val="auto"/>
        </w:rPr>
      </w:pPr>
    </w:p>
    <w:p>
      <w:pPr>
        <w:jc w:val="both"/>
        <w:ind w:left="1300" w:hanging="644"/>
        <w:spacing w:after="0" w:line="271"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no CDOR Successor Rate has been determined and the circumstances under Section 3.07(1)(a) above exist or a CDOR Scheduled Unavailability Date has occurred (as applicable), the Administrative Agent will promptly so notify the Borrowers and each Lender. Thereafter, (i) the obligation of the Lenders to make or maintain Bankers’ Acceptances and BA Equivalent Notes, shall be suspended (to the extent of the affected Bankers’ Acceptances, BA Equivalent Notes, or Interest Periods) and (ii) CDOR shall no longer be utilized as a component in determining the Canadian Prime Rates. Upon receipt of such notice, a Borrower may revoke any pending request for an Advance of, conversion to or rollover of Bankers’ Acceptances or BA Equivalent Notes (to the extent of the affected Bankers’ Acceptances, BA Equivalent Notes, or Interest Periods) or, failing that, will be deemed to have converted such request into a request for a Canadian Prime Rate Advance (subject to the foregoing clause (ii)) in the amount specified therein.</w:t>
      </w:r>
    </w:p>
    <w:p>
      <w:pPr>
        <w:spacing w:after="0" w:line="178"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Notwithstanding anything else herein, any definition of the CDOR Successor Rate (exclusive of any margin) shall provide that in no event shall such CDOR Successor Rate be less than zero for the purposes of this Agreement.”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LIBOR Discontinuation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3 of the Credit Agreement is hereby amended by adding the following Section 3.08:</w:t>
      </w:r>
    </w:p>
    <w:p>
      <w:pPr>
        <w:spacing w:after="0" w:line="221"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3.08</w:t>
      </w:r>
      <w:r>
        <w:rPr>
          <w:sz w:val="20"/>
          <w:szCs w:val="20"/>
          <w:color w:val="auto"/>
        </w:rPr>
        <w:tab/>
      </w:r>
      <w:r>
        <w:rPr>
          <w:rFonts w:ascii="Arial" w:cs="Arial" w:eastAsia="Arial" w:hAnsi="Arial"/>
          <w:sz w:val="16"/>
          <w:szCs w:val="16"/>
          <w:b w:val="1"/>
          <w:bCs w:val="1"/>
          <w:color w:val="auto"/>
        </w:rPr>
        <w:t>LIBOR Discontinuation</w:t>
      </w:r>
    </w:p>
    <w:p>
      <w:pPr>
        <w:spacing w:after="0" w:line="229" w:lineRule="exact"/>
        <w:rPr>
          <w:sz w:val="20"/>
          <w:szCs w:val="20"/>
          <w:color w:val="auto"/>
        </w:rPr>
      </w:pPr>
    </w:p>
    <w:p>
      <w:pPr>
        <w:ind w:left="1300" w:right="20" w:hanging="644"/>
        <w:spacing w:after="0" w:line="308"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the Administrative Agent determines (which determination shall be conclusive absent manifest error), or the Borrowers or the Majority Lenders notify the Administrative Agent that the Borrower or Majority Lenders (as applicable) have determined that:</w:t>
      </w:r>
    </w:p>
    <w:p>
      <w:pPr>
        <w:spacing w:after="0" w:line="146" w:lineRule="exact"/>
        <w:rPr>
          <w:rFonts w:ascii="Arial" w:cs="Arial" w:eastAsia="Arial" w:hAnsi="Arial"/>
          <w:sz w:val="17"/>
          <w:szCs w:val="17"/>
          <w:color w:val="auto"/>
        </w:rPr>
      </w:pPr>
    </w:p>
    <w:p>
      <w:pPr>
        <w:jc w:val="both"/>
        <w:ind w:left="1960" w:hanging="656"/>
        <w:spacing w:after="0" w:line="259"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the LIBOR Rate, including because the “LIBOR01 Page” of the Reuters Money Rates Service (or any successor source from time to time for such rate) (the “</w:t>
      </w:r>
      <w:r>
        <w:rPr>
          <w:rFonts w:ascii="Arial" w:cs="Arial" w:eastAsia="Arial" w:hAnsi="Arial"/>
          <w:sz w:val="18"/>
          <w:szCs w:val="18"/>
          <w:b w:val="1"/>
          <w:bCs w:val="1"/>
          <w:color w:val="auto"/>
        </w:rPr>
        <w:t>LIBOR Screen Rate</w:t>
      </w:r>
      <w:r>
        <w:rPr>
          <w:rFonts w:ascii="Arial" w:cs="Arial" w:eastAsia="Arial" w:hAnsi="Arial"/>
          <w:sz w:val="18"/>
          <w:szCs w:val="18"/>
          <w:color w:val="auto"/>
        </w:rPr>
        <w:t>”) is not available or published on a current basis for an Advance in the applicable currency or for the applicable Interest Period and such circumstances are unlikely to be temporary;</w:t>
      </w:r>
    </w:p>
    <w:p>
      <w:pPr>
        <w:spacing w:after="0" w:line="186" w:lineRule="exact"/>
        <w:rPr>
          <w:rFonts w:ascii="Arial" w:cs="Arial" w:eastAsia="Arial" w:hAnsi="Arial"/>
          <w:sz w:val="18"/>
          <w:szCs w:val="18"/>
          <w:color w:val="auto"/>
        </w:rPr>
      </w:pPr>
    </w:p>
    <w:p>
      <w:pPr>
        <w:jc w:val="both"/>
        <w:ind w:left="1960" w:hanging="656"/>
        <w:spacing w:after="0" w:line="286" w:lineRule="auto"/>
        <w:tabs>
          <w:tab w:leader="none" w:pos="19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administrator of the LIBOR Screen Rate or a Governmental Authority having jurisdiction over the administrator of the LIBOR Screen Rate has made a public statement identifying a specific date after which the LIBOR Screen Rate will permanently or indefinitely cease to be made available or permitted to be used for determining the interest rate of loans;</w:t>
      </w:r>
    </w:p>
    <w:p>
      <w:pPr>
        <w:spacing w:after="0" w:line="165" w:lineRule="exact"/>
        <w:rPr>
          <w:rFonts w:ascii="Arial" w:cs="Arial" w:eastAsia="Arial" w:hAnsi="Arial"/>
          <w:sz w:val="17"/>
          <w:szCs w:val="17"/>
          <w:color w:val="auto"/>
        </w:rPr>
      </w:pPr>
    </w:p>
    <w:p>
      <w:pPr>
        <w:jc w:val="both"/>
        <w:ind w:left="1960" w:hanging="656"/>
        <w:spacing w:after="0" w:line="259"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Governmental Authority having jurisdiction over the Administrative Agent has made a public statement identifying a specific date after which the LIBOR Rate or the LIBOR Screen Rate shall no longer be permitted to be used for determining the interest rate of loans (each such specific date in paragraph (b) above and in this paragraph (c) a “</w:t>
      </w:r>
      <w:r>
        <w:rPr>
          <w:rFonts w:ascii="Arial" w:cs="Arial" w:eastAsia="Arial" w:hAnsi="Arial"/>
          <w:sz w:val="18"/>
          <w:szCs w:val="18"/>
          <w:b w:val="1"/>
          <w:bCs w:val="1"/>
          <w:color w:val="auto"/>
        </w:rPr>
        <w:t>LIBOR Scheduled Unavailability</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or</w:t>
      </w:r>
    </w:p>
    <w:p>
      <w:pPr>
        <w:sectPr>
          <w:pgSz w:w="11900" w:h="16838" w:orient="portrait"/>
          <w:cols w:equalWidth="0" w:num="1">
            <w:col w:w="11240"/>
          </w:cols>
          <w:pgMar w:left="320" w:top="341" w:right="339" w:bottom="1440" w:gutter="0" w:footer="0" w:header="0"/>
        </w:sectPr>
      </w:pPr>
    </w:p>
    <w:bookmarkStart w:id="51" w:name="page52"/>
    <w:bookmarkEnd w:id="51"/>
    <w:p>
      <w:pPr>
        <w:ind w:left="1960" w:hanging="656"/>
        <w:spacing w:after="0" w:line="342" w:lineRule="auto"/>
        <w:tabs>
          <w:tab w:leader="none" w:pos="1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syndicated loans currently being executed, or that include language similar to that contained in this Section 3.08(1), are being executed or amended (as applicable) to incorporate or adopt a new benchmark interest rate to replace the LIBOR Rate,</w:t>
      </w:r>
    </w:p>
    <w:p>
      <w:pPr>
        <w:spacing w:after="0" w:line="124" w:lineRule="exact"/>
        <w:rPr>
          <w:sz w:val="20"/>
          <w:szCs w:val="20"/>
          <w:color w:val="auto"/>
        </w:rPr>
      </w:pPr>
    </w:p>
    <w:p>
      <w:pPr>
        <w:jc w:val="both"/>
        <w:ind w:left="1300"/>
        <w:spacing w:after="0" w:line="289" w:lineRule="auto"/>
        <w:rPr>
          <w:sz w:val="20"/>
          <w:szCs w:val="20"/>
          <w:color w:val="auto"/>
        </w:rPr>
      </w:pPr>
      <w:r>
        <w:rPr>
          <w:rFonts w:ascii="Arial" w:cs="Arial" w:eastAsia="Arial" w:hAnsi="Arial"/>
          <w:sz w:val="16"/>
          <w:szCs w:val="16"/>
          <w:color w:val="auto"/>
        </w:rPr>
        <w:t>then reasonably promptly after such determination by the Administrative Agent or receipt by the Administrative Agent of such notice, as applicable, the Administrative Agent and the Borrowers may mutually agree upon a successor rate to the LIBOR Rate, and the Administrative Agent and the Borrowers may amend this Agreement to replace the LIBOR Rate with an alternate benchmark rate (including any mathematical or other adjustments to the benchmark (if any) incorporated therein ), giving due consideration to any evolving or then existing convention for similar U.S. Dollar denominated syndicated credit facilities for such alternative benchmarks (any such proposed rate, a “</w:t>
      </w:r>
      <w:r>
        <w:rPr>
          <w:rFonts w:ascii="Arial" w:cs="Arial" w:eastAsia="Arial" w:hAnsi="Arial"/>
          <w:sz w:val="16"/>
          <w:szCs w:val="16"/>
          <w:b w:val="1"/>
          <w:bCs w:val="1"/>
          <w:color w:val="auto"/>
        </w:rPr>
        <w:t>LIBO Successor Rate</w:t>
      </w:r>
      <w:r>
        <w:rPr>
          <w:rFonts w:ascii="Arial" w:cs="Arial" w:eastAsia="Arial" w:hAnsi="Arial"/>
          <w:sz w:val="16"/>
          <w:szCs w:val="16"/>
          <w:color w:val="auto"/>
        </w:rPr>
        <w:t>”), together with any proposed LIBO Successor Rate conforming changes and any such amendment shall become effective at 5:00 p.m. (Toronto time) on the fifth Business Day after the Administrative Agent shall have posted such proposed amendment to all Lenders and the Borrowers unless, prior to such time, Lenders comprising the Majority Lenders have delivered to the Administrative Agent written notice that such Majority Lenders do not accept such amendment.</w:t>
      </w:r>
    </w:p>
    <w:p>
      <w:pPr>
        <w:spacing w:after="0" w:line="166" w:lineRule="exact"/>
        <w:rPr>
          <w:sz w:val="20"/>
          <w:szCs w:val="20"/>
          <w:color w:val="auto"/>
        </w:rPr>
      </w:pPr>
    </w:p>
    <w:p>
      <w:pPr>
        <w:jc w:val="both"/>
        <w:ind w:left="1300" w:hanging="644"/>
        <w:spacing w:after="0" w:line="293"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no LIBO Successor Rate has been determined and the circumstances under Section 3.08(1)(a) above exist or a LIBOR Scheduled Unavailability Date has occurred (as applicable), the Administrative Agent will promptly so notify the Borrowers and each Lender. Thereafter, the obligation of the Lenders to make or maintain LIBOR Advances shall be suspended (to the extent of the affected LIBOR Advances or Interest Periods). Upon receipt of such notice, a Borrower may revoke any pending request for an Advance of, conversion to or rollover of LIBOR Advances (to the extent of the affected LIBOR Advances or Interest Periods) or, failing that, will be deemed to have converted such request into a request for U.S. Base Rate Advances in the amount specified therein.</w:t>
      </w:r>
    </w:p>
    <w:p>
      <w:pPr>
        <w:spacing w:after="0" w:line="164"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Notwithstanding anything else herein, any definition of the LIBO Successor Rate (exclusive of any margin) shall provide that in no event shall such LIBO Successor Rate be less than zero for the purposes of this Agreement.”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Qualified Financial Contract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Credit Agreement is hereby amended by adding the following Article 24:</w:t>
      </w:r>
    </w:p>
    <w:p>
      <w:pPr>
        <w:spacing w:after="0" w:line="221"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 24</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QUALIFIED FINANCIAL CONTRACT MATTERS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24.01 Acknowledgment Regarding Any Supported QFCs</w:t>
      </w:r>
    </w:p>
    <w:p>
      <w:pPr>
        <w:spacing w:after="0" w:line="229"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To the extent that the Credit Documents provide support, through a guarantee or otherwise, for any Hedge Obligation or any other agreement or instrument that is a QFC (such support, “</w:t>
      </w:r>
      <w:r>
        <w:rPr>
          <w:rFonts w:ascii="Arial" w:cs="Arial" w:eastAsia="Arial" w:hAnsi="Arial"/>
          <w:sz w:val="18"/>
          <w:szCs w:val="18"/>
          <w:b w:val="1"/>
          <w:bCs w:val="1"/>
          <w:color w:val="auto"/>
        </w:rPr>
        <w:t>QFC Credit Support</w:t>
      </w:r>
      <w:r>
        <w:rPr>
          <w:rFonts w:ascii="Arial" w:cs="Arial" w:eastAsia="Arial" w:hAnsi="Arial"/>
          <w:sz w:val="18"/>
          <w:szCs w:val="18"/>
          <w:color w:val="auto"/>
        </w:rPr>
        <w:t>”, and each such QFC, a “</w:t>
      </w:r>
      <w:r>
        <w:rPr>
          <w:rFonts w:ascii="Arial" w:cs="Arial" w:eastAsia="Arial" w:hAnsi="Arial"/>
          <w:sz w:val="18"/>
          <w:szCs w:val="18"/>
          <w:b w:val="1"/>
          <w:bCs w:val="1"/>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b w:val="1"/>
          <w:bCs w:val="1"/>
          <w:color w:val="auto"/>
        </w:rPr>
        <w:t>U.S. Special</w:t>
      </w:r>
      <w:r>
        <w:rPr>
          <w:rFonts w:ascii="Arial" w:cs="Arial" w:eastAsia="Arial" w:hAnsi="Arial"/>
          <w:sz w:val="18"/>
          <w:szCs w:val="18"/>
          <w:color w:val="auto"/>
        </w:rPr>
        <w:t xml:space="preserve"> </w:t>
      </w:r>
      <w:r>
        <w:rPr>
          <w:rFonts w:ascii="Arial" w:cs="Arial" w:eastAsia="Arial" w:hAnsi="Arial"/>
          <w:sz w:val="18"/>
          <w:szCs w:val="18"/>
          <w:b w:val="1"/>
          <w:bCs w:val="1"/>
          <w:color w:val="auto"/>
        </w:rPr>
        <w:t>Resolution Regimes</w:t>
      </w:r>
      <w:r>
        <w:rPr>
          <w:rFonts w:ascii="Arial" w:cs="Arial" w:eastAsia="Arial" w:hAnsi="Arial"/>
          <w:sz w:val="18"/>
          <w:szCs w:val="18"/>
          <w:color w:val="auto"/>
        </w:rPr>
        <w:t>”) in respect of such Supported QFC and QFC Credit Support (with the provisions below applicable notwithstanding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Credit Documents and any Supported QFC may in fact be stated to be governed by the laws of the State of New York and/or of the United States or any other state of the United States):</w:t>
      </w:r>
    </w:p>
    <w:p>
      <w:pPr>
        <w:sectPr>
          <w:pgSz w:w="11900" w:h="16838" w:orient="portrait"/>
          <w:cols w:equalWidth="0" w:num="1">
            <w:col w:w="11240"/>
          </w:cols>
          <w:pgMar w:left="320" w:top="341" w:right="339" w:bottom="1440" w:gutter="0" w:footer="0" w:header="0"/>
        </w:sectPr>
      </w:pPr>
    </w:p>
    <w:bookmarkStart w:id="52" w:name="page53"/>
    <w:bookmarkEnd w:id="52"/>
    <w:p>
      <w:pPr>
        <w:jc w:val="both"/>
        <w:ind w:left="1300" w:hanging="644"/>
        <w:spacing w:after="0" w:line="274"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b w:val="1"/>
          <w:bCs w:val="1"/>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w:t>
      </w:r>
    </w:p>
    <w:p>
      <w:pPr>
        <w:spacing w:after="0" w:line="177" w:lineRule="exact"/>
        <w:rPr>
          <w:rFonts w:ascii="Arial" w:cs="Arial" w:eastAsia="Arial" w:hAnsi="Arial"/>
          <w:sz w:val="17"/>
          <w:szCs w:val="17"/>
          <w:color w:val="auto"/>
        </w:rPr>
      </w:pPr>
    </w:p>
    <w:p>
      <w:pPr>
        <w:jc w:val="both"/>
        <w:ind w:left="1300" w:hanging="644"/>
        <w:spacing w:after="0" w:line="25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w:t>
      </w:r>
    </w:p>
    <w:p>
      <w:pPr>
        <w:spacing w:after="0" w:line="183"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161" w:lineRule="exact"/>
        <w:rPr>
          <w:rFonts w:ascii="Arial" w:cs="Arial" w:eastAsia="Arial" w:hAnsi="Arial"/>
          <w:sz w:val="18"/>
          <w:szCs w:val="18"/>
          <w:color w:val="auto"/>
        </w:rPr>
      </w:pPr>
    </w:p>
    <w:p>
      <w:pPr>
        <w:jc w:val="both"/>
        <w:ind w:left="1300"/>
        <w:spacing w:after="0" w:line="26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5" w:lineRule="exact"/>
        <w:rPr>
          <w:rFonts w:ascii="Arial" w:cs="Arial" w:eastAsia="Arial" w:hAnsi="Arial"/>
          <w:sz w:val="18"/>
          <w:szCs w:val="18"/>
          <w:color w:val="auto"/>
        </w:rPr>
      </w:pPr>
    </w:p>
    <w:p>
      <w:pPr>
        <w:ind w:left="130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61" w:lineRule="exact"/>
        <w:rPr>
          <w:rFonts w:ascii="Arial" w:cs="Arial" w:eastAsia="Arial" w:hAnsi="Arial"/>
          <w:sz w:val="18"/>
          <w:szCs w:val="18"/>
          <w:color w:val="auto"/>
        </w:rPr>
      </w:pPr>
    </w:p>
    <w:p>
      <w:pPr>
        <w:ind w:left="1300" w:right="2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QFC</w:t>
      </w:r>
      <w:r>
        <w:rPr>
          <w:rFonts w:ascii="Arial" w:cs="Arial" w:eastAsia="Arial" w:hAnsi="Arial"/>
          <w:sz w:val="18"/>
          <w:szCs w:val="18"/>
          <w:color w:val="auto"/>
        </w:rPr>
        <w:t>” has the meaning assigned to the term “qualified financial contract” in, and shall be interpreted in accordance with, 12 U.S.C. 5390(c)(8)(D).”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REPRESENTAIONS AND WARRANTIES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Representations and Warranties</w:t>
      </w:r>
    </w:p>
    <w:p>
      <w:pPr>
        <w:spacing w:after="0" w:line="22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Each of the Parent GP and the Loan Parties represents and warrants that the representations and warranties contained in Section 7.01 of the Credit Agreement continue to be true and correct as if made on and as of the date hereof except for those changes to the representations and warranties which have been disclosed to and accepted by the Administrative Agent and the Lenders pursuant to Section 18.01 of the Credit Agreement and any representation and warranty which is stated to be made only as of a certain date (and then as of such date). Each of the Parent GP and the Loan Parties further represents and warrants that:</w:t>
      </w:r>
    </w:p>
    <w:p>
      <w:pPr>
        <w:spacing w:after="0" w:line="188"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or would exist after giving effect to the amendments contemplated hereto;</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it has all requisite corporate, partnership or other power and authority to enter into and perform its obligations under this Amendment;</w:t>
      </w:r>
    </w:p>
    <w:p>
      <w:pPr>
        <w:spacing w:after="0" w:line="248"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execution, delivery and performance of this Amendment has been duly authorized by all corporate, partnership or other analogous actions required and this Amendment has been duly executed and</w:t>
      </w:r>
    </w:p>
    <w:p>
      <w:pPr>
        <w:sectPr>
          <w:pgSz w:w="11900" w:h="16838" w:orient="portrait"/>
          <w:cols w:equalWidth="0" w:num="1">
            <w:col w:w="11240"/>
          </w:cols>
          <w:pgMar w:left="320" w:top="337" w:right="339" w:bottom="1440" w:gutter="0" w:footer="0" w:header="0"/>
        </w:sectPr>
      </w:pPr>
    </w:p>
    <w:bookmarkStart w:id="53" w:name="page54"/>
    <w:bookmarkEnd w:id="53"/>
    <w:p>
      <w:pPr>
        <w:jc w:val="both"/>
        <w:ind w:left="1300"/>
        <w:spacing w:after="0" w:line="311" w:lineRule="auto"/>
        <w:rPr>
          <w:sz w:val="20"/>
          <w:szCs w:val="20"/>
          <w:color w:val="auto"/>
        </w:rPr>
      </w:pPr>
      <w:r>
        <w:rPr>
          <w:rFonts w:ascii="Arial" w:cs="Arial" w:eastAsia="Arial" w:hAnsi="Arial"/>
          <w:sz w:val="16"/>
          <w:szCs w:val="16"/>
          <w:color w:val="auto"/>
        </w:rPr>
        <w:t>delivered by it, and constitutes a legal, valid and binding obligation enforceable against it in accordance with its terms, subject only to any limitations under Laws relating to (i) bankruptcy, insolvency, reorganization, moratorium or similar Laws affecting creditors’ rights generally; and (ii) general equitable principles including the discretion that a court may exercise in granting of equitable remedies; and</w:t>
      </w:r>
    </w:p>
    <w:p>
      <w:pPr>
        <w:spacing w:after="0" w:line="149" w:lineRule="exact"/>
        <w:rPr>
          <w:sz w:val="20"/>
          <w:szCs w:val="20"/>
          <w:color w:val="auto"/>
        </w:rPr>
      </w:pPr>
    </w:p>
    <w:p>
      <w:pPr>
        <w:jc w:val="both"/>
        <w:ind w:left="1300" w:hanging="644"/>
        <w:spacing w:after="0" w:line="274"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execution and delivery of this Amendment and the performance of its obligations hereunder and compliance with the terms, conditions and provisions hereof, will not (i) conflict with or result in a breach of any of the material terms, conditions or provisions of</w:t>
      </w:r>
    </w:p>
    <w:p>
      <w:pPr>
        <w:jc w:val="both"/>
        <w:ind w:left="1300" w:firstLine="4"/>
        <w:spacing w:after="0" w:line="252" w:lineRule="auto"/>
        <w:tabs>
          <w:tab w:leader="none" w:pos="157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its partnership agreement or other constating documents, as applicable, or by laws, (b) any Law, (c) any Material Agreement or Material Permit, or (d) any judgment, injunction, determination or award which is binding on it; or (ii) result in, require or permit (x) the imposition of any Encumbrance in, on or with respect to the Assets now owned or hereafter acquired by it (other than pursuant to the Security Documents or which is a Permitted Encumbrance), (y) the acceleration of the maturity of any material Debt binding on or affecting it, or (z) any third party to terminate or acquire any rights materially adverse to Parent GP or the applicable Loan Party under any Material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CONFIRMATION OF SECURITY</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Confirmation of Security Documents</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Each of the Parent GP, the Borrowers and the other Loan Parties hereby acknowledges and confirms that each Security Document to which it is a party:</w:t>
      </w:r>
    </w:p>
    <w:p>
      <w:pPr>
        <w:spacing w:after="0" w:line="170" w:lineRule="exact"/>
        <w:rPr>
          <w:sz w:val="20"/>
          <w:szCs w:val="20"/>
          <w:color w:val="auto"/>
        </w:rPr>
      </w:pPr>
    </w:p>
    <w:p>
      <w:pPr>
        <w:ind w:left="1300" w:right="2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and shall remain in full force and effect in all respects, notwithstanding the amendments and supplements to the Credit Agreement made pursuant to this Amendment, and has not been amended, terminated, discharged or released;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constitutes a legal, valid and binding obligation of the undersigned, enforceable against the undersigned in accordance with its terms; and</w:t>
      </w:r>
    </w:p>
    <w:p>
      <w:pPr>
        <w:spacing w:after="0" w:line="248" w:lineRule="exact"/>
        <w:rPr>
          <w:rFonts w:ascii="Arial" w:cs="Arial" w:eastAsia="Arial" w:hAnsi="Arial"/>
          <w:sz w:val="16"/>
          <w:szCs w:val="16"/>
          <w:color w:val="auto"/>
        </w:rPr>
      </w:pPr>
    </w:p>
    <w:p>
      <w:pPr>
        <w:jc w:val="both"/>
        <w:ind w:left="1300" w:hanging="644"/>
        <w:spacing w:after="0" w:line="311"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shall, together with that portion of the Security constituted thereby, continue to exist and apply to all of the Guaranteed Obligations and other obligations of the undersigned including, without limitation, any and all obligations, liabilities and indebtedness of the undersigned pursuant to Accommodations or otherwise outstanding under the Credit Agreement and the other Credit Documents to which it is a party.</w:t>
      </w:r>
    </w:p>
    <w:p>
      <w:pPr>
        <w:spacing w:after="0" w:line="14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Nature of Acknowledgements</w:t>
      </w:r>
    </w:p>
    <w:p>
      <w:pPr>
        <w:spacing w:after="0" w:line="229"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The foregoing acknowledgements and confirmations (i) are in addition to and shall not limit, derogate from or otherwise affect any provisions of the Credit Agreement or the other Credit Documents, and (ii) do not serve as an acknowledgment by any of the Lenders or the Administrative Agent that, in the event of a future change to the constitution of any Loan Party, any material change to the terms of the Credit Agreement or the other Credit Documents or any other change of circumstances, a similar acknowledgment and confirmation need be entered into.</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Further Assurances</w:t>
      </w:r>
    </w:p>
    <w:p>
      <w:pPr>
        <w:spacing w:after="0" w:line="22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parties hereto shall from time to time do all such further acts and things and execute and deliver all such documents as are required in order to effect the full intent of and fully perform and carry out the terms of this Agreement.</w:t>
      </w:r>
    </w:p>
    <w:p>
      <w:pPr>
        <w:sectPr>
          <w:pgSz w:w="11900" w:h="16838" w:orient="portrait"/>
          <w:cols w:equalWidth="0" w:num="1">
            <w:col w:w="11240"/>
          </w:cols>
          <w:pgMar w:left="320" w:top="341"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effectiveness of this Amendment is subject to the satisfaction of the following conditions precedent:</w:t>
      </w:r>
    </w:p>
    <w:p>
      <w:pPr>
        <w:spacing w:after="0" w:line="225"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Administrative Agent shall have received a copy of this Amendment duly executed by all parties hereto;</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Administrative Agent shall have received, on behalf of the Lenders, payment in full from the Borrowers of all fees relating to the Amendment;</w:t>
      </w:r>
    </w:p>
    <w:p>
      <w:pPr>
        <w:spacing w:after="0" w:line="170" w:lineRule="exact"/>
        <w:rPr>
          <w:rFonts w:ascii="Arial" w:cs="Arial" w:eastAsia="Arial" w:hAnsi="Arial"/>
          <w:sz w:val="18"/>
          <w:szCs w:val="18"/>
          <w:color w:val="auto"/>
        </w:rPr>
      </w:pPr>
    </w:p>
    <w:p>
      <w:pPr>
        <w:jc w:val="both"/>
        <w:ind w:left="1300" w:hanging="644"/>
        <w:spacing w:after="0" w:line="311"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each of the Borrowers shall have delivered to the Administrative Agent evidence of the corporate or partnership authority of each such party to execute, deliver and perform its obligations under the Amendment, and, as applicable, all other agreements and documents executed by such party in connection therewith, all in form and substance satisfactory to the Administrative Agent and the Lenders;</w:t>
      </w:r>
    </w:p>
    <w:p>
      <w:pPr>
        <w:spacing w:after="0" w:line="148" w:lineRule="exact"/>
        <w:rPr>
          <w:rFonts w:ascii="Arial" w:cs="Arial" w:eastAsia="Arial" w:hAnsi="Arial"/>
          <w:sz w:val="16"/>
          <w:szCs w:val="16"/>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and</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representations and warranties set out in the Credit Documents and this Amendment shall be true and correct as if made on and as of the date hereof except for those changes to the representations and warranties which have been disclosed to and accepted by the Administrative Agent and the Lenders pursuant to Section 18.01 of the Credit Agreement and any representation and warranty which is stated to be made only as of a certain date (and then as of such date).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color w:val="auto"/>
        </w:rPr>
        <w:t>Benefits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Amendment shall be binding upon and shall inure to the benefit of the parties hereto and their respective permitted successors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assigns.</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References to the Credit Agreement</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As of and from the effective date of this Amendment, each reference to the “Credit Agreement” in any of the Credit Documents (including the Credit Agreement) shall be deemed to be a reference to the Credit Agreement, as amended by this Amendment.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Governing Law</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This Amendment and the rights and obligations of the parties hereunder shall be construed in accordance with and governed by the laws of the Province of British Columbia and the federal laws of Canada applicable therein.</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Credit Document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Amendment shall be a Credit Document.</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Limited Effect</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Except as expressly provided herein, all of the terms and provisions of the Credit Agreement are and shall remain in full force and effect and are hereby ratified and confirmed by the Borrowers.</w:t>
      </w:r>
    </w:p>
    <w:p>
      <w:pPr>
        <w:sectPr>
          <w:pgSz w:w="11900" w:h="16838" w:orient="portrait"/>
          <w:cols w:equalWidth="0" w:num="1">
            <w:col w:w="11240"/>
          </w:cols>
          <w:pgMar w:left="320" w:top="553" w:right="339" w:bottom="1440" w:gutter="0" w:footer="0" w:header="0"/>
        </w:sectPr>
      </w:pPr>
    </w:p>
    <w:bookmarkStart w:id="55" w:name="page56"/>
    <w:bookmarkEnd w:id="55"/>
    <w:p>
      <w:pPr>
        <w:spacing w:after="0"/>
        <w:tabs>
          <w:tab w:leader="none" w:pos="128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Counterparts</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This Amendment may be executed in any number of counterparts, including by facsimile or portable document format, each of which shall be deemed to be an original.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1220"/>
          </w:cols>
          <w:pgMar w:left="320" w:top="337"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IN WITNESS WHEREOF, the parties hereto have caused this Amendment to be executed as of the date first above written.</w:t>
      </w:r>
    </w:p>
    <w:p>
      <w:pPr>
        <w:spacing w:after="0" w:line="200" w:lineRule="exact"/>
        <w:rPr>
          <w:sz w:val="20"/>
          <w:szCs w:val="20"/>
          <w:color w:val="auto"/>
        </w:rPr>
      </w:pPr>
    </w:p>
    <w:p>
      <w:pPr>
        <w:spacing w:after="0" w:line="399"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WHISTLER MOUNTAIN RESORT LIMITED</w:t>
      </w:r>
    </w:p>
    <w:p>
      <w:pPr>
        <w:spacing w:after="0" w:line="27" w:lineRule="exact"/>
        <w:rPr>
          <w:sz w:val="20"/>
          <w:szCs w:val="20"/>
          <w:color w:val="auto"/>
        </w:rPr>
      </w:pPr>
    </w:p>
    <w:p>
      <w:pPr>
        <w:ind w:left="6240"/>
        <w:spacing w:after="0"/>
        <w:rPr>
          <w:sz w:val="20"/>
          <w:szCs w:val="20"/>
          <w:color w:val="auto"/>
        </w:rPr>
      </w:pPr>
      <w:r>
        <w:rPr>
          <w:rFonts w:ascii="Arial" w:cs="Arial" w:eastAsia="Arial" w:hAnsi="Arial"/>
          <w:sz w:val="17"/>
          <w:szCs w:val="17"/>
          <w:b w:val="1"/>
          <w:bCs w:val="1"/>
          <w:color w:val="auto"/>
        </w:rPr>
        <w:t>PARTNERSHIP</w:t>
      </w:r>
      <w:r>
        <w:rPr>
          <w:rFonts w:ascii="Arial" w:cs="Arial" w:eastAsia="Arial" w:hAnsi="Arial"/>
          <w:sz w:val="17"/>
          <w:szCs w:val="17"/>
          <w:color w:val="auto"/>
        </w:rPr>
        <w:t>, by its general partner,</w:t>
      </w:r>
      <w:r>
        <w:rPr>
          <w:rFonts w:ascii="Arial" w:cs="Arial" w:eastAsia="Arial" w:hAnsi="Arial"/>
          <w:sz w:val="17"/>
          <w:szCs w:val="17"/>
          <w:b w:val="1"/>
          <w:bCs w:val="1"/>
          <w:color w:val="auto"/>
        </w:rPr>
        <w:t xml:space="preserve"> WHISTLER</w:t>
      </w:r>
    </w:p>
    <w:p>
      <w:pPr>
        <w:spacing w:after="0" w:line="21"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BLACKCOMB HOLDINGS INC.</w:t>
      </w:r>
      <w:r>
        <w:rPr>
          <w:rFonts w:ascii="Arial" w:cs="Arial" w:eastAsia="Arial" w:hAnsi="Arial"/>
          <w:sz w:val="18"/>
          <w:szCs w:val="18"/>
          <w:color w:val="auto"/>
        </w:rPr>
        <w:t>, as Borrower</w:t>
      </w:r>
    </w:p>
    <w:p>
      <w:pPr>
        <w:spacing w:after="0" w:line="265" w:lineRule="exact"/>
        <w:rPr>
          <w:sz w:val="20"/>
          <w:szCs w:val="20"/>
          <w:color w:val="auto"/>
        </w:rPr>
      </w:pPr>
    </w:p>
    <w:p>
      <w:pPr>
        <w:ind w:left="624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Michael Barkin</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CFO and EVP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BLACKCOMB SKIING ENTERPRISES LIMITED</w:t>
      </w:r>
    </w:p>
    <w:p>
      <w:pPr>
        <w:spacing w:after="0" w:line="27" w:lineRule="exact"/>
        <w:rPr>
          <w:sz w:val="20"/>
          <w:szCs w:val="20"/>
          <w:color w:val="auto"/>
        </w:rPr>
      </w:pPr>
    </w:p>
    <w:p>
      <w:pPr>
        <w:ind w:left="6240"/>
        <w:spacing w:after="0"/>
        <w:rPr>
          <w:sz w:val="20"/>
          <w:szCs w:val="20"/>
          <w:color w:val="auto"/>
        </w:rPr>
      </w:pPr>
      <w:r>
        <w:rPr>
          <w:rFonts w:ascii="Arial" w:cs="Arial" w:eastAsia="Arial" w:hAnsi="Arial"/>
          <w:sz w:val="17"/>
          <w:szCs w:val="17"/>
          <w:b w:val="1"/>
          <w:bCs w:val="1"/>
          <w:color w:val="auto"/>
        </w:rPr>
        <w:t>PARTNERSHIP</w:t>
      </w:r>
      <w:r>
        <w:rPr>
          <w:rFonts w:ascii="Arial" w:cs="Arial" w:eastAsia="Arial" w:hAnsi="Arial"/>
          <w:sz w:val="17"/>
          <w:szCs w:val="17"/>
          <w:color w:val="auto"/>
        </w:rPr>
        <w:t>, by its general partner,</w:t>
      </w:r>
      <w:r>
        <w:rPr>
          <w:rFonts w:ascii="Arial" w:cs="Arial" w:eastAsia="Arial" w:hAnsi="Arial"/>
          <w:sz w:val="17"/>
          <w:szCs w:val="17"/>
          <w:b w:val="1"/>
          <w:bCs w:val="1"/>
          <w:color w:val="auto"/>
        </w:rPr>
        <w:t xml:space="preserve"> WHISTLER</w:t>
      </w:r>
    </w:p>
    <w:p>
      <w:pPr>
        <w:spacing w:after="0" w:line="21"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BLACKCOMB HOLDINGS INC.</w:t>
      </w:r>
      <w:r>
        <w:rPr>
          <w:rFonts w:ascii="Arial" w:cs="Arial" w:eastAsia="Arial" w:hAnsi="Arial"/>
          <w:sz w:val="18"/>
          <w:szCs w:val="18"/>
          <w:color w:val="auto"/>
        </w:rPr>
        <w:t>, as Borrower</w:t>
      </w:r>
    </w:p>
    <w:p>
      <w:pPr>
        <w:spacing w:after="0" w:line="265" w:lineRule="exact"/>
        <w:rPr>
          <w:sz w:val="20"/>
          <w:szCs w:val="20"/>
          <w:color w:val="auto"/>
        </w:rPr>
      </w:pPr>
    </w:p>
    <w:p>
      <w:pPr>
        <w:ind w:left="6240"/>
        <w:spacing w:after="0"/>
        <w:tabs>
          <w:tab w:leader="none" w:pos="6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31750</wp:posOffset>
            </wp:positionV>
            <wp:extent cx="27774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Title: CFO and EVP</w:t>
      </w:r>
    </w:p>
    <w:p>
      <w:pPr>
        <w:sectPr>
          <w:pgSz w:w="11900" w:h="16838" w:orient="portrait"/>
          <w:cols w:equalWidth="0" w:num="1">
            <w:col w:w="10260"/>
          </w:cols>
          <w:pgMar w:left="320" w:top="598" w:right="1319" w:bottom="1440" w:gutter="0" w:footer="0" w:header="0"/>
        </w:sectPr>
      </w:pPr>
    </w:p>
    <w:bookmarkStart w:id="57" w:name="page58"/>
    <w:bookmarkEnd w:id="57"/>
    <w:p>
      <w:pPr>
        <w:ind w:left="5000"/>
        <w:spacing w:after="0"/>
        <w:rPr>
          <w:sz w:val="20"/>
          <w:szCs w:val="20"/>
          <w:color w:val="auto"/>
        </w:rPr>
      </w:pPr>
      <w:r>
        <w:rPr>
          <w:rFonts w:ascii="Arial" w:cs="Arial" w:eastAsia="Arial" w:hAnsi="Arial"/>
          <w:sz w:val="17"/>
          <w:szCs w:val="17"/>
          <w:b w:val="1"/>
          <w:bCs w:val="1"/>
          <w:color w:val="auto"/>
        </w:rPr>
        <w:t>THE TORONTO-DOMINION BANK</w:t>
      </w:r>
      <w:r>
        <w:rPr>
          <w:rFonts w:ascii="Arial" w:cs="Arial" w:eastAsia="Arial" w:hAnsi="Arial"/>
          <w:sz w:val="17"/>
          <w:szCs w:val="17"/>
          <w:color w:val="auto"/>
        </w:rPr>
        <w:t>, as Administrative Agent</w:t>
      </w:r>
    </w:p>
    <w:p>
      <w:pPr>
        <w:spacing w:after="0" w:line="295" w:lineRule="exact"/>
        <w:rPr>
          <w:sz w:val="20"/>
          <w:szCs w:val="20"/>
          <w:color w:val="auto"/>
        </w:rPr>
      </w:pPr>
    </w:p>
    <w:p>
      <w:pPr>
        <w:ind w:left="500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Feroz Haq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31750</wp:posOffset>
            </wp:positionV>
            <wp:extent cx="29229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Feroz Haq</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Director, Loan Syndications - Agency</w:t>
      </w:r>
    </w:p>
    <w:p>
      <w:pPr>
        <w:sectPr>
          <w:pgSz w:w="11900" w:h="16838" w:orient="portrait"/>
          <w:cols w:equalWidth="0" w:num="1">
            <w:col w:w="9780"/>
          </w:cols>
          <w:pgMar w:left="1440" w:top="972" w:right="679" w:bottom="1440" w:gutter="0" w:footer="0" w:header="0"/>
        </w:sectPr>
      </w:pPr>
    </w:p>
    <w:bookmarkStart w:id="58" w:name="page59"/>
    <w:bookmarkEnd w:id="58"/>
    <w:p>
      <w:pPr>
        <w:ind w:left="5000"/>
        <w:spacing w:after="0"/>
        <w:rPr>
          <w:sz w:val="20"/>
          <w:szCs w:val="20"/>
          <w:color w:val="auto"/>
        </w:rPr>
      </w:pPr>
      <w:r>
        <w:rPr>
          <w:rFonts w:ascii="Arial" w:cs="Arial" w:eastAsia="Arial" w:hAnsi="Arial"/>
          <w:sz w:val="18"/>
          <w:szCs w:val="18"/>
          <w:b w:val="1"/>
          <w:bCs w:val="1"/>
          <w:color w:val="auto"/>
        </w:rPr>
        <w:t>THE TORONTO-DOMINION BANK</w:t>
      </w:r>
      <w:r>
        <w:rPr>
          <w:rFonts w:ascii="Arial" w:cs="Arial" w:eastAsia="Arial" w:hAnsi="Arial"/>
          <w:sz w:val="18"/>
          <w:szCs w:val="18"/>
          <w:color w:val="auto"/>
        </w:rPr>
        <w:t>, as Lender</w:t>
      </w:r>
    </w:p>
    <w:p>
      <w:pPr>
        <w:spacing w:after="0" w:line="283" w:lineRule="exact"/>
        <w:rPr>
          <w:sz w:val="20"/>
          <w:szCs w:val="20"/>
          <w:color w:val="auto"/>
        </w:rPr>
      </w:pPr>
    </w:p>
    <w:tbl>
      <w:tblPr>
        <w:tblLayout w:type="fixed"/>
        <w:tblInd w:w="50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Pr>
          <w:p>
            <w:pPr>
              <w:ind w:left="20"/>
              <w:spacing w:after="0"/>
              <w:rPr>
                <w:sz w:val="20"/>
                <w:szCs w:val="20"/>
                <w:color w:val="auto"/>
              </w:rPr>
            </w:pPr>
            <w:r>
              <w:rPr>
                <w:rFonts w:ascii="Arial" w:cs="Arial" w:eastAsia="Arial" w:hAnsi="Arial"/>
                <w:sz w:val="18"/>
                <w:szCs w:val="18"/>
                <w:color w:val="auto"/>
              </w:rPr>
              <w:t>/s/ Rahim Kabani</w:t>
            </w:r>
          </w:p>
        </w:tc>
      </w:tr>
      <w:tr>
        <w:trPr>
          <w:trHeight w:val="27"/>
        </w:trPr>
        <w:tc>
          <w:tcPr>
            <w:tcW w:w="64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Rahim Kabani</w:t>
            </w:r>
          </w:p>
        </w:tc>
      </w:tr>
      <w:tr>
        <w:trPr>
          <w:trHeight w:val="270"/>
        </w:trPr>
        <w:tc>
          <w:tcPr>
            <w:tcW w:w="64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Managing Director</w:t>
            </w:r>
          </w:p>
        </w:tc>
      </w:tr>
      <w:tr>
        <w:trPr>
          <w:trHeight w:val="60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Pr>
          <w:p>
            <w:pPr>
              <w:ind w:left="20"/>
              <w:spacing w:after="0"/>
              <w:rPr>
                <w:sz w:val="20"/>
                <w:szCs w:val="20"/>
                <w:color w:val="auto"/>
              </w:rPr>
            </w:pPr>
            <w:r>
              <w:rPr>
                <w:rFonts w:ascii="Arial" w:cs="Arial" w:eastAsia="Arial" w:hAnsi="Arial"/>
                <w:sz w:val="18"/>
                <w:szCs w:val="18"/>
                <w:color w:val="auto"/>
              </w:rPr>
              <w:t>/s/ Ben Montgomery</w:t>
            </w:r>
          </w:p>
        </w:tc>
      </w:tr>
      <w:tr>
        <w:trPr>
          <w:trHeight w:val="27"/>
        </w:trPr>
        <w:tc>
          <w:tcPr>
            <w:tcW w:w="64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Ben Montgomery</w:t>
            </w:r>
          </w:p>
        </w:tc>
      </w:tr>
      <w:tr>
        <w:trPr>
          <w:trHeight w:val="270"/>
        </w:trPr>
        <w:tc>
          <w:tcPr>
            <w:tcW w:w="64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360"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BANK OF AMERICA, N.A., CANADA BRANCH</w:t>
      </w:r>
      <w:r>
        <w:rPr>
          <w:rFonts w:ascii="Arial" w:cs="Arial" w:eastAsia="Arial" w:hAnsi="Arial"/>
          <w:sz w:val="18"/>
          <w:szCs w:val="18"/>
          <w:color w:val="auto"/>
        </w:rPr>
        <w:t>, as Lender</w:t>
      </w:r>
    </w:p>
    <w:p>
      <w:pPr>
        <w:spacing w:after="0" w:line="283" w:lineRule="exact"/>
        <w:rPr>
          <w:sz w:val="20"/>
          <w:szCs w:val="20"/>
          <w:color w:val="auto"/>
        </w:rPr>
      </w:pPr>
    </w:p>
    <w:tbl>
      <w:tblPr>
        <w:tblLayout w:type="fixed"/>
        <w:tblInd w:w="50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Pr>
          <w:p>
            <w:pPr>
              <w:ind w:left="20"/>
              <w:spacing w:after="0"/>
              <w:rPr>
                <w:sz w:val="20"/>
                <w:szCs w:val="20"/>
                <w:color w:val="auto"/>
              </w:rPr>
            </w:pPr>
            <w:r>
              <w:rPr>
                <w:rFonts w:ascii="Arial" w:cs="Arial" w:eastAsia="Arial" w:hAnsi="Arial"/>
                <w:sz w:val="18"/>
                <w:szCs w:val="18"/>
                <w:color w:val="auto"/>
              </w:rPr>
              <w:t>/s/ David Rafferty</w:t>
            </w:r>
          </w:p>
        </w:tc>
      </w:tr>
      <w:tr>
        <w:trPr>
          <w:trHeight w:val="27"/>
        </w:trPr>
        <w:tc>
          <w:tcPr>
            <w:tcW w:w="64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Vice President</w:t>
            </w:r>
          </w:p>
        </w:tc>
      </w:tr>
      <w:tr>
        <w:trPr>
          <w:trHeight w:val="608"/>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BANK OF MONTREAL</w:t>
            </w:r>
            <w:r>
              <w:rPr>
                <w:rFonts w:ascii="Arial" w:cs="Arial" w:eastAsia="Arial" w:hAnsi="Arial"/>
                <w:sz w:val="18"/>
                <w:szCs w:val="18"/>
                <w:color w:val="auto"/>
              </w:rPr>
              <w:t>, as Lender</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Pr>
          <w:p>
            <w:pPr>
              <w:ind w:left="20"/>
              <w:spacing w:after="0"/>
              <w:rPr>
                <w:sz w:val="20"/>
                <w:szCs w:val="20"/>
                <w:color w:val="auto"/>
              </w:rPr>
            </w:pPr>
            <w:r>
              <w:rPr>
                <w:rFonts w:ascii="Arial" w:cs="Arial" w:eastAsia="Arial" w:hAnsi="Arial"/>
                <w:sz w:val="18"/>
                <w:szCs w:val="18"/>
                <w:color w:val="auto"/>
              </w:rPr>
              <w:t>/s/ Doug Mills</w:t>
            </w:r>
          </w:p>
        </w:tc>
      </w:tr>
      <w:tr>
        <w:trPr>
          <w:trHeight w:val="27"/>
        </w:trPr>
        <w:tc>
          <w:tcPr>
            <w:tcW w:w="64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Doug Mills</w:t>
            </w:r>
          </w:p>
        </w:tc>
      </w:tr>
      <w:tr>
        <w:trPr>
          <w:trHeight w:val="270"/>
        </w:trPr>
        <w:tc>
          <w:tcPr>
            <w:tcW w:w="64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Managing Director - Corporate Finance Division</w:t>
            </w:r>
          </w:p>
        </w:tc>
      </w:tr>
      <w:tr>
        <w:trPr>
          <w:trHeight w:val="60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Pr>
          <w:p>
            <w:pPr>
              <w:ind w:left="20"/>
              <w:spacing w:after="0"/>
              <w:rPr>
                <w:sz w:val="20"/>
                <w:szCs w:val="20"/>
                <w:color w:val="auto"/>
              </w:rPr>
            </w:pPr>
            <w:r>
              <w:rPr>
                <w:rFonts w:ascii="Arial" w:cs="Arial" w:eastAsia="Arial" w:hAnsi="Arial"/>
                <w:sz w:val="18"/>
                <w:szCs w:val="18"/>
                <w:color w:val="auto"/>
              </w:rPr>
              <w:t>/s/ Tony Chong</w:t>
            </w:r>
          </w:p>
        </w:tc>
      </w:tr>
      <w:tr>
        <w:trPr>
          <w:trHeight w:val="27"/>
        </w:trPr>
        <w:tc>
          <w:tcPr>
            <w:tcW w:w="64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Tony Chong</w:t>
            </w:r>
          </w:p>
        </w:tc>
      </w:tr>
      <w:tr>
        <w:trPr>
          <w:trHeight w:val="270"/>
        </w:trPr>
        <w:tc>
          <w:tcPr>
            <w:tcW w:w="64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Director - Corporate Finance Division</w:t>
            </w:r>
          </w:p>
        </w:tc>
      </w:tr>
    </w:tbl>
    <w:p>
      <w:pPr>
        <w:spacing w:after="0" w:line="360"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WELLS FARGO BANK, N.A., CANADIAN BRANCH</w:t>
      </w:r>
      <w:r>
        <w:rPr>
          <w:rFonts w:ascii="Arial" w:cs="Arial" w:eastAsia="Arial" w:hAnsi="Arial"/>
          <w:sz w:val="17"/>
          <w:szCs w:val="17"/>
          <w:color w:val="auto"/>
        </w:rPr>
        <w:t>, as Lender</w:t>
      </w:r>
    </w:p>
    <w:p>
      <w:pPr>
        <w:spacing w:after="0" w:line="295" w:lineRule="exact"/>
        <w:rPr>
          <w:sz w:val="20"/>
          <w:szCs w:val="20"/>
          <w:color w:val="auto"/>
        </w:rPr>
      </w:pPr>
    </w:p>
    <w:tbl>
      <w:tblPr>
        <w:tblLayout w:type="fixed"/>
        <w:tblInd w:w="50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Pr>
          <w:p>
            <w:pPr>
              <w:ind w:left="20"/>
              <w:spacing w:after="0"/>
              <w:rPr>
                <w:sz w:val="20"/>
                <w:szCs w:val="20"/>
                <w:color w:val="auto"/>
              </w:rPr>
            </w:pPr>
            <w:r>
              <w:rPr>
                <w:rFonts w:ascii="Arial" w:cs="Arial" w:eastAsia="Arial" w:hAnsi="Arial"/>
                <w:sz w:val="18"/>
                <w:szCs w:val="18"/>
                <w:color w:val="auto"/>
              </w:rPr>
              <w:t>/s/ Andre-Gilles Charbonneau</w:t>
            </w:r>
          </w:p>
        </w:tc>
      </w:tr>
      <w:tr>
        <w:trPr>
          <w:trHeight w:val="27"/>
        </w:trPr>
        <w:tc>
          <w:tcPr>
            <w:tcW w:w="64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Andre-Gilles Charbonneau</w:t>
            </w:r>
          </w:p>
        </w:tc>
      </w:tr>
      <w:tr>
        <w:trPr>
          <w:trHeight w:val="270"/>
        </w:trPr>
        <w:tc>
          <w:tcPr>
            <w:tcW w:w="64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Vice President</w:t>
            </w:r>
          </w:p>
        </w:tc>
      </w:tr>
      <w:tr>
        <w:trPr>
          <w:trHeight w:val="270"/>
        </w:trPr>
        <w:tc>
          <w:tcPr>
            <w:tcW w:w="64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Wells Fargo Commercial Banking</w:t>
            </w:r>
          </w:p>
        </w:tc>
      </w:tr>
      <w:tr>
        <w:trPr>
          <w:trHeight w:val="608"/>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ROYAL BANK OF CANADA</w:t>
            </w:r>
            <w:r>
              <w:rPr>
                <w:rFonts w:ascii="Arial" w:cs="Arial" w:eastAsia="Arial" w:hAnsi="Arial"/>
                <w:sz w:val="18"/>
                <w:szCs w:val="18"/>
                <w:color w:val="auto"/>
              </w:rPr>
              <w:t>, as Lender</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Pr>
          <w:p>
            <w:pPr>
              <w:ind w:left="20"/>
              <w:spacing w:after="0"/>
              <w:rPr>
                <w:sz w:val="20"/>
                <w:szCs w:val="20"/>
                <w:color w:val="auto"/>
              </w:rPr>
            </w:pPr>
            <w:r>
              <w:rPr>
                <w:rFonts w:ascii="Arial" w:cs="Arial" w:eastAsia="Arial" w:hAnsi="Arial"/>
                <w:sz w:val="18"/>
                <w:szCs w:val="18"/>
                <w:color w:val="auto"/>
              </w:rPr>
              <w:t>/s/ Jenny J. Wang</w:t>
            </w:r>
          </w:p>
        </w:tc>
      </w:tr>
      <w:tr>
        <w:trPr>
          <w:trHeight w:val="27"/>
        </w:trPr>
        <w:tc>
          <w:tcPr>
            <w:tcW w:w="64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Jenny J. Wang</w:t>
            </w:r>
          </w:p>
        </w:tc>
      </w:tr>
      <w:tr>
        <w:trPr>
          <w:trHeight w:val="270"/>
        </w:trPr>
        <w:tc>
          <w:tcPr>
            <w:tcW w:w="64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0120"/>
          </w:cols>
          <w:pgMar w:left="1440" w:top="756" w:right="339" w:bottom="1440" w:gutter="0" w:footer="0" w:header="0"/>
        </w:sectPr>
      </w:pPr>
    </w:p>
    <w:bookmarkStart w:id="59" w:name="page60"/>
    <w:bookmarkEnd w:id="59"/>
    <w:p>
      <w:pPr>
        <w:ind w:left="5000"/>
        <w:spacing w:after="0"/>
        <w:rPr>
          <w:sz w:val="20"/>
          <w:szCs w:val="20"/>
          <w:color w:val="auto"/>
        </w:rPr>
      </w:pPr>
      <w:r>
        <w:rPr>
          <w:rFonts w:ascii="Arial" w:cs="Arial" w:eastAsia="Arial" w:hAnsi="Arial"/>
          <w:sz w:val="18"/>
          <w:szCs w:val="18"/>
          <w:b w:val="1"/>
          <w:bCs w:val="1"/>
          <w:color w:val="auto"/>
        </w:rPr>
        <w:t>CANADIAN IMPERIAL BANK OF COMMERCE</w:t>
      </w:r>
      <w:r>
        <w:rPr>
          <w:rFonts w:ascii="Arial" w:cs="Arial" w:eastAsia="Arial" w:hAnsi="Arial"/>
          <w:sz w:val="18"/>
          <w:szCs w:val="18"/>
          <w:color w:val="auto"/>
        </w:rPr>
        <w:t>, as Lender</w:t>
      </w:r>
    </w:p>
    <w:p>
      <w:pPr>
        <w:spacing w:after="0" w:line="283" w:lineRule="exact"/>
        <w:rPr>
          <w:sz w:val="20"/>
          <w:szCs w:val="20"/>
          <w:color w:val="auto"/>
        </w:rPr>
      </w:pPr>
    </w:p>
    <w:tbl>
      <w:tblPr>
        <w:tblLayout w:type="fixed"/>
        <w:tblInd w:w="50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Pr>
          <w:p>
            <w:pPr>
              <w:ind w:left="20"/>
              <w:spacing w:after="0"/>
              <w:rPr>
                <w:sz w:val="20"/>
                <w:szCs w:val="20"/>
                <w:color w:val="auto"/>
              </w:rPr>
            </w:pPr>
            <w:r>
              <w:rPr>
                <w:rFonts w:ascii="Arial" w:cs="Arial" w:eastAsia="Arial" w:hAnsi="Arial"/>
                <w:sz w:val="18"/>
                <w:szCs w:val="18"/>
                <w:color w:val="auto"/>
              </w:rPr>
              <w:t>/s/ Zee Noorani</w:t>
            </w:r>
          </w:p>
        </w:tc>
      </w:tr>
      <w:tr>
        <w:trPr>
          <w:trHeight w:val="27"/>
        </w:trPr>
        <w:tc>
          <w:tcPr>
            <w:tcW w:w="64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Zee Noorani</w:t>
            </w:r>
          </w:p>
        </w:tc>
      </w:tr>
      <w:tr>
        <w:trPr>
          <w:trHeight w:val="270"/>
        </w:trPr>
        <w:tc>
          <w:tcPr>
            <w:tcW w:w="64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Authorized Signatory</w:t>
            </w:r>
          </w:p>
        </w:tc>
      </w:tr>
      <w:tr>
        <w:trPr>
          <w:trHeight w:val="60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Pr>
          <w:p>
            <w:pPr>
              <w:ind w:left="20"/>
              <w:spacing w:after="0"/>
              <w:rPr>
                <w:sz w:val="20"/>
                <w:szCs w:val="20"/>
                <w:color w:val="auto"/>
              </w:rPr>
            </w:pPr>
            <w:r>
              <w:rPr>
                <w:rFonts w:ascii="Arial" w:cs="Arial" w:eastAsia="Arial" w:hAnsi="Arial"/>
                <w:sz w:val="18"/>
                <w:szCs w:val="18"/>
                <w:color w:val="auto"/>
              </w:rPr>
              <w:t>/s/ Thomas MacGregor</w:t>
            </w:r>
          </w:p>
        </w:tc>
      </w:tr>
      <w:tr>
        <w:trPr>
          <w:trHeight w:val="27"/>
        </w:trPr>
        <w:tc>
          <w:tcPr>
            <w:tcW w:w="64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Thomas MacGregor</w:t>
            </w:r>
          </w:p>
        </w:tc>
      </w:tr>
      <w:tr>
        <w:trPr>
          <w:trHeight w:val="270"/>
        </w:trPr>
        <w:tc>
          <w:tcPr>
            <w:tcW w:w="64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Authorized Signatory</w:t>
            </w:r>
          </w:p>
        </w:tc>
      </w:tr>
    </w:tbl>
    <w:p>
      <w:pPr>
        <w:spacing w:after="0" w:line="360"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FÉDÉRATION DES CAISSES DESJARDINS DU QUÉBEC</w:t>
      </w:r>
      <w:r>
        <w:rPr>
          <w:rFonts w:ascii="Arial" w:cs="Arial" w:eastAsia="Arial" w:hAnsi="Arial"/>
          <w:sz w:val="18"/>
          <w:szCs w:val="18"/>
          <w:color w:val="auto"/>
        </w:rPr>
        <w:t>, as</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Lender</w:t>
      </w:r>
    </w:p>
    <w:p>
      <w:pPr>
        <w:spacing w:after="0" w:line="265" w:lineRule="exact"/>
        <w:rPr>
          <w:sz w:val="20"/>
          <w:szCs w:val="20"/>
          <w:color w:val="auto"/>
        </w:rPr>
      </w:pPr>
    </w:p>
    <w:tbl>
      <w:tblPr>
        <w:tblLayout w:type="fixed"/>
        <w:tblInd w:w="50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Pr>
          <w:p>
            <w:pPr>
              <w:ind w:left="20"/>
              <w:spacing w:after="0"/>
              <w:rPr>
                <w:sz w:val="20"/>
                <w:szCs w:val="20"/>
                <w:color w:val="auto"/>
              </w:rPr>
            </w:pPr>
            <w:r>
              <w:rPr>
                <w:rFonts w:ascii="Arial" w:cs="Arial" w:eastAsia="Arial" w:hAnsi="Arial"/>
                <w:sz w:val="18"/>
                <w:szCs w:val="18"/>
                <w:color w:val="auto"/>
              </w:rPr>
              <w:t>/s/ Oliver Sumugod</w:t>
            </w:r>
          </w:p>
        </w:tc>
      </w:tr>
      <w:tr>
        <w:trPr>
          <w:trHeight w:val="27"/>
        </w:trPr>
        <w:tc>
          <w:tcPr>
            <w:tcW w:w="64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Oliver Sumugod</w:t>
            </w:r>
          </w:p>
        </w:tc>
      </w:tr>
      <w:tr>
        <w:trPr>
          <w:trHeight w:val="270"/>
        </w:trPr>
        <w:tc>
          <w:tcPr>
            <w:tcW w:w="64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60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Pr>
          <w:p>
            <w:pPr>
              <w:ind w:left="20"/>
              <w:spacing w:after="0"/>
              <w:rPr>
                <w:sz w:val="20"/>
                <w:szCs w:val="20"/>
                <w:color w:val="auto"/>
              </w:rPr>
            </w:pPr>
            <w:r>
              <w:rPr>
                <w:rFonts w:ascii="Arial" w:cs="Arial" w:eastAsia="Arial" w:hAnsi="Arial"/>
                <w:sz w:val="18"/>
                <w:szCs w:val="18"/>
                <w:color w:val="auto"/>
              </w:rPr>
              <w:t>/s/ Matt van Remmen</w:t>
            </w:r>
          </w:p>
        </w:tc>
      </w:tr>
      <w:tr>
        <w:trPr>
          <w:trHeight w:val="27"/>
        </w:trPr>
        <w:tc>
          <w:tcPr>
            <w:tcW w:w="64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Matt van Remmen</w:t>
            </w:r>
          </w:p>
        </w:tc>
      </w:tr>
      <w:tr>
        <w:trPr>
          <w:trHeight w:val="270"/>
        </w:trPr>
        <w:tc>
          <w:tcPr>
            <w:tcW w:w="64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Managing Director</w:t>
            </w:r>
          </w:p>
        </w:tc>
      </w:tr>
      <w:tr>
        <w:trPr>
          <w:trHeight w:val="594"/>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HSBC BANK CANADA</w:t>
            </w:r>
            <w:r>
              <w:rPr>
                <w:rFonts w:ascii="Arial" w:cs="Arial" w:eastAsia="Arial" w:hAnsi="Arial"/>
                <w:sz w:val="18"/>
                <w:szCs w:val="18"/>
                <w:color w:val="auto"/>
              </w:rPr>
              <w:t>, as Lender</w:t>
            </w:r>
          </w:p>
        </w:tc>
      </w:tr>
      <w:tr>
        <w:trPr>
          <w:trHeight w:val="486"/>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Pr>
          <w:p>
            <w:pPr>
              <w:ind w:left="20"/>
              <w:spacing w:after="0"/>
              <w:rPr>
                <w:sz w:val="20"/>
                <w:szCs w:val="20"/>
                <w:color w:val="auto"/>
              </w:rPr>
            </w:pPr>
            <w:r>
              <w:rPr>
                <w:rFonts w:ascii="Arial" w:cs="Arial" w:eastAsia="Arial" w:hAnsi="Arial"/>
                <w:sz w:val="18"/>
                <w:szCs w:val="18"/>
                <w:color w:val="auto"/>
              </w:rPr>
              <w:t>/s/ Doug Remington</w:t>
            </w:r>
          </w:p>
        </w:tc>
      </w:tr>
      <w:tr>
        <w:trPr>
          <w:trHeight w:val="27"/>
        </w:trPr>
        <w:tc>
          <w:tcPr>
            <w:tcW w:w="64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Doug Remington</w:t>
            </w:r>
          </w:p>
        </w:tc>
      </w:tr>
      <w:tr>
        <w:trPr>
          <w:trHeight w:val="270"/>
        </w:trPr>
        <w:tc>
          <w:tcPr>
            <w:tcW w:w="64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Vice President</w:t>
            </w:r>
          </w:p>
        </w:tc>
      </w:tr>
      <w:tr>
        <w:trPr>
          <w:trHeight w:val="60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Pr>
          <w:p>
            <w:pPr>
              <w:ind w:left="20"/>
              <w:spacing w:after="0"/>
              <w:rPr>
                <w:sz w:val="20"/>
                <w:szCs w:val="20"/>
                <w:color w:val="auto"/>
              </w:rPr>
            </w:pPr>
            <w:r>
              <w:rPr>
                <w:rFonts w:ascii="Arial" w:cs="Arial" w:eastAsia="Arial" w:hAnsi="Arial"/>
                <w:sz w:val="18"/>
                <w:szCs w:val="18"/>
                <w:color w:val="auto"/>
              </w:rPr>
              <w:t>/s/ Hai Pham</w:t>
            </w:r>
          </w:p>
        </w:tc>
      </w:tr>
      <w:tr>
        <w:trPr>
          <w:trHeight w:val="27"/>
        </w:trPr>
        <w:tc>
          <w:tcPr>
            <w:tcW w:w="64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Hai Pham</w:t>
            </w:r>
          </w:p>
        </w:tc>
      </w:tr>
      <w:tr>
        <w:trPr>
          <w:trHeight w:val="270"/>
        </w:trPr>
        <w:tc>
          <w:tcPr>
            <w:tcW w:w="64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Assistant Vice President - Corporate Banking</w:t>
            </w:r>
          </w:p>
        </w:tc>
      </w:tr>
    </w:tbl>
    <w:p>
      <w:pPr>
        <w:sectPr>
          <w:pgSz w:w="11900" w:h="16838" w:orient="portrait"/>
          <w:cols w:equalWidth="0" w:num="1">
            <w:col w:w="10120"/>
          </w:cols>
          <w:pgMar w:left="1440" w:top="499" w:right="339" w:bottom="1440" w:gutter="0" w:footer="0" w:header="0"/>
        </w:sectPr>
      </w:pPr>
    </w:p>
    <w:bookmarkStart w:id="60" w:name="page61"/>
    <w:bookmarkEnd w:id="60"/>
    <w:p>
      <w:pPr>
        <w:ind w:left="5000"/>
        <w:spacing w:after="0" w:line="266" w:lineRule="auto"/>
        <w:rPr>
          <w:sz w:val="20"/>
          <w:szCs w:val="20"/>
          <w:color w:val="auto"/>
        </w:rPr>
      </w:pPr>
      <w:r>
        <w:rPr>
          <w:rFonts w:ascii="Arial" w:cs="Arial" w:eastAsia="Arial" w:hAnsi="Arial"/>
          <w:sz w:val="18"/>
          <w:szCs w:val="18"/>
          <w:b w:val="1"/>
          <w:bCs w:val="1"/>
          <w:color w:val="auto"/>
        </w:rPr>
        <w:t>WHISTLER MOUNTAIN RESORT LIMITED PARTNERSHIP</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its general partner, </w:t>
      </w:r>
      <w:r>
        <w:rPr>
          <w:rFonts w:ascii="Arial" w:cs="Arial" w:eastAsia="Arial" w:hAnsi="Arial"/>
          <w:sz w:val="18"/>
          <w:szCs w:val="18"/>
          <w:b w:val="1"/>
          <w:bCs w:val="1"/>
          <w:color w:val="auto"/>
        </w:rPr>
        <w:t>WHISTLER BLACKCOMB HOLDINGS</w:t>
      </w:r>
      <w:r>
        <w:rPr>
          <w:rFonts w:ascii="Arial" w:cs="Arial" w:eastAsia="Arial" w:hAnsi="Arial"/>
          <w:sz w:val="18"/>
          <w:szCs w:val="18"/>
          <w:color w:val="auto"/>
        </w:rPr>
        <w:t xml:space="preserve"> </w:t>
      </w:r>
      <w:r>
        <w:rPr>
          <w:rFonts w:ascii="Arial" w:cs="Arial" w:eastAsia="Arial" w:hAnsi="Arial"/>
          <w:sz w:val="18"/>
          <w:szCs w:val="18"/>
          <w:b w:val="1"/>
          <w:bCs w:val="1"/>
          <w:color w:val="auto"/>
        </w:rPr>
        <w:t>INC.</w:t>
      </w:r>
      <w:r>
        <w:rPr>
          <w:rFonts w:ascii="Arial" w:cs="Arial" w:eastAsia="Arial" w:hAnsi="Arial"/>
          <w:sz w:val="18"/>
          <w:szCs w:val="18"/>
          <w:color w:val="auto"/>
        </w:rPr>
        <w:t>, as Guarantor</w:t>
      </w:r>
    </w:p>
    <w:p>
      <w:pPr>
        <w:spacing w:after="0" w:line="234"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CFO and EVP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BLACKCOMB SKIING ENTERPRISES LIMITED</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PARTNERSHIP</w:t>
      </w:r>
      <w:r>
        <w:rPr>
          <w:rFonts w:ascii="Arial" w:cs="Arial" w:eastAsia="Arial" w:hAnsi="Arial"/>
          <w:sz w:val="18"/>
          <w:szCs w:val="18"/>
          <w:color w:val="auto"/>
        </w:rPr>
        <w:t>, by its general partner,</w:t>
      </w:r>
      <w:r>
        <w:rPr>
          <w:rFonts w:ascii="Arial" w:cs="Arial" w:eastAsia="Arial" w:hAnsi="Arial"/>
          <w:sz w:val="18"/>
          <w:szCs w:val="18"/>
          <w:b w:val="1"/>
          <w:bCs w:val="1"/>
          <w:color w:val="auto"/>
        </w:rPr>
        <w:t xml:space="preserve"> WHISTLER</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BLACKCOMB HOLDINGS INC.</w:t>
      </w:r>
      <w:r>
        <w:rPr>
          <w:rFonts w:ascii="Arial" w:cs="Arial" w:eastAsia="Arial" w:hAnsi="Arial"/>
          <w:sz w:val="18"/>
          <w:szCs w:val="18"/>
          <w:color w:val="auto"/>
        </w:rPr>
        <w:t>, as Guarantor</w:t>
      </w:r>
    </w:p>
    <w:p>
      <w:pPr>
        <w:spacing w:after="0" w:line="265"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CFO and EVP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WHISTLER BLACKCOMB HOLDINGS INC.</w:t>
      </w:r>
      <w:r>
        <w:rPr>
          <w:rFonts w:ascii="Arial" w:cs="Arial" w:eastAsia="Arial" w:hAnsi="Arial"/>
          <w:sz w:val="18"/>
          <w:szCs w:val="18"/>
          <w:color w:val="auto"/>
        </w:rPr>
        <w:t>, as Guarantor</w:t>
      </w:r>
    </w:p>
    <w:p>
      <w:pPr>
        <w:spacing w:after="0" w:line="283"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CFO and EVP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WHISTLER &amp; BLACKCOMB MOUNTAIN RESORTS</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LIMITED</w:t>
      </w:r>
      <w:r>
        <w:rPr>
          <w:rFonts w:ascii="Arial" w:cs="Arial" w:eastAsia="Arial" w:hAnsi="Arial"/>
          <w:sz w:val="18"/>
          <w:szCs w:val="18"/>
          <w:color w:val="auto"/>
        </w:rPr>
        <w:t>, as Guarantor</w:t>
      </w:r>
    </w:p>
    <w:p>
      <w:pPr>
        <w:spacing w:after="0" w:line="265"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CFO and EVP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PEAK TO CREEK LODGING COMPANY LTD.</w:t>
      </w:r>
      <w:r>
        <w:rPr>
          <w:rFonts w:ascii="Arial" w:cs="Arial" w:eastAsia="Arial" w:hAnsi="Arial"/>
          <w:sz w:val="18"/>
          <w:szCs w:val="18"/>
          <w:color w:val="auto"/>
        </w:rPr>
        <w:t>, as Guarantor</w:t>
      </w:r>
    </w:p>
    <w:p>
      <w:pPr>
        <w:spacing w:after="0" w:line="283"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CFO and EVP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BLACKCOMB MOUNTAIN DEVELOPMENT LTD.</w:t>
      </w:r>
      <w:r>
        <w:rPr>
          <w:rFonts w:ascii="Arial" w:cs="Arial" w:eastAsia="Arial" w:hAnsi="Arial"/>
          <w:sz w:val="18"/>
          <w:szCs w:val="18"/>
          <w:color w:val="auto"/>
        </w:rPr>
        <w:t>, as</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Guarantor</w:t>
      </w:r>
    </w:p>
    <w:p>
      <w:pPr>
        <w:spacing w:after="0" w:line="265"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CFO and EVP</w:t>
      </w:r>
    </w:p>
    <w:p>
      <w:pPr>
        <w:sectPr>
          <w:pgSz w:w="11900" w:h="16838" w:orient="portrait"/>
          <w:cols w:equalWidth="0" w:num="1">
            <w:col w:w="10000"/>
          </w:cols>
          <w:pgMar w:left="1440" w:top="972" w:right="459" w:bottom="1440" w:gutter="0" w:footer="0" w:header="0"/>
        </w:sectPr>
      </w:pPr>
    </w:p>
    <w:bookmarkStart w:id="61" w:name="page62"/>
    <w:bookmarkEnd w:id="61"/>
    <w:p>
      <w:pPr>
        <w:ind w:left="5000"/>
        <w:spacing w:after="0"/>
        <w:rPr>
          <w:sz w:val="20"/>
          <w:szCs w:val="20"/>
          <w:color w:val="auto"/>
        </w:rPr>
      </w:pPr>
      <w:r>
        <w:rPr>
          <w:rFonts w:ascii="Arial" w:cs="Arial" w:eastAsia="Arial" w:hAnsi="Arial"/>
          <w:sz w:val="18"/>
          <w:szCs w:val="18"/>
          <w:b w:val="1"/>
          <w:bCs w:val="1"/>
          <w:color w:val="auto"/>
        </w:rPr>
        <w:t>GARIBALDI LIFTS LTD.</w:t>
      </w:r>
      <w:r>
        <w:rPr>
          <w:rFonts w:ascii="Arial" w:cs="Arial" w:eastAsia="Arial" w:hAnsi="Arial"/>
          <w:sz w:val="18"/>
          <w:szCs w:val="18"/>
          <w:color w:val="auto"/>
        </w:rPr>
        <w:t>, as Guarantor</w:t>
      </w:r>
    </w:p>
    <w:p>
      <w:pPr>
        <w:spacing w:after="0" w:line="283"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CFO and EVP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WHISTLER BLACKCOMB EMPLOYMENT CORP.</w:t>
      </w:r>
      <w:r>
        <w:rPr>
          <w:rFonts w:ascii="Arial" w:cs="Arial" w:eastAsia="Arial" w:hAnsi="Arial"/>
          <w:sz w:val="18"/>
          <w:szCs w:val="18"/>
          <w:color w:val="auto"/>
        </w:rPr>
        <w:t>, as</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Guarantor</w:t>
      </w:r>
    </w:p>
    <w:p>
      <w:pPr>
        <w:spacing w:after="0" w:line="265"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CFO and EVP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WHISTLER/BLACKCOMB MOUNTAIN EMPLOYEE</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HOUSING LTD.</w:t>
      </w:r>
      <w:r>
        <w:rPr>
          <w:rFonts w:ascii="Arial" w:cs="Arial" w:eastAsia="Arial" w:hAnsi="Arial"/>
          <w:sz w:val="18"/>
          <w:szCs w:val="18"/>
          <w:color w:val="auto"/>
        </w:rPr>
        <w:t>, as Guarantor</w:t>
      </w:r>
    </w:p>
    <w:p>
      <w:pPr>
        <w:spacing w:after="0" w:line="265"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CFO and EVP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WHISTLER SKI SCHOOL LTD.</w:t>
      </w:r>
      <w:r>
        <w:rPr>
          <w:rFonts w:ascii="Arial" w:cs="Arial" w:eastAsia="Arial" w:hAnsi="Arial"/>
          <w:sz w:val="18"/>
          <w:szCs w:val="18"/>
          <w:color w:val="auto"/>
        </w:rPr>
        <w:t>, as Guarantor</w:t>
      </w:r>
    </w:p>
    <w:p>
      <w:pPr>
        <w:spacing w:after="0" w:line="283"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CFO and EVP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CRANKWORX EVENTS INC.</w:t>
      </w:r>
      <w:r>
        <w:rPr>
          <w:rFonts w:ascii="Arial" w:cs="Arial" w:eastAsia="Arial" w:hAnsi="Arial"/>
          <w:sz w:val="18"/>
          <w:szCs w:val="18"/>
          <w:color w:val="auto"/>
        </w:rPr>
        <w:t>, as Guarantor</w:t>
      </w:r>
    </w:p>
    <w:p>
      <w:pPr>
        <w:spacing w:after="0" w:line="283"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CFO and EVP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WHISTLER HELI-SKIING LTD.</w:t>
      </w:r>
      <w:r>
        <w:rPr>
          <w:rFonts w:ascii="Arial" w:cs="Arial" w:eastAsia="Arial" w:hAnsi="Arial"/>
          <w:sz w:val="18"/>
          <w:szCs w:val="18"/>
          <w:color w:val="auto"/>
        </w:rPr>
        <w:t>, as Guarantor</w:t>
      </w:r>
    </w:p>
    <w:p>
      <w:pPr>
        <w:spacing w:after="0" w:line="283"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CFO and EVP</w:t>
      </w:r>
    </w:p>
    <w:p>
      <w:pPr>
        <w:sectPr>
          <w:pgSz w:w="11900" w:h="16838" w:orient="portrait"/>
          <w:cols w:equalWidth="0" w:num="1">
            <w:col w:w="9420"/>
          </w:cols>
          <w:pgMar w:left="1440" w:top="931" w:right="1039" w:bottom="1440" w:gutter="0" w:footer="0" w:header="0"/>
        </w:sectPr>
      </w:pPr>
    </w:p>
    <w:bookmarkStart w:id="62" w:name="page63"/>
    <w:bookmarkEnd w:id="62"/>
    <w:p>
      <w:pPr>
        <w:ind w:left="5000"/>
        <w:spacing w:after="0"/>
        <w:rPr>
          <w:sz w:val="20"/>
          <w:szCs w:val="20"/>
          <w:color w:val="auto"/>
        </w:rPr>
      </w:pPr>
      <w:r>
        <w:rPr>
          <w:rFonts w:ascii="Arial" w:cs="Arial" w:eastAsia="Arial" w:hAnsi="Arial"/>
          <w:sz w:val="18"/>
          <w:szCs w:val="18"/>
          <w:b w:val="1"/>
          <w:bCs w:val="1"/>
          <w:color w:val="auto"/>
        </w:rPr>
        <w:t>PEAK TO CREEK HOLDINGS CORP.</w:t>
      </w:r>
      <w:r>
        <w:rPr>
          <w:rFonts w:ascii="Arial" w:cs="Arial" w:eastAsia="Arial" w:hAnsi="Arial"/>
          <w:sz w:val="18"/>
          <w:szCs w:val="18"/>
          <w:color w:val="auto"/>
        </w:rPr>
        <w:t>, as Guarantor</w:t>
      </w:r>
    </w:p>
    <w:p>
      <w:pPr>
        <w:spacing w:after="0" w:line="283"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CFO and EVP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WB LAND INC.</w:t>
      </w:r>
      <w:r>
        <w:rPr>
          <w:rFonts w:ascii="Arial" w:cs="Arial" w:eastAsia="Arial" w:hAnsi="Arial"/>
          <w:sz w:val="18"/>
          <w:szCs w:val="18"/>
          <w:color w:val="auto"/>
        </w:rPr>
        <w:t>, as Guarantor</w:t>
      </w:r>
    </w:p>
    <w:p>
      <w:pPr>
        <w:spacing w:after="0" w:line="283"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CFO and EVP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WHISTLER BLACKCOMB GENERAL PARTNER LTD.</w:t>
      </w:r>
      <w:r>
        <w:rPr>
          <w:rFonts w:ascii="Arial" w:cs="Arial" w:eastAsia="Arial" w:hAnsi="Arial"/>
          <w:sz w:val="17"/>
          <w:szCs w:val="17"/>
          <w:color w:val="auto"/>
        </w:rPr>
        <w:t>, as</w:t>
      </w:r>
    </w:p>
    <w:p>
      <w:pPr>
        <w:spacing w:after="0" w:line="3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Guarantor</w:t>
      </w:r>
    </w:p>
    <w:p>
      <w:pPr>
        <w:spacing w:after="0" w:line="265"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CFO and EVP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WB/T DEVELOPMENT LTD.</w:t>
      </w:r>
      <w:r>
        <w:rPr>
          <w:rFonts w:ascii="Arial" w:cs="Arial" w:eastAsia="Arial" w:hAnsi="Arial"/>
          <w:sz w:val="18"/>
          <w:szCs w:val="18"/>
          <w:color w:val="auto"/>
        </w:rPr>
        <w:t>, as Guarantor</w:t>
      </w:r>
    </w:p>
    <w:p>
      <w:pPr>
        <w:spacing w:after="0" w:line="283"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CFO and EVP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BLACKCOMB SKIING ENTERPRISES LTD.</w:t>
      </w:r>
      <w:r>
        <w:rPr>
          <w:rFonts w:ascii="Arial" w:cs="Arial" w:eastAsia="Arial" w:hAnsi="Arial"/>
          <w:sz w:val="17"/>
          <w:szCs w:val="17"/>
          <w:color w:val="auto"/>
        </w:rPr>
        <w:t>, as Guarantor</w:t>
      </w:r>
    </w:p>
    <w:p>
      <w:pPr>
        <w:spacing w:after="0" w:line="295"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CFO and EVP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AFFINITY SNOWSPORTS INC.</w:t>
      </w:r>
      <w:r>
        <w:rPr>
          <w:rFonts w:ascii="Arial" w:cs="Arial" w:eastAsia="Arial" w:hAnsi="Arial"/>
          <w:sz w:val="18"/>
          <w:szCs w:val="18"/>
          <w:color w:val="auto"/>
        </w:rPr>
        <w:t>, as Guarantor</w:t>
      </w:r>
    </w:p>
    <w:p>
      <w:pPr>
        <w:spacing w:after="0" w:line="283"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168910</wp:posOffset>
            </wp:positionV>
            <wp:extent cx="27774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7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CFO and EVP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WHISTLER ALPINE CLUB INC.</w:t>
      </w:r>
      <w:r>
        <w:rPr>
          <w:rFonts w:ascii="Arial" w:cs="Arial" w:eastAsia="Arial" w:hAnsi="Arial"/>
          <w:sz w:val="18"/>
          <w:szCs w:val="18"/>
          <w:color w:val="auto"/>
        </w:rPr>
        <w:t>, as Guarantor</w:t>
      </w:r>
    </w:p>
    <w:p>
      <w:pPr>
        <w:spacing w:after="0" w:line="283"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CFO and EVP</w:t>
      </w:r>
    </w:p>
    <w:p>
      <w:pPr>
        <w:sectPr>
          <w:pgSz w:w="11900" w:h="16838" w:orient="portrait"/>
          <w:cols w:equalWidth="0" w:num="1">
            <w:col w:w="9720"/>
          </w:cols>
          <w:pgMar w:left="1440" w:top="715" w:right="739" w:bottom="1440" w:gutter="0" w:footer="0" w:header="0"/>
        </w:sectPr>
      </w:pPr>
    </w:p>
    <w:bookmarkStart w:id="63" w:name="page64"/>
    <w:bookmarkEnd w:id="63"/>
    <w:p>
      <w:pPr>
        <w:ind w:left="5000"/>
        <w:spacing w:after="0"/>
        <w:rPr>
          <w:sz w:val="20"/>
          <w:szCs w:val="20"/>
          <w:color w:val="auto"/>
        </w:rPr>
      </w:pPr>
      <w:r>
        <w:rPr>
          <w:rFonts w:ascii="Arial" w:cs="Arial" w:eastAsia="Arial" w:hAnsi="Arial"/>
          <w:sz w:val="17"/>
          <w:szCs w:val="17"/>
          <w:b w:val="1"/>
          <w:bCs w:val="1"/>
          <w:color w:val="auto"/>
        </w:rPr>
        <w:t>WB LAND (CREEKSIDE SNOW SCHOOL) INC.</w:t>
      </w:r>
      <w:r>
        <w:rPr>
          <w:rFonts w:ascii="Arial" w:cs="Arial" w:eastAsia="Arial" w:hAnsi="Arial"/>
          <w:sz w:val="17"/>
          <w:szCs w:val="17"/>
          <w:color w:val="auto"/>
        </w:rPr>
        <w:t>, as Guarantor</w:t>
      </w:r>
    </w:p>
    <w:p>
      <w:pPr>
        <w:spacing w:after="0" w:line="295"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CFO and EVP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1016563 B.C. LTD.</w:t>
      </w:r>
      <w:r>
        <w:rPr>
          <w:rFonts w:ascii="Arial" w:cs="Arial" w:eastAsia="Arial" w:hAnsi="Arial"/>
          <w:sz w:val="18"/>
          <w:szCs w:val="18"/>
          <w:color w:val="auto"/>
        </w:rPr>
        <w:t>, as Guarantor</w:t>
      </w:r>
    </w:p>
    <w:p>
      <w:pPr>
        <w:spacing w:after="0" w:line="283"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CFO and EVP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SUMMIT SKI LIMITED</w:t>
      </w:r>
      <w:r>
        <w:rPr>
          <w:rFonts w:ascii="Arial" w:cs="Arial" w:eastAsia="Arial" w:hAnsi="Arial"/>
          <w:sz w:val="18"/>
          <w:szCs w:val="18"/>
          <w:color w:val="auto"/>
        </w:rPr>
        <w:t>, as Guarantor</w:t>
      </w:r>
    </w:p>
    <w:p>
      <w:pPr>
        <w:spacing w:after="0" w:line="283"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31750</wp:posOffset>
            </wp:positionV>
            <wp:extent cx="27774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Michael Barkin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CFO and EVP</w:t>
      </w:r>
    </w:p>
    <w:p>
      <w:pPr>
        <w:sectPr>
          <w:pgSz w:w="11900" w:h="16838" w:orient="portrait"/>
          <w:cols w:equalWidth="0" w:num="1">
            <w:col w:w="9920"/>
          </w:cols>
          <w:pgMar w:left="1440" w:top="931" w:right="5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Katz, certify that:</w:t>
      </w:r>
    </w:p>
    <w:p>
      <w:pPr>
        <w:spacing w:after="0" w:line="387" w:lineRule="exact"/>
        <w:rPr>
          <w:sz w:val="20"/>
          <w:szCs w:val="20"/>
          <w:color w:val="auto"/>
        </w:rPr>
      </w:pPr>
    </w:p>
    <w:p>
      <w:pPr>
        <w:ind w:left="500" w:hanging="195"/>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0" w:hanging="195"/>
        <w:spacing w:after="0" w:line="263"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500" w:right="20" w:hanging="195"/>
        <w:spacing w:after="0" w:line="298" w:lineRule="auto"/>
        <w:tabs>
          <w:tab w:leader="none" w:pos="5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500" w:right="40" w:hanging="195"/>
        <w:spacing w:after="0" w:line="263"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jc w:val="both"/>
        <w:ind w:left="1160" w:right="40" w:hanging="666"/>
        <w:spacing w:after="0" w:line="263" w:lineRule="auto"/>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jc w:val="both"/>
        <w:ind w:left="1160" w:right="20" w:hanging="666"/>
        <w:spacing w:after="0" w:line="263" w:lineRule="auto"/>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1160" w:right="40" w:hanging="666"/>
        <w:spacing w:after="0" w:line="316" w:lineRule="auto"/>
        <w:tabs>
          <w:tab w:leader="none" w:pos="11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160" w:right="40" w:hanging="666"/>
        <w:spacing w:after="0" w:line="263" w:lineRule="auto"/>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60" w:right="40" w:hanging="666"/>
        <w:spacing w:after="0" w:line="298" w:lineRule="auto"/>
        <w:tabs>
          <w:tab w:leader="none" w:pos="11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60" w:right="40" w:hanging="666"/>
        <w:spacing w:after="0" w:line="277" w:lineRule="auto"/>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9, 2020</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553"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Z. Barkin, certify that:</w:t>
      </w:r>
    </w:p>
    <w:p>
      <w:pPr>
        <w:spacing w:after="0" w:line="387" w:lineRule="exact"/>
        <w:rPr>
          <w:sz w:val="20"/>
          <w:szCs w:val="20"/>
          <w:color w:val="auto"/>
        </w:rPr>
      </w:pPr>
    </w:p>
    <w:p>
      <w:pPr>
        <w:ind w:left="500" w:hanging="195"/>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0" w:hanging="195"/>
        <w:spacing w:after="0" w:line="263"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500" w:right="20" w:hanging="195"/>
        <w:spacing w:after="0" w:line="298"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500" w:right="40" w:hanging="195"/>
        <w:spacing w:after="0" w:line="263"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jc w:val="both"/>
        <w:ind w:left="1160" w:right="40" w:hanging="666"/>
        <w:spacing w:after="0" w:line="263" w:lineRule="auto"/>
        <w:tabs>
          <w:tab w:leader="none" w:pos="11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jc w:val="both"/>
        <w:ind w:left="1160" w:right="20" w:hanging="666"/>
        <w:spacing w:after="0" w:line="263" w:lineRule="auto"/>
        <w:tabs>
          <w:tab w:leader="none" w:pos="11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1160" w:right="40" w:hanging="666"/>
        <w:spacing w:after="0" w:line="316" w:lineRule="auto"/>
        <w:tabs>
          <w:tab w:leader="none" w:pos="11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160" w:right="40" w:hanging="666"/>
        <w:spacing w:after="0" w:line="263" w:lineRule="auto"/>
        <w:tabs>
          <w:tab w:leader="none" w:pos="11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60" w:right="40" w:hanging="666"/>
        <w:spacing w:after="0" w:line="298" w:lineRule="auto"/>
        <w:tabs>
          <w:tab w:leader="none" w:pos="11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60" w:right="40" w:hanging="666"/>
        <w:spacing w:after="0" w:line="277" w:lineRule="auto"/>
        <w:tabs>
          <w:tab w:leader="none" w:pos="11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9, 2020</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62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his capacity as an officer of Vail Resorts, Inc. (the “Company”) that the Company's Quarterly Report on Form 10-Q for the quarter ended January 31, 2020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9, 2020</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9, 2020</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1."/>
      <w:numFmt w:val="decimal"/>
      <w:start w:val="3"/>
    </w:lvl>
  </w:abstractNum>
  <w:abstractNum w:abstractNumId="5">
    <w:nsid w:val="7C83E458"/>
    <w:multiLevelType w:val="hybridMultilevel"/>
    <w:lvl w:ilvl="0">
      <w:lvlJc w:val="left"/>
      <w:lvlText w:val="%1."/>
      <w:numFmt w:val="decimal"/>
      <w:start w:val="4"/>
    </w:lvl>
  </w:abstractNum>
  <w:abstractNum w:abstractNumId="6">
    <w:nsid w:val="257130A3"/>
    <w:multiLevelType w:val="hybridMultilevel"/>
    <w:lvl w:ilvl="0">
      <w:lvlJc w:val="left"/>
      <w:lvlText w:val="1"/>
      <w:numFmt w:val="bullet"/>
      <w:start w:val="1"/>
    </w:lvl>
  </w:abstractNum>
  <w:abstractNum w:abstractNumId="7">
    <w:nsid w:val="62BBD95A"/>
    <w:multiLevelType w:val="hybridMultilevel"/>
    <w:lvl w:ilvl="0">
      <w:lvlJc w:val="left"/>
      <w:lvlText w:val="%1."/>
      <w:numFmt w:val="decimal"/>
      <w:start w:val="5"/>
    </w:lvl>
  </w:abstractNum>
  <w:abstractNum w:abstractNumId="8">
    <w:nsid w:val="436C6125"/>
    <w:multiLevelType w:val="hybridMultilevel"/>
    <w:lvl w:ilvl="0">
      <w:lvlJc w:val="left"/>
      <w:lvlText w:val="(%1)"/>
      <w:numFmt w:val="lowerLetter"/>
      <w:start w:val="1"/>
    </w:lvl>
  </w:abstractNum>
  <w:abstractNum w:abstractNumId="9">
    <w:nsid w:val="628C895D"/>
    <w:multiLevelType w:val="hybridMultilevel"/>
    <w:lvl w:ilvl="0">
      <w:lvlJc w:val="left"/>
      <w:lvlText w:val="(%1)"/>
      <w:numFmt w:val="lowerLetter"/>
      <w:start w:val="3"/>
    </w:lvl>
    <w:lvl w:ilvl="1">
      <w:lvlJc w:val="left"/>
      <w:lvlText w:val="%2."/>
      <w:numFmt w:val="lowerRoman"/>
      <w:start w:val="1"/>
    </w:lvl>
  </w:abstractNum>
  <w:abstractNum w:abstractNumId="10">
    <w:nsid w:val="333AB105"/>
    <w:multiLevelType w:val="hybridMultilevel"/>
    <w:lvl w:ilvl="0">
      <w:lvlJc w:val="left"/>
      <w:lvlText w:val="(%1)"/>
      <w:numFmt w:val="lowerLetter"/>
      <w:start w:val="4"/>
    </w:lvl>
  </w:abstractNum>
  <w:abstractNum w:abstractNumId="11">
    <w:nsid w:val="721DA317"/>
    <w:multiLevelType w:val="hybridMultilevel"/>
    <w:lvl w:ilvl="0">
      <w:lvlJc w:val="left"/>
      <w:lvlText w:val="%1."/>
      <w:numFmt w:val="decimal"/>
      <w:start w:val="11"/>
    </w:lvl>
  </w:abstractNum>
  <w:abstractNum w:abstractNumId="12">
    <w:nsid w:val="2443A858"/>
    <w:multiLevelType w:val="hybridMultilevel"/>
    <w:lvl w:ilvl="0">
      <w:lvlJc w:val="left"/>
      <w:lvlText w:val="%1."/>
      <w:numFmt w:val="decimal"/>
      <w:start w:val="12"/>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32"/>
    </w:lvl>
  </w:abstractNum>
  <w:abstractNum w:abstractNumId="19">
    <w:nsid w:val="B03E0C6"/>
    <w:multiLevelType w:val="hybridMultilevel"/>
    <w:lvl w:ilvl="0">
      <w:lvlJc w:val="left"/>
      <w:lvlText w:val="%1"/>
      <w:numFmt w:val="decimal"/>
      <w:start w:val="104"/>
    </w:lvl>
  </w:abstractNum>
  <w:abstractNum w:abstractNumId="20">
    <w:nsid w:val="189A769B"/>
    <w:multiLevelType w:val="hybridMultilevel"/>
    <w:lvl w:ilvl="0">
      <w:lvlJc w:val="left"/>
      <w:lvlText w:val="(%1)"/>
      <w:numFmt w:val="decimal"/>
      <w:start w:val="1"/>
    </w:lvl>
    <w:lvl w:ilvl="1">
      <w:lvlJc w:val="left"/>
      <w:lvlText w:val="(%2)"/>
      <w:numFmt w:val="lowerLetter"/>
      <w:start w:val="1"/>
    </w:lvl>
  </w:abstractNum>
  <w:abstractNum w:abstractNumId="21">
    <w:nsid w:val="54E49EB4"/>
    <w:multiLevelType w:val="hybridMultilevel"/>
    <w:lvl w:ilvl="0">
      <w:lvlJc w:val="left"/>
      <w:lvlText w:val="(%1)"/>
      <w:numFmt w:val="decimal"/>
      <w:start w:val="2"/>
    </w:lvl>
  </w:abstractNum>
  <w:abstractNum w:abstractNumId="22">
    <w:nsid w:val="71F32454"/>
    <w:multiLevelType w:val="hybridMultilevel"/>
    <w:lvl w:ilvl="0">
      <w:lvlJc w:val="left"/>
      <w:lvlText w:val="(%1)"/>
      <w:numFmt w:val="decimal"/>
      <w:start w:val="1"/>
    </w:lvl>
    <w:lvl w:ilvl="1">
      <w:lvlJc w:val="left"/>
      <w:lvlText w:val="(%2)"/>
      <w:numFmt w:val="lowerLetter"/>
      <w:start w:val="1"/>
    </w:lvl>
  </w:abstractNum>
  <w:abstractNum w:abstractNumId="23">
    <w:nsid w:val="2CA88611"/>
    <w:multiLevelType w:val="hybridMultilevel"/>
    <w:lvl w:ilvl="0">
      <w:lvlJc w:val="left"/>
      <w:lvlText w:val="(%1)"/>
      <w:numFmt w:val="lowerLetter"/>
      <w:start w:val="4"/>
    </w:lvl>
  </w:abstractNum>
  <w:abstractNum w:abstractNumId="24">
    <w:nsid w:val="836C40E"/>
    <w:multiLevelType w:val="hybridMultilevel"/>
    <w:lvl w:ilvl="0">
      <w:lvlJc w:val="left"/>
      <w:lvlText w:val="(%1)"/>
      <w:numFmt w:val="decimal"/>
      <w:start w:val="2"/>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lowerLetter"/>
      <w:start w:val="4"/>
    </w:lvl>
    <w:lvl w:ilvl="1">
      <w:lvlJc w:val="left"/>
      <w:lvlText w:val="(%2)"/>
      <w:numFmt w:val="lowerLetter"/>
      <w:start w:val="1"/>
    </w:lvl>
  </w:abstractNum>
  <w:abstractNum w:abstractNumId="28">
    <w:nsid w:val="1E7FF521"/>
    <w:multiLevelType w:val="hybridMultilevel"/>
    <w:lvl w:ilvl="0">
      <w:lvlJc w:val="left"/>
      <w:lvlText w:val="(%1)"/>
      <w:numFmt w:val="lowerLetter"/>
      <w:start w:val="1"/>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2020-03-09T15:10:06Z</dcterms:created>
  <dcterms:modified xsi:type="dcterms:W3CDTF">2020-03-09T15:10:06Z</dcterms:modified>
</cp:coreProperties>
</file>