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6"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2016</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001-09614</w:t>
      </w: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80" w:type="dxa"/>
            <w:vAlign w:val="bottom"/>
          </w:tcPr>
          <w:p>
            <w:pPr>
              <w:spacing w:after="0"/>
              <w:rPr>
                <w:sz w:val="24"/>
                <w:szCs w:val="24"/>
                <w:color w:val="auto"/>
              </w:rPr>
            </w:pPr>
          </w:p>
        </w:tc>
        <w:tc>
          <w:tcPr>
            <w:tcW w:w="536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186"/>
        </w:trPr>
        <w:tc>
          <w:tcPr>
            <w:tcW w:w="2480" w:type="dxa"/>
            <w:vAlign w:val="bottom"/>
          </w:tcPr>
          <w:p>
            <w:pPr>
              <w:spacing w:after="0"/>
              <w:rPr>
                <w:sz w:val="16"/>
                <w:szCs w:val="16"/>
                <w:color w:val="auto"/>
              </w:rPr>
            </w:pPr>
          </w:p>
        </w:tc>
        <w:tc>
          <w:tcPr>
            <w:tcW w:w="53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34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780" w:space="720"/>
            <w:col w:w="468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80" w:space="720"/>
            <w:col w:w="160" w:space="100"/>
            <w:col w:w="442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sectPr>
          <w:pgSz w:w="11900" w:h="16838" w:orient="portrait"/>
          <w:cols w:equalWidth="0" w:num="3">
            <w:col w:w="8620" w:space="180"/>
            <w:col w:w="500" w:space="180"/>
            <w:col w:w="194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March 7, 2016, 36,252,217 shares of the registrant’s common stock were outstanding.</w:t>
      </w:r>
    </w:p>
    <w:p>
      <w:pPr>
        <w:sectPr>
          <w:pgSz w:w="11900" w:h="16838" w:orient="portrait"/>
          <w:cols w:equalWidth="0" w:num="1">
            <w:col w:w="11420"/>
          </w:cols>
          <w:pgMar w:left="240" w:top="7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8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91"/>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5"/>
          </w:tcPr>
          <w:p>
            <w:pPr>
              <w:spacing w:after="0"/>
              <w:rPr>
                <w:sz w:val="20"/>
                <w:szCs w:val="20"/>
                <w:color w:val="auto"/>
              </w:rPr>
            </w:pPr>
            <w:r>
              <w:rPr>
                <w:rFonts w:ascii="Arial" w:cs="Arial" w:eastAsia="Arial" w:hAnsi="Arial"/>
                <w:sz w:val="18"/>
                <w:szCs w:val="18"/>
                <w:color w:val="auto"/>
              </w:rPr>
              <w:t>Financial Statements (unaudited).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80" w:type="dxa"/>
            <w:vAlign w:val="bottom"/>
          </w:tcPr>
          <w:p>
            <w:pPr>
              <w:spacing w:after="0"/>
              <w:rPr>
                <w:sz w:val="19"/>
                <w:szCs w:val="19"/>
                <w:color w:val="auto"/>
              </w:rPr>
            </w:pPr>
          </w:p>
        </w:tc>
        <w:tc>
          <w:tcPr>
            <w:tcW w:w="9380" w:type="dxa"/>
            <w:vAlign w:val="bottom"/>
            <w:gridSpan w:val="1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Consolidated Condensed Balance Sheets as of January 31, 2016, July 31, 2015 and January 31, 2015</w:t>
              </w:r>
            </w:hyperlink>
          </w:p>
        </w:tc>
        <w:tc>
          <w:tcPr>
            <w:tcW w:w="70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93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 for the Three and Six Months Ended January 31, 2016 and 2015</w:t>
              </w:r>
            </w:hyperlink>
          </w:p>
        </w:tc>
        <w:tc>
          <w:tcPr>
            <w:tcW w:w="7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9380" w:type="dxa"/>
            <w:vAlign w:val="bottom"/>
            <w:gridSpan w:val="15"/>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Condensed Statements of Comprehensive Income for the Three and Six Months Ended January 31, 2016 and</w:t>
              </w:r>
            </w:hyperlink>
          </w:p>
        </w:tc>
        <w:tc>
          <w:tcPr>
            <w:tcW w:w="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196"/>
        </w:trPr>
        <w:tc>
          <w:tcPr>
            <w:tcW w:w="8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2015</w:t>
              </w:r>
            </w:hyperlink>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938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 for the Six Months Ended January 31, 2016 and 2015</w:t>
              </w:r>
            </w:hyperlink>
          </w:p>
        </w:tc>
        <w:tc>
          <w:tcPr>
            <w:tcW w:w="7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620" w:type="dxa"/>
            <w:vAlign w:val="bottom"/>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Condensed Statements of Cash Flows for the Six Months Ended January 31, 2016 and 2015</w:t>
              </w:r>
            </w:hyperlink>
          </w:p>
        </w:tc>
        <w:tc>
          <w:tcPr>
            <w:tcW w:w="6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6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1760" w:type="dxa"/>
            <w:vAlign w:val="bottom"/>
            <w:gridSpan w:val="3"/>
          </w:tcPr>
          <w:p>
            <w:pPr>
              <w:spacing w:after="0"/>
              <w:rPr>
                <w:sz w:val="21"/>
                <w:szCs w:val="21"/>
                <w:color w:val="auto"/>
              </w:rPr>
            </w:pPr>
          </w:p>
        </w:tc>
        <w:tc>
          <w:tcPr>
            <w:tcW w:w="7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94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21"/>
                <w:szCs w:val="21"/>
                <w:color w:val="auto"/>
              </w:rPr>
            </w:pPr>
          </w:p>
        </w:tc>
        <w:tc>
          <w:tcPr>
            <w:tcW w:w="502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615"/>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21"/>
                <w:szCs w:val="21"/>
                <w:color w:val="auto"/>
              </w:rPr>
            </w:pPr>
          </w:p>
        </w:tc>
        <w:tc>
          <w:tcPr>
            <w:tcW w:w="8040" w:type="dxa"/>
            <w:vAlign w:val="bottom"/>
            <w:gridSpan w:val="10"/>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502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Defaults Upon Senior Securities</w:t>
              </w:r>
            </w:hyperlink>
          </w:p>
        </w:tc>
        <w:tc>
          <w:tcPr>
            <w:tcW w:w="704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7600" w:type="dxa"/>
            <w:vAlign w:val="bottom"/>
            <w:gridSpan w:val="9"/>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7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806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January 31, 2016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2015</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January 31, 2015</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45,368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6,118</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13,012</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12,864</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87,055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113,990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68,454</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78,770</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73,485</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72,905</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60,965</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52,197</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67,001</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278,276</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288,143</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257,802</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1,391,889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1,386,275</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1,284,215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117,999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129,825</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151,103</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506,957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500,433</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469,678</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141,942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144,149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142,440</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38,089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40,914</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2,475,152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2,346,152</w:t>
            </w:r>
          </w:p>
        </w:tc>
      </w:tr>
      <w:tr>
        <w:trPr>
          <w:trHeight w:val="67"/>
        </w:trPr>
        <w:tc>
          <w:tcPr>
            <w:tcW w:w="6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447,770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331,299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420,829</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34,278</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57,194</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48,304</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13,340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10,154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495,388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398,647</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470,329</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682,195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806,676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634,739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252,606</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255,916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229,313</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190,441</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147,796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148,309</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1,620,630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1,609,035</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1,482,690</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Preferred stock, $0.01 par value, 25,000,000 shares authorized, no shares issued</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41,578,019,</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41,462,941 and 41,294,906 shares issued, respectively</w:t>
            </w:r>
          </w:p>
        </w:tc>
        <w:tc>
          <w:tcPr>
            <w:tcW w:w="3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628,168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623,510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620,083</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(7,707)</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(4,913)</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452,922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440,748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422,845</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0"/>
              </w:rPr>
              <w:t>Treasury stock, at cost, 5,326,941, 4,949,111, and 4,949,111 shares, respectively</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(Note 11)</w:t>
            </w:r>
          </w:p>
        </w:tc>
        <w:tc>
          <w:tcPr>
            <w:tcW w:w="30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(233,192)</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(193,192)</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(193,192)</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840,607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866,568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849,503</w:t>
            </w:r>
          </w:p>
        </w:tc>
      </w:tr>
      <w:tr>
        <w:trPr>
          <w:trHeight w:val="243"/>
        </w:trPr>
        <w:tc>
          <w:tcPr>
            <w:tcW w:w="63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13,915</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14,018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13,959</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854,522</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880,586</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863,462</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2,475,152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2,346,152</w:t>
            </w:r>
          </w:p>
        </w:tc>
      </w:tr>
      <w:tr>
        <w:trPr>
          <w:trHeight w:val="27"/>
        </w:trPr>
        <w:tc>
          <w:tcPr>
            <w:tcW w:w="6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8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76"/>
        </w:trPr>
        <w:tc>
          <w:tcPr>
            <w:tcW w:w="5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Mountain</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532,872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463,031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633,805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523,417</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62,807</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59,364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127,093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117,857</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3,684</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7,842</w:t>
            </w:r>
          </w:p>
        </w:tc>
        <w:tc>
          <w:tcPr>
            <w:tcW w:w="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13,032</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17,225</w:t>
            </w:r>
          </w:p>
        </w:tc>
      </w:tr>
      <w:tr>
        <w:trPr>
          <w:trHeight w:val="27"/>
        </w:trPr>
        <w:tc>
          <w:tcPr>
            <w:tcW w:w="5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599,363</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530,237</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773,930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658,499</w:t>
            </w:r>
          </w:p>
        </w:tc>
      </w:tr>
      <w:tr>
        <w:trPr>
          <w:trHeight w:val="229"/>
        </w:trPr>
        <w:tc>
          <w:tcPr>
            <w:tcW w:w="5340" w:type="dxa"/>
            <w:vAlign w:val="bottom"/>
          </w:tcPr>
          <w:p>
            <w:pPr>
              <w:ind w:left="40"/>
              <w:spacing w:after="0"/>
              <w:rPr>
                <w:sz w:val="20"/>
                <w:szCs w:val="20"/>
                <w:color w:val="auto"/>
              </w:rPr>
            </w:pPr>
            <w:r>
              <w:rPr>
                <w:rFonts w:ascii="Arial" w:cs="Arial" w:eastAsia="Arial" w:hAnsi="Arial"/>
                <w:sz w:val="18"/>
                <w:szCs w:val="18"/>
                <w:color w:val="auto"/>
                <w:w w:val="92"/>
              </w:rPr>
              <w:t>Segment operating expense (exclusive of depreciation and amortization</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40" w:type="dxa"/>
            <w:vAlign w:val="bottom"/>
          </w:tcPr>
          <w:p>
            <w:pPr>
              <w:ind w:left="40"/>
              <w:spacing w:after="0"/>
              <w:rPr>
                <w:sz w:val="20"/>
                <w:szCs w:val="20"/>
                <w:color w:val="auto"/>
              </w:rPr>
            </w:pPr>
            <w:r>
              <w:rPr>
                <w:rFonts w:ascii="Arial" w:cs="Arial" w:eastAsia="Arial" w:hAnsi="Arial"/>
                <w:sz w:val="18"/>
                <w:szCs w:val="18"/>
                <w:color w:val="auto"/>
              </w:rPr>
              <w:t>shown separately below):</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296,256</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268,966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447,414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400,918</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57,311</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53,927</w:t>
            </w:r>
          </w:p>
        </w:tc>
        <w:tc>
          <w:tcPr>
            <w:tcW w:w="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118,748</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111,681</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4,617</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9,871</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13,958</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21,485</w:t>
            </w:r>
          </w:p>
        </w:tc>
      </w:tr>
      <w:tr>
        <w:trPr>
          <w:trHeight w:val="237"/>
        </w:trPr>
        <w:tc>
          <w:tcPr>
            <w:tcW w:w="53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358,184</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332,764</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580,120</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534,084</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(40,541)</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(37,376)</w:t>
            </w:r>
          </w:p>
        </w:tc>
        <w:tc>
          <w:tcPr>
            <w:tcW w:w="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(79,241)</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(73,345)</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Gain on litigation settlement (Note 5)</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16,400</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 (Note 8)</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Loss on disposal of fixed assets and other,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5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200,064</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160,071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113,375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71,239</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Mountain equity investment (loss) income,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781</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(10,910)</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(13,807)</w:t>
            </w:r>
          </w:p>
        </w:tc>
        <w:tc>
          <w:tcPr>
            <w:tcW w:w="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(21,505)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(27,375)</w:t>
            </w:r>
          </w:p>
        </w:tc>
      </w:tr>
      <w:tr>
        <w:trPr>
          <w:trHeight w:val="27"/>
        </w:trPr>
        <w:tc>
          <w:tcPr>
            <w:tcW w:w="5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189,254</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146,526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93,010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44,425</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(Provision) benefit from income taxes (Note 12)</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(72,383)</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(30,826)</w:t>
            </w:r>
          </w:p>
        </w:tc>
        <w:tc>
          <w:tcPr>
            <w:tcW w:w="3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(35,809)</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6,951</w:t>
            </w:r>
          </w:p>
        </w:tc>
      </w:tr>
      <w:tr>
        <w:trPr>
          <w:trHeight w:val="27"/>
        </w:trPr>
        <w:tc>
          <w:tcPr>
            <w:tcW w:w="5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116,871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115,700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57,201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51,376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5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116,982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115,762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57,395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51,486</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40" w:type="dxa"/>
            <w:vAlign w:val="bottom"/>
          </w:tcPr>
          <w:p>
            <w:pPr>
              <w:ind w:left="40"/>
              <w:spacing w:after="0"/>
              <w:rPr>
                <w:sz w:val="20"/>
                <w:szCs w:val="20"/>
                <w:color w:val="auto"/>
              </w:rPr>
            </w:pPr>
            <w:r>
              <w:rPr>
                <w:rFonts w:ascii="Arial" w:cs="Arial" w:eastAsia="Arial" w:hAnsi="Arial"/>
                <w:sz w:val="18"/>
                <w:szCs w:val="18"/>
                <w:color w:val="auto"/>
              </w:rPr>
              <w:t>Per share amounts (Note 3):</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share attributable to Vail Resorts, Inc.</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40" w:type="dxa"/>
            <w:vAlign w:val="bottom"/>
          </w:tcPr>
          <w:p>
            <w:pPr>
              <w:ind w:left="380"/>
              <w:spacing w:after="0"/>
              <w:rPr>
                <w:sz w:val="20"/>
                <w:szCs w:val="20"/>
                <w:color w:val="auto"/>
              </w:rPr>
            </w:pPr>
            <w:r>
              <w:rPr>
                <w:rFonts w:ascii="Arial" w:cs="Arial" w:eastAsia="Arial" w:hAnsi="Arial"/>
                <w:sz w:val="18"/>
                <w:szCs w:val="18"/>
                <w:color w:val="auto"/>
              </w:rPr>
              <w:t>Diluted net income per share attributable to Vail Resorts, Inc.</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3.10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67"/>
        </w:trPr>
        <w:tc>
          <w:tcPr>
            <w:tcW w:w="53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 per share</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0.6225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0.4150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0.8300</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8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4"/>
              </w:rPr>
              <w:t>Three Months Ended January 31,</w:t>
            </w:r>
          </w:p>
        </w:tc>
        <w:tc>
          <w:tcPr>
            <w:tcW w:w="260" w:type="dxa"/>
            <w:vAlign w:val="bottom"/>
          </w:tcPr>
          <w:p>
            <w:pPr>
              <w:spacing w:after="0"/>
              <w:rPr>
                <w:sz w:val="16"/>
                <w:szCs w:val="16"/>
                <w:color w:val="auto"/>
              </w:rPr>
            </w:pPr>
          </w:p>
        </w:tc>
        <w:tc>
          <w:tcPr>
            <w:tcW w:w="22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5"/>
              </w:rPr>
              <w:t>Six Months Ended January 31,</w:t>
            </w:r>
          </w:p>
        </w:tc>
      </w:tr>
      <w:tr>
        <w:trPr>
          <w:trHeight w:val="276"/>
        </w:trPr>
        <w:tc>
          <w:tcPr>
            <w:tcW w:w="5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116,871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115,700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57,201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51,376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1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5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116,485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115,393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54,407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50,929</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12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110</w:t>
            </w:r>
          </w:p>
        </w:tc>
      </w:tr>
      <w:tr>
        <w:trPr>
          <w:trHeight w:val="27"/>
        </w:trPr>
        <w:tc>
          <w:tcPr>
            <w:tcW w:w="5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116,596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115,455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54,601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51,039</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Total Vail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6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w w:val="95"/>
              </w:rPr>
              <w:t>Accumulated Other</w:t>
            </w: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9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1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7"/>
              </w:rPr>
              <w:t>Total Stockholders’</w:t>
            </w:r>
          </w:p>
        </w:tc>
      </w:tr>
      <w:tr>
        <w:trPr>
          <w:trHeight w:val="174"/>
        </w:trPr>
        <w:tc>
          <w:tcPr>
            <w:tcW w:w="2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9"/>
              </w:rPr>
              <w:t>Earnings</w:t>
            </w: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Treasury Stock</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Comprehensive Loss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Interests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64"/>
        </w:trPr>
        <w:tc>
          <w:tcPr>
            <w:tcW w:w="2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6"/>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July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41,152,800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612,322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401,500</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820,843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13,957</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834,800</w:t>
            </w:r>
          </w:p>
        </w:tc>
      </w:tr>
      <w:tr>
        <w:trPr>
          <w:trHeight w:val="264"/>
        </w:trPr>
        <w:tc>
          <w:tcPr>
            <w:tcW w:w="24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51,486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51,486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51,376</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r>
      <w:tr>
        <w:trPr>
          <w:trHeight w:val="250"/>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51,039</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50,929</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8,226</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8,226</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8,226</w:t>
            </w:r>
          </w:p>
        </w:tc>
      </w:tr>
      <w:tr>
        <w:trPr>
          <w:trHeight w:val="163"/>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shares under share award</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142,106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3,241</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3,241</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3,241</w:t>
            </w: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(30,141)</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interests, net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112</w:t>
            </w:r>
          </w:p>
        </w:tc>
      </w:tr>
      <w:tr>
        <w:trPr>
          <w:trHeight w:val="210"/>
        </w:trPr>
        <w:tc>
          <w:tcPr>
            <w:tcW w:w="2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January 31, 2015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41,294,906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620,083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422,845</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849,503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13,959</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863,462</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July 31,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41,462,941</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3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623,510</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440,748</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866,568</w:t>
            </w:r>
          </w:p>
        </w:tc>
        <w:tc>
          <w:tcPr>
            <w:tcW w:w="38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14,018</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880,586</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57,395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57,395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57,201</w:t>
            </w: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(2,794)</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w:t>
            </w:r>
          </w:p>
        </w:tc>
      </w:tr>
      <w:tr>
        <w:trPr>
          <w:trHeight w:val="25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54,601</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54,407</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8,390</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8,390</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8,390</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under share award</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115,078</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(7,287)</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3,555</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3,555</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3,555</w:t>
            </w: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Repurchases of common stock (Note 11)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Dividends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(45,221)</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(45,221)</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(45,221)</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2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interests,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r>
      <w:tr>
        <w:trPr>
          <w:trHeight w:val="210"/>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31, 2016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41,578,019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628,168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452,922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(233,192)</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(7,707)</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840,607</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13,915</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854,522</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2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Six Months Ended January 31,</w:t>
            </w:r>
          </w:p>
        </w:tc>
      </w:tr>
      <w:tr>
        <w:trPr>
          <w:trHeight w:val="276"/>
        </w:trPr>
        <w:tc>
          <w:tcPr>
            <w:tcW w:w="6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57,201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51,376</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79,241</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73,345</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9,444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8,390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8,226</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35,937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24,321</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litigation settlement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Park City litigation settlement payment</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income,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Trade receivables, net</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27,696</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28,742</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111,778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129,655</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1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(19,716)</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(15,526)</w:t>
            </w:r>
          </w:p>
        </w:tc>
      </w:tr>
      <w:tr>
        <w:trPr>
          <w:trHeight w:val="237"/>
        </w:trPr>
        <w:tc>
          <w:tcPr>
            <w:tcW w:w="68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309,468</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274,185</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(77,237)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(74,020)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Other investing activities, net</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3,961</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704</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(255,816)</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 Revolver</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Payments on Credit Facility Revolver</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(225,500)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(243,000)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Credit Facility Term Loan</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Payments of other long-term debt</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(45,221)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(30,141)</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(40,000)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 net</w:t>
            </w:r>
          </w:p>
        </w:tc>
        <w:tc>
          <w:tcPr>
            <w:tcW w:w="1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3,925</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4,593</w:t>
            </w:r>
          </w:p>
        </w:tc>
      </w:tr>
      <w:tr>
        <w:trPr>
          <w:trHeight w:val="237"/>
        </w:trPr>
        <w:tc>
          <w:tcPr>
            <w:tcW w:w="68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(205,178)</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(26,084)</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6840" w:type="dxa"/>
            <w:vAlign w:val="bottom"/>
          </w:tcPr>
          <w:p>
            <w:pPr>
              <w:ind w:left="920"/>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9,909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(7,828)</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35,459</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44,406</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45,368</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w:t>
            </w:r>
          </w:p>
        </w:tc>
      </w:tr>
      <w:tr>
        <w:trPr>
          <w:trHeight w:val="20"/>
        </w:trPr>
        <w:tc>
          <w:tcPr>
            <w:tcW w:w="6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4,425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4,016</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under long-term financing</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7,037</w:t>
            </w:r>
          </w:p>
        </w:tc>
      </w:tr>
      <w:tr>
        <w:trPr>
          <w:trHeight w:val="20"/>
        </w:trPr>
        <w:tc>
          <w:tcPr>
            <w:tcW w:w="6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or the “Parent Company”)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Mountain segment, the Company operates nine world-class mountain resort properties at the Vail, Breckenridge, Keystone and Beaver Creek mountain resorts in Colorado; Park City in Utah (comprised of the former standalone Park City Mountain Resort acquired in September 2014 and the former Canyons Resort in Park City, Utah); the Heavenly, Northstar, and Kirkwood mountain resorts in the Lake Tahoe area of California and Nevada; Perisher Ski Resort (“Perisher” acquired in June 2015) in New South Wales, Australia; and, the ski areas of Wilmot Mountain in Wisconsin (acquired in January 2016), Afton Alps in Minnesota and Mount Brighton in Michigan (“Urban” ski areas); as well as ancillary services, primarily including ski school, dining and retail/rental operations, and for Perisher including lodging and transportation operations. The resorts located in the United States (except for Northstar, Park City and the Urban ski areas) operate primarily on federal land under the terms of Special Use Permits granted by the USDA Forest Service (the “Forest Service”). The operations of Perisher are conducted pursuant to a long-term lease and license on land owned by the government of New South Wales, Australia.</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U.S. mountain resorts, National Park Service (“NPS”) concessionaire properties including the Grand Teton Lodge Company (“GTLC”), which operates destination resorts in the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and develops real estate in and around the Company’s resort communities.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the United States. The Company’s peak operating season at Perisher, its NPS concessionaire properties and its golf courses generally occur from June to early October. The Company also has non-majority owned investments in various other entities, some of which are consolidated (see Note 7, Variable Interest Entities).</w:t>
      </w:r>
    </w:p>
    <w:p>
      <w:pPr>
        <w:spacing w:after="0" w:line="18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Consolidated Condensed Financial Statements— </w:t>
      </w:r>
      <w:r>
        <w:rPr>
          <w:rFonts w:ascii="Arial" w:cs="Arial" w:eastAsia="Arial" w:hAnsi="Arial"/>
          <w:sz w:val="16"/>
          <w:szCs w:val="16"/>
          <w:color w:val="auto"/>
        </w:rPr>
        <w:t>In the opinion of the Company, the accompanying Consolidated Condensed Financial Statements reflect all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Consolidated Condensed Financial Statements should be read in conjunction with the audited Consolidated Financial Statements included in the Company’s Annual Report on Form 10-K for the fiscal year ended July 31, 2015. Certain information and footnote disclosures, including significant accounting policies, normally included in fiscal year financial statements prepared in accordance with accounting principles generally accepted in the United States of America (“GAAP”) have been condensed or omitted. The Consolidated Condensed Balance Sheet as of July 31, 2015 was derived from audited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In May 2014, the Financial Accounting Standards Board (“FASB”) issued Accounting Standards Update (“ASU”) No. 2014-09,</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2015, the FASB issued ASU No. 2015-02, “Consolidation (Topic 810): Amendments to the Consolidation Analysis,” which amends the consolidation requirements in ASC 810, “Consolidation.” This ASU affects reporting entities that are required to evaluate whether they should consolidate certain legal entities. All legal entities are subject to reevaluation under the revised consolidation model. Specifically, the amendments: (i) modify the evaluation of whether limited partnerships and similar legal entities are variable interest entities (“VIEs”) or voting interest entities, (ii) eliminate the presumption that a general partner should consolidate a limited partnership, (iii) affect the consolidated analysis of reporting entities that are involved with VIEs, particularly those that have fee arrangements and related party relationships and (iv) provide a scope exception for certain entities. The standard will be effective for the first interim period within fiscal years beginning after December 15, 2015 (the Company’s first quarter of fiscal 2017). The standard may be applied retrospectively or through a cumulative effect adjustment to retained earnings as of the beginning of the fiscal year of adoption. The Company is evaluating the impacts, if any, the adoption of this accounting standard will have on the Company’s financial position or results of operations and cash flows.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2015, the FASB issued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guidance in the new standard is limited to the presentation of debt issuance costs and does not affect the recognition and measurement of debt issuance costs. In June 2015, the FASB issued ASU No. 2015-15, “Interest - Imputation of Interest (Subtopic 835-30): Presentation and Subsequent Measurement of Debt Issuance Costs Associated with Line-of-Credit Arrangements.”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stated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will be effective for the first interim period within fiscal years beginning after December 15, 2015 (the Company’s first quarter of fiscal 2017) and early adoption is permitted for financial statements that have not been previously issued. The standard should be applied on a retrospective basis. The adoption of this new accounting standard will amend presentation and disclosure requirements concerning debt issuance costs; but will not affect the Company’s overall financial position or results of operations and cash flows.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The standard provides guidance about whether a cloud computing arrangement includes a software license. If a cloud computing arrangement includes a software license, then the software license element of the arrangement should be accounted for as an acquisition of a software license. If a cloud computing arrangement does not include a software license, it should be accounted for as a service contract. The standard will be effective for the first interim period within fiscal years beginning after December 15, 2015 (the Company’s first quarter of fiscal 2017) and may be adopted either retrospectively or prospectively. The adoption of this accounting standard is not expected to have a material impact on the Company’s financial position or results of operations and cash flows.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This standard provides guidance on the measurement of inventory that is measured using first-in, first-out or average cost. An entity should measure in scope inventory at the lower of cost and net realizable value. Net realizable value is the estimated selling prices in the ordinary course of business, less reasonably predictable costs of completion, disposal and transportation. The standard will be effective for the first interim period within fiscal years beginning after December 15, 2016 (the Company’s first quarter of fiscal 2018) and is required to be adopted prospectively and early adoption is permitted. The adoption of this accounting standard is not expected to have a material impact on the Company’s financial position or results of operations and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2015, the FASB issued ASU No. 2015-16, “Simplifying the Accounting for Measurement-Period Adjustments.” The standard requires that adjustments to provisional amounts identified during the measurement period of a business combination be recognized in the reporting period in which those adjustments are determined, including the effect on earnings, if any, calculated as if the accounting had been completed at the acquisition date. The standard eliminates the previous requirement to retrospectively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account for such adjustments but requires additional disclosures related to the income statement effects of adjustments to provisional amounts identified during the measurement period. The standard is effective for the annual period beginning after December 15, 2015 and interim periods within those annual periods (the Company’s first quarter of fiscal 2017), with early adoption permitted, and is to be applied prospectively. The Company has adopted this standard and will apply this standard, as applicable, on any future measurement period adjustments.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standard changes how deferred taxes are classified on an entity’s balance sheets. The standard eliminates the current requirement for entities to present deferred tax liabilities and assets as current and noncurrent in a classified balance sheet. Instead, entities will be required to classify all deferred tax assets and liabilities as noncurrent. The standard is effective for financial statements issued for annual periods beginning after December 15, 2016 (the Company’s first quarter of fiscal 2018), with early adoption permitted, and may be applied prospectively or retrospectively. The adoption of this new accounting standard will amend presentation requirements, but will not affect the Company’s overall financial position or results of operations and cash flows.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w:t>
      </w:r>
    </w:p>
    <w:p>
      <w:pPr>
        <w:spacing w:after="0" w:line="17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 Presented below is basic and diluted EPS for the three months ended January 31, 2016 and 2015 (in thousands, except per share amounts):</w:t>
      </w:r>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9"/>
              </w:rPr>
              <w:t>Three Months Ended January 31,</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Diluted</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116,982</w:t>
            </w: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116,982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115,762</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115,762</w:t>
            </w:r>
          </w:p>
        </w:tc>
      </w:tr>
      <w:tr>
        <w:trPr>
          <w:trHeight w:val="27"/>
        </w:trPr>
        <w:tc>
          <w:tcPr>
            <w:tcW w:w="4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36,246</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36,329</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36,329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1,038</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37,256</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36,329</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37,367</w:t>
            </w:r>
          </w:p>
        </w:tc>
      </w:tr>
      <w:tr>
        <w:trPr>
          <w:trHeight w:val="237"/>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3.14</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on the exercise of share based awards excluded from the calculation of diluted net income per share because the effect of their inclusion would have been anti-dilutive totaled 19,000 and 8,000 for the three months ended January 31, 2016 and 2015,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Presented below is basic and diluted EPS for the six months ended January 31, 2016 and 2015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Six Months Ended January 31,</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Diluted</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57,395</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57,395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51,486</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51,486</w:t>
            </w:r>
          </w:p>
        </w:tc>
      </w:tr>
      <w:tr>
        <w:trPr>
          <w:trHeight w:val="27"/>
        </w:trPr>
        <w:tc>
          <w:tcPr>
            <w:tcW w:w="4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36,359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36,289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1,024</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37,358</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37,313</w:t>
            </w:r>
          </w:p>
        </w:tc>
      </w:tr>
      <w:tr>
        <w:trPr>
          <w:trHeight w:val="237"/>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1.54</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on the exercise of share based awards excluded from the calculation of diluted net income per share because the effect of their inclusion would have been anti-dilutive totaled 10,000 and 4,000 for the six months ended January 31, 2016 and 2015, respectively.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January 31, 2016, the Company paid cash dividends of $0.6225 and $1.2450 per share ($22.6 million and $45.2 million, respectively, in the aggregate). During the three and six months ended January 31, 2015, the Company paid cash dividends of $0.4150 and $0.8300 per share ($15.1 million and $30.1 million, respectively, in the aggregate). On March 9, 2016, the Company’s Board of Directors declared a quarterly cash dividend of $0.81 per share payable on April 13, 2016 to stockholders of record as of March 29, 2016.</w:t>
      </w:r>
    </w:p>
    <w:p>
      <w:pPr>
        <w:spacing w:after="0" w:line="18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January 31, 2016, July 31, 2015 and January 31, 2015 is summarized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Maturity (a)</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January 31, 2016</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31, 2015</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January 31, 2015</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Revolver</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Credit Facility Term Loan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246,875</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Bonds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Employee Housing Bonds</w:t>
            </w:r>
          </w:p>
        </w:tc>
        <w:tc>
          <w:tcPr>
            <w:tcW w:w="2660" w:type="dxa"/>
            <w:vAlign w:val="bottom"/>
          </w:tcPr>
          <w:p>
            <w:pPr>
              <w:jc w:val="center"/>
              <w:ind w:left="1272"/>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52,575</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Notes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Canyons obligation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2063</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320,277</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317,455</w:t>
            </w:r>
          </w:p>
        </w:tc>
        <w:tc>
          <w:tcPr>
            <w:tcW w:w="2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314,657</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center"/>
              <w:ind w:left="1272"/>
              <w:spacing w:after="0"/>
              <w:rPr>
                <w:sz w:val="20"/>
                <w:szCs w:val="20"/>
                <w:color w:val="auto"/>
              </w:rPr>
            </w:pPr>
            <w:r>
              <w:rPr>
                <w:rFonts w:ascii="Arial" w:cs="Arial" w:eastAsia="Arial" w:hAnsi="Arial"/>
                <w:sz w:val="18"/>
                <w:szCs w:val="18"/>
                <w:color w:val="auto"/>
                <w:w w:val="90"/>
              </w:rPr>
              <w:t>2016-2029</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11,308</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12,503</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695,535</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816,830</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635,935</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(b)</w:t>
            </w:r>
          </w:p>
        </w:tc>
        <w:tc>
          <w:tcPr>
            <w:tcW w:w="2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13,340</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10,154</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2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682,195</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806,676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634,739</w:t>
            </w:r>
          </w:p>
        </w:tc>
      </w:tr>
      <w:tr>
        <w:trPr>
          <w:trHeight w:val="27"/>
        </w:trPr>
        <w:tc>
          <w:tcPr>
            <w:tcW w:w="38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Maturities are based on the Company’s July 31 fiscal year end.</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Aggregate maturities for debt outstanding as of January 31, 2016 reflected by fiscal year are as follows (in thousands):</w:t>
      </w:r>
    </w:p>
    <w:p>
      <w:pPr>
        <w:spacing w:after="0" w:line="383"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2017</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13,354</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13,397</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2019</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13,455</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268,641</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380,151</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695,535</w:t>
            </w:r>
          </w:p>
        </w:tc>
      </w:tr>
      <w:tr>
        <w:trPr>
          <w:trHeight w:val="20"/>
        </w:trPr>
        <w:tc>
          <w:tcPr>
            <w:tcW w:w="2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incurred gross interest expense of $10.9 million and $13.8 million for the three months ended January 31, 2016 and 2015, respectively, of which $0.2 million and $0.4 million, respectively, were amortization of deferred financing costs. The Company had no capitalized interest during the three months ended January 31, 2016 and 2015. The Company incurred gross interest expense of $21.5 million and $27.4 million for the six months ended January 31, 2016 and 2015, respectively, of which $0.5 million and $0.7 million, respectively, were amortization of deferred financing costs. The Company had no capitalized interest during the six months ended January 31, 2016 and 2015.</w:t>
      </w:r>
    </w:p>
    <w:p>
      <w:pPr>
        <w:spacing w:after="0" w:line="18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19, 2016, the Company, through a wholly-owned subsidiary, acquired all of the assets of Wilmot Mountain (“Wilmot”), a ski area located in Wisconsin near the Illinois state line, for total cash consideration of $20.2 million. The purchase price was allocated to identifiable tangible and intangible assets acquired and liabilities assumed based on their estimated fair values at the acquisition date. The Company has completed its preliminary purchase price allocation and has recorded $12.5 million in property, plant and equipment, $0.2 million in other assets, $0.4 million in other intangible assets (with a weighted-average amortization period of 10 years), and $0.4 million of assumed liabilities on the date of acquisition. The excess of the purchase price over the aggregate fair values of assets acquired and liabilities assumed was $7.5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Perisher Ski Resort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2015, the Company, through a wholly-owned subsidiary, acquired all of the entities that operate Perisher Ski Resort (“Perisher”) in New South Wales, Australia for total cash consideration of $124.6 million, net of cash acquired. The Company funded the cash purchase price through borrowings under the revolver portion of its senior credit facility (“Credit Agreement”). Perisher holds a long-term lease and license with the New South Wales Government under the National Parks and Wildlife Act, which expires in 2048 with a 20-year renewal option. The Company acquired the entities that hold the assets, conduct operations and includes the long-term lease and license with the New South Wales government for the ski area and related amenities of Perisher, including assumed liabilities.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following summarizes the preliminary estimated fair values of the identifiable assets acquired and liabilities assumed at the date the transaction was effective (in thousands).</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Estimates of Fair Value at</w:t>
            </w:r>
          </w:p>
        </w:tc>
      </w:tr>
      <w:tr>
        <w:trPr>
          <w:trHeight w:val="234"/>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Effective Date of Transaction</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4,859</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5,458</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31,657</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assets acquired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170,280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11,394</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18,429</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45,729</w:t>
            </w:r>
          </w:p>
        </w:tc>
      </w:tr>
      <w:tr>
        <w:trPr>
          <w:trHeight w:val="237"/>
        </w:trPr>
        <w:tc>
          <w:tcPr>
            <w:tcW w:w="4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 net of cash acquired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124,551</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acquisition of Perisher are preliminary and are based on the information that was available as of the acquisition date to estimate the fair value of assets acquired and liabilities assumed. The Company believes that information provides a reasonable basis for estimating the fair values of assets acquired and liabilities assumed, but the Company is obtaining additional information necessary to finalize those fair values. Therefore, the preliminary measurements of fair value reflected are subject to change. The Company expects to finalize the valuation and complete the purchase price allocation as soon as practicable but no later than one year from the acquisition date.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excess of the purchase price over the aggregate fair values of assets acquired and liabilities assumed was recorded as goodwill. The goodwill recognized is attributable primarily to expected synergies, the assembled workforce of Perisher and other factors. None of the goodwill is expected to be deductible for income tax purposes under Australian tax law. The intangible assets primarily consist of trademarks and customer lists. The definite-lived intangible assets have a weighted-average amortization period of approximately 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 City Mountain Resort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11, 2014, VR CPC Holdings, Inc. (“VR CPC”), a wholly-owned subsidiary of the Company, and Greater Park City Company, Powdr Corp., Greater Properties, Inc., Park Properties, Inc., and Powdr Development Company (collectively, “Park City Sellers”) entered into a Purchase and Sale Agreement (the “Purchase Agreement”) providing for the acquisition of substantially all of the assets related to Park City Mountain Resort in Park City, Utah. The cash purchase price was $182.5 million and was funded through borrowings under the revolver portion of the Credit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provided under the Purchase Agreement, the Company acquired the property, assets and operations of Park City Mountain Resort, which includes the ski area and related amenities, from Park City Sellers and assumed leases of certain realty, acquired certain assets, and assumed certain liabilities of Park City Sellers relating to Park City Mountain Resort. In addition to the Purchase Agreement, the parties settled the litigation related to the validity of a lease of certain land owned by Talisker Land Holdings, LLC under the ski terrain of Park City Mountain Resort (the “Park City Litigation”). In connection with settling the Park City Litigation, the Company recorded a non-cash gain of $16.4 million in the Mountain segment for the six months ended January 31, 2015. The gain on litigation settlement represented the estimated fair value of the rents (including damages and interest) due the Company from the Park City Sellers for their use of land and improvements from the Canyons transaction date of May 29, 2013 to the Park City Mountain Resort acquisition date. Additionally, the Company assigned a fair value of $10.1 million to the settlement of the Park City Litigation that applied to the period prior to the Canyons transaction. The combined fair value of the Park City Litigation settlement of $26.5 million was determined by applying market capitalization rates to the estimated fair market value of the land and improvements, plus an estimate of statutory damages and interest. The estimated fair value of the Park City Litigation settlement was not received in cash, but was instead reflected as part of the cash price negotiated for the Park City Mountain Resort acquisition. Accordingly, the estimated fair value of the Park City Litigation settlement was included in the total consideration for the acquisition of Park City Mountain Resort. However, the gain on the Park City Litigation settlement was recorded as a separate transaction, as discussed above. Under an agreement entered into in conjunction with the Canyons transaction,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Company made a $10.0 million payment to Talisker in the six months ended January 31, 2015, resulting from the settlement of the Park City Litigation.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fair values of the identifiable assets acquired and liabilities assumed at the date the transaction was effective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Acquisition Date Fair Value</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7,428</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27,650</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92,516</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identifiable assets acquired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215,204</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208,950</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excess of the purchase price over the aggregate fair values of assets acquired and liabilities assumed was recorded as goodwill. The goodwill recognized is attributable primarily to expected synergies, the assembled workforce of Park City Mountain Resort and other factors. The majority of goodwill is expected to be deductible for income tax purposes. The intangible assets primarily consist of trademarks, water rights, and customer lists. The intangible assets have a weighted-average amortization period of approximately 46 years. The operating results of Park City, which are recorded in the Mountain segment, contributed $27.6 million and $28.4 million of net revenue (including an allocation of season pass revenue) for the three and six months ended January 31, 2015, respectively. The Company recognized $0.8 million of transaction related expenses in Mountain operating expense in the Consolidated Condensed Statements of Operations for the six months ended January 31, 2015.</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land and improvements in the Park City Mountain Resort ski area (excluding the base area) were part of the Talisker leased premises to Park City Mountain Resort and were subject to the Park City Litigation as of the Canyons transaction date (May 29, 2013), and as such, were recorded as a deposit (“Park City Deposit”) for the potential future interests in the land and associated improvements at its estimated fair value in conjunction with the Canyons transaction. Upon settlement of the Park City Litigation, the land and improvements associated with the Talisker leased premises became subject to the Canyons lease, and as a result, the Company reclassified the Park City Deposit to the respective assets within property, plant and equipment in the six months ended January 31, 2015. The inclusion of the land and certain land improvements that was subject to the Park City Litigation and now included in the Canyons lease requires no additional consideration from the Company to Talisker, but the financial contribution from the operations of Park City Mountain Resort will be included as part of the calculation of EBITDA for the resort operations, and as a result, factor into the participating contingent payments (see Note 8, Fair Value Measurements). The majority of the assets acquired under the Park City Mountain Resort acquisition, although not under lease, are subject to the terms and conditions of the Canyons lease.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Perisher and Park City Mountain Resort Pro Forma Financial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acquisitions of Perisher and Park City Mountain Resort were completed on August 1, 2014. The following unaudited pro forma financial information includes adjustments for (i) depreciation on acquired property, plant and equipment; (ii) amortization of intangible assets recorded at the date of the transactions; (iii) related-party land leases; and (iv) transaction and business integration related costs. This unaudited pro forma financial information is presented for informational purposes only and does not purport to be indicative of the results of future operations or the results that would have occurred had the transaction taken place on August 1, 2014 (in thousands, except per share amounts).</w:t>
      </w:r>
    </w:p>
    <w:p>
      <w:pPr>
        <w:spacing w:after="0" w:line="35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January 31,</w:t>
            </w:r>
          </w:p>
        </w:tc>
        <w:tc>
          <w:tcPr>
            <w:tcW w:w="24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January 31,</w:t>
            </w:r>
          </w:p>
        </w:tc>
      </w:tr>
      <w:tr>
        <w:trPr>
          <w:trHeight w:val="270"/>
        </w:trPr>
        <w:tc>
          <w:tcPr>
            <w:tcW w:w="5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3"/>
                <w:szCs w:val="23"/>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530,678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703,254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111,850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57,624</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Pro forma basic net income per share attributable to Vail Resorts, Inc.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5"/>
              </w:rPr>
              <w:t>Pro forma diluted net income per share attributable to Vail Resorts,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460" w:type="dxa"/>
            <w:vAlign w:val="bottom"/>
          </w:tcPr>
          <w:p>
            <w:pPr>
              <w:ind w:left="400"/>
              <w:spacing w:after="0"/>
              <w:rPr>
                <w:sz w:val="20"/>
                <w:szCs w:val="20"/>
                <w:color w:val="auto"/>
              </w:rPr>
            </w:pPr>
            <w:r>
              <w:rPr>
                <w:rFonts w:ascii="Arial" w:cs="Arial" w:eastAsia="Arial" w:hAnsi="Arial"/>
                <w:sz w:val="18"/>
                <w:szCs w:val="18"/>
                <w:b w:val="1"/>
                <w:bCs w:val="1"/>
                <w:color w:val="auto"/>
              </w:rPr>
              <w:t>Supplementary Balance Sheet Information</w:t>
            </w: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The composition of property, plant and equipment follows (in thousands):</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January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2015</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31, 2015</w:t>
            </w: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438,373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431,854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411,148</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1,024,065</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1,006,821</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959,863</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873,045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815,946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774,791</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302,077</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286,863</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281,869</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111,118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106,433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104,511</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58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62,093</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61,036</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58,760</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24,767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53,158</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16,676</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property, plant and equipment</w:t>
            </w:r>
          </w:p>
        </w:tc>
        <w:tc>
          <w:tcPr>
            <w:tcW w:w="5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2,835,538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2,762,111</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2,607,618</w:t>
            </w:r>
          </w:p>
        </w:tc>
      </w:tr>
      <w:tr>
        <w:trPr>
          <w:trHeight w:val="27"/>
        </w:trPr>
        <w:tc>
          <w:tcPr>
            <w:tcW w:w="5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5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(1,443,649)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(1,375,836)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(1,323,403)</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1,391,889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1,386,275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1,284,215</w:t>
            </w:r>
          </w:p>
        </w:tc>
      </w:tr>
      <w:tr>
        <w:trPr>
          <w:trHeight w:val="27"/>
        </w:trPr>
        <w:tc>
          <w:tcPr>
            <w:tcW w:w="2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January 31, 2016</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July 31, 2015</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31, 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82,913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62,099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190,976</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145,949</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163,253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43,916</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33,461</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26,199</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24,436</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22,304</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36,995</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19,336</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6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66,771</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46,018</w:t>
            </w:r>
          </w:p>
        </w:tc>
        <w:tc>
          <w:tcPr>
            <w:tcW w:w="3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71,989</w:t>
            </w:r>
          </w:p>
        </w:tc>
      </w:tr>
      <w:tr>
        <w:trPr>
          <w:trHeight w:val="27"/>
        </w:trPr>
        <w:tc>
          <w:tcPr>
            <w:tcW w:w="4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accrued liabilities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447,770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331,299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420,829</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January 31, 2016</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July 31, 2015</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January 31, 2015</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123,886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126,104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129,315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7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28,593</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29,997</w:t>
            </w:r>
          </w:p>
        </w:tc>
        <w:tc>
          <w:tcPr>
            <w:tcW w:w="3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30,096</w:t>
            </w: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7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100,127</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99,815</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69,902</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other long-term liabilities</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252,606</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255,916</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229,313</w:t>
            </w:r>
          </w:p>
        </w:tc>
      </w:tr>
      <w:tr>
        <w:trPr>
          <w:trHeight w:val="27"/>
        </w:trPr>
        <w:tc>
          <w:tcPr>
            <w:tcW w:w="4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Variable Interest Entities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the primary beneficiary of four employee housing entities (collectively, the “Employee Housing Entities”), Breckenridge Terrace, LLC, The Tarnes at BC, LLC, BC Housing, LLC and Tenderfoot Seasonal Housing, LLC, which are variable interest entities (“VIEs”), and the Company has consolidated them in its Consolidated Condensed Financial Statements. As a group, as of January 31, 2016, the Employee Housing Entities had total assets of $25.8 million (primarily recorded in property, plant and equipment, net) and total liabilities of $64.4 million (primarily recorded in long-term debt as “Employee Housing Bonds”). The Company’s lenders have issued letters of credit totaling $53.4 million under the Company’s Credit Agreement related to Employee Housing Bonds. Payments under the letters of credit would be triggered in the event that one of the entities defaults on required payments. The letters of credit have no default provisions.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the primary beneficiary of Avon Partners II, LLC (“APII”), which is a VIE. APII owns commercial space and the Company leases substantially all of that space. APII had total assets of $4.3 million (primarily recorded in property, plant and equipment, net) and no debt as of January 31, 2016.</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Accounting Standards Board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and Contingent Consideration (as defined below) measured at fair value (all other assets and liabilities measured at fair value are immaterial)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January 31, 2016</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4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Balance at January 31, 2016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July 31, 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Balance at July 31, 2015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3"/>
              </w:rPr>
              <w:t>Fair Value Measurement as of January 31, 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Balance at January 31, 2015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1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6,000</w:t>
            </w:r>
          </w:p>
        </w:tc>
      </w:tr>
      <w:tr>
        <w:trPr>
          <w:trHeight w:val="27"/>
        </w:trPr>
        <w:tc>
          <w:tcPr>
            <w:tcW w:w="4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2016 and 2015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238125</wp:posOffset>
            </wp:positionV>
            <wp:extent cx="601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8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Balance as of July 31, 2015 and 2014, respectively</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7"/>
        </w:trPr>
        <w:tc>
          <w:tcPr>
            <w:tcW w:w="4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7"/>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Balance as of January 31, 2016 and 2015, respectively</w:t>
            </w:r>
          </w:p>
        </w:tc>
        <w:tc>
          <w:tcPr>
            <w:tcW w:w="142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4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lease for Canyons provides for participating contingent payments to Talisker of 42% of the amount by which EBITDA for the resort operations, as calculated under the lease, exceed approximately $35 million, as established at the transaction date, with such threshold amount subsequently increased annually by an inflation linked index and a 10% adjustment for any capital improvements or investments made under the lease by the Company (the “Contingent Consideration”). The fair value of Contingent Consideration includes the resort operations of Park City Mountain Resort, following completion of the acquisition,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Mountain Resort. The Company estimated the fair value of the Contingent Consideration payments using an option pricing valuation model. As of January 31, 2016, key assumptions included a discount rate of 11.5%, volatility of 20.0%, and credit risk of 2.5%. The model also incorporates assumptions for EBITDA and</w:t>
      </w:r>
    </w:p>
    <w:p>
      <w:pPr>
        <w:sectPr>
          <w:pgSz w:w="11900" w:h="16838" w:orient="portrait"/>
          <w:cols w:equalWidth="0" w:num="1">
            <w:col w:w="11420"/>
          </w:cols>
          <w:pgMar w:left="240" w:top="58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4" w:right="239" w:bottom="1440" w:gutter="0" w:footer="0" w:header="0"/>
          <w:type w:val="continuous"/>
        </w:sectPr>
      </w:pPr>
    </w:p>
    <w:bookmarkStart w:id="17" w:name="page18"/>
    <w:bookmarkEnd w:id="17"/>
    <w:p>
      <w:pPr>
        <w:jc w:val="both"/>
        <w:spacing w:after="0" w:line="302" w:lineRule="auto"/>
        <w:rPr>
          <w:sz w:val="20"/>
          <w:szCs w:val="20"/>
          <w:color w:val="auto"/>
        </w:rPr>
      </w:pPr>
      <w:r>
        <w:rPr>
          <w:rFonts w:ascii="Arial" w:cs="Arial" w:eastAsia="Arial" w:hAnsi="Arial"/>
          <w:sz w:val="16"/>
          <w:szCs w:val="16"/>
          <w:color w:val="auto"/>
        </w:rPr>
        <w:t>capital expenditures, which are unobservable inputs and thus are considered Level 3 inputs. As Contingent Consideration is classified as a liability, the liability is remeasured to fair value at each reporting date until the contingency is resolved. During the six months ended January 31, 2016, the Company did not record a change in the estimated fair value of the participating contingent payments. The estimated fair value of the Contingent Consideration is $6.9 million as of January 31, 2016, and this liability is recorded in other long-term liabilities in the Consolidated Condensed Balance Sheets.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$8.0 million of bonds issued by Holland Creek Metropolitan District (“HCMD”) through an $8.1 million letter of credit issued under the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and the Company has recorded a liability of $1.8 million primarily within “other long-term liabilities” in the accompanying Consolidated Condensed Balance Sheets, as of January 31, 2016, July 31, 2015 and January 31, 2015, respectively, with respect to the estimated present value of future RSRMD capital improvement fees. The Company estimates it will make capital improvement fee payments under this arrangement through the fiscal year ending July 31, 2029.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January 31, 2016, the Company had various other letters of credit for $64.6 million, consisting primarily of $53.4 million to support the Employee Housing Bonds and $11.2 million for workers’ compensation, general liability construction related deductibles and other activities. The Company also had surety bonds of $9.3 million as of January 31, 2016, primarily to provide collateral for its workers compensation self-insurance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to licensees in connection with the licensees’ use of the Company’s trademarks and logos, indemnities for liabilities associated with the infringement of other parties’ technology and software products, indemnities related to liabilities associated with the use of easements, indemnities related to employment of contract workers, the Company’s use of trustees, indemnities related to the Company’s use of public lands and environmental indemnifications. The duration of these indemnities generally is indefinite and generally do not limit the future payments the Company could be obligated to make.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future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Self Insurance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self-insured for claims under its health benefit plans and for the majority of workers’ compensation claims. Workers compensation claims are subject to stop loss policies. The self-insurance liability related to workers’ compensation is determined actuarially based on claims filed. The self-insurance liability related to claims under the Company’s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loss contingencies for all known matters deemed to be probable losses and estimable. As of January 31, 2016, July 31, 2015 and January 31, 2015, the accrual for the above loss contingencies was not material individually and in the aggregate.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three reportable segments: Mountain, Lodging and Real Estate. The Mountain segment includes the operations of the Company’s mountain resorts and Urban ski areas and related ancillary services. The Lodging segment includes the operations of all of the Company’s owned hotels in the U.S., RockResorts, NPS concessionaire properties, condominium management, CME and mountain resort golf operations. The Real Estate segment owns and develops real estate in and around the Company’s resort communities. The Company’s reportable segments, although integral to the success of each other, offer distinctly different products and services and require different types of management focus. As such, these segments are managed separately.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reports its segment results using Reported EBITDA (defined as segment net revenue less segment operating expenses, plus or minus segment equity investment income or loss, plus gain on litigation settlement and for the Real Estate segment, plus gain on sale of real property), which is a non-GAAP financial measure. The Company reports segment results in a manner consistent with management’s internal reporting of operating results to the chief operating decision maker (the Chief Executive Officer) for purposes of evaluating segment performance.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Reported EBITDA is not a measure of financial performance under GAAP. 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Reported EBITDA is not a measurement determined in accordance with GAAP and thus is susceptible to varying calculations, Reported EBITDA as presented may not be comparable to other similarly titled measures of other companies.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plus gain on litigation settlement. Lodging Reported EBITDA consists of Lodging net revenue less Lodging operating expense. Real Estate Reported EBITDA consists of Real Estate net revenue less Real Estate operating expense plus gain on sale of real property. All segment expenses include an allocation of corporate administrative expenses. Assets are not allocated between segments, or used to evaluate performance, except as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8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252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Six Months Ended January 31,</w:t>
            </w:r>
          </w:p>
        </w:tc>
      </w:tr>
      <w:tr>
        <w:trPr>
          <w:trHeight w:val="276"/>
        </w:trPr>
        <w:tc>
          <w:tcPr>
            <w:tcW w:w="4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Lift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287,685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239,288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307,838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239,288</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62,040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57,295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65,424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57,295</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Dining</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44,738</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38,619</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57,093</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46,658</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102,975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95,012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135,364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124,485</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35,434</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32,817</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68,086</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55,691</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532,872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463,031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633,805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523,417</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Lodging</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62,807</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59,364</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127,093</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117,857</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595,679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522,395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760,898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641,274</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3,684</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7,842</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13,032</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17,225</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599,363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530,237</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773,930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658,499</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296,256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268,966</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447,414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400,918</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Lodging</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57,311</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53,927</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118,748</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111,681</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353,567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322,893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566,162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512,599</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4,617</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9,871</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13,958</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21,485</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358,184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332,764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580,120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534,084</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Gain on litigation settlement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16,400</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Mountain equity investment (loss) income, net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525</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Mountain</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236,555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194,265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187,172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139,424</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5,496</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5,437</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8,345</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6,176</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Resort</w:t>
            </w:r>
          </w:p>
        </w:tc>
        <w:tc>
          <w:tcPr>
            <w:tcW w:w="7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242,051</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199,702</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195,517</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145,600</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(2,029)</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865</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241,750</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197,673</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196,382</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141,340</w:t>
            </w:r>
          </w:p>
        </w:tc>
      </w:tr>
      <w:tr>
        <w:trPr>
          <w:trHeight w:val="67"/>
        </w:trPr>
        <w:tc>
          <w:tcPr>
            <w:tcW w:w="49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56"/>
        </w:trPr>
        <w:tc>
          <w:tcPr>
            <w:tcW w:w="4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117,999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151,103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117,999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151,103</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4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Reconciliation to net income attributable to Vail Resorts, Inc.:</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241,750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197,673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196,382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141,340</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(40,541)</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(37,376)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(79,241)</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(73,345)</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7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net</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(10,910)</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(13,807)</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(21,505)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(27,375)</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189,254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146,526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93,010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44,425</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(Provision) benefit from income taxes</w:t>
            </w:r>
          </w:p>
        </w:tc>
        <w:tc>
          <w:tcPr>
            <w:tcW w:w="7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(72,383)</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(30,826)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(35,809)</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6,951</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116,871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115,700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57,201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51,376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7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4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116,982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115,762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57,395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51,486</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type w:val="continuous"/>
        </w:sectPr>
      </w:pPr>
    </w:p>
    <w:bookmarkStart w:id="20" w:name="page21"/>
    <w:bookmarkEnd w:id="20"/>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the repurchase of up to 3,000,000 shares of common stock, on July 16, 2008 approved an increase of the Company’s common stock repurchase authorization by an additional 3,000,000 shares, and on December 4, 2015, the Company’s Board of Directors approved an increase in the number of shares authorized to be repurchased under the share repurchase program by an additional 1,500,000 shares. The Company repurchased zero shares of common stock during both the three months ended January 31, 2016 and 2015. During the six months ended January 31, 2016 and 2015, the Company repurchased 377,830 shares (at a total cost of $40.0 million) and zero shares of common stock, respectively. Since inception of its share repurchase program through January 31, 2016, the Company has repurchased 5,326,941 shares at a cost of approximately $233.2 million. As of January 31, 2016, 2,173,059 shares remained available to repurchase under the existing share repurchase program which has no expiration date. Shares of common stock purchased pursuant to the repurchase program will be held as treasury shares and may be used for the issuance of shares under the Company’s employee share award plan.</w:t>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had Federal net operating loss (“NOL”) carryforwards that expired in the year ended July 31, 2008 and were limited in deductibility each year under Section 382 of the Internal Revenue Code. The Company had only been able to use these NOL carryforwards to the extent of approximately $8.0 million per year through December 31, 2007 (the “Section 382 Amount”). However, during the year ended July 31, 2005, the Company amended previously filed tax returns (for tax years 1997-2002) in an effort to remove the restrictions under Section 382 of the Internal Revenue Code on approximately $73.8 million of NOL carryforwards to reduce future taxable income. As a result, the Company requested a refund related to the amended returns in the amount of $6.2 million and reduced its federal tax liability in the amount of $19.6 million in subsequent returns. These NOL carryforwards relate to fresh start accounting from the Company’s reorganization in 1992. During the year ended July 31, 2006, the Internal Revenue Service (“IRS”) completed its examination of the Company’s filing position in these amended returns and disallowed the Company’s request for refund and its position to remove the restrictions under Section 382 of the Internal Revenue Code. The Company appealed the examiner’s disallowance of these NOL carryforwards to the Office of Appeals. In December 2008, the Office of Appeals denied the Company’s appeal, as well as a request for mediation. The Company disagreed with the IRS interpretation disallowing the utilization of the NOL’s and in August 2009, the Company filed a complaint in the United States District Court for the District of Colorado against the United States of America seeking a refund of approximately $6.2 million in Federal income taxes paid, plus interest. On July 1, 2011, the District Court granted the Company summary judgment, concluding that the IRS’s decision disallowing the utilization of the NOLs was inappropriate. The computations themselves, however, remained in dispute, and the District Court’s ruling was subject to appeal by the IRS. Subsequently, the District Court proceedings were continued pending settlement discussions between the parties.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filed two related tax proceedings in the United States Tax Court regarding calculation of NOL carryover deductions for tax years 2006, 2007, and 2008. The two proceedings involved substantially the same issues as the litigation in the District Court for tax years 2000 and 2001 in which the Company disagreed with the IRS as to the utilization of NOLs. Like the District Court proceedings, the Tax Court proceedings were continued pending settlement discussions between the parties.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29, 2015, the parties completed the execution of a comprehensive settlement agreement resolving all issues and computations in the above mentioned pending proceedings, which allowed the Company to utilize a significant portion of the NOLs. As a result, the Company reversed $27.7 million of other long-term liabilities related to uncertain tax benefits, and recorded income tax benefits of $23.8 million for the utilization of the NOLs, including the reversal of accrued interest and penalties, within its Consolidated Condensed Statements of Operations for the three and six months ended January 31,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2016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in conjunction with our Annual Report on Form 10-K for the fiscal year ended July 31, 2015 (“Form 10-K”) and the Consolidated Condensed Financial Statements as of January 31, 2016 and 2015 and for the three and six months then ended, included in Part I, Item 1 of this Form 10-Q, which provide additional information regarding our financial position, results of operations and cash flows. To the extent that the following Management’s Discussion and Analysis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The following Management’s Discussion and Analysis includes discussion of financial performance within each of our segments. We have chosen to specifically include Reported EBITDA (defined as segment net revenue less segment operating expense, plus or minus segment equity investment income or loss, plus gain on litigation settlement and for the Real Estate segment, plus gain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Reported EBITDA and Net Debt are not measures of financial performance or liquidity under accounting principles generally accepted in the United States of America (“GAAP”). We utilize Reported EBITDA in evaluating our performance and in allocating resources to our segments. Refer to the end of the “Results of Operations” section below for a reconciliation of Reported EBITDA to net income attributable to Vail Resorts, Inc. We also believe that Net Debt is an important measurement as it is an indicator of our ability to obtain additional capital resources for our future cash needs. Refer to the end of the “Results of Operations” section below for a reconciliation of Net Debt to long-term debt.</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and are susceptible to varying calculations, Reported EBITDA and Net Debt as presented may not be comparable to other similarly titled measures of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Mountain segment is comprised of the operations of mountain resort properties at the Vail, Breckenridge, Keystone and Beaver Creek mountain resorts in Colorado (“Colorado” resorts); Park City in Utah (comprised of the former standalone Park City Mountain Resort acquired in September 2014 and the former Canyons Resort in Park City, Utah); the Heavenly, Northstar and Kirkwood mountain resorts in the Lake Tahoe area of California and Nevada (“Tahoe” resorts); Perisher Ski Resort (“Perisher” acquired in June 2015) in New South Wales, Australia; and, the ski areas of Wilmot Mountain in Wisconsin (acquired in January 2016), Afton Alps in Minnesota and Mount Brighton in Michigan (“Urban” ski areas); as well as ancillary services, primarily including ski school, dining and retail/rental operations, and for Perisher including lodging and transportation operations. Mountain segment revenue is seasonal, with the majority of revenue earned from our U.S. mountain resorts and ski areas occurring in our second and third fiscal quarters and the majority of revenue earned from Perisher occurring in our first and fourth fiscal quarters. Our U.S. mountain resorts are typically open for business from mid-November through mid-April, which is the peak operating season for the Mountain segment, and Perisher is typically open for business from June to early October. Our single largest source of Mountain segment revenue is the sale of lift tickets (including season passes), which represented approximately 54% and 52% of Mountain net revenue for the three months ended January 31, 2016 and 2015,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to our U.S. mountain resorts is divided into two primary categories: (i) out-of-state and international (“Destination”) guests and (ii) in-state and local (“In-State”) guests. For both the three months ended January 31, 2016 and 2015, Destination guests comprised approximately 53% of our mountain resort skier visits, while In-State guests comprised approximately 47% of our mountain resort skier visits.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Destination guests generally purchase our higher-priced lift ticket products and utilize more ancillary services such as ski school, dining and retail/rental, as well as the lodging at or around our mountain resorts. Destination guest visitation is less likely to be impacted by changes in the weather, but can be more impacted by adverse economic conditions or the global geopolitical climate. In-State guests tend to be more value-oriented and weather sensitive. We offer a variety of season pass products for all of our mountain resorts and Urban ski areas, marketed towards both Destination and In-State guests. Our season pass product offerings range from providing access to one or a combination of our mountain resorts and Urban ski areas to our Epic Season Pass that allows pass holders unlimited and unrestricted access to all of our mountain resorts and Urban ski areas. Our season pass products provide a compelling value proposition to our guests, which in turn assists us in developing a loyal base of customers who commit to ski at our mountain resorts and Urban ski areas generally in advance of the ski season and typically ski more days each season at our mountain resorts and Urban ski areas than those guests who do not buy season passes. As such, our season pass program drives strong customer loyalty; mitigates exposure to many weather sensitive guests; and generates additional ancillary spending. In addition, our season pass products attract new guests to our mountain resorts and Urban ski areas. All of our season pass products, including the Epic Season Pass, are sold predominately prior to the start of the ski season. Season pass revenue, although primarily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302" w:lineRule="auto"/>
        <w:rPr>
          <w:sz w:val="20"/>
          <w:szCs w:val="20"/>
          <w:color w:val="auto"/>
        </w:rPr>
      </w:pPr>
      <w:r>
        <w:rPr>
          <w:rFonts w:ascii="Arial" w:cs="Arial" w:eastAsia="Arial" w:hAnsi="Arial"/>
          <w:sz w:val="16"/>
          <w:szCs w:val="16"/>
          <w:color w:val="auto"/>
        </w:rPr>
        <w:t>collected prior to the ski season, is recognized in the Consolidated Condensed Statement of Operations ratably over the ski season. For the three months ended January 31, 2016 and 2015, approximately 46% and 45%, respectively, of the total lift revenue recognized was comprised of season pass revenue (of which revenue recognized represents approximately 52% and 50% of total U.S. season pass sales for the 2015/2016 and 2014/2015 ski seasons, respectively, with the remaining U.S. season pass sales almost entirely recognized as lift revenue in our third fiscal quarter ending April 30).</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USDA Forest Service (“Forest Service”)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including several proximate to our U.S. mountain resorts; (ii) ownership/management of non-RockResorts branded hotels and condominiums proximate to our U.S.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performance of lodging properties (including managed condominium rooms) proximate to our mountain resorts, and CME, is closely aligned with the performance of the Mountain segment and generally experiences similar seasonal trends, particularly with respect to visitation by Destination guests, and represented approximately 94% and 93% of Lodging segment revenue (excluding Lodging segment revenue associated with reimbursement of payroll costs) for the three months ended January 31, 2016 and 2015, respectively. Management primarily focuses on Lodging net revenue excluding payroll cost reimbursement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mid-May to mid-October), mountain resort golf operations and seasonally low operations from our other owned and managed properties and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activities of our Real Estate segment include the marketing and selling of remaining condominium units available for sale, which primarily relate to The Ritz-Carlton Residences,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90"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in regards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creates a guest commitment predominately prior to the start of the ski season. During fiscal year 2015, pass revenue represented approximately 40% of total lift revenue. Due primarily to increased pass sales for the 2015/2016 ski season compared to the 2014/2015 ski season, season pass revenue increased approximately $22.8 million, or 21.1%, for the three months ended January 31, 2016 compared to the same period in the prior year. Additionally, deferred revenue related to U.S. season pass sales was $124.1 million as of January 31, 2016 (compared to $107.8 million as of January 31, 2015), which will be almost entirely recognized as lift revenue during our third fiscal quarter ending April 30,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ind w:left="321" w:hanging="321"/>
        <w:spacing w:after="0" w:line="25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many key economic indicators in the U.S. have held steady through the beginning of calendar year 2016, including consumer confidence and the unemployment rate, the growth in the U.S. economy may be challenged by declining or slowing growth in economies outside of the U.S., accompanied by devaluation of currencies against the U.S. dollar and lower commodity prices. Given these economic trends and uncertainties, we cannot predict what the impact will be on overall travel and leisure spending or more specifically, on our guest visitation, guest spending or other related trends for the remainder of the 2015/2016 U.S. ski season.</w:t>
      </w:r>
    </w:p>
    <w:p>
      <w:pPr>
        <w:spacing w:after="0" w:line="188" w:lineRule="exact"/>
        <w:rPr>
          <w:rFonts w:ascii="Arial" w:cs="Arial" w:eastAsia="Arial" w:hAnsi="Arial"/>
          <w:sz w:val="18"/>
          <w:szCs w:val="18"/>
          <w:color w:val="auto"/>
        </w:rPr>
      </w:pPr>
    </w:p>
    <w:p>
      <w:pPr>
        <w:jc w:val="both"/>
        <w:ind w:left="321" w:hanging="321"/>
        <w:spacing w:after="0" w:line="255"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June 30, 2015, we acquired the entities that operate Perisher Ski Resort (“Perisher”) in New South Wales, Australia for total cash consideration of AU$176.2 million (approximately US$134.8 million), excluding cash acquired and assumed working capital. The cash purchase price was funded through borrowings from the revolving portion of our senior credit facility (“Credit Agreement”). We expect that Perisher will positively contribute to our results of operations with its peak operating season occurring during our first and fourth fiscal quarters. However, we cannot predict whether we will realize all of the synergies expected from the operations of Perisher and the ultimate impact Perisher will have on our future results of operations.</w:t>
      </w:r>
    </w:p>
    <w:p>
      <w:pPr>
        <w:spacing w:after="0" w:line="193" w:lineRule="exact"/>
        <w:rPr>
          <w:rFonts w:ascii="Arial" w:cs="Arial" w:eastAsia="Arial" w:hAnsi="Arial"/>
          <w:sz w:val="18"/>
          <w:szCs w:val="18"/>
          <w:color w:val="auto"/>
        </w:rPr>
      </w:pPr>
    </w:p>
    <w:p>
      <w:pPr>
        <w:jc w:val="both"/>
        <w:ind w:left="341"/>
        <w:spacing w:after="0" w:line="257" w:lineRule="auto"/>
        <w:rPr>
          <w:rFonts w:ascii="Arial" w:cs="Arial" w:eastAsia="Arial" w:hAnsi="Arial"/>
          <w:sz w:val="18"/>
          <w:szCs w:val="18"/>
          <w:color w:val="auto"/>
        </w:rPr>
      </w:pPr>
      <w:r>
        <w:rPr>
          <w:rFonts w:ascii="Arial" w:cs="Arial" w:eastAsia="Arial" w:hAnsi="Arial"/>
          <w:sz w:val="18"/>
          <w:szCs w:val="18"/>
          <w:color w:val="auto"/>
        </w:rPr>
        <w:t>The estimated fair values of assets acquired and liabilities assumed in the Perisher acquisition are preliminary and are based on the information that was available as of the acquisition date to estimate the fair value of assets acquired and liabilities assumed. We believe that information provides a reasonable basis for estimating the fair values of assets acquired and liabilities assumed, but we are obtaining additional information necessary to finalize those fair values. Therefore, the preliminary measurements of fair value reflected within the Consolidated Condensed Balance Sheets as of January 31, 2016 are subject to change.</w:t>
      </w:r>
    </w:p>
    <w:p>
      <w:pPr>
        <w:spacing w:after="0" w:line="188" w:lineRule="exact"/>
        <w:rPr>
          <w:rFonts w:ascii="Arial" w:cs="Arial" w:eastAsia="Arial" w:hAnsi="Arial"/>
          <w:sz w:val="18"/>
          <w:szCs w:val="18"/>
          <w:color w:val="auto"/>
        </w:rPr>
      </w:pPr>
    </w:p>
    <w:p>
      <w:pPr>
        <w:jc w:val="both"/>
        <w:ind w:left="321" w:hanging="321"/>
        <w:spacing w:after="0" w:line="269" w:lineRule="auto"/>
        <w:tabs>
          <w:tab w:leader="none" w:pos="3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of January 31, 2016, we had $45.4 million in cash and cash equivalents, as well as $262.9 million available under the revolver component of our Credit Agreement (which represents the total commitment of $400.0 million less outstanding borrowings of $64.5 million and certain letters of credit outstanding of $72.6 million). In addition, during the three months ended October 31, 2015 we repurchased 377,830 shares of our common stock at a total cost of approximately $40.0 million, and during the three months ended January 31, 2016 we completed the acquisition of a ski area, Wilmot Mountain in Wisconsin, for cash consideration of approximately $20.2 million. We believe that the terms of our Credit Agreement allow for sufficient flexibility in our ability to make future acquisitions, investments, distributions to stockholders and incur additional debt. This, combined with the continued positive cash flow from operating activities of our Mountain and Lodging segments, primarily occurring during our second and third fiscal quarters, less resort capital expenditures has and is anticipated to continue to provide us with substantial liquidity. We believe our liquidity will allow us to consider strategic investments and other forms of returning value to our stockholders including additional share repurchases and the continued payment of a quarterly cash dividend, of which, on March 9, 2016 our Board of Directors approved an approximate 30% increase in our regular quarterly cash dividend on our common stock to $0.81 per share (or approximately $29.4 million quarterly based upon shares outstanding as of January 31, 2016).</w:t>
      </w:r>
    </w:p>
    <w:p>
      <w:pPr>
        <w:spacing w:after="0" w:line="179" w:lineRule="exact"/>
        <w:rPr>
          <w:rFonts w:ascii="Arial" w:cs="Arial" w:eastAsia="Arial" w:hAnsi="Arial"/>
          <w:sz w:val="17"/>
          <w:szCs w:val="17"/>
          <w:color w:val="auto"/>
        </w:rPr>
      </w:pPr>
    </w:p>
    <w:p>
      <w:pPr>
        <w:jc w:val="both"/>
        <w:ind w:left="321" w:hanging="321"/>
        <w:spacing w:after="0" w:line="272" w:lineRule="auto"/>
        <w:tabs>
          <w:tab w:leader="none" w:pos="3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Real Estate Reported EBITDA is highly dependent on, among other things, the timing of closings on condominium units available for sale, which determines when revenue and associated cost of sales is recognized. Changes to the anticipated timing or mix of closing on one or more real estate projects, or unit closings within a real estate project, could materially impact Real Estate Reported EBITDA for a particular quarter or fiscal year. As of January 31, 2016, we had six units at The Ritz-Carlton Residences, Vail and two units at One Ski Hill Place in Breckenridge available for sale with a remaining book value of approximately $18.7 million for both projects as of January 31, 2016. We cannot predict the ultimate number of units that we will sell, the ultimate price we will receive, or when the units will sell, although we currently anticipate the selling process will take less than two years to complete assuming continued stability in resort real estate markets.</w:t>
      </w:r>
    </w:p>
    <w:p>
      <w:pPr>
        <w:spacing w:after="0" w:line="177" w:lineRule="exact"/>
        <w:rPr>
          <w:rFonts w:ascii="Arial" w:cs="Arial" w:eastAsia="Arial" w:hAnsi="Arial"/>
          <w:sz w:val="17"/>
          <w:szCs w:val="17"/>
          <w:color w:val="auto"/>
        </w:rPr>
      </w:pPr>
    </w:p>
    <w:p>
      <w:pPr>
        <w:jc w:val="both"/>
        <w:ind w:left="321" w:hanging="321"/>
        <w:spacing w:after="0" w:line="288" w:lineRule="auto"/>
        <w:tabs>
          <w:tab w:leader="none" w:pos="3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GAAP, we test goodwill and indefinite-lived intangible assets for impairment annually as well as on an interim basis to the extent factors or indicators become apparent that could reduce the fair value of our reporting units or indefinite-lived intangible assets below book value. We also evaluate long-lived assets for potential impairment whenever events or changes in circumstances indicate that the carrying amount of an asset may not be recoverable. We evaluate the recoverability of our goodwill by estimating the future discounted cash flows of our reporting units and terminal values of the businesses using projected future levels of income, as well as business trends, prospects and market and economic conditions. We evaluate the recoverability of indefinite-lived intangible assets using the income approach based upon estimated future revenue streams, and we evaluate long-lived assets based upon estimated undiscounted future cash flows. Our fiscal 2015 annual impairment test did not result in a goodwill or indefinite-lived intangible asset impairment. However, if lower than projected levels of cash flows were to occur due to prolonged abnormal weather conditions or a prolonged weakness in general economic conditions, among other risks, it could cause less than expected growth and/or a reduction in terminal values and cash flows and could result in an impairment charge attributable to</w:t>
      </w:r>
    </w:p>
    <w:p>
      <w:pPr>
        <w:spacing w:after="0" w:line="1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1"/>
          </w:cols>
          <w:pgMar w:left="559" w:top="800" w:right="239" w:bottom="1440" w:gutter="0" w:footer="0" w:header="0"/>
        </w:sectPr>
      </w:pPr>
    </w:p>
    <w:bookmarkStart w:id="24" w:name="page25"/>
    <w:bookmarkEnd w:id="24"/>
    <w:p>
      <w:pPr>
        <w:ind w:left="640"/>
        <w:spacing w:after="0"/>
        <w:rPr>
          <w:sz w:val="20"/>
          <w:szCs w:val="20"/>
          <w:color w:val="auto"/>
        </w:rPr>
      </w:pPr>
      <w:r>
        <w:rPr>
          <w:rFonts w:ascii="Arial" w:cs="Arial" w:eastAsia="Arial" w:hAnsi="Arial"/>
          <w:sz w:val="16"/>
          <w:szCs w:val="16"/>
          <w:color w:val="auto"/>
        </w:rPr>
        <w:t>certain goodwill, indefinite-lived intangible assets and/or long-lived assets, negatively affecting our results of operations and stockholders’ equity.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and six months ended January 31, 2016, compared to the three and six months ended January 31, 2015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4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4"/>
              </w:rPr>
              <w:t>Three Months Ended January 31,</w:t>
            </w:r>
          </w:p>
        </w:tc>
        <w:tc>
          <w:tcPr>
            <w:tcW w:w="280" w:type="dxa"/>
            <w:vAlign w:val="bottom"/>
          </w:tcPr>
          <w:p>
            <w:pPr>
              <w:spacing w:after="0"/>
              <w:rPr>
                <w:sz w:val="16"/>
                <w:szCs w:val="16"/>
                <w:color w:val="auto"/>
              </w:rPr>
            </w:pPr>
          </w:p>
        </w:tc>
        <w:tc>
          <w:tcPr>
            <w:tcW w:w="22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6"/>
              </w:rPr>
              <w:t>Six Months Ended January 31,</w:t>
            </w:r>
          </w:p>
        </w:tc>
      </w:tr>
      <w:tr>
        <w:trPr>
          <w:trHeight w:val="276"/>
        </w:trPr>
        <w:tc>
          <w:tcPr>
            <w:tcW w:w="4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236,555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194,265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187,172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139,424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18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5,496</w:t>
            </w:r>
          </w:p>
        </w:tc>
        <w:tc>
          <w:tcPr>
            <w:tcW w:w="340" w:type="dxa"/>
            <w:vAlign w:val="bottom"/>
          </w:tcPr>
          <w:p>
            <w:pPr>
              <w:spacing w:after="0"/>
              <w:rPr>
                <w:sz w:val="21"/>
                <w:szCs w:val="21"/>
                <w:color w:val="auto"/>
              </w:rPr>
            </w:pP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5,437</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8,345</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6,176</w:t>
            </w:r>
          </w:p>
        </w:tc>
      </w:tr>
      <w:tr>
        <w:trPr>
          <w:trHeight w:val="27"/>
        </w:trPr>
        <w:tc>
          <w:tcPr>
            <w:tcW w:w="4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242,051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199,702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195,517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145,600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1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865</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7"/>
        </w:trPr>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189,254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146,526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93,010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44,425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116,982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115,762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57,395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51,486</w:t>
            </w:r>
          </w:p>
        </w:tc>
      </w:tr>
      <w:tr>
        <w:trPr>
          <w:trHeight w:val="27"/>
        </w:trPr>
        <w:tc>
          <w:tcPr>
            <w:tcW w:w="4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1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2016 compared to the three months ended January 31, 2015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January 31, 2016 and 2015 are presented by category as follows (in thousands, except effective ticket price (“ETP”)):</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980" w:type="dxa"/>
            <w:vAlign w:val="bottom"/>
          </w:tcPr>
          <w:p>
            <w:pPr>
              <w:spacing w:after="0"/>
              <w:rPr>
                <w:sz w:val="14"/>
                <w:szCs w:val="14"/>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980" w:type="dxa"/>
            <w:vAlign w:val="bottom"/>
          </w:tcPr>
          <w:p>
            <w:pPr>
              <w:spacing w:after="0"/>
              <w:rPr>
                <w:sz w:val="10"/>
                <w:szCs w:val="10"/>
                <w:color w:val="auto"/>
              </w:rPr>
            </w:pPr>
          </w:p>
        </w:tc>
        <w:tc>
          <w:tcPr>
            <w:tcW w:w="1660" w:type="dxa"/>
            <w:vAlign w:val="bottom"/>
          </w:tcPr>
          <w:p>
            <w:pPr>
              <w:jc w:val="center"/>
              <w:ind w:right="9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2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Lift</w:t>
            </w:r>
          </w:p>
        </w:tc>
        <w:tc>
          <w:tcPr>
            <w:tcW w:w="226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287,685</w:t>
            </w:r>
          </w:p>
        </w:tc>
        <w:tc>
          <w:tcPr>
            <w:tcW w:w="108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6"/>
              </w:rPr>
              <w:t>239,288</w:t>
            </w:r>
          </w:p>
        </w:tc>
        <w:tc>
          <w:tcPr>
            <w:tcW w:w="166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2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62,040</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57,295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Dining</w:t>
            </w:r>
          </w:p>
        </w:tc>
        <w:tc>
          <w:tcPr>
            <w:tcW w:w="2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44,738</w:t>
            </w:r>
          </w:p>
        </w:tc>
        <w:tc>
          <w:tcPr>
            <w:tcW w:w="10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38,619</w:t>
            </w:r>
          </w:p>
        </w:tc>
        <w:tc>
          <w:tcPr>
            <w:tcW w:w="1660" w:type="dxa"/>
            <w:vAlign w:val="bottom"/>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2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102,975</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95,012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35,434</w:t>
            </w:r>
          </w:p>
        </w:tc>
        <w:tc>
          <w:tcPr>
            <w:tcW w:w="10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32,817</w:t>
            </w:r>
          </w:p>
        </w:tc>
        <w:tc>
          <w:tcPr>
            <w:tcW w:w="16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26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532,872</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463,031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color w:val="auto"/>
              </w:rPr>
              <w:t>Mountain operating expense:</w:t>
            </w: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226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114,794</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102,470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2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38,262</w:t>
            </w:r>
          </w:p>
        </w:tc>
        <w:tc>
          <w:tcPr>
            <w:tcW w:w="10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35,546</w:t>
            </w:r>
          </w:p>
        </w:tc>
        <w:tc>
          <w:tcPr>
            <w:tcW w:w="166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2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28,452</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24,866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48,762</w:t>
            </w:r>
          </w:p>
        </w:tc>
        <w:tc>
          <w:tcPr>
            <w:tcW w:w="10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43,550</w:t>
            </w:r>
          </w:p>
        </w:tc>
        <w:tc>
          <w:tcPr>
            <w:tcW w:w="1660" w:type="dxa"/>
            <w:vAlign w:val="bottom"/>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65,986</w:t>
            </w:r>
          </w:p>
        </w:tc>
        <w:tc>
          <w:tcPr>
            <w:tcW w:w="1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62,534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226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296,256</w:t>
            </w:r>
          </w:p>
        </w:tc>
        <w:tc>
          <w:tcPr>
            <w:tcW w:w="10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86"/>
              </w:rPr>
              <w:t>268,966</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67"/>
        </w:trPr>
        <w:tc>
          <w:tcPr>
            <w:tcW w:w="470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(loss) income, net</w:t>
            </w:r>
          </w:p>
        </w:tc>
        <w:tc>
          <w:tcPr>
            <w:tcW w:w="2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226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236,555</w:t>
            </w:r>
          </w:p>
        </w:tc>
        <w:tc>
          <w:tcPr>
            <w:tcW w:w="10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86"/>
              </w:rPr>
              <w:t>194,265</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67"/>
        </w:trPr>
        <w:tc>
          <w:tcPr>
            <w:tcW w:w="470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2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4,581</w:t>
            </w:r>
          </w:p>
        </w:tc>
        <w:tc>
          <w:tcPr>
            <w:tcW w:w="10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4,071</w:t>
            </w:r>
          </w:p>
        </w:tc>
        <w:tc>
          <w:tcPr>
            <w:tcW w:w="166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226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62.80</w:t>
            </w:r>
          </w:p>
        </w:tc>
        <w:tc>
          <w:tcPr>
            <w:tcW w:w="10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58.78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$3.3 million and $3.0 million of stock-based compensation expense for the three months ended January 31, 2016 and 2015,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Mountain Reported EBITDA for the three months ended January 31, 2016 increased $42.3 million, or 21.8%, compared to the three months ended January 31, 2015. Our results for the three months ended January 31, 2016 compared to the same period in the prior year reflect very strong U.S. pass sales growth for the 2015/2016 ski season; a very strong rebound at our Tahoe resorts; and improved results at our Colorado resorts and at Park City; as well as strong ancillary guest spend for ski school, dining and retail/rental operations. Our Tahoe resorts saw a significant increase in skier visitation during the three months ended January 31, 2016 compared to the same period in the prior year as a result of improved weather and snow conditions compared to the same period in the prior year. Additionally, our Colorado resorts and Park City realized strong increases in skier visitation during the three months ended January 31, 2016 compared to the same period in the prior year which we believe is in part due to the significant capital improvements we have made at Park City. However, these results were partially offset by a decline during the three months ended January 31, 2016 in international visitation, which we believe is due to the strong U.S. dollar, and off-season fixed operating expenses for Perisher (acquired June 30, 2015) which has its peak operating season from June through early October.</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$48.4 million, or 20.2%, for the three months ended January 31, 2016, compared to the same period in the prior year, resulting from a $25.6 million, or 19.5%, increase in lift revenue excluding season pass revenue, as well as a $22.8 million, or 21.1%, increase in season pass revenue. The increase in lift revenue excluding season pass revenue was driven by an increase in ETP excluding season pass holders of 11.9%, along with higher visitation at our Tahoe resorts and at Park City. The increase in season pass revenue was driven by a combination of both an increase in pricing and units sold, and was favorably impacted by increased pass sales to Destination guests. Total ETP increased $4.02, or 6.8%, due to price increases in both our lift ticket products at our U.S. mountain resorts and season pass products, partially offset by higher average visitation by season pass holders during the three months ended January 31, 2016 compared to the same period in the prior year.</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00" w:right="239" w:bottom="1440" w:gutter="0" w:footer="0" w:header="0"/>
          <w:type w:val="continuous"/>
        </w:sectPr>
      </w:pPr>
    </w:p>
    <w:bookmarkStart w:id="26" w:name="page27"/>
    <w:bookmarkEnd w:id="26"/>
    <w:p>
      <w:pPr>
        <w:jc w:val="both"/>
        <w:spacing w:after="0" w:line="308" w:lineRule="auto"/>
        <w:rPr>
          <w:sz w:val="20"/>
          <w:szCs w:val="20"/>
          <w:color w:val="auto"/>
        </w:rPr>
      </w:pPr>
      <w:r>
        <w:rPr>
          <w:rFonts w:ascii="Arial" w:cs="Arial" w:eastAsia="Arial" w:hAnsi="Arial"/>
          <w:sz w:val="17"/>
          <w:szCs w:val="17"/>
          <w:color w:val="auto"/>
        </w:rPr>
        <w:t>Ski school revenue increased $4.7 million, or 8.3%, for the three months ended January 31, 2016, compared to the same period in the prior year, driven by increases in ski school revenue at our Colorado, Tahoe and Park City resorts, which was primarily driven by overall increases in skier visitation.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Dining revenue increased $6.1 million, or 15.8%, for the three months ended January 31, 2016, compared to the three months ended January 31, 2015, which benefited from overall increases in skier visitation at our Colorado, Tahoe and Park City resorts. In addition, the increase in dining revenue was further attributable to the earlier opening of terrain and on-mountain dining facilities at our Tahoe resorts compared to the prior year, and from both the opening of a new on-mountain dining venue and upgrades of existing on-mountain dining venues at Park City.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Retail/rental revenue increased $8.0 million, or 8.4%, for the three months ended January 31, 2016, compared to the same period in the prior year, resulting from both an increase in retail sales and rental revenue of $5.5 million, or 7.9%, and $2.5 million, or 9.4%, respectively. The increase in retail sales was driven primarily by an increase in sales volume at stores proximate to our Tahoe resorts and in the San Francisco Bay Area due to improved weather conditions and snowfall in the Tahoe region. The increase in rental revenue was primarily driven by stores proximate to our Tahoe and Colorado resorts which experienced higher volumes due to overall increased skier visitation.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revenue mainly consists of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For the three months ended January 31, 2016, other revenue increased $2.6 million, or 8.0%, compared to the three months ended January 31, 2015, primarily due to increases in marketing revenue driven by higher revenue from our strategic partners, increased base area services, including parking revenue, and other mountain activities revenue driven by increased visitation.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expense increased $27.3 million, or 10.1%, for the three months ended January 31, 2016 compared to the three months ended January 31, 2015, including incremental expenses of $4.2 million from Perisher. Excluding Perisher, operating expenses increased $23.1 million, or 8.6%. Labor and labor-related benefits (excluding Perisher) increased $10.8 million, or 10.5%, due to wage adjustments, increased staffing levels to support higher volumes primarily in ski school, mountain operations and on-mountain dining and increased bonus expense. Retail cost of sales increased $2.7 million, or 7.6%, due to an increase in retail sales of $5.5 million, or 7.9%. Resort related fees increased $3.6 million, or 14.4%, due to overall increases in revenue upon which those fees are based. General and administrative expense (excluding Perisher) increased $4.7 million, or 10.9%, primarily due to higher Mountain segment component of allocated corporate costs, including increased sales and marketing expense. Other expense (excluding Perisher) increased $1.3 million, or 2.1%, primarily driven by higher operating expenses including rent expense, food and beverage cost of sales commensurate with increased dining revenue, repairs and maintenance expense and supplies expense, partially offset by lower fuel expense.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Mountain equity investment (loss) income, net, primarily includes our share of income from the operations of a real estate brokerage joint venture.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Six months ended January 31, 2016 compared to the six months ended January 31, 2015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2016 and 2015 are presented by category as follows (in thousands, except ETP):</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30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Six Months Ended January 31,</w:t>
            </w:r>
          </w:p>
        </w:tc>
        <w:tc>
          <w:tcPr>
            <w:tcW w:w="980" w:type="dxa"/>
            <w:vAlign w:val="bottom"/>
          </w:tcPr>
          <w:p>
            <w:pPr>
              <w:spacing w:after="0"/>
              <w:rPr>
                <w:sz w:val="14"/>
                <w:szCs w:val="14"/>
                <w:color w:val="auto"/>
              </w:rPr>
            </w:pP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2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980" w:type="dxa"/>
            <w:vAlign w:val="bottom"/>
          </w:tcPr>
          <w:p>
            <w:pPr>
              <w:spacing w:after="0"/>
              <w:rPr>
                <w:sz w:val="10"/>
                <w:szCs w:val="10"/>
                <w:color w:val="auto"/>
              </w:rPr>
            </w:pPr>
          </w:p>
        </w:tc>
        <w:tc>
          <w:tcPr>
            <w:tcW w:w="1660" w:type="dxa"/>
            <w:vAlign w:val="bottom"/>
          </w:tcPr>
          <w:p>
            <w:pPr>
              <w:jc w:val="center"/>
              <w:ind w:right="9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2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Lift</w:t>
            </w:r>
          </w:p>
        </w:tc>
        <w:tc>
          <w:tcPr>
            <w:tcW w:w="24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307,838</w:t>
            </w:r>
          </w:p>
        </w:tc>
        <w:tc>
          <w:tcPr>
            <w:tcW w:w="110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6"/>
              </w:rPr>
              <w:t>239,288</w:t>
            </w:r>
          </w:p>
        </w:tc>
        <w:tc>
          <w:tcPr>
            <w:tcW w:w="1660" w:type="dxa"/>
            <w:vAlign w:val="bottom"/>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2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65,424</w:t>
            </w: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57,295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Dining</w:t>
            </w:r>
          </w:p>
        </w:tc>
        <w:tc>
          <w:tcPr>
            <w:tcW w:w="24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57,093</w:t>
            </w:r>
          </w:p>
        </w:tc>
        <w:tc>
          <w:tcPr>
            <w:tcW w:w="11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46,658</w:t>
            </w:r>
          </w:p>
        </w:tc>
        <w:tc>
          <w:tcPr>
            <w:tcW w:w="166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2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135,364</w:t>
            </w: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124,485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68,086</w:t>
            </w:r>
          </w:p>
        </w:tc>
        <w:tc>
          <w:tcPr>
            <w:tcW w:w="11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55,691</w:t>
            </w:r>
          </w:p>
        </w:tc>
        <w:tc>
          <w:tcPr>
            <w:tcW w:w="1660" w:type="dxa"/>
            <w:vAlign w:val="bottom"/>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633,805</w:t>
            </w:r>
          </w:p>
        </w:tc>
        <w:tc>
          <w:tcPr>
            <w:tcW w:w="11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523,417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8"/>
                <w:szCs w:val="18"/>
                <w:color w:val="auto"/>
              </w:rPr>
              <w:t>Mountain operating expense:</w:t>
            </w:r>
          </w:p>
        </w:tc>
        <w:tc>
          <w:tcPr>
            <w:tcW w:w="2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166,593</w:t>
            </w:r>
          </w:p>
        </w:tc>
        <w:tc>
          <w:tcPr>
            <w:tcW w:w="11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145,475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24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54,741</w:t>
            </w:r>
          </w:p>
        </w:tc>
        <w:tc>
          <w:tcPr>
            <w:tcW w:w="11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52,336</w:t>
            </w:r>
          </w:p>
        </w:tc>
        <w:tc>
          <w:tcPr>
            <w:tcW w:w="166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2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30,344</w:t>
            </w: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26,150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85,976</w:t>
            </w:r>
          </w:p>
        </w:tc>
        <w:tc>
          <w:tcPr>
            <w:tcW w:w="11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75,566</w:t>
            </w:r>
          </w:p>
        </w:tc>
        <w:tc>
          <w:tcPr>
            <w:tcW w:w="166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109,760</w:t>
            </w:r>
          </w:p>
        </w:tc>
        <w:tc>
          <w:tcPr>
            <w:tcW w:w="1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101,391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248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447,414</w:t>
            </w:r>
          </w:p>
        </w:tc>
        <w:tc>
          <w:tcPr>
            <w:tcW w:w="110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86"/>
              </w:rPr>
              <w:t>400,918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litigation settlement</w:t>
            </w:r>
          </w:p>
        </w:tc>
        <w:tc>
          <w:tcPr>
            <w:tcW w:w="2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16,400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24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10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525</w:t>
            </w:r>
          </w:p>
        </w:tc>
        <w:tc>
          <w:tcPr>
            <w:tcW w:w="1660" w:type="dxa"/>
            <w:vAlign w:val="bottom"/>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4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187,172</w:t>
            </w:r>
          </w:p>
        </w:tc>
        <w:tc>
          <w:tcPr>
            <w:tcW w:w="11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6"/>
              </w:rPr>
              <w:t>139,424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2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5,016</w:t>
            </w: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4,071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ETP</w:t>
            </w:r>
          </w:p>
        </w:tc>
        <w:tc>
          <w:tcPr>
            <w:tcW w:w="24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61.37</w:t>
            </w:r>
          </w:p>
        </w:tc>
        <w:tc>
          <w:tcPr>
            <w:tcW w:w="110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58.78</w:t>
            </w:r>
          </w:p>
        </w:tc>
        <w:tc>
          <w:tcPr>
            <w:tcW w:w="166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$6.7 million and $6.2 million of stock-based compensation expense for the six months ended January 31, 2016 and 2015, respectively.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Mountain Reported EBITDA for the six months ended January 31, 2016 increased $47.7 million, or 34.2%, compared to the six months ended January 31, 2015. This increase is primarily due to strong U.S. pass sales growth for the 2015/2016 ski season; a very strong rebound at our Tahoe resorts; and improved results at our Colorado resorts and at Park City; as well as strong ancillary guest spend for ski school, dining and retail/rental operations. Mountain Reported EBITDA for the six months ended January 31, 2016 was also positively impacted by the addition of Perisher (acquired in June 2015) which has its peak operating season from June through early October, increased summer activities revenue and the elimination of transaction, integration and litigation expenses incurred in the same period in the prior year related to Park City. These favorable impacts were partially offset by a decline during the three months ended January 31, 2016 in international visitation to our U.S. resorts, the $16.4 million non-cash gain on Park City litigation settlement recognized during the six months ended January 31, 2015 and by recording a full non-peak fiscal quarter of operating results for Park City during the period ended October 31, 2015 compared to the same period in the prior year due to the acquisition of Park City Mountain Resort in September 2014.</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our U.S. resorts opened for ski season operations during our second fiscal quarter, the results of the six months ended January 31, 2016 and 2015 for lift revenue and ski school revenue at our U.S. resorts are the same as the three months ended January 31, 2016 and 2015 as previously discussed. Additionally, during the three months ended October 31, 2015, we generated $20.2 million and $3.4 million of lift revenue and ski school revenue, respectively, from Perisher’s ski season operations which comprises the majority of Perisher’s revenue for the current fiscal year.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Dining revenue increased $10.4 million, or 22.4%, for the six months ended January 31, 2016 compared to the six months ended January 31, 2015, and was primarily attributable to overall increases in summer and skier visitation at our U.S. mountain resorts combined with incremental dining revenue from Perisher. Additionally, dining revenue benefited from the earlier opening of terrain and on-mountain dining facilities at our Tahoe resorts compared to the prior year, and from both the opening of a new on-mountain dining venue and upgrades of existing on-mountain dining venues at Park City.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7" w:lineRule="auto"/>
        <w:rPr>
          <w:sz w:val="20"/>
          <w:szCs w:val="20"/>
          <w:color w:val="auto"/>
        </w:rPr>
      </w:pPr>
      <w:r>
        <w:rPr>
          <w:rFonts w:ascii="Arial" w:cs="Arial" w:eastAsia="Arial" w:hAnsi="Arial"/>
          <w:sz w:val="16"/>
          <w:szCs w:val="16"/>
          <w:color w:val="auto"/>
        </w:rPr>
        <w:t>Retail/rental revenue increased $10.9 million, or 8.7%, for the six months ended January 31, 2016, compared to the same period in the prior year, which was driven by an increase in both retail sales and rental revenue of $6.2 million, or 6.5%, and $4.7 million, or 16.8%, respectively. The increase in retail sales was primarily attributable to increases in sales volume at stores proximate to our Tahoe resorts and in the San Francisco Bay Area due to improved weather conditions and snowfall in the Tahoe region. The increase in rental revenue was primarily driven by stores proximate to our mountain resorts in Tahoe and Colorado which experienced higher volumes due to increased overall skier visitation, and incremental rental revenue from Perisher.</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six months ended January 31, 2016, other revenue increased $12.4 million, or 22.3%, compared to the six months ended January 31, 2015, primarily attributable to incremental revenue from Perisher, increases in summer activities revenue from improved summer visitation at both our Colorado and Tahoe mountain resorts combined with the expansion of our on-mountain summer activities offerings, increases in marketing revenue driven by higher revenue from our strategic partners, and higher base area services and parking revenue due to increased visitation.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Operating expense increased $46.5 million, or 11.6%, for the six months ended January 31, 2016 compared to the six months ended January 31, 2015, including incremental expenses from Perisher of $19.7 million. Additionally, current year results were favorably impacted by the elimination of transaction, integration and litigation expenses incurred in the same period in the prior year related to Park City. Excluding Perisher and transaction, integration and litigation expenses related to Park City, operating expenses increased $30.7 million, or 7.7%. Labor and labor-related benefits (excluding Perisher) increased $12.6 million, or 8.6%, due to wage adjustments, increased staffing levels to support higher volumes primarily in ski school, mountain operations and on-mountain dining, and increased bonus expense. Retail cost of sales increased $2.4 million, or 4.6%, compared to an increase in retail sales of $6.2 million, or 6.5%, reflecting an improvement in the gross profit margin percentage at our retail outlets. Resort related fees (excluding Perisher) increased $3.9 million, or 14.8%, due to overall increases in revenue upon which those fees are based. General and administrative expense (excluding Perisher) increased $8.2 million, or 10.9%, primarily due to higher Mountain segment component of allocated corporate costs, including increased sales and marketing expense. Other expense (excluding Perisher from the current period and Park City transaction, integration and litigation expenses from the prior period) increased $4.3 million, or 4.4%, driven by higher operating expenses including food and beverage cost of sales commensurate with the increase in dining revenue, rent expense, supplies expense and repairs and maintenance expense, partially offset by lower fuel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2016 compared to the three months ended January 31, 2015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2016 and 2015 are presented by category as follows (in thousands, except average daily rates (“ADR”) and revenue per available room (“RevPAR”)):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 January 31,</w:t>
            </w:r>
          </w:p>
        </w:tc>
        <w:tc>
          <w:tcPr>
            <w:tcW w:w="166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0"/>
                <w:szCs w:val="10"/>
                <w:color w:val="auto"/>
              </w:rPr>
            </w:pPr>
          </w:p>
        </w:tc>
        <w:tc>
          <w:tcPr>
            <w:tcW w:w="1500" w:type="dxa"/>
            <w:vAlign w:val="bottom"/>
            <w:vMerge w:val="restart"/>
          </w:tcPr>
          <w:p>
            <w:pPr>
              <w:jc w:val="right"/>
              <w:ind w:right="851"/>
              <w:spacing w:after="0"/>
              <w:rPr>
                <w:sz w:val="20"/>
                <w:szCs w:val="20"/>
                <w:color w:val="auto"/>
              </w:rPr>
            </w:pPr>
            <w:r>
              <w:rPr>
                <w:rFonts w:ascii="Arial" w:cs="Arial" w:eastAsia="Arial" w:hAnsi="Arial"/>
                <w:sz w:val="14"/>
                <w:szCs w:val="14"/>
                <w:b w:val="1"/>
                <w:bCs w:val="1"/>
                <w:color w:val="auto"/>
              </w:rPr>
              <w:t>2015</w:t>
            </w:r>
          </w:p>
        </w:tc>
        <w:tc>
          <w:tcPr>
            <w:tcW w:w="1660" w:type="dxa"/>
            <w:vAlign w:val="bottom"/>
          </w:tcPr>
          <w:p>
            <w:pPr>
              <w:jc w:val="center"/>
              <w:ind w:right="92"/>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11,333</w:t>
            </w:r>
          </w:p>
        </w:tc>
        <w:tc>
          <w:tcPr>
            <w:tcW w:w="16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21,063</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19,648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Dining</w:t>
            </w:r>
          </w:p>
        </w:tc>
        <w:tc>
          <w:tcPr>
            <w:tcW w:w="1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8,841</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8,222</w:t>
            </w:r>
          </w:p>
        </w:tc>
        <w:tc>
          <w:tcPr>
            <w:tcW w:w="16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8,293</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8,497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9,425</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9,059</w:t>
            </w:r>
          </w:p>
        </w:tc>
        <w:tc>
          <w:tcPr>
            <w:tcW w:w="16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59,667</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56,759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Payroll cost reimbursements</w:t>
            </w:r>
          </w:p>
        </w:tc>
        <w:tc>
          <w:tcPr>
            <w:tcW w:w="1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3,140</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2,605</w:t>
            </w:r>
          </w:p>
        </w:tc>
        <w:tc>
          <w:tcPr>
            <w:tcW w:w="166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62,807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59,364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Lodging operating expense:</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27,026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25,943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9,410</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8,849</w:t>
            </w:r>
          </w:p>
        </w:tc>
        <w:tc>
          <w:tcPr>
            <w:tcW w:w="16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17,735</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16,530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54,171</w:t>
            </w: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51,322</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Reimbursed payroll costs</w:t>
            </w:r>
          </w:p>
        </w:tc>
        <w:tc>
          <w:tcPr>
            <w:tcW w:w="1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3,140</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2,605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57,311</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53,927</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5,437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255.44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246.68</w:t>
            </w:r>
          </w:p>
        </w:tc>
        <w:tc>
          <w:tcPr>
            <w:tcW w:w="16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148.42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403.76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409.37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159.75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145.16</w:t>
            </w:r>
          </w:p>
        </w:tc>
        <w:tc>
          <w:tcPr>
            <w:tcW w:w="166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353.96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352.72</w:t>
            </w:r>
          </w:p>
        </w:tc>
        <w:tc>
          <w:tcPr>
            <w:tcW w:w="16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160.21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145.94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Lodging segment ADR and RevPAR statistics presented above for the three months ended January 31, 2015 have been adjusted to exclude resort fee revenue from the calculations for ADR and RevPAR, as stipulated by the </w:t>
      </w:r>
      <w:r>
        <w:rPr>
          <w:rFonts w:ascii="Arial" w:cs="Arial" w:eastAsia="Arial" w:hAnsi="Arial"/>
          <w:sz w:val="16"/>
          <w:szCs w:val="16"/>
          <w:i w:val="1"/>
          <w:iCs w:val="1"/>
          <w:color w:val="auto"/>
        </w:rPr>
        <w:t>Uniform System of Accounts for the Lodging Industry, Eleventh Revised Edition.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$0.8 million and $0.7 million of stock-based compensation expense for the three months ended January 31, 2016 and 2015, respectively.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Lodging net revenue (excluding payroll cost reimbursements) for the three months ended January 31, 2016 increased $2.9 million, or 5.1%, as compared to the three months ended January 31, 2015. This increase was primarily attributable to an increase in transient guest visitation at our lodging properties and managed condominium rooms at or proximate to our mountain resorts due to increased skier visitation (as discussed in the Mountain segment).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owned hotel rooms increased $0.7 million, or 6.3%, for the three months ended January 31, 2016 compared to the same period in the prior year, driven by an 8.9% increase in RevPar primarily resulting from a 3.1 percentage point increase in occupancy. Occupancy for owned lodging properties was favorably impacted by increased skier visitation at our Colorado mountain resorts. Revenue from managed condominium rooms increased $1.4 million, or 7.2%, for the three months ended January 31, 2016 compared to the three months ended January 31, 2015, which was primarily attributable to increased transient guest visitation</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at our managed condominium rooms in Colorado, Tahoe and Park City, as well as increased group business at our managed condominium rooms in Colorado and Park City, which drove a 10.1% increase in RevPar.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Dining revenue for the three months ended January 31, 2016 increased $0.6 million, or 7.5%, as compared to the three months ended January 31, 2015, primarily generated at our Colorado and Park City lodging properties as a result of increased skier visitation. Other revenue increased $0.4 million, or 4.0%, for the three months ended January 31, 2016 compared to the three months ended January 31, 2015, primarily due to an increase in revenue from conference services provided to our group business at our Colorado and Park City lodging properties.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$2.8 million, or 5.6%, for the three months ended January 31, 2016 compared to the three months ended January 31, 2015. Labor and labor-related benefits increased $1.0 million, or 4.2%, resulting from wage increases and higher staffing levels associated with increased overall occupancy. General and administrative expense increased $0.6 million, or 6.3%, due to higher allocated corporate costs. Other expense increased $1.2 million, or 7.3%, primarily due to higher operating expenses (such as commissions, repairs and maintenance and credit card fees) and higher advertising expenses.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Six months ended January 31, 2016 compared to the six months ended January 31, 2015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six months ended January 31, 2016 and 2015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auto"/>
              </w:rPr>
              <w:t>Six Months Ended January 31,</w:t>
            </w:r>
          </w:p>
        </w:tc>
        <w:tc>
          <w:tcPr>
            <w:tcW w:w="166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0"/>
                <w:szCs w:val="10"/>
                <w:color w:val="auto"/>
              </w:rPr>
            </w:pPr>
          </w:p>
        </w:tc>
        <w:tc>
          <w:tcPr>
            <w:tcW w:w="1500" w:type="dxa"/>
            <w:vAlign w:val="bottom"/>
            <w:vMerge w:val="restart"/>
          </w:tcPr>
          <w:p>
            <w:pPr>
              <w:jc w:val="right"/>
              <w:ind w:right="851"/>
              <w:spacing w:after="0"/>
              <w:rPr>
                <w:sz w:val="20"/>
                <w:szCs w:val="20"/>
                <w:color w:val="auto"/>
              </w:rPr>
            </w:pPr>
            <w:r>
              <w:rPr>
                <w:rFonts w:ascii="Arial" w:cs="Arial" w:eastAsia="Arial" w:hAnsi="Arial"/>
                <w:sz w:val="14"/>
                <w:szCs w:val="14"/>
                <w:b w:val="1"/>
                <w:bCs w:val="1"/>
                <w:color w:val="auto"/>
              </w:rPr>
              <w:t>2015</w:t>
            </w:r>
          </w:p>
        </w:tc>
        <w:tc>
          <w:tcPr>
            <w:tcW w:w="1660" w:type="dxa"/>
            <w:vAlign w:val="bottom"/>
          </w:tcPr>
          <w:p>
            <w:pPr>
              <w:jc w:val="center"/>
              <w:ind w:right="92"/>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29,351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26,251</w:t>
            </w:r>
          </w:p>
        </w:tc>
        <w:tc>
          <w:tcPr>
            <w:tcW w:w="166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29,310</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27,759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Dining</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23,882</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21,760</w:t>
            </w:r>
          </w:p>
        </w:tc>
        <w:tc>
          <w:tcPr>
            <w:tcW w:w="166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10,613</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10,814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Golf</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8,502</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7,644</w:t>
            </w:r>
          </w:p>
        </w:tc>
        <w:tc>
          <w:tcPr>
            <w:tcW w:w="166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19,595</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18,782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121,253</w:t>
            </w: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113,010</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4,847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127,093</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117,857</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1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55,721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53,318</w:t>
            </w:r>
          </w:p>
        </w:tc>
        <w:tc>
          <w:tcPr>
            <w:tcW w:w="16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17,379</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16,366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39,808</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37,150</w:t>
            </w:r>
          </w:p>
        </w:tc>
        <w:tc>
          <w:tcPr>
            <w:tcW w:w="16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112,908</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106,834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5,840</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4,847</w:t>
            </w:r>
          </w:p>
        </w:tc>
        <w:tc>
          <w:tcPr>
            <w:tcW w:w="166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118,748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111,681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8,345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6,176</w:t>
            </w:r>
          </w:p>
        </w:tc>
        <w:tc>
          <w:tcPr>
            <w:tcW w:w="1660" w:type="dxa"/>
            <w:vAlign w:val="bottom"/>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211.09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143.94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129.98</w:t>
            </w:r>
          </w:p>
        </w:tc>
        <w:tc>
          <w:tcPr>
            <w:tcW w:w="166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316.44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315.85</w:t>
            </w:r>
          </w:p>
        </w:tc>
        <w:tc>
          <w:tcPr>
            <w:tcW w:w="166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93.04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267.79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114.02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103.70</w:t>
            </w:r>
          </w:p>
        </w:tc>
        <w:tc>
          <w:tcPr>
            <w:tcW w:w="16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Lodging segment ADR and RevPAR statistics presented above for the six months ended January 31, 2015 have been adjusted to exclude resort fee revenue from the calculations for ADR and RevPAR, as stipulated by the </w:t>
      </w:r>
      <w:r>
        <w:rPr>
          <w:rFonts w:ascii="Arial" w:cs="Arial" w:eastAsia="Arial" w:hAnsi="Arial"/>
          <w:sz w:val="16"/>
          <w:szCs w:val="16"/>
          <w:i w:val="1"/>
          <w:iCs w:val="1"/>
          <w:color w:val="auto"/>
        </w:rPr>
        <w:t>Uniform System of Accounts for the Lodging Industry, Eleventh Revised Edition.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$1.5 million and $1.3 million of stock-based compensation expense for the six months ended January 31, 2016 and 2015,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Lodging net revenue (excluding payroll cost reimbursements) for the six months ended January 31, 2016 increased $8.2 million, or 7.3%, as compared to the six months ended January 31, 2015, which is primarily due to an increase in transient guest visitation to our lodging properties and managed condominium rooms at or proximate to our mountain resorts due to increased skier visitation; an increase in transient business from improved summer visitation at GTLC and our Colorado mountain resort properties; and improved group business at our Colorado mountain resort properties.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owned hotel rooms increased $3.1 million, or 11.8%, for the six months ended January 31, 2016, as compared to the same period in the prior year. Owned room revenue was positively impacted from an increase in transient guest visitation attributable to increased skier visits at our Colorado mountain resorts and improved summer visitation, generating a $1.4 million increase in revenue from owned hotel rooms; and an increase in transient guest visitation and ADR at GTLC for the three months ended October 31, 2015 compared to the same period in the prior year, resulting in a $1.7 million increase in revenue from owned</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hotel rooms. Revenue from managed condominium rooms increased $1.6 million, or 5.6%, for the six months ended January 31, 2016 compared to the same period in the prior year, primarily due to increased transient guest visitation at our managed condominium rooms at or proximate to our mountain resorts, as well as increased group business at our managed condominium rooms in Colorado and Park City which drove a 9.2% increase in RevPar.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Dining revenue for the six months ended January 31, 2016 increased $2.1 million, or 9.8%, as compared to the six months ended January 31, 2015, primarily due to increased dining revenue generated at our Colorado lodging properties as a result of increased summer visitation and skier visits, as well as increased revenue at GTLC during the three months ended October 31, 2015. Golf revenue for the six months ended January 31, 2016 increased $0.9 million, or 11.2%, as compared to the six months ended January 31, 2015 primarily due to incremental revenue from reimbursable expenses for managing the Canyons golf course beginning in the summer of 2015. Other revenue increased $0.8 million, or 4.3%, for the six months ended January 31, 2016 as compared to the six months ended January 31, 2015, primarily due to an increase in ancillary revenue from improved visitation at GTLC during the three months ended October 31, 2015, an increase in revenue from conference services provided to our group business at our Colorado and Park City lodging properties, and increased revenue from our central reservations booking services.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 (excluding reimbursed payroll costs) increased $6.1 million, or 5.7%, for the six months ended January 31, 2016, compared to the six months ended January 31, 2015. Labor and labor-related benefits increased $2.4 million, or 4.5%, resulting from wage increases and higher staffing levels associated with increased overall occupancy. General and administrative expense increased $1.0 million, or 6.2%, due to higher allocated corporate costs, including increased information technology expense, increased marketing and sales expenses, and increased human resources expense. Other expense increased $2.7 million, or 7.2%, primarily due to higher operating expenses (such as food and beverage cost of sales, repairs and maintenance, and credit card fees) and higher advertising expenses.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2016 compared to the three months ended January 31,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2016 and 2015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380" w:type="dxa"/>
            <w:vAlign w:val="bottom"/>
          </w:tcPr>
          <w:p>
            <w:pPr>
              <w:spacing w:after="0"/>
              <w:rPr>
                <w:sz w:val="14"/>
                <w:szCs w:val="14"/>
                <w:color w:val="auto"/>
              </w:rPr>
            </w:pPr>
          </w:p>
        </w:tc>
        <w:tc>
          <w:tcPr>
            <w:tcW w:w="16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0" w:type="dxa"/>
            <w:vAlign w:val="bottom"/>
            <w:gridSpan w:val="2"/>
          </w:tcPr>
          <w:p>
            <w:pPr>
              <w:jc w:val="right"/>
              <w:ind w:right="230"/>
              <w:spacing w:after="0" w:line="145" w:lineRule="exact"/>
              <w:rPr>
                <w:sz w:val="20"/>
                <w:szCs w:val="20"/>
                <w:color w:val="auto"/>
              </w:rPr>
            </w:pPr>
            <w:r>
              <w:rPr>
                <w:rFonts w:ascii="Arial" w:cs="Arial" w:eastAsia="Arial" w:hAnsi="Arial"/>
                <w:sz w:val="14"/>
                <w:szCs w:val="14"/>
                <w:b w:val="1"/>
                <w:bCs w:val="1"/>
                <w:color w:val="auto"/>
              </w:rPr>
              <w:t>January 31,</w:t>
            </w:r>
          </w:p>
        </w:tc>
        <w:tc>
          <w:tcPr>
            <w:tcW w:w="13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2015</w:t>
            </w:r>
          </w:p>
        </w:tc>
        <w:tc>
          <w:tcPr>
            <w:tcW w:w="162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3,684</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7,842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2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(including sales commission)</w:t>
            </w:r>
          </w:p>
        </w:tc>
        <w:tc>
          <w:tcPr>
            <w:tcW w:w="2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2,785</w:t>
            </w: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6,127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1,832</w:t>
            </w:r>
          </w:p>
        </w:tc>
        <w:tc>
          <w:tcPr>
            <w:tcW w:w="720" w:type="dxa"/>
            <w:vAlign w:val="bottom"/>
          </w:tcPr>
          <w:p>
            <w:pPr>
              <w:spacing w:after="0"/>
              <w:rPr>
                <w:sz w:val="21"/>
                <w:szCs w:val="21"/>
                <w:color w:val="auto"/>
              </w:rPr>
            </w:pPr>
          </w:p>
        </w:tc>
        <w:tc>
          <w:tcPr>
            <w:tcW w:w="1380" w:type="dxa"/>
            <w:vAlign w:val="bottom"/>
          </w:tcPr>
          <w:p>
            <w:pPr>
              <w:jc w:val="right"/>
              <w:ind w:right="353"/>
              <w:spacing w:after="0"/>
              <w:rPr>
                <w:sz w:val="20"/>
                <w:szCs w:val="20"/>
                <w:color w:val="auto"/>
              </w:rPr>
            </w:pPr>
            <w:r>
              <w:rPr>
                <w:rFonts w:ascii="Arial" w:cs="Arial" w:eastAsia="Arial" w:hAnsi="Arial"/>
                <w:sz w:val="18"/>
                <w:szCs w:val="18"/>
                <w:color w:val="auto"/>
              </w:rPr>
              <w:t>3,744</w:t>
            </w:r>
          </w:p>
        </w:tc>
        <w:tc>
          <w:tcPr>
            <w:tcW w:w="16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2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4,617</w:t>
            </w:r>
          </w:p>
        </w:tc>
        <w:tc>
          <w:tcPr>
            <w:tcW w:w="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9,871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2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632</w:t>
            </w:r>
          </w:p>
        </w:tc>
        <w:tc>
          <w:tcPr>
            <w:tcW w:w="7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(2,029)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includes $0.2 million and $0.3 million of stock-based compensation expense for the three months ended January 31, 2016 and 2015, respectively.</w:t>
      </w:r>
    </w:p>
    <w:p>
      <w:pPr>
        <w:spacing w:after="0" w:line="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Three months ended January 31, 2016</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Estate segment net revenue for the three months ended January 31, 2016 was primarily driven by the closing of one condominium unit at The Ritz-Carlton Residences, Vail ($3.4 million of revenue and a price per square foot of $1,535). The price per square foot for the project is driven by the premier location and the comprehensive and exclusive amenities related to the project. Real Estate net revenue also included $0.1 million of rental revenue from placing unsold units into our rental program. Additionally, we recorded a gain on sale of real property of $0.6 million (net of $0.2 million in related land basis and costs) for a land parcel which sold for $0.8 million.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 for the three months ended January 31, 2016 included cost of sales of $2.6 million resulting from the closing of one condominium unit at The Ritz-Carlton Residences, Vail (a cost per square foot of $1,183). The cost per square foot for The Ritz-Carlton Residences, Vail project is reflective of the high-end features and amenities and the high construction costs associated with mountain resort development. Additionally, sales commissions of approximately $0.2 million were incurred commensurate with revenue recognized. Other operating expense of $1.8 million (including $0.2 million of stock-based compensation expense) was primarily comprised of general and administrative costs, which includes marketing expense for real estate available for sale (including those units that have not yet closed), carrying costs for units available for sale and overhead costs, such as labor and labor-related benefits and allocated corporate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2015</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segment net revenue for the three months ended January 31, 2015 was driven by the closing of four condominium units at One Ski Hill Place ($3.9 million of revenue with an average selling price of $1.0 million and an average price per square foot of $1,134) and one condominium unit at The Ritz-Carlton Residences, Vail ($3.3 million of revenue with a price per square foot of $1,496). Real Estate net revenue also included $0.3 million of rental revenue from placing unsold units into our rental program.</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 for the three months ended January 31, 2015 included cost of sales of $5.7 million resulting from the closing of four condominium units at One Ski Hill Place (average cost per square foot of $902) and one condominium unit at The Ritz-Carlton Residences, Vail (a cost per square foot of $1,172). Additionally, sales commissions of approximately $0.4 million were incurred commensurate with revenue recognized. Other operating expense of $3.7 million (including $0.3 million of stock-based compensation expense) was primarily comprised of general and administrative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2016 compared to the six months ended January 31,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2016 and 2015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Pr>
          <w:p>
            <w:pPr>
              <w:spacing w:after="0"/>
              <w:rPr>
                <w:sz w:val="14"/>
                <w:szCs w:val="14"/>
                <w:color w:val="auto"/>
              </w:rPr>
            </w:pPr>
          </w:p>
        </w:tc>
        <w:tc>
          <w:tcPr>
            <w:tcW w:w="16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gridSpan w:val="2"/>
          </w:tcPr>
          <w:p>
            <w:pPr>
              <w:jc w:val="right"/>
              <w:ind w:right="190"/>
              <w:spacing w:after="0" w:line="145" w:lineRule="exact"/>
              <w:rPr>
                <w:sz w:val="20"/>
                <w:szCs w:val="20"/>
                <w:color w:val="auto"/>
              </w:rPr>
            </w:pPr>
            <w:r>
              <w:rPr>
                <w:rFonts w:ascii="Arial" w:cs="Arial" w:eastAsia="Arial" w:hAnsi="Arial"/>
                <w:sz w:val="14"/>
                <w:szCs w:val="14"/>
                <w:b w:val="1"/>
                <w:bCs w:val="1"/>
                <w:color w:val="auto"/>
              </w:rPr>
              <w:t>January 31,</w:t>
            </w:r>
          </w:p>
        </w:tc>
        <w:tc>
          <w:tcPr>
            <w:tcW w:w="14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2015</w:t>
            </w:r>
          </w:p>
        </w:tc>
        <w:tc>
          <w:tcPr>
            <w:tcW w:w="162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13,032</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17,225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2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(including sales commission)</w:t>
            </w:r>
          </w:p>
        </w:tc>
        <w:tc>
          <w:tcPr>
            <w:tcW w:w="2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10,551</w:t>
            </w: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13,879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3,407</w:t>
            </w:r>
          </w:p>
        </w:tc>
        <w:tc>
          <w:tcPr>
            <w:tcW w:w="700" w:type="dxa"/>
            <w:vAlign w:val="bottom"/>
          </w:tcPr>
          <w:p>
            <w:pPr>
              <w:spacing w:after="0"/>
              <w:rPr>
                <w:sz w:val="21"/>
                <w:szCs w:val="21"/>
                <w:color w:val="auto"/>
              </w:rPr>
            </w:pP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7,606</w:t>
            </w:r>
          </w:p>
        </w:tc>
        <w:tc>
          <w:tcPr>
            <w:tcW w:w="162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2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13,958</w:t>
            </w:r>
          </w:p>
        </w:tc>
        <w:tc>
          <w:tcPr>
            <w:tcW w:w="7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21,485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2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1,791</w:t>
            </w:r>
          </w:p>
        </w:tc>
        <w:tc>
          <w:tcPr>
            <w:tcW w:w="7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(4,260)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120.3 %</w:t>
            </w:r>
          </w:p>
        </w:tc>
        <w:tc>
          <w:tcPr>
            <w:tcW w:w="0" w:type="dxa"/>
            <w:vAlign w:val="bottom"/>
          </w:tcPr>
          <w:p>
            <w:pPr>
              <w:spacing w:after="0"/>
              <w:rPr>
                <w:sz w:val="1"/>
                <w:szCs w:val="1"/>
                <w:color w:val="auto"/>
              </w:rPr>
            </w:pP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includes $0.2 million and $0.7 million of stock-based compensation expense for the six months ended January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2016</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Real Estate segment net revenue for the six months ended January 31, 2016 was primarily driven by the closing of three condominium units at The Ritz-Carlton Residences, Vail ($9.3 million of revenue with an average selling price of $3.1 million and an average price per square foot of $1,586) and two condominium units at One Ski Hill Place ($2.5 million of revenue with an average selling price of $1.2 million and an average price per square foot of $1,129). Real Estate net revenue also included $0.1 million of rental revenue from placing unsold units into our rental program. Additionally, we recorded a gain on sale of real property of $1.8 million (net of $1.9 million in related land basis and costs) for land parcels which sold for $3.7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Operating expense for the six months ended January 31, 2016 included cost of sales of $9.0 million resulting from the closing of three condominium units at The Ritz-Carlton Residences, Vail (average cost per square foot of $1,198) and two condominium units at One Ski Hill Place (average cost per square foot of $931). Additionally, sales commissions of approximately $0.8 million were incurred commensurate with revenue recognized. Other operating expense of $3.4 million (including $0.2 million of stock-based compensation) was primarily comprised of general and administrative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2015</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segment net revenue for the six months ended January 31, 2015 was driven by the closing of three condominium units at The Ritz-Carlton Residences, Vail ($9.6 million of revenue with an average selling price of $3.2 million and an average price per square foot of $1,541) and six condominium units at One Ski Hill Place ($6.6 million of revenue with an average selling price of $1.1 million and an average price per square foot of $1,116). Real Estate net revenue also included $0.4 million of rental revenue from placing unsold units into our rental program.</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 for the six months ended January 31, 2015 included cost of sales of $12.7 million resulting from the closing of three condominium units at The Ritz-Carlton Residences, Vail (average cost per square foot of $1,208) and six condominium units at One Ski Hill Place (average cost per square foot of $888). Additionally, sales commissions of approximately $1.0 million were incurred commensurate with revenue recognized. Other operating expense of $7.6 million (including $0.7 million of stock-based compensation expense) was primarily comprised of general and administrative costs.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contributed to our overall financial position.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for the three and six months ended January 31, 2016 increased $3.2 million and $5.9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compared to the same periods in the prior year, primarily due to assets acquired in the Perisher acquisition.</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Change in fair value of Contingent Consideration. </w:t>
      </w:r>
      <w:r>
        <w:rPr>
          <w:rFonts w:ascii="Arial" w:cs="Arial" w:eastAsia="Arial" w:hAnsi="Arial"/>
          <w:sz w:val="17"/>
          <w:szCs w:val="17"/>
          <w:color w:val="auto"/>
        </w:rPr>
        <w:t>There was no change in fair value of the Contingent Consideration recorded during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31, 2016. A gain of $4.5 million was recorded during the six months ended January 31, 2015 related to a decrease in the estimated fair value of the participating contingent payments to Talisker under the lease for Canyons. Commensurate with the acquisition of Park City Mountain Resort, the fair value of the Contingent Consideration includes the resort operations of Park City Mountain Resort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Mountain Resort, or the combined resort of Park City (comprised of the former standalone Park City Mountain Resort acquired in September 2014 and the former Canyons Resort). The estimated fair value of the Contingent Consideration is $6.9 million as of January 31, 2016.</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and six months ended January 31, 2016 decreased $2.9 million and $5.9 million,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the redemption of the remaining $215.0 million of our 6.50% Notes outstanding in May 2015 and the redemption of the entire $41.2 million of our Industrial Development Bonds outstanding in May 2015, partially offset by interest expense on the borrowings incurred under the $250.0 million term loan facility, bearing interest at 1.68% at January 31, 2016, used to fund the redemption of the 6.50% Notes and Industrial Development Bonds in May 2015.</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effective tax rate (provision) / benefit for the three and six months ended January 31, 2016 was (38.2)% and (38.5)%,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(21.0)% and 15.6%, respectively, for the three and six months ended January 31, 2015. The interim period effective tax rate is primarily driven by anticipated pre-tax book income for the full fiscal year adjusted for items that are deductible/non-deductible for tax purposes only (i.e., permanent items). Additionally, the income tax (provision) / benefit recorded for the three and six months ended January 31, 2015 reflects $23.8 million of income tax benefits due to the reversal of income tax contingencies, including accrued interest and penalties, resulting from a settlement with the IRS on the utilization of certain net operating losses (“NOLs”) relating to fresh start accounting from our reorganization in 1992.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Reconciliation of Non-GAAP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60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Three Months Ended January 31,</w:t>
            </w:r>
          </w:p>
        </w:tc>
        <w:tc>
          <w:tcPr>
            <w:tcW w:w="260" w:type="dxa"/>
            <w:vAlign w:val="bottom"/>
          </w:tcPr>
          <w:p>
            <w:pPr>
              <w:spacing w:after="0"/>
              <w:rPr>
                <w:sz w:val="16"/>
                <w:szCs w:val="16"/>
                <w:color w:val="auto"/>
              </w:rPr>
            </w:pPr>
          </w:p>
        </w:tc>
        <w:tc>
          <w:tcPr>
            <w:tcW w:w="27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2"/>
              </w:rPr>
              <w:t>Six Months Ended January 31,</w:t>
            </w:r>
          </w:p>
        </w:tc>
      </w:tr>
      <w:tr>
        <w:trPr>
          <w:trHeight w:val="276"/>
        </w:trPr>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24"/>
                <w:szCs w:val="24"/>
                <w:color w:val="auto"/>
              </w:rPr>
            </w:pPr>
          </w:p>
        </w:tc>
      </w:tr>
      <w:tr>
        <w:trPr>
          <w:trHeight w:val="250"/>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236,555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194,265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187,172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139,424</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66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5,496</w:t>
            </w: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5,437</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8,345</w:t>
            </w:r>
          </w:p>
        </w:tc>
        <w:tc>
          <w:tcPr>
            <w:tcW w:w="3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6,176</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242,051</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199,702</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195,517</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145,600</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(4,260)</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241,750</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197,673</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196,382</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141,340</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(40,541)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(37,376)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(79,241)</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(73,345)</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66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4,550</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net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(10,910)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(13,807)</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(21,505)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(27,375)</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78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189,254</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146,526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93,010</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44,425</w:t>
            </w:r>
          </w:p>
        </w:tc>
        <w:tc>
          <w:tcPr>
            <w:tcW w:w="760" w:type="dxa"/>
            <w:vAlign w:val="bottom"/>
          </w:tcPr>
          <w:p>
            <w:pPr>
              <w:spacing w:after="0"/>
              <w:rPr>
                <w:sz w:val="21"/>
                <w:szCs w:val="21"/>
                <w:color w:val="auto"/>
              </w:rPr>
            </w:pPr>
          </w:p>
        </w:tc>
      </w:tr>
      <w:tr>
        <w:trPr>
          <w:trHeight w:val="243"/>
        </w:trPr>
        <w:tc>
          <w:tcPr>
            <w:tcW w:w="780" w:type="dxa"/>
            <w:vAlign w:val="bottom"/>
          </w:tcPr>
          <w:p>
            <w:pPr>
              <w:spacing w:after="0"/>
              <w:rPr>
                <w:sz w:val="21"/>
                <w:szCs w:val="21"/>
                <w:color w:val="auto"/>
              </w:rPr>
            </w:pPr>
          </w:p>
        </w:tc>
        <w:tc>
          <w:tcPr>
            <w:tcW w:w="5020" w:type="dxa"/>
            <w:vAlign w:val="bottom"/>
          </w:tcPr>
          <w:p>
            <w:pPr>
              <w:ind w:left="380"/>
              <w:spacing w:after="0"/>
              <w:rPr>
                <w:sz w:val="20"/>
                <w:szCs w:val="20"/>
                <w:color w:val="auto"/>
              </w:rPr>
            </w:pPr>
            <w:r>
              <w:rPr>
                <w:rFonts w:ascii="Arial" w:cs="Arial" w:eastAsia="Arial" w:hAnsi="Arial"/>
                <w:sz w:val="18"/>
                <w:szCs w:val="18"/>
                <w:color w:val="auto"/>
              </w:rPr>
              <w:t>(Provision) benefit from income taxes</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(72,383)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(30,826)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(35,809)</w:t>
            </w:r>
          </w:p>
        </w:tc>
        <w:tc>
          <w:tcPr>
            <w:tcW w:w="3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6,951</w:t>
            </w:r>
          </w:p>
        </w:tc>
        <w:tc>
          <w:tcPr>
            <w:tcW w:w="76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69"/>
        </w:trPr>
        <w:tc>
          <w:tcPr>
            <w:tcW w:w="78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116,871</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115,700</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57,201</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51,376</w:t>
            </w:r>
          </w:p>
        </w:tc>
        <w:tc>
          <w:tcPr>
            <w:tcW w:w="760" w:type="dxa"/>
            <w:vAlign w:val="bottom"/>
          </w:tcPr>
          <w:p>
            <w:pPr>
              <w:spacing w:after="0"/>
              <w:rPr>
                <w:sz w:val="22"/>
                <w:szCs w:val="22"/>
                <w:color w:val="auto"/>
              </w:rPr>
            </w:pPr>
          </w:p>
        </w:tc>
      </w:tr>
      <w:tr>
        <w:trPr>
          <w:trHeight w:val="237"/>
        </w:trPr>
        <w:tc>
          <w:tcPr>
            <w:tcW w:w="780" w:type="dxa"/>
            <w:vAlign w:val="bottom"/>
          </w:tcPr>
          <w:p>
            <w:pPr>
              <w:spacing w:after="0"/>
              <w:rPr>
                <w:sz w:val="20"/>
                <w:szCs w:val="20"/>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w:t>
            </w: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76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69"/>
        </w:trPr>
        <w:tc>
          <w:tcPr>
            <w:tcW w:w="78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116,982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115,762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57,395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51,486</w:t>
            </w:r>
          </w:p>
        </w:tc>
        <w:tc>
          <w:tcPr>
            <w:tcW w:w="760" w:type="dxa"/>
            <w:vAlign w:val="bottom"/>
          </w:tcPr>
          <w:p>
            <w:pPr>
              <w:spacing w:after="0"/>
              <w:rPr>
                <w:sz w:val="22"/>
                <w:szCs w:val="22"/>
                <w:color w:val="auto"/>
              </w:rPr>
            </w:pPr>
          </w:p>
        </w:tc>
      </w:tr>
      <w:tr>
        <w:trPr>
          <w:trHeight w:val="20"/>
        </w:trPr>
        <w:tc>
          <w:tcPr>
            <w:tcW w:w="780" w:type="dxa"/>
            <w:vAlign w:val="bottom"/>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9"/>
        </w:trPr>
        <w:tc>
          <w:tcPr>
            <w:tcW w:w="5800" w:type="dxa"/>
            <w:vAlign w:val="bottom"/>
            <w:gridSpan w:val="2"/>
          </w:tcPr>
          <w:p>
            <w:pPr>
              <w:spacing w:after="0"/>
              <w:rPr>
                <w:sz w:val="20"/>
                <w:szCs w:val="20"/>
                <w:color w:val="auto"/>
              </w:rPr>
            </w:pPr>
            <w:r>
              <w:rPr>
                <w:rFonts w:ascii="Arial" w:cs="Arial" w:eastAsia="Arial" w:hAnsi="Arial"/>
                <w:sz w:val="18"/>
                <w:szCs w:val="18"/>
                <w:color w:val="auto"/>
              </w:rPr>
              <w:t>The following table reconciles Net Debt to long-term debt (in thousands):</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09"/>
        </w:trPr>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6"/>
        </w:trPr>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2015</w:t>
            </w: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682,195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634,739</w:t>
            </w:r>
          </w:p>
        </w:tc>
      </w:tr>
      <w:tr>
        <w:trPr>
          <w:trHeight w:val="243"/>
        </w:trPr>
        <w:tc>
          <w:tcPr>
            <w:tcW w:w="5800" w:type="dxa"/>
            <w:vAlign w:val="bottom"/>
            <w:gridSpan w:val="2"/>
          </w:tcPr>
          <w:p>
            <w:pPr>
              <w:ind w:left="40"/>
              <w:spacing w:after="0"/>
              <w:rPr>
                <w:sz w:val="20"/>
                <w:szCs w:val="20"/>
                <w:color w:val="auto"/>
              </w:rPr>
            </w:pPr>
            <w:r>
              <w:rPr>
                <w:rFonts w:ascii="Arial" w:cs="Arial" w:eastAsia="Arial" w:hAnsi="Arial"/>
                <w:sz w:val="18"/>
                <w:szCs w:val="18"/>
                <w:color w:val="auto"/>
              </w:rPr>
              <w:t>Long-term debt due within one year</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13,340</w:t>
            </w:r>
          </w:p>
        </w:tc>
        <w:tc>
          <w:tcPr>
            <w:tcW w:w="38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7"/>
        </w:trPr>
        <w:tc>
          <w:tcPr>
            <w:tcW w:w="5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4"/>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695,535</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635,935</w:t>
            </w:r>
          </w:p>
        </w:tc>
      </w:tr>
      <w:tr>
        <w:trPr>
          <w:trHeight w:val="243"/>
        </w:trPr>
        <w:tc>
          <w:tcPr>
            <w:tcW w:w="5800" w:type="dxa"/>
            <w:vAlign w:val="bottom"/>
            <w:gridSpan w:val="2"/>
          </w:tcPr>
          <w:p>
            <w:pPr>
              <w:ind w:left="40"/>
              <w:spacing w:after="0"/>
              <w:rPr>
                <w:sz w:val="20"/>
                <w:szCs w:val="20"/>
                <w:color w:val="auto"/>
              </w:rPr>
            </w:pPr>
            <w:r>
              <w:rPr>
                <w:rFonts w:ascii="Arial" w:cs="Arial" w:eastAsia="Arial" w:hAnsi="Arial"/>
                <w:sz w:val="18"/>
                <w:szCs w:val="18"/>
                <w:color w:val="auto"/>
              </w:rPr>
              <w:t>Less: cash and cash equivalents</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45,368</w:t>
            </w:r>
          </w:p>
        </w:tc>
        <w:tc>
          <w:tcPr>
            <w:tcW w:w="38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36,578</w:t>
            </w:r>
          </w:p>
        </w:tc>
      </w:tr>
      <w:tr>
        <w:trPr>
          <w:trHeight w:val="27"/>
        </w:trPr>
        <w:tc>
          <w:tcPr>
            <w:tcW w:w="5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69"/>
        </w:trPr>
        <w:tc>
          <w:tcPr>
            <w:tcW w:w="5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6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650,167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599,357</w:t>
            </w: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second and third fiscal quarters historically result in seasonally high cash on hand as our U.S. mountain resorts and Urban ski areas are generally open for ski operations from mid-November to mid-April, from which we have historically generated a significant portion of our operating cash flows for the fiscal year. Additionally, cash provided by or used in operating activities can be significantly impacted by the timing or mix of closings on remaining inventory of real estate available for sale.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$45.4 million of cash and cash equivalents as of January 31, 2016, compared to $36.6 million as of January 31, 2015. We currently anticipate that our Mountain and Lodging segment operating results will continue to provide a significant source of future operating cash flows (primarily those generated in our second and third fiscal quarters) combined with proceeds from the sale of remaining inventory of real estate available for sale from the completed Ritz-Carlton Residences, Vail and One Ski Hill Place at Breckenridge projects, and occasional land sales.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January 31, 2016, we also had available $262.9 million under the Credit Agreement (which represents the total commitment of $400.0 million less outstanding borrowings of $64.5 million and certain letters of credit outstanding of $72.6 million). We expect that our liquidity needs in the near term will be met by continued use of operating cash flows, borrowings under the Credit Agreement, if needed, and proceeds from future real estate closings. We believe the Credit Agreement, which matures in 2020, provides adequate flexibility and is priced favorably with any new borrowings currently priced at LIBOR plus 1.125%.</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Six months ended January 31, 2016 compared to the six months ended January 31, 2015</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generated $309.5 million of cash from operating activities during the six months ended January 31, 2016, an increase of $35.3 million compared to $274.2 million of cash generated during the six months ended January 31, 2015. The increase in operating cash flows was primarily a result of improved Mountain (including the addition of Perisher) and Lodging segment operating results for the six months ended January 31, 2016 compared to the six months ended January 31, 2015, excluding the non-cash gain on litigation settlement of $16.4 million recorded in the prior period; increased season pass sales for the 2015/2016 ski season compared to the 2014/2015 ski season of which only a portion has been reflected in operating results; decreased cash interest payments during the six months ended January 31, 2016 compared to the same period in the prior year; and a $10.0 million Park City litigation payment to Talisker during the six months ended January 31, 2015. These increases in operating cash inflows were partially offset by a net increase in cash outflows of $32.5 million from the combination of estimated income tax payments made during the six months end January 31, 2016 and the receipt of an income tax refund during the six months ended January 31, 2015 in conjunction with the settlement reached with the IRS regarding the utilization of Federal NOLs, and receipt of a $12.5 million legal settlement during the six months ended January 31, 2015. Additionally, we generated $11.5 million in proceeds from real estate development project closings (net of sales commissions and deposits previously received) during the six months ended January 31, 2016 compared to $15.6 million in proceeds (net of sales commissions and deposits previously received) from real estate closings that occurred in the six months ended January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for the six months ended January 31, 2016 decreased by $162.3 million compared to the six months ended January 31, 2015, primarily due to the acquisition of Park City Mountain Resort for $182.5 million during the six months ended January 31, 2015 as compared to the acquisition of Wilmot Mountain for $20.2 million during the six months ended January 31, 2016.</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used in financing activities increased $179.1 million during the six months ended January 31, 2016, compared to the six months ended January 31, 2015, due to a decrease in net borrowings under the revolver portion of our Credit Agreement primarily resulting from the usage of our Credit Agreement to fund the acquisition of Park City Mountain Resort during the six months ended January 31, 2015; repurchases of our common stock of $40.0 million; and an increase in dividends paid of $15.1 million during the six months ended January 31, 2016 compared to the same period in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cash uses include providing for working capital needs and capital expenditures for assets to be used in resort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$100 million of resort capital expenditures for calendar year 2016, excluding capital expenditures for summer related activities and one-time transformational investments at Wilmot. Included in these estimated capital expenditures is approximately $60 million of maintenance capital expenditures, which are necessary to maintain appearance and level of service appropriate to our resort operations, including routine replacement of snow grooming equipment and rental fleet equipment. Discretionary expenditures for calendar year 2016 include, among other projects, a new 500-seat restaurant at the top of the Peak 7 chairlift in Breckenridge, upgrading the Sun Up chairlift at Vail Mountain (Chair 17) from a fixed grip triple to a high-speed four-passenger chairlift, renovation of the Pines Lodge in Beaver Creek, revamping our primary websites to a single ‘responsive’ desktop/mobile platform which will be integrated with our data-based and personalized marketing technology, and further upgrading our customer database and our call center technology. In addition, we expect to spend approximately $14 million on new summer activities related to our Epic Discovery program at Vail, Breckenridge and Heavenly, and approximately $13 million on improvements at Wilmot. We currently plan to utilize cash on hand, borrowings available under our Credit Agreement and/or cash flow generated from future operations to provide the cash necessary to complete our capital plans.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on the vast majority of our long-term debt ($648.8 million of the total $695.5 million debt outstanding as of January 31, 2016) are not due until fiscal 2020 and beyond. As of January 31, 2016 and 2015, total long-term debt (including long-term debt due within one year) was $695.5 million and $635.9 million, respectively.</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service requirements can be impacted by changing interest rates as we had $364.0 million of variable-rate debt outstanding as of January 31, 2016. A 100-basis point change in LIBOR would cause our annual interest payments to change by approximately $3.6 million. Additionally, the annual payments associated with the financing of the Canyons transaction increase by the greater of CPI less 1%, or 2%. The fluctuation in our debt service requirements, in addition to interest rate and inflation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changes, may be impacted by future borrowings under our Credit Agreement or other alternative financing arrangements we may enter into. Our long term liquidity needs depend upon operating results that impact the borrowing capacity under the Credit Agreement, which can be mitigated by adjustments to capital expenditures, flexibility of investment activities and the ability to obtain favorable future financing. We can also respond to liquidity impacts of changes in the business and economic environment by managing our capital expenditures.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Our Board of Directors initially authorized the repurchase of up to 3,000,000 shares of common stock (March 9, 2006) and later authorized additional repurchases of up to 3,000,000 additional shares (July 16, 2008). On December 4, 2015, our Board of Directors approved an increase in the number of shares authorized to be repurchased under the share repurchase program by an additional 1,500,000 shares. During the six months ended January 31, 2016, we repurchased 377,830 shares of common stock at a cost of $40.0 million. Since inception of this stock repurchase program through January 31, 2016, we have repurchased 5,326,941 shares at a cost of approximately $233.2 million. As of January 31, 2016, 2,173,059 shares remained available to repurchase under 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shares that may be repurchased under the program will depend on several factors, including our future financial performance, our available cash resources and competing uses for cash that may arise in the future, the restrictions in our Credit Agreement, prevailing prices of our common stock and the number of shares that become available for sale at prices that we believe are attractive. The share repurchase program has no expiration date.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of $0.15 per share, subject to quarterly declaration. Since the initial commencement of a regular quarterly cash dividend, our Board of Directors has annually approved an increase to our cash dividend on our common stock and on March 9, 2016, our Board of Directors approved an approximate 30% increase to our quarterly cash dividend to $0.81 per share (or approximately $29.4 million per quarter based upon shares outstanding as of January 31, 2016). During the six months ended January 31, 2016, the Company paid cash dividends of $1.2450 per share or $45.2 million in the aggregate. These dividends were funded through available cash on hand and borrowing under the revolving portion of our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Credit Agreement, future prospects for earnings and cash flows, as well as other factors considered relevant by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abide by certain restrictive financial covenants under our Credit Agreement. The most restrictive of those covenants include the following covenants: Net Funded Debt to Adjusted EBITDA ratio and the Interest Coverage ratio (each as defined in the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Credit Agreement is primarily determined by the Net Funded Debt to Adjusted EBITDA ratio, which is based on our segment operating performance, as defined in the Credit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January 31, 2016. We expect that we will meet all applicable financial maintenance covenants in our Credit Agreement, including the Net Funded Debt to Adjusted EBITDA ratio, throughout the year ending July 31, 2016. However, there can be no assurance we will meet such financial covenants. If such covenants are not met, we would be required to seek a waiver or amendment from the banks participating in the Credit Agreement. There can be no assurance that such waiver or amendment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in this Form 10-Q contain certain forward-looking statements within the meaning of the Private Securities Litigation Reform Act of 1995.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w:t>
      </w: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adverse events that occur during our peak operating periods combined with the seasonality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reliance on information technology;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maintain the integrity of our customer or employee data;</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from the risk of accidents at our mountain resorts;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future acquisitions;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in particular the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impairments or write downs of our assets;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4" w:lineRule="exact"/>
        <w:rPr>
          <w:sz w:val="20"/>
          <w:szCs w:val="20"/>
          <w:color w:val="auto"/>
        </w:rPr>
      </w:pPr>
    </w:p>
    <w:p>
      <w:pPr>
        <w:ind w:right="4240"/>
        <w:spacing w:after="0" w:line="40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Our exposure to market risk has not materially changed since July 31, 2015.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period covered by this Form 10-Q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those risk factors previously disclosed in Item 1A to Part I of the Form 10-K.</w:t>
      </w:r>
    </w:p>
    <w:p>
      <w:pPr>
        <w:spacing w:after="0" w:line="221" w:lineRule="exact"/>
        <w:rPr>
          <w:sz w:val="20"/>
          <w:szCs w:val="20"/>
          <w:color w:val="auto"/>
        </w:rPr>
      </w:pPr>
    </w:p>
    <w:p>
      <w:pPr>
        <w:ind w:right="4320"/>
        <w:spacing w:after="0" w:line="34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2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Exhibit</w:t>
            </w:r>
          </w:p>
        </w:tc>
        <w:tc>
          <w:tcPr>
            <w:tcW w:w="870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tcPr>
          <w:p>
            <w:pPr>
              <w:jc w:val="center"/>
              <w:ind w:left="97"/>
              <w:spacing w:after="0"/>
              <w:rPr>
                <w:sz w:val="20"/>
                <w:szCs w:val="20"/>
                <w:color w:val="auto"/>
              </w:rPr>
            </w:pPr>
            <w:r>
              <w:rPr>
                <w:rFonts w:ascii="Arial" w:cs="Arial" w:eastAsia="Arial" w:hAnsi="Arial"/>
                <w:sz w:val="14"/>
                <w:szCs w:val="14"/>
                <w:b w:val="1"/>
                <w:bCs w:val="1"/>
                <w:color w:val="auto"/>
                <w:w w:val="92"/>
              </w:rPr>
              <w:t>Sequentially</w:t>
            </w:r>
          </w:p>
        </w:tc>
        <w:tc>
          <w:tcPr>
            <w:tcW w:w="0" w:type="dxa"/>
            <w:vAlign w:val="bottom"/>
          </w:tcPr>
          <w:p>
            <w:pPr>
              <w:spacing w:after="0"/>
              <w:rPr>
                <w:sz w:val="1"/>
                <w:szCs w:val="1"/>
                <w:color w:val="auto"/>
              </w:rPr>
            </w:pPr>
          </w:p>
        </w:tc>
      </w:tr>
      <w:tr>
        <w:trPr>
          <w:trHeight w:val="186"/>
        </w:trPr>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Number</w:t>
            </w:r>
          </w:p>
        </w:tc>
        <w:tc>
          <w:tcPr>
            <w:tcW w:w="8700" w:type="dxa"/>
            <w:vAlign w:val="bottom"/>
            <w:vMerge w:val="continue"/>
          </w:tcPr>
          <w:p>
            <w:pPr>
              <w:spacing w:after="0"/>
              <w:rPr>
                <w:sz w:val="16"/>
                <w:szCs w:val="16"/>
                <w:color w:val="auto"/>
              </w:rPr>
            </w:pPr>
          </w:p>
        </w:tc>
        <w:tc>
          <w:tcPr>
            <w:tcW w:w="1180" w:type="dxa"/>
            <w:vAlign w:val="bottom"/>
          </w:tcPr>
          <w:p>
            <w:pPr>
              <w:jc w:val="center"/>
              <w:ind w:left="117"/>
              <w:spacing w:after="0"/>
              <w:rPr>
                <w:sz w:val="20"/>
                <w:szCs w:val="20"/>
                <w:color w:val="auto"/>
              </w:rPr>
            </w:pPr>
            <w:r>
              <w:rPr>
                <w:rFonts w:ascii="Arial" w:cs="Arial" w:eastAsia="Arial" w:hAnsi="Arial"/>
                <w:sz w:val="14"/>
                <w:szCs w:val="14"/>
                <w:b w:val="1"/>
                <w:bCs w:val="1"/>
                <w:color w:val="auto"/>
                <w:w w:val="91"/>
              </w:rPr>
              <w:t>Numbered Page</w:t>
            </w: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8700" w:type="dxa"/>
            <w:vAlign w:val="bottom"/>
          </w:tcPr>
          <w:p>
            <w:pPr>
              <w:ind w:left="240"/>
              <w:spacing w:after="0"/>
              <w:rPr>
                <w:sz w:val="20"/>
                <w:szCs w:val="20"/>
                <w:color w:val="auto"/>
              </w:rPr>
            </w:pPr>
            <w:r>
              <w:rPr>
                <w:rFonts w:ascii="Arial" w:cs="Arial" w:eastAsia="Arial" w:hAnsi="Arial"/>
                <w:sz w:val="18"/>
                <w:szCs w:val="18"/>
                <w:color w:val="auto"/>
                <w:w w:val="96"/>
              </w:rPr>
              <w:t>Vail Resorts, Inc. 2015 Omnibus Incentive Plan (Incorporated by reference to Exhibit 10.1 on Form 8-K of Vail</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Resorts, Inc. filed on December 7, 2015) (File Number 001-09614).</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8700" w:type="dxa"/>
            <w:vAlign w:val="bottom"/>
          </w:tcPr>
          <w:p>
            <w:pPr>
              <w:ind w:left="240"/>
              <w:spacing w:after="0"/>
              <w:rPr>
                <w:sz w:val="20"/>
                <w:szCs w:val="20"/>
                <w:color w:val="auto"/>
              </w:rPr>
            </w:pPr>
            <w:r>
              <w:rPr>
                <w:rFonts w:ascii="Arial" w:cs="Arial" w:eastAsia="Arial" w:hAnsi="Arial"/>
                <w:sz w:val="18"/>
                <w:szCs w:val="18"/>
                <w:color w:val="auto"/>
                <w:w w:val="93"/>
              </w:rPr>
              <w:t>Form of Restricted Share Unit Agreement (Incorporated by reference to Exhibit 10.2 on Form 8-K of Vail Resorts,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Inc. filed on December 7, 2015) (File Number 001-09614).</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8700" w:type="dxa"/>
            <w:vAlign w:val="bottom"/>
          </w:tcPr>
          <w:p>
            <w:pPr>
              <w:ind w:left="240"/>
              <w:spacing w:after="0"/>
              <w:rPr>
                <w:sz w:val="20"/>
                <w:szCs w:val="20"/>
                <w:color w:val="auto"/>
              </w:rPr>
            </w:pPr>
            <w:r>
              <w:rPr>
                <w:rFonts w:ascii="Arial" w:cs="Arial" w:eastAsia="Arial" w:hAnsi="Arial"/>
                <w:sz w:val="18"/>
                <w:szCs w:val="18"/>
                <w:color w:val="auto"/>
                <w:w w:val="97"/>
              </w:rPr>
              <w:t>Form of Share Appreciation Rights Agreement (Incorporated by reference to Exhibit 10.3 on Form 8-K of Vail</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Resorts, Inc. filed on December 7, 2015) (File Number 001-09614).</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180" w:type="dxa"/>
            <w:vAlign w:val="bottom"/>
          </w:tcPr>
          <w:p>
            <w:pPr>
              <w:jc w:val="center"/>
              <w:ind w:left="117"/>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55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180" w:type="dxa"/>
            <w:vAlign w:val="bottom"/>
          </w:tcPr>
          <w:p>
            <w:pPr>
              <w:jc w:val="center"/>
              <w:ind w:left="117"/>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539"/>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Certifications of Chief Executive Officer and Chief Financial Officer pursuant to 18 U.S.C. Section 1350 as</w:t>
            </w:r>
          </w:p>
        </w:tc>
        <w:tc>
          <w:tcPr>
            <w:tcW w:w="1180" w:type="dxa"/>
            <w:vAlign w:val="bottom"/>
          </w:tcPr>
          <w:p>
            <w:pPr>
              <w:jc w:val="center"/>
              <w:ind w:left="117"/>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420" w:right="1760" w:hanging="1385"/>
        <w:spacing w:after="0" w:line="270" w:lineRule="auto"/>
        <w:tabs>
          <w:tab w:leader="none" w:pos="1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six months ended January 31, 2016 formatted in eXtensible Business Reporting Language: (i) Unaudited Consolidated Condensed Balance Sheets as of January 31, 2016, July 31, 2015, and January 31, 2015; (ii) Unaudited Consolidated Condensed Statements of Operations for the three and six months ended January 31, 2016 and January 31, 2015; (iii) Unaudited Consolidated Condensed Statements of Comprehensive Income for the three and six months ended January 31, 2016 and January 31, 2015; (iv) Unaudited Consolidated Condensed Statements of Stockholders’ Equity for the six months ended January 31, 2016 and January 31, 2015; (v) Unaudited Consolidated Condensed Statements of Cash Flows for the six months ended January 31, 2016 and January 31, 2015; and (vi) Notes to the Consolidated Condensed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78" w:right="239" w:bottom="1440" w:gutter="0" w:footer="0" w:header="0"/>
        </w:sectPr>
      </w:pPr>
    </w:p>
    <w:bookmarkStart w:id="41" w:name="page42"/>
    <w:bookmarkEnd w:id="4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3580" w:type="dxa"/>
            <w:vAlign w:val="bottom"/>
          </w:tcPr>
          <w:p>
            <w:pPr>
              <w:spacing w:after="0"/>
              <w:rPr>
                <w:sz w:val="20"/>
                <w:szCs w:val="20"/>
                <w:color w:val="auto"/>
              </w:rPr>
            </w:pPr>
            <w:r>
              <w:rPr>
                <w:rFonts w:ascii="Arial" w:cs="Arial" w:eastAsia="Arial" w:hAnsi="Arial"/>
                <w:sz w:val="18"/>
                <w:szCs w:val="18"/>
                <w:color w:val="auto"/>
              </w:rPr>
              <w:t>Date: March 10, 2016</w:t>
            </w:r>
          </w:p>
        </w:tc>
        <w:tc>
          <w:tcPr>
            <w:tcW w:w="260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7"/>
        </w:trPr>
        <w:tc>
          <w:tcPr>
            <w:tcW w:w="35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Michael Z. Barkin</w:t>
            </w:r>
          </w:p>
        </w:tc>
      </w:tr>
      <w:tr>
        <w:trPr>
          <w:trHeight w:val="270"/>
        </w:trPr>
        <w:tc>
          <w:tcPr>
            <w:tcW w:w="35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35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594"/>
        </w:trPr>
        <w:tc>
          <w:tcPr>
            <w:tcW w:w="3580" w:type="dxa"/>
            <w:vAlign w:val="bottom"/>
          </w:tcPr>
          <w:p>
            <w:pPr>
              <w:spacing w:after="0"/>
              <w:rPr>
                <w:sz w:val="20"/>
                <w:szCs w:val="20"/>
                <w:color w:val="auto"/>
              </w:rPr>
            </w:pPr>
            <w:r>
              <w:rPr>
                <w:rFonts w:ascii="Arial" w:cs="Arial" w:eastAsia="Arial" w:hAnsi="Arial"/>
                <w:sz w:val="18"/>
                <w:szCs w:val="18"/>
                <w:color w:val="auto"/>
              </w:rPr>
              <w:t>Date: March 10, 2016</w:t>
            </w:r>
          </w:p>
        </w:tc>
        <w:tc>
          <w:tcPr>
            <w:tcW w:w="260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/s/ Mark L. Schoppet</w:t>
            </w:r>
          </w:p>
        </w:tc>
      </w:tr>
      <w:tr>
        <w:trPr>
          <w:trHeight w:val="27"/>
        </w:trPr>
        <w:tc>
          <w:tcPr>
            <w:tcW w:w="35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Mark L. Schoppet</w:t>
            </w:r>
          </w:p>
        </w:tc>
      </w:tr>
      <w:tr>
        <w:trPr>
          <w:trHeight w:val="270"/>
        </w:trPr>
        <w:tc>
          <w:tcPr>
            <w:tcW w:w="35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Senior Vice President, Controller and Chief Accounting Officer</w:t>
            </w:r>
          </w:p>
        </w:tc>
      </w:tr>
      <w:tr>
        <w:trPr>
          <w:trHeight w:val="270"/>
        </w:trPr>
        <w:tc>
          <w:tcPr>
            <w:tcW w:w="35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918"/>
        </w:trPr>
        <w:tc>
          <w:tcPr>
            <w:tcW w:w="3580" w:type="dxa"/>
            <w:vAlign w:val="bottom"/>
          </w:tcPr>
          <w:p>
            <w:pPr>
              <w:spacing w:after="0"/>
              <w:rPr>
                <w:sz w:val="24"/>
                <w:szCs w:val="24"/>
                <w:color w:val="auto"/>
              </w:rPr>
            </w:pPr>
          </w:p>
        </w:tc>
        <w:tc>
          <w:tcPr>
            <w:tcW w:w="260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4860" w:type="dxa"/>
            <w:vAlign w:val="bottom"/>
          </w:tcPr>
          <w:p>
            <w:pPr>
              <w:spacing w:after="0"/>
              <w:rPr>
                <w:sz w:val="24"/>
                <w:szCs w:val="24"/>
                <w:color w:val="auto"/>
              </w:rPr>
            </w:pPr>
          </w:p>
        </w:tc>
      </w:tr>
    </w:tbl>
    <w:p>
      <w:pPr>
        <w:sectPr>
          <w:pgSz w:w="11900" w:h="16838" w:orient="portrait"/>
          <w:cols w:equalWidth="0" w:num="1">
            <w:col w:w="11220"/>
          </w:cols>
          <w:pgMar w:left="240" w:top="1013"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60" w:hanging="201"/>
        <w:spacing w:after="0" w:line="264"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60" w:hanging="195"/>
        <w:spacing w:after="0" w:line="29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60" w:hanging="201"/>
        <w:spacing w:after="0" w:line="277"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60" w:hanging="20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60" w:hanging="19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60" w:hanging="201"/>
        <w:spacing w:after="0" w:line="277"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2016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0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2019-12-29T14:28:00Z</dcterms:created>
  <dcterms:modified xsi:type="dcterms:W3CDTF">2019-12-29T14:28:00Z</dcterms:modified>
</cp:coreProperties>
</file>