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0" w:lineRule="exact"/>
        <w:rPr>
          <w:sz w:val="24"/>
          <w:szCs w:val="24"/>
          <w:color w:val="auto"/>
        </w:rPr>
      </w:pPr>
    </w:p>
    <w:p>
      <w:pPr>
        <w:ind w:left="680" w:hanging="643"/>
        <w:spacing w:after="0"/>
        <w:tabs>
          <w:tab w:leader="none" w:pos="680" w:val="left"/>
        </w:tabs>
        <w:numPr>
          <w:ilvl w:val="0"/>
          <w:numId w:val="1"/>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January 31, 2025</w:t>
      </w:r>
    </w:p>
    <w:p>
      <w:pPr>
        <w:spacing w:after="0" w:line="67" w:lineRule="exact"/>
        <w:rPr>
          <w:sz w:val="24"/>
          <w:szCs w:val="24"/>
          <w:color w:val="auto"/>
        </w:rPr>
      </w:pPr>
    </w:p>
    <w:p>
      <w:pPr>
        <w:ind w:left="680" w:hanging="643"/>
        <w:spacing w:after="0"/>
        <w:tabs>
          <w:tab w:leader="none" w:pos="680" w:val="left"/>
        </w:tabs>
        <w:numPr>
          <w:ilvl w:val="0"/>
          <w:numId w:val="2"/>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33" w:lineRule="exact"/>
        <w:rPr>
          <w:sz w:val="24"/>
          <w:szCs w:val="24"/>
          <w:color w:val="auto"/>
        </w:rPr>
      </w:pPr>
    </w:p>
    <w:p>
      <w:pPr>
        <w:ind w:left="390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2033905</wp:posOffset>
            </wp:positionH>
            <wp:positionV relativeFrom="paragraph">
              <wp:posOffset>82550</wp:posOffset>
            </wp:positionV>
            <wp:extent cx="3074670" cy="547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4670" cy="547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Vail Resorts,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1365"/>
              <w:spacing w:after="0"/>
              <w:rPr>
                <w:sz w:val="20"/>
                <w:szCs w:val="20"/>
                <w:color w:val="auto"/>
              </w:rPr>
            </w:pPr>
            <w:r>
              <w:rPr>
                <w:rFonts w:ascii="Times New Roman" w:cs="Times New Roman" w:eastAsia="Times New Roman" w:hAnsi="Times New Roman"/>
                <w:sz w:val="18"/>
                <w:szCs w:val="18"/>
                <w:b w:val="1"/>
                <w:bCs w:val="1"/>
                <w:color w:val="auto"/>
              </w:rPr>
              <w:t>51-0291762</w:t>
            </w:r>
          </w:p>
        </w:tc>
        <w:tc>
          <w:tcPr>
            <w:tcW w:w="880" w:type="dxa"/>
            <w:vAlign w:val="bottom"/>
          </w:tcPr>
          <w:p>
            <w:pPr>
              <w:spacing w:after="0"/>
              <w:rPr>
                <w:sz w:val="20"/>
                <w:szCs w:val="20"/>
                <w:color w:val="auto"/>
              </w:rPr>
            </w:pPr>
          </w:p>
        </w:tc>
      </w:tr>
      <w:tr>
        <w:trPr>
          <w:trHeight w:val="126"/>
        </w:trPr>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40" w:type="dxa"/>
            <w:vAlign w:val="bottom"/>
            <w:gridSpan w:val="3"/>
          </w:tcPr>
          <w:p>
            <w:pPr>
              <w:jc w:val="center"/>
              <w:ind w:left="838"/>
              <w:spacing w:after="0" w:line="126"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60" w:type="dxa"/>
            <w:vAlign w:val="bottom"/>
          </w:tcPr>
          <w:p>
            <w:pPr>
              <w:jc w:val="center"/>
              <w:ind w:right="1105"/>
              <w:spacing w:after="0" w:line="126" w:lineRule="exact"/>
              <w:rPr>
                <w:sz w:val="20"/>
                <w:szCs w:val="20"/>
                <w:color w:val="auto"/>
              </w:rPr>
            </w:pPr>
            <w:r>
              <w:rPr>
                <w:rFonts w:ascii="Times New Roman" w:cs="Times New Roman" w:eastAsia="Times New Roman" w:hAnsi="Times New Roman"/>
                <w:sz w:val="14"/>
                <w:szCs w:val="14"/>
                <w:color w:val="auto"/>
              </w:rPr>
              <w:t>(I.R.S. Employer</w:t>
            </w:r>
          </w:p>
        </w:tc>
        <w:tc>
          <w:tcPr>
            <w:tcW w:w="880" w:type="dxa"/>
            <w:vAlign w:val="bottom"/>
          </w:tcPr>
          <w:p>
            <w:pPr>
              <w:spacing w:after="0"/>
              <w:rPr>
                <w:sz w:val="10"/>
                <w:szCs w:val="10"/>
                <w:color w:val="auto"/>
              </w:rPr>
            </w:pPr>
          </w:p>
        </w:tc>
      </w:tr>
      <w:tr>
        <w:trPr>
          <w:trHeight w:val="184"/>
        </w:trPr>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2"/>
          </w:tcPr>
          <w:p>
            <w:pPr>
              <w:jc w:val="center"/>
              <w:ind w:right="20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46"/>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40" w:type="dxa"/>
            <w:vAlign w:val="bottom"/>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7"/>
              </w:rPr>
              <w:t>390 Interlocken Crescent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3"/>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1565"/>
              <w:spacing w:after="0"/>
              <w:rPr>
                <w:sz w:val="20"/>
                <w:szCs w:val="20"/>
                <w:color w:val="auto"/>
              </w:rPr>
            </w:pPr>
            <w:r>
              <w:rPr>
                <w:rFonts w:ascii="Times New Roman" w:cs="Times New Roman" w:eastAsia="Times New Roman" w:hAnsi="Times New Roman"/>
                <w:sz w:val="18"/>
                <w:szCs w:val="18"/>
                <w:b w:val="1"/>
                <w:bCs w:val="1"/>
                <w:color w:val="auto"/>
              </w:rPr>
              <w:t>80021</w:t>
            </w:r>
          </w:p>
        </w:tc>
        <w:tc>
          <w:tcPr>
            <w:tcW w:w="880" w:type="dxa"/>
            <w:vAlign w:val="bottom"/>
          </w:tcPr>
          <w:p>
            <w:pPr>
              <w:spacing w:after="0"/>
              <w:rPr>
                <w:sz w:val="20"/>
                <w:szCs w:val="20"/>
                <w:color w:val="auto"/>
              </w:rPr>
            </w:pPr>
          </w:p>
        </w:tc>
      </w:tr>
      <w:tr>
        <w:trPr>
          <w:trHeight w:val="177"/>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tcPr>
          <w:p>
            <w:pPr>
              <w:jc w:val="center"/>
              <w:ind w:right="1105"/>
              <w:spacing w:after="0"/>
              <w:rPr>
                <w:sz w:val="20"/>
                <w:szCs w:val="20"/>
                <w:color w:val="auto"/>
              </w:rPr>
            </w:pPr>
            <w:r>
              <w:rPr>
                <w:rFonts w:ascii="Times New Roman" w:cs="Times New Roman" w:eastAsia="Times New Roman" w:hAnsi="Times New Roman"/>
                <w:sz w:val="14"/>
                <w:szCs w:val="14"/>
                <w:color w:val="auto"/>
              </w:rPr>
              <w:t>(Zip Code)</w:t>
            </w:r>
          </w:p>
        </w:tc>
        <w:tc>
          <w:tcPr>
            <w:tcW w:w="880" w:type="dxa"/>
            <w:vAlign w:val="bottom"/>
          </w:tcPr>
          <w:p>
            <w:pPr>
              <w:spacing w:after="0"/>
              <w:rPr>
                <w:sz w:val="15"/>
                <w:szCs w:val="15"/>
                <w:color w:val="auto"/>
              </w:rPr>
            </w:pPr>
          </w:p>
        </w:tc>
      </w:tr>
      <w:tr>
        <w:trPr>
          <w:trHeight w:val="546"/>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6"/>
        </w:trPr>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080" w:type="dxa"/>
            <w:vAlign w:val="bottom"/>
            <w:gridSpan w:val="6"/>
          </w:tcPr>
          <w:p>
            <w:pPr>
              <w:jc w:val="center"/>
              <w:ind w:left="172"/>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2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11"/>
        </w:trPr>
        <w:tc>
          <w:tcPr>
            <w:tcW w:w="4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8"/>
        </w:trPr>
        <w:tc>
          <w:tcPr>
            <w:tcW w:w="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gridSpan w:val="2"/>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3"/>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gridSpan w:val="3"/>
          </w:tcPr>
          <w:p>
            <w:pPr>
              <w:spacing w:after="0"/>
              <w:rPr>
                <w:sz w:val="10"/>
                <w:szCs w:val="10"/>
                <w:color w:val="auto"/>
              </w:rPr>
            </w:pPr>
          </w:p>
        </w:tc>
      </w:tr>
      <w:tr>
        <w:trPr>
          <w:trHeight w:val="219"/>
        </w:trPr>
        <w:tc>
          <w:tcPr>
            <w:tcW w:w="6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20" w:type="dxa"/>
            <w:vAlign w:val="bottom"/>
            <w:tcBorders>
              <w:bottom w:val="single" w:sz="8" w:color="auto"/>
              <w:right w:val="single" w:sz="8" w:color="auto"/>
            </w:tcBorders>
            <w:gridSpan w:val="2"/>
          </w:tcPr>
          <w:p>
            <w:pPr>
              <w:jc w:val="center"/>
              <w:ind w:right="792"/>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520" w:type="dxa"/>
            <w:vAlign w:val="bottom"/>
            <w:tcBorders>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6"/>
              </w:rPr>
              <w:t>Trading Symbol</w:t>
            </w:r>
          </w:p>
        </w:tc>
        <w:tc>
          <w:tcPr>
            <w:tcW w:w="440" w:type="dxa"/>
            <w:vAlign w:val="bottom"/>
            <w:tcBorders>
              <w:bottom w:val="single" w:sz="8" w:color="auto"/>
            </w:tcBorders>
          </w:tcPr>
          <w:p>
            <w:pPr>
              <w:spacing w:after="0"/>
              <w:rPr>
                <w:sz w:val="19"/>
                <w:szCs w:val="19"/>
                <w:color w:val="auto"/>
              </w:rPr>
            </w:pPr>
          </w:p>
        </w:tc>
        <w:tc>
          <w:tcPr>
            <w:tcW w:w="3700" w:type="dxa"/>
            <w:vAlign w:val="bottom"/>
            <w:tcBorders>
              <w:bottom w:val="single" w:sz="8" w:color="auto"/>
              <w:right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19"/>
        </w:trPr>
        <w:tc>
          <w:tcPr>
            <w:tcW w:w="6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20" w:type="dxa"/>
            <w:vAlign w:val="bottom"/>
            <w:tcBorders>
              <w:bottom w:val="single" w:sz="8" w:color="auto"/>
              <w:right w:val="single" w:sz="8" w:color="auto"/>
            </w:tcBorders>
            <w:gridSpan w:val="2"/>
          </w:tcPr>
          <w:p>
            <w:pPr>
              <w:jc w:val="center"/>
              <w:ind w:right="792"/>
              <w:spacing w:after="0"/>
              <w:rPr>
                <w:sz w:val="20"/>
                <w:szCs w:val="20"/>
                <w:color w:val="auto"/>
              </w:rPr>
            </w:pPr>
            <w:r>
              <w:rPr>
                <w:rFonts w:ascii="Times New Roman" w:cs="Times New Roman" w:eastAsia="Times New Roman" w:hAnsi="Times New Roman"/>
                <w:sz w:val="18"/>
                <w:szCs w:val="18"/>
                <w:b w:val="1"/>
                <w:bCs w:val="1"/>
                <w:color w:val="auto"/>
                <w:w w:val="97"/>
              </w:rPr>
              <w:t>Common Stock, $0.01 par value</w:t>
            </w:r>
          </w:p>
        </w:tc>
        <w:tc>
          <w:tcPr>
            <w:tcW w:w="520" w:type="dxa"/>
            <w:vAlign w:val="bottom"/>
            <w:tcBorders>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New York Stock Exchange</w:t>
            </w:r>
          </w:p>
        </w:tc>
      </w:tr>
    </w:tbl>
    <w:p>
      <w:pPr>
        <w:spacing w:after="0" w:line="300" w:lineRule="exact"/>
        <w:rPr>
          <w:sz w:val="24"/>
          <w:szCs w:val="24"/>
          <w:color w:val="auto"/>
        </w:rPr>
      </w:pPr>
    </w:p>
    <w:p>
      <w:pPr>
        <w:jc w:val="both"/>
        <w:spacing w:after="0" w:line="24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5" w:lineRule="exact"/>
        <w:rPr>
          <w:sz w:val="24"/>
          <w:szCs w:val="24"/>
          <w:color w:val="auto"/>
        </w:rPr>
      </w:pPr>
    </w:p>
    <w:p>
      <w:pPr>
        <w:jc w:val="both"/>
        <w:spacing w:after="0" w:line="24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59"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20" w:type="dxa"/>
        <w:tblCellMar>
          <w:top w:w="0" w:type="dxa"/>
          <w:left w:w="0" w:type="dxa"/>
          <w:bottom w:w="0" w:type="dxa"/>
          <w:right w:w="0" w:type="dxa"/>
        </w:tblCellMar>
      </w:tblPr>
      <w:tr>
        <w:trPr>
          <w:trHeight w:val="358"/>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460"/>
              <w:spacing w:after="0" w:line="211" w:lineRule="exact"/>
              <w:rPr>
                <w:sz w:val="20"/>
                <w:szCs w:val="20"/>
                <w:color w:val="auto"/>
              </w:rPr>
            </w:pPr>
            <w:r>
              <w:rPr>
                <w:rFonts w:ascii="MS PGothic" w:cs="MS PGothic" w:eastAsia="MS PGothic" w:hAnsi="MS PGothic"/>
                <w:sz w:val="21"/>
                <w:szCs w:val="21"/>
                <w:color w:val="auto"/>
              </w:rPr>
              <w:t>☒</w:t>
            </w:r>
          </w:p>
        </w:tc>
        <w:tc>
          <w:tcPr>
            <w:tcW w:w="494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5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460"/>
              <w:spacing w:after="0" w:line="211" w:lineRule="exact"/>
              <w:rPr>
                <w:sz w:val="20"/>
                <w:szCs w:val="20"/>
                <w:color w:val="auto"/>
              </w:rPr>
            </w:pPr>
            <w:r>
              <w:rPr>
                <w:rFonts w:ascii="MS PGothic" w:cs="MS PGothic" w:eastAsia="MS PGothic" w:hAnsi="MS PGothic"/>
                <w:sz w:val="21"/>
                <w:szCs w:val="21"/>
                <w:color w:val="auto"/>
              </w:rPr>
              <w:t>☐</w:t>
            </w:r>
          </w:p>
        </w:tc>
        <w:tc>
          <w:tcPr>
            <w:tcW w:w="494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71"/>
        </w:trPr>
        <w:tc>
          <w:tcPr>
            <w:tcW w:w="2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4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43" w:lineRule="exact"/>
        <w:rPr>
          <w:sz w:val="24"/>
          <w:szCs w:val="24"/>
          <w:color w:val="auto"/>
        </w:rPr>
      </w:pPr>
    </w:p>
    <w:p>
      <w:pPr>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6" w:lineRule="exact"/>
        <w:rPr>
          <w:sz w:val="24"/>
          <w:szCs w:val="24"/>
          <w:color w:val="auto"/>
        </w:rPr>
      </w:pPr>
    </w:p>
    <w:p>
      <w:pPr>
        <w:ind w:right="1840"/>
        <w:spacing w:after="0" w:line="32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March 5, 2025, 37,337,967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1" w:right="339" w:bottom="1024"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20" w:type="dxa"/>
            <w:vAlign w:val="bottom"/>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9"/>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Page</w:t>
            </w:r>
          </w:p>
        </w:tc>
      </w:tr>
      <w:tr>
        <w:trPr>
          <w:trHeight w:val="245"/>
        </w:trPr>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6"/>
        </w:trPr>
        <w:tc>
          <w:tcPr>
            <w:tcW w:w="960" w:type="dxa"/>
            <w:vAlign w:val="bottom"/>
          </w:tcPr>
          <w:p>
            <w:pPr>
              <w:spacing w:after="0"/>
              <w:rPr>
                <w:sz w:val="16"/>
                <w:szCs w:val="16"/>
                <w:color w:val="auto"/>
              </w:rPr>
            </w:pPr>
          </w:p>
        </w:tc>
        <w:tc>
          <w:tcPr>
            <w:tcW w:w="7120" w:type="dxa"/>
            <w:vAlign w:val="bottom"/>
            <w:gridSpan w:val="11"/>
          </w:tcPr>
          <w:p>
            <w:pPr>
              <w:spacing w:after="0" w:line="186" w:lineRule="exact"/>
              <w:rPr>
                <w:sz w:val="20"/>
                <w:szCs w:val="20"/>
                <w:color w:val="auto"/>
              </w:rPr>
            </w:pPr>
            <w:r>
              <w:rPr>
                <w:rFonts w:ascii="Times New Roman" w:cs="Times New Roman" w:eastAsia="Times New Roman" w:hAnsi="Times New Roman"/>
                <w:sz w:val="18"/>
                <w:szCs w:val="18"/>
                <w:color w:val="0000FF"/>
                <w:w w:val="97"/>
              </w:rPr>
              <w:t>Consolidated Condensed Balance Sheets as of January 31, 2025, July 31, 2024 and January 31, 2024</w:t>
            </w:r>
          </w:p>
        </w:tc>
        <w:tc>
          <w:tcPr>
            <w:tcW w:w="2620" w:type="dxa"/>
            <w:vAlign w:val="bottom"/>
            <w:gridSpan w:val="5"/>
          </w:tcPr>
          <w:p>
            <w:pPr>
              <w:spacing w:after="0"/>
              <w:rPr>
                <w:sz w:val="16"/>
                <w:szCs w:val="16"/>
                <w:color w:val="auto"/>
              </w:rPr>
            </w:pPr>
          </w:p>
        </w:tc>
        <w:tc>
          <w:tcPr>
            <w:tcW w:w="54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rPr>
              <w:t>2</w:t>
            </w:r>
          </w:p>
        </w:tc>
      </w:tr>
      <w:tr>
        <w:trPr>
          <w:trHeight w:val="30"/>
        </w:trPr>
        <w:tc>
          <w:tcPr>
            <w:tcW w:w="9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960" w:type="dxa"/>
            <w:vAlign w:val="bottom"/>
            <w:shd w:val="clear" w:color="auto" w:fill="CCEEFF"/>
          </w:tcPr>
          <w:p>
            <w:pPr>
              <w:spacing w:after="0"/>
              <w:rPr>
                <w:sz w:val="17"/>
                <w:szCs w:val="17"/>
                <w:color w:val="auto"/>
              </w:rPr>
            </w:pPr>
          </w:p>
        </w:tc>
        <w:tc>
          <w:tcPr>
            <w:tcW w:w="9740" w:type="dxa"/>
            <w:vAlign w:val="bottom"/>
            <w:gridSpan w:val="1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Consolidated Condensed Statements of Operations for the Three and Six Months Ended January 31, 2025 and 2024</w:t>
            </w:r>
          </w:p>
        </w:tc>
        <w:tc>
          <w:tcPr>
            <w:tcW w:w="54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3</w:t>
            </w:r>
          </w:p>
        </w:tc>
      </w:tr>
      <w:tr>
        <w:trPr>
          <w:trHeight w:val="40"/>
        </w:trPr>
        <w:tc>
          <w:tcPr>
            <w:tcW w:w="9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960" w:type="dxa"/>
            <w:vAlign w:val="bottom"/>
          </w:tcPr>
          <w:p>
            <w:pPr>
              <w:spacing w:after="0"/>
              <w:rPr>
                <w:sz w:val="16"/>
                <w:szCs w:val="16"/>
                <w:color w:val="auto"/>
              </w:rPr>
            </w:pPr>
          </w:p>
        </w:tc>
        <w:tc>
          <w:tcPr>
            <w:tcW w:w="9580" w:type="dxa"/>
            <w:vAlign w:val="bottom"/>
            <w:gridSpan w:val="15"/>
          </w:tcPr>
          <w:p>
            <w:pPr>
              <w:spacing w:after="0" w:line="186" w:lineRule="exact"/>
              <w:rPr>
                <w:sz w:val="20"/>
                <w:szCs w:val="20"/>
                <w:color w:val="auto"/>
              </w:rPr>
            </w:pPr>
            <w:r>
              <w:rPr>
                <w:rFonts w:ascii="Times New Roman" w:cs="Times New Roman" w:eastAsia="Times New Roman" w:hAnsi="Times New Roman"/>
                <w:sz w:val="18"/>
                <w:szCs w:val="18"/>
                <w:color w:val="0000FF"/>
                <w:w w:val="98"/>
              </w:rPr>
              <w:t>Consolidated Condensed Statements of Comprehensive Income (Loss) for the Three and Six Months Ended January 31, 2025 and 2024</w:t>
            </w:r>
          </w:p>
        </w:tc>
        <w:tc>
          <w:tcPr>
            <w:tcW w:w="160" w:type="dxa"/>
            <w:vAlign w:val="bottom"/>
          </w:tcPr>
          <w:p>
            <w:pPr>
              <w:spacing w:after="0"/>
              <w:rPr>
                <w:sz w:val="16"/>
                <w:szCs w:val="16"/>
                <w:color w:val="auto"/>
              </w:rPr>
            </w:pPr>
          </w:p>
        </w:tc>
        <w:tc>
          <w:tcPr>
            <w:tcW w:w="54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rPr>
              <w:t>4</w:t>
            </w:r>
          </w:p>
        </w:tc>
      </w:tr>
      <w:tr>
        <w:trPr>
          <w:trHeight w:val="30"/>
        </w:trPr>
        <w:tc>
          <w:tcPr>
            <w:tcW w:w="9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960" w:type="dxa"/>
            <w:vAlign w:val="bottom"/>
            <w:shd w:val="clear" w:color="auto" w:fill="CCEEFF"/>
          </w:tcPr>
          <w:p>
            <w:pPr>
              <w:spacing w:after="0"/>
              <w:rPr>
                <w:sz w:val="17"/>
                <w:szCs w:val="17"/>
                <w:color w:val="auto"/>
              </w:rPr>
            </w:pPr>
          </w:p>
        </w:tc>
        <w:tc>
          <w:tcPr>
            <w:tcW w:w="958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Consolidated Condensed Statements of Stockholders’ Equity for the Three and Six Months Ended January 31, 2025 and 2024</w:t>
            </w:r>
          </w:p>
        </w:tc>
        <w:tc>
          <w:tcPr>
            <w:tcW w:w="16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5</w:t>
            </w:r>
          </w:p>
        </w:tc>
      </w:tr>
      <w:tr>
        <w:trPr>
          <w:trHeight w:val="40"/>
        </w:trPr>
        <w:tc>
          <w:tcPr>
            <w:tcW w:w="9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960" w:type="dxa"/>
            <w:vAlign w:val="bottom"/>
          </w:tcPr>
          <w:p>
            <w:pPr>
              <w:spacing w:after="0"/>
              <w:rPr>
                <w:sz w:val="16"/>
                <w:szCs w:val="16"/>
                <w:color w:val="auto"/>
              </w:rPr>
            </w:pPr>
          </w:p>
        </w:tc>
        <w:tc>
          <w:tcPr>
            <w:tcW w:w="8880" w:type="dxa"/>
            <w:vAlign w:val="bottom"/>
            <w:gridSpan w:val="14"/>
          </w:tcPr>
          <w:p>
            <w:pPr>
              <w:spacing w:after="0" w:line="186" w:lineRule="exact"/>
              <w:rPr>
                <w:sz w:val="20"/>
                <w:szCs w:val="20"/>
                <w:color w:val="auto"/>
              </w:rPr>
            </w:pPr>
            <w:r>
              <w:rPr>
                <w:rFonts w:ascii="Times New Roman" w:cs="Times New Roman" w:eastAsia="Times New Roman" w:hAnsi="Times New Roman"/>
                <w:sz w:val="18"/>
                <w:szCs w:val="18"/>
                <w:color w:val="0000FF"/>
              </w:rPr>
              <w:t>Consolidated Condensed Statements of Cash Flows for the Six Months Ended January 31, 2025 and 2024</w:t>
            </w:r>
          </w:p>
        </w:tc>
        <w:tc>
          <w:tcPr>
            <w:tcW w:w="860" w:type="dxa"/>
            <w:vAlign w:val="bottom"/>
            <w:gridSpan w:val="2"/>
          </w:tcPr>
          <w:p>
            <w:pPr>
              <w:spacing w:after="0"/>
              <w:rPr>
                <w:sz w:val="16"/>
                <w:szCs w:val="16"/>
                <w:color w:val="auto"/>
              </w:rPr>
            </w:pPr>
          </w:p>
        </w:tc>
        <w:tc>
          <w:tcPr>
            <w:tcW w:w="54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rPr>
              <w:t>7</w:t>
            </w:r>
          </w:p>
        </w:tc>
      </w:tr>
      <w:tr>
        <w:trPr>
          <w:trHeight w:val="30"/>
        </w:trPr>
        <w:tc>
          <w:tcPr>
            <w:tcW w:w="9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960" w:type="dxa"/>
            <w:vAlign w:val="bottom"/>
            <w:shd w:val="clear" w:color="auto" w:fill="CCEEFF"/>
          </w:tcPr>
          <w:p>
            <w:pPr>
              <w:spacing w:after="0"/>
              <w:rPr>
                <w:sz w:val="17"/>
                <w:szCs w:val="17"/>
                <w:color w:val="auto"/>
              </w:rPr>
            </w:pPr>
          </w:p>
        </w:tc>
        <w:tc>
          <w:tcPr>
            <w:tcW w:w="3920" w:type="dxa"/>
            <w:vAlign w:val="bottom"/>
            <w:gridSpan w:val="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Notes to Consolidated Condensed Financial Statements</w:t>
            </w:r>
          </w:p>
        </w:tc>
        <w:tc>
          <w:tcPr>
            <w:tcW w:w="3540" w:type="dxa"/>
            <w:vAlign w:val="bottom"/>
            <w:gridSpan w:val="5"/>
            <w:shd w:val="clear" w:color="auto" w:fill="CCEEFF"/>
          </w:tcPr>
          <w:p>
            <w:pPr>
              <w:spacing w:after="0"/>
              <w:rPr>
                <w:sz w:val="17"/>
                <w:szCs w:val="17"/>
                <w:color w:val="auto"/>
              </w:rPr>
            </w:pPr>
          </w:p>
        </w:tc>
        <w:tc>
          <w:tcPr>
            <w:tcW w:w="2280" w:type="dxa"/>
            <w:vAlign w:val="bottom"/>
            <w:gridSpan w:val="4"/>
            <w:shd w:val="clear" w:color="auto" w:fill="CCEEFF"/>
          </w:tcPr>
          <w:p>
            <w:pPr>
              <w:spacing w:after="0"/>
              <w:rPr>
                <w:sz w:val="17"/>
                <w:szCs w:val="17"/>
                <w:color w:val="auto"/>
              </w:rPr>
            </w:pPr>
          </w:p>
        </w:tc>
        <w:tc>
          <w:tcPr>
            <w:tcW w:w="54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8</w:t>
            </w:r>
          </w:p>
        </w:tc>
      </w:tr>
      <w:tr>
        <w:trPr>
          <w:trHeight w:val="40"/>
        </w:trPr>
        <w:tc>
          <w:tcPr>
            <w:tcW w:w="9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4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6"/>
        </w:trPr>
        <w:tc>
          <w:tcPr>
            <w:tcW w:w="9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2.</w:t>
            </w:r>
          </w:p>
        </w:tc>
        <w:tc>
          <w:tcPr>
            <w:tcW w:w="6320" w:type="dxa"/>
            <w:vAlign w:val="bottom"/>
            <w:tcBorders>
              <w:bottom w:val="single" w:sz="8" w:color="0000FF"/>
            </w:tcBorders>
            <w:gridSpan w:val="10"/>
          </w:tcPr>
          <w:p>
            <w:pPr>
              <w:spacing w:after="0" w:line="186"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42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7"/>
                <w:szCs w:val="17"/>
                <w:color w:val="auto"/>
              </w:rPr>
            </w:pPr>
          </w:p>
        </w:tc>
      </w:tr>
      <w:tr>
        <w:trPr>
          <w:trHeight w:val="215"/>
        </w:trPr>
        <w:tc>
          <w:tcPr>
            <w:tcW w:w="96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4280" w:type="dxa"/>
            <w:vAlign w:val="bottom"/>
            <w:tcBorders>
              <w:bottom w:val="single" w:sz="8" w:color="0000FF"/>
            </w:tcBorders>
            <w:gridSpan w:val="9"/>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5460" w:type="dxa"/>
            <w:vAlign w:val="bottom"/>
            <w:tcBorders>
              <w:bottom w:val="single" w:sz="8" w:color="CCEEFF"/>
            </w:tcBorders>
            <w:gridSpan w:val="7"/>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96"/>
        </w:trPr>
        <w:tc>
          <w:tcPr>
            <w:tcW w:w="9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3"/>
          </w:tcPr>
          <w:p>
            <w:pPr>
              <w:jc w:val="right"/>
              <w:spacing w:after="0" w:line="186" w:lineRule="exact"/>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7"/>
                <w:szCs w:val="17"/>
                <w:color w:val="auto"/>
              </w:rPr>
            </w:pPr>
          </w:p>
        </w:tc>
      </w:tr>
      <w:tr>
        <w:trPr>
          <w:trHeight w:val="275"/>
        </w:trPr>
        <w:tc>
          <w:tcPr>
            <w:tcW w:w="960" w:type="dxa"/>
            <w:vAlign w:val="bottom"/>
            <w:shd w:val="clear" w:color="auto" w:fill="CCEEFF"/>
          </w:tcPr>
          <w:p>
            <w:pPr>
              <w:spacing w:after="0"/>
              <w:rPr>
                <w:sz w:val="23"/>
                <w:szCs w:val="23"/>
                <w:color w:val="auto"/>
              </w:rPr>
            </w:pPr>
          </w:p>
        </w:tc>
        <w:tc>
          <w:tcPr>
            <w:tcW w:w="580" w:type="dxa"/>
            <w:vAlign w:val="bottom"/>
            <w:tcBorders>
              <w:top w:val="single" w:sz="8" w:color="0000FF"/>
            </w:tcBorders>
            <w:shd w:val="clear" w:color="auto" w:fill="CCEEFF"/>
          </w:tcPr>
          <w:p>
            <w:pPr>
              <w:spacing w:after="0"/>
              <w:rPr>
                <w:sz w:val="23"/>
                <w:szCs w:val="23"/>
                <w:color w:val="auto"/>
              </w:rPr>
            </w:pPr>
          </w:p>
        </w:tc>
        <w:tc>
          <w:tcPr>
            <w:tcW w:w="300" w:type="dxa"/>
            <w:vAlign w:val="bottom"/>
            <w:tcBorders>
              <w:top w:val="single" w:sz="8" w:color="0000FF"/>
            </w:tcBorders>
            <w:shd w:val="clear" w:color="auto" w:fill="CCEEFF"/>
          </w:tcPr>
          <w:p>
            <w:pPr>
              <w:spacing w:after="0"/>
              <w:rPr>
                <w:sz w:val="23"/>
                <w:szCs w:val="23"/>
                <w:color w:val="auto"/>
              </w:rPr>
            </w:pPr>
          </w:p>
        </w:tc>
        <w:tc>
          <w:tcPr>
            <w:tcW w:w="400" w:type="dxa"/>
            <w:vAlign w:val="bottom"/>
            <w:tcBorders>
              <w:top w:val="single" w:sz="8" w:color="0000FF"/>
            </w:tcBorders>
            <w:shd w:val="clear" w:color="auto" w:fill="CCEEFF"/>
          </w:tcPr>
          <w:p>
            <w:pPr>
              <w:spacing w:after="0"/>
              <w:rPr>
                <w:sz w:val="23"/>
                <w:szCs w:val="23"/>
                <w:color w:val="auto"/>
              </w:rPr>
            </w:pPr>
          </w:p>
        </w:tc>
        <w:tc>
          <w:tcPr>
            <w:tcW w:w="20" w:type="dxa"/>
            <w:vAlign w:val="bottom"/>
            <w:tcBorders>
              <w:top w:val="single" w:sz="8" w:color="0000FF"/>
            </w:tcBorders>
            <w:shd w:val="clear" w:color="auto" w:fill="CCEEFF"/>
          </w:tcPr>
          <w:p>
            <w:pPr>
              <w:spacing w:after="0"/>
              <w:rPr>
                <w:sz w:val="23"/>
                <w:szCs w:val="23"/>
                <w:color w:val="auto"/>
              </w:rPr>
            </w:pPr>
          </w:p>
        </w:tc>
        <w:tc>
          <w:tcPr>
            <w:tcW w:w="440" w:type="dxa"/>
            <w:vAlign w:val="bottom"/>
            <w:tcBorders>
              <w:top w:val="single" w:sz="8" w:color="0000FF"/>
            </w:tcBorders>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tcBorders>
              <w:top w:val="single" w:sz="8" w:color="0000FF"/>
            </w:tcBorders>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2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9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96"/>
        </w:trPr>
        <w:tc>
          <w:tcPr>
            <w:tcW w:w="9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3"/>
          </w:tcPr>
          <w:p>
            <w:pPr>
              <w:jc w:val="right"/>
              <w:spacing w:after="0" w:line="186" w:lineRule="exact"/>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7"/>
                <w:szCs w:val="17"/>
                <w:color w:val="auto"/>
              </w:rPr>
            </w:pPr>
          </w:p>
        </w:tc>
      </w:tr>
      <w:tr>
        <w:trPr>
          <w:trHeight w:val="196"/>
        </w:trPr>
        <w:tc>
          <w:tcPr>
            <w:tcW w:w="9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000FF"/>
            </w:tcBorders>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Risk Factors</w:t>
            </w:r>
          </w:p>
        </w:tc>
        <w:tc>
          <w:tcPr>
            <w:tcW w:w="8440" w:type="dxa"/>
            <w:vAlign w:val="bottom"/>
            <w:gridSpan w:val="12"/>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top w:val="single" w:sz="8" w:color="0000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shd w:val="clear" w:color="auto" w:fill="CCEEFF"/>
          </w:tcPr>
          <w:p>
            <w:pPr>
              <w:spacing w:after="0"/>
              <w:rPr>
                <w:sz w:val="17"/>
                <w:szCs w:val="17"/>
                <w:color w:val="auto"/>
              </w:rPr>
            </w:pPr>
          </w:p>
        </w:tc>
      </w:tr>
      <w:tr>
        <w:trPr>
          <w:trHeight w:val="40"/>
        </w:trPr>
        <w:tc>
          <w:tcPr>
            <w:tcW w:w="9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6"/>
        </w:trPr>
        <w:tc>
          <w:tcPr>
            <w:tcW w:w="9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right"/>
              <w:spacing w:after="0" w:line="186"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7"/>
                <w:szCs w:val="17"/>
                <w:color w:val="auto"/>
              </w:rPr>
            </w:pPr>
          </w:p>
        </w:tc>
      </w:tr>
      <w:tr>
        <w:trPr>
          <w:trHeight w:val="215"/>
        </w:trPr>
        <w:tc>
          <w:tcPr>
            <w:tcW w:w="96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2280" w:type="dxa"/>
            <w:vAlign w:val="bottom"/>
            <w:tcBorders>
              <w:top w:val="single" w:sz="8" w:color="0000FF"/>
              <w:bottom w:val="single" w:sz="8" w:color="0000FF"/>
            </w:tcBorders>
            <w:gridSpan w:val="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Defaults Upon Senior Securities</w:t>
            </w:r>
          </w:p>
        </w:tc>
        <w:tc>
          <w:tcPr>
            <w:tcW w:w="198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5480" w:type="dxa"/>
            <w:vAlign w:val="bottom"/>
            <w:tcBorders>
              <w:bottom w:val="single" w:sz="8" w:color="CCEEFF"/>
            </w:tcBorders>
            <w:gridSpan w:val="8"/>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0000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96"/>
        </w:trPr>
        <w:tc>
          <w:tcPr>
            <w:tcW w:w="9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000FF"/>
            </w:tcBorders>
            <w:gridSpan w:val="5"/>
          </w:tcPr>
          <w:p>
            <w:pPr>
              <w:spacing w:after="0" w:line="186" w:lineRule="exact"/>
              <w:rPr>
                <w:sz w:val="20"/>
                <w:szCs w:val="20"/>
                <w:color w:val="auto"/>
              </w:rPr>
            </w:pPr>
            <w:r>
              <w:rPr>
                <w:rFonts w:ascii="Times New Roman" w:cs="Times New Roman" w:eastAsia="Times New Roman" w:hAnsi="Times New Roman"/>
                <w:sz w:val="18"/>
                <w:szCs w:val="18"/>
                <w:color w:val="0000FF"/>
                <w:w w:val="97"/>
              </w:rPr>
              <w:t>Mine Safety Disclosures</w:t>
            </w:r>
          </w:p>
        </w:tc>
        <w:tc>
          <w:tcPr>
            <w:tcW w:w="8000" w:type="dxa"/>
            <w:vAlign w:val="bottom"/>
            <w:gridSpan w:val="11"/>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7"/>
                <w:szCs w:val="17"/>
                <w:color w:val="auto"/>
              </w:rPr>
            </w:pPr>
          </w:p>
        </w:tc>
      </w:tr>
      <w:tr>
        <w:trPr>
          <w:trHeight w:val="215"/>
        </w:trPr>
        <w:tc>
          <w:tcPr>
            <w:tcW w:w="9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9740" w:type="dxa"/>
            <w:vAlign w:val="bottom"/>
            <w:gridSpan w:val="1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gridSpan w:val="3"/>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shd w:val="clear" w:color="auto" w:fill="CCEEFF"/>
          </w:tcPr>
          <w:p>
            <w:pPr>
              <w:spacing w:after="0"/>
              <w:rPr>
                <w:sz w:val="18"/>
                <w:szCs w:val="18"/>
                <w:color w:val="auto"/>
              </w:rPr>
            </w:pPr>
          </w:p>
        </w:tc>
      </w:tr>
      <w:tr>
        <w:trPr>
          <w:trHeight w:val="186"/>
        </w:trPr>
        <w:tc>
          <w:tcPr>
            <w:tcW w:w="960" w:type="dxa"/>
            <w:vAlign w:val="bottom"/>
            <w:tcBorders>
              <w:top w:val="single" w:sz="8" w:color="CCEEFF"/>
            </w:tcBorders>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FF"/>
            </w:tcBorders>
            <w:gridSpan w:val="3"/>
          </w:tcPr>
          <w:p>
            <w:pPr>
              <w:spacing w:after="0" w:line="186" w:lineRule="exact"/>
              <w:rPr>
                <w:sz w:val="20"/>
                <w:szCs w:val="20"/>
                <w:color w:val="auto"/>
              </w:rPr>
            </w:pPr>
            <w:r>
              <w:rPr>
                <w:rFonts w:ascii="Times New Roman" w:cs="Times New Roman" w:eastAsia="Times New Roman" w:hAnsi="Times New Roman"/>
                <w:sz w:val="18"/>
                <w:szCs w:val="18"/>
                <w:color w:val="0000FF"/>
              </w:rPr>
              <w:t>Exhibits</w:t>
            </w:r>
          </w:p>
        </w:tc>
        <w:tc>
          <w:tcPr>
            <w:tcW w:w="8460" w:type="dxa"/>
            <w:vAlign w:val="bottom"/>
            <w:tcBorders>
              <w:top w:val="single" w:sz="8" w:color="CCEEFF"/>
            </w:tcBorders>
            <w:gridSpan w:val="13"/>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Borders>
              <w:top w:val="single" w:sz="8" w:color="CCEEFF"/>
            </w:tcBorders>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340" w:type="dxa"/>
            <w:vAlign w:val="bottom"/>
          </w:tcPr>
          <w:p>
            <w:pPr>
              <w:spacing w:after="0"/>
              <w:rPr>
                <w:sz w:val="16"/>
                <w:szCs w:val="16"/>
                <w:color w:val="auto"/>
              </w:rPr>
            </w:pPr>
          </w:p>
        </w:tc>
        <w:tc>
          <w:tcPr>
            <w:tcW w:w="14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60" w:type="dxa"/>
            <w:vAlign w:val="bottom"/>
          </w:tcPr>
          <w:p>
            <w:pPr>
              <w:spacing w:after="0"/>
              <w:rPr>
                <w:sz w:val="16"/>
                <w:szCs w:val="16"/>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6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488,211</w:t>
            </w:r>
          </w:p>
        </w:tc>
        <w:tc>
          <w:tcPr>
            <w:tcW w:w="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322,827</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812,163</w:t>
            </w:r>
          </w:p>
        </w:tc>
      </w:tr>
      <w:tr>
        <w:trPr>
          <w:trHeight w:val="22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16,344</w:t>
            </w:r>
          </w:p>
        </w:tc>
        <w:tc>
          <w:tcPr>
            <w:tcW w:w="3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14,236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13,329</w:t>
            </w:r>
          </w:p>
        </w:tc>
      </w:tr>
      <w:tr>
        <w:trPr>
          <w:trHeight w:val="22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receivables, net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123,553</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375,752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138,269</w:t>
            </w:r>
          </w:p>
        </w:tc>
      </w:tr>
      <w:tr>
        <w:trPr>
          <w:trHeight w:val="22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131,974</w:t>
            </w:r>
          </w:p>
        </w:tc>
        <w:tc>
          <w:tcPr>
            <w:tcW w:w="3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118,988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134,839</w:t>
            </w:r>
          </w:p>
        </w:tc>
      </w:tr>
      <w:tr>
        <w:trPr>
          <w:trHeight w:val="226"/>
        </w:trPr>
        <w:tc>
          <w:tcPr>
            <w:tcW w:w="6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84,410</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79,558</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80,204</w:t>
            </w:r>
          </w:p>
        </w:tc>
      </w:tr>
      <w:tr>
        <w:trPr>
          <w:trHeight w:val="219"/>
        </w:trPr>
        <w:tc>
          <w:tcPr>
            <w:tcW w:w="6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844,492</w:t>
            </w:r>
          </w:p>
        </w:tc>
        <w:tc>
          <w:tcPr>
            <w:tcW w:w="3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911,361</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1,178,804</w:t>
            </w:r>
          </w:p>
        </w:tc>
      </w:tr>
      <w:tr>
        <w:trPr>
          <w:trHeight w:val="226"/>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 (Note 7)</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2,382,618</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2,422,635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2,349,424</w:t>
            </w:r>
          </w:p>
        </w:tc>
      </w:tr>
      <w:tr>
        <w:trPr>
          <w:trHeight w:val="226"/>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3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90,799</w:t>
            </w:r>
          </w:p>
        </w:tc>
        <w:tc>
          <w:tcPr>
            <w:tcW w:w="3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86,548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86,737</w:t>
            </w:r>
          </w:p>
        </w:tc>
      </w:tr>
      <w:tr>
        <w:trPr>
          <w:trHeight w:val="226"/>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net (Note 7)</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1,626,952</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1,677,975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1,699,909</w:t>
            </w:r>
          </w:p>
        </w:tc>
      </w:tr>
      <w:tr>
        <w:trPr>
          <w:trHeight w:val="226"/>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292,815</w:t>
            </w:r>
          </w:p>
        </w:tc>
        <w:tc>
          <w:tcPr>
            <w:tcW w:w="3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302,535</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304,115</w:t>
            </w:r>
          </w:p>
        </w:tc>
      </w:tr>
      <w:tr>
        <w:trPr>
          <w:trHeight w:val="226"/>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250,752</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256,627</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189,838</w:t>
            </w:r>
          </w:p>
        </w:tc>
      </w:tr>
      <w:tr>
        <w:trPr>
          <w:trHeight w:val="226"/>
        </w:trPr>
        <w:tc>
          <w:tcPr>
            <w:tcW w:w="6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42,765</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40,756</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38,837</w:t>
            </w:r>
          </w:p>
        </w:tc>
      </w:tr>
      <w:tr>
        <w:trPr>
          <w:trHeight w:val="244"/>
        </w:trPr>
        <w:tc>
          <w:tcPr>
            <w:tcW w:w="60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5,531,193</w:t>
            </w: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5,698,437</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5,847,664</w:t>
            </w: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600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 (Note 7)</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1,192,209</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1,000,798</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1,141,624</w:t>
            </w:r>
          </w:p>
        </w:tc>
      </w:tr>
      <w:tr>
        <w:trPr>
          <w:trHeight w:val="22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10,230</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55,358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18,015</w:t>
            </w:r>
          </w:p>
        </w:tc>
      </w:tr>
      <w:tr>
        <w:trPr>
          <w:trHeight w:val="226"/>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debt due within one year (Note 5)</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584,245</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57,153</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69,135</w:t>
            </w:r>
          </w:p>
        </w:tc>
      </w:tr>
      <w:tr>
        <w:trPr>
          <w:trHeight w:val="219"/>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1,786,684</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1,113,309</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1,228,774</w:t>
            </w:r>
          </w:p>
        </w:tc>
      </w:tr>
      <w:tr>
        <w:trPr>
          <w:trHeight w:val="226"/>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net (Note 5)</w:t>
            </w:r>
          </w:p>
        </w:tc>
        <w:tc>
          <w:tcPr>
            <w:tcW w:w="3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2,117,986</w:t>
            </w:r>
          </w:p>
        </w:tc>
        <w:tc>
          <w:tcPr>
            <w:tcW w:w="3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2,721,597</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2,721,598</w:t>
            </w:r>
          </w:p>
        </w:tc>
      </w:tr>
      <w:tr>
        <w:trPr>
          <w:trHeight w:val="226"/>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230,484</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233,465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168,716</w:t>
            </w:r>
          </w:p>
        </w:tc>
      </w:tr>
      <w:tr>
        <w:trPr>
          <w:trHeight w:val="226"/>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301,562</w:t>
            </w:r>
          </w:p>
        </w:tc>
        <w:tc>
          <w:tcPr>
            <w:tcW w:w="3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311,768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291,330</w:t>
            </w:r>
          </w:p>
        </w:tc>
      </w:tr>
      <w:tr>
        <w:trPr>
          <w:trHeight w:val="226"/>
        </w:trPr>
        <w:tc>
          <w:tcPr>
            <w:tcW w:w="60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278,415</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279,815</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286,581</w:t>
            </w:r>
          </w:p>
        </w:tc>
      </w:tr>
      <w:tr>
        <w:trPr>
          <w:trHeight w:val="219"/>
        </w:trPr>
        <w:tc>
          <w:tcPr>
            <w:tcW w:w="6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4,715,131</w:t>
            </w:r>
          </w:p>
        </w:tc>
        <w:tc>
          <w:tcPr>
            <w:tcW w:w="3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4,659,954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4,696,999</w:t>
            </w:r>
          </w:p>
        </w:tc>
      </w:tr>
      <w:tr>
        <w:trPr>
          <w:trHeight w:val="22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72"/>
        </w:trPr>
        <w:tc>
          <w:tcPr>
            <w:tcW w:w="60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Preferred stock, $0.01 par value, 25,000 shares authorized, no shares issued and</w:t>
            </w: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3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2"/>
        </w:trPr>
        <w:tc>
          <w:tcPr>
            <w:tcW w:w="600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Common stock, $0.01 par value, 100,000 shares authorized, 46,923, 46,855 and</w:t>
            </w: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3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46,852 shares issued, respectively</w:t>
            </w:r>
          </w:p>
        </w:tc>
        <w:tc>
          <w:tcPr>
            <w:tcW w:w="30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469</w:t>
            </w:r>
          </w:p>
        </w:tc>
        <w:tc>
          <w:tcPr>
            <w:tcW w:w="34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1,153,868</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1,145,610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1,133,275</w:t>
            </w:r>
          </w:p>
        </w:tc>
      </w:tr>
      <w:tr>
        <w:trPr>
          <w:trHeight w:val="22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(134,699)</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(29,838)</w:t>
            </w:r>
          </w:p>
        </w:tc>
      </w:tr>
      <w:tr>
        <w:trPr>
          <w:trHeight w:val="22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687,169</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780,431</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760,820</w:t>
            </w:r>
          </w:p>
        </w:tc>
      </w:tr>
      <w:tr>
        <w:trPr>
          <w:trHeight w:val="226"/>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Treasury stock, at cost, 9,587, 9,370 and 8,885 shares, respectively (Note 11)</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(1,176,104)</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(1,135,685)</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(1,034,822)</w:t>
            </w:r>
          </w:p>
        </w:tc>
      </w:tr>
      <w:tr>
        <w:trPr>
          <w:trHeight w:val="219"/>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530,703</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723,537</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829,904</w:t>
            </w:r>
          </w:p>
        </w:tc>
      </w:tr>
      <w:tr>
        <w:trPr>
          <w:trHeight w:val="226"/>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285,359</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314,946</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320,761</w:t>
            </w:r>
          </w:p>
        </w:tc>
      </w:tr>
      <w:tr>
        <w:trPr>
          <w:trHeight w:val="219"/>
        </w:trPr>
        <w:tc>
          <w:tcPr>
            <w:tcW w:w="60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816,062</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1,038,483</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1,150,665</w:t>
            </w:r>
          </w:p>
        </w:tc>
      </w:tr>
      <w:tr>
        <w:trPr>
          <w:trHeight w:val="219"/>
        </w:trPr>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5,531,193</w:t>
            </w:r>
          </w:p>
        </w:tc>
        <w:tc>
          <w:tcPr>
            <w:tcW w:w="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5,698,437</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5,847,664</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00" w:type="dxa"/>
            <w:vAlign w:val="bottom"/>
          </w:tcPr>
          <w:p>
            <w:pPr>
              <w:spacing w:after="0"/>
              <w:rPr>
                <w:sz w:val="16"/>
                <w:szCs w:val="16"/>
                <w:color w:val="auto"/>
              </w:rPr>
            </w:pPr>
          </w:p>
        </w:tc>
        <w:tc>
          <w:tcPr>
            <w:tcW w:w="2580" w:type="dxa"/>
            <w:vAlign w:val="bottom"/>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4"/>
        </w:trPr>
        <w:tc>
          <w:tcPr>
            <w:tcW w:w="5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957,091</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905,053</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1,144,141</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1,087,887</w:t>
            </w:r>
          </w:p>
        </w:tc>
      </w:tr>
      <w:tr>
        <w:trPr>
          <w:trHeight w:val="226"/>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179,963</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172,745</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253,125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244,187</w:t>
            </w:r>
          </w:p>
        </w:tc>
      </w:tr>
      <w:tr>
        <w:trPr>
          <w:trHeight w:val="219"/>
        </w:trPr>
        <w:tc>
          <w:tcPr>
            <w:tcW w:w="5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Resort net revenue</w:t>
            </w:r>
          </w:p>
        </w:tc>
        <w:tc>
          <w:tcPr>
            <w:tcW w:w="2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1,137,054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1,397,266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1,332,074</w:t>
            </w:r>
          </w:p>
        </w:tc>
      </w:tr>
      <w:tr>
        <w:trPr>
          <w:trHeight w:val="226"/>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r>
      <w:tr>
        <w:trPr>
          <w:trHeight w:val="219"/>
        </w:trPr>
        <w:tc>
          <w:tcPr>
            <w:tcW w:w="5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net revenue</w:t>
            </w:r>
          </w:p>
        </w:tc>
        <w:tc>
          <w:tcPr>
            <w:tcW w:w="2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1,137,225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1,397,500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1,336,523</w:t>
            </w:r>
          </w:p>
        </w:tc>
      </w:tr>
      <w:tr>
        <w:trPr>
          <w:trHeight w:val="181"/>
        </w:trPr>
        <w:tc>
          <w:tcPr>
            <w:tcW w:w="5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Operating expense (exclusive of depreciation and amortization shown</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separately below):</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2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495,585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761,849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729,746</w:t>
            </w:r>
          </w:p>
        </w:tc>
      </w:tr>
      <w:tr>
        <w:trPr>
          <w:trHeight w:val="22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68,011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96,958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96,584</w:t>
            </w:r>
          </w:p>
        </w:tc>
      </w:tr>
      <w:tr>
        <w:trPr>
          <w:trHeight w:val="226"/>
        </w:trPr>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114,540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112,714</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221,397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220,739</w:t>
            </w:r>
          </w:p>
        </w:tc>
      </w:tr>
      <w:tr>
        <w:trPr>
          <w:trHeight w:val="219"/>
        </w:trPr>
        <w:tc>
          <w:tcPr>
            <w:tcW w:w="5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Resort operating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678,136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1,080,204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1,047,069</w:t>
            </w:r>
          </w:p>
        </w:tc>
      </w:tr>
      <w:tr>
        <w:trPr>
          <w:trHeight w:val="226"/>
        </w:trPr>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1,758</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3,249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w:t>
            </w:r>
          </w:p>
        </w:tc>
      </w:tr>
      <w:tr>
        <w:trPr>
          <w:trHeight w:val="219"/>
        </w:trPr>
        <w:tc>
          <w:tcPr>
            <w:tcW w:w="5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679,894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1,083,453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1,053,926</w:t>
            </w:r>
          </w:p>
        </w:tc>
      </w:tr>
      <w:tr>
        <w:trPr>
          <w:trHeight w:val="22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(136,127)</w:t>
            </w:r>
          </w:p>
        </w:tc>
      </w:tr>
      <w:tr>
        <w:trPr>
          <w:trHeight w:val="22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2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16,506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r>
      <w:tr>
        <w:trPr>
          <w:trHeight w:val="22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 (Note 8)</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r>
      <w:tr>
        <w:trPr>
          <w:trHeight w:val="226"/>
        </w:trPr>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Gain (loss) on disposal of fixed assets and other,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384,417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182,398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143,497</w:t>
            </w:r>
          </w:p>
        </w:tc>
      </w:tr>
      <w:tr>
        <w:trPr>
          <w:trHeight w:val="22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equity investment income (loss), net</w:t>
            </w:r>
          </w:p>
        </w:tc>
        <w:tc>
          <w:tcPr>
            <w:tcW w:w="2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2,896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5,514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r>
      <w:tr>
        <w:trPr>
          <w:trHeight w:val="22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(loss) gain on intercompany loans (Note 5)</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r>
      <w:tr>
        <w:trPr>
          <w:trHeight w:val="226"/>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(42,368)</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(40,585)</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(81,315)</w:t>
            </w: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344,430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104,637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69,084</w:t>
            </w:r>
          </w:p>
        </w:tc>
      </w:tr>
      <w:tr>
        <w:trPr>
          <w:trHeight w:val="226"/>
        </w:trPr>
        <w:tc>
          <w:tcPr>
            <w:tcW w:w="54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(87,486)</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(22,326)</w:t>
            </w:r>
          </w:p>
        </w:tc>
      </w:tr>
      <w:tr>
        <w:trPr>
          <w:trHeight w:val="219"/>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258,099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76,555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46,758</w:t>
            </w:r>
          </w:p>
        </w:tc>
      </w:tr>
      <w:tr>
        <w:trPr>
          <w:trHeight w:val="226"/>
        </w:trPr>
        <w:tc>
          <w:tcPr>
            <w:tcW w:w="54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r>
      <w:tr>
        <w:trPr>
          <w:trHeight w:val="21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245,548</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219,299</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72,712</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43,787</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amounts (Note 4):</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6.57</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6.56</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1.94</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2"/>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2.22</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4.44</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00" w:type="dxa"/>
            <w:vAlign w:val="bottom"/>
          </w:tcPr>
          <w:p>
            <w:pPr>
              <w:spacing w:after="0"/>
              <w:rPr>
                <w:sz w:val="16"/>
                <w:szCs w:val="16"/>
                <w:color w:val="auto"/>
              </w:rPr>
            </w:pPr>
          </w:p>
        </w:tc>
        <w:tc>
          <w:tcPr>
            <w:tcW w:w="2560" w:type="dxa"/>
            <w:vAlign w:val="bottom"/>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4"/>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5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5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258,099</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76,555</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46,758</w:t>
            </w:r>
          </w:p>
        </w:tc>
      </w:tr>
      <w:tr>
        <w:trPr>
          <w:trHeight w:val="226"/>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(21,212)</w:t>
            </w:r>
          </w:p>
        </w:tc>
      </w:tr>
      <w:tr>
        <w:trPr>
          <w:trHeight w:val="226"/>
        </w:trPr>
        <w:tc>
          <w:tcPr>
            <w:tcW w:w="5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hedging instruments,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w:t>
            </w: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Pr>
          <w:p>
            <w:pPr>
              <w:spacing w:after="0"/>
              <w:rPr>
                <w:sz w:val="19"/>
                <w:szCs w:val="19"/>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170,135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19,484</w:t>
            </w:r>
          </w:p>
        </w:tc>
      </w:tr>
      <w:tr>
        <w:trPr>
          <w:trHeight w:val="226"/>
        </w:trPr>
        <w:tc>
          <w:tcPr>
            <w:tcW w:w="5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12,150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(29,258)</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22,319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r>
      <w:tr>
        <w:trPr>
          <w:trHeight w:val="21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Vail Resorts, Inc.</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182,285</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267,837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5,301</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24,307</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875"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w w:val="96"/>
              </w:rPr>
              <w:t>Total Vail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43"/>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43"/>
              <w:spacing w:after="0" w:line="120" w:lineRule="exact"/>
              <w:rPr>
                <w:sz w:val="20"/>
                <w:szCs w:val="20"/>
                <w:color w:val="auto"/>
              </w:rPr>
            </w:pPr>
            <w:r>
              <w:rPr>
                <w:rFonts w:ascii="Times New Roman" w:cs="Times New Roman" w:eastAsia="Times New Roman" w:hAnsi="Times New Roman"/>
                <w:sz w:val="12"/>
                <w:szCs w:val="12"/>
                <w:b w:val="1"/>
                <w:bCs w:val="1"/>
                <w:color w:val="auto"/>
              </w:rPr>
              <w:t>Resorts, Inc.</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10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Additional Paid</w:t>
            </w:r>
          </w:p>
        </w:tc>
        <w:tc>
          <w:tcPr>
            <w:tcW w:w="10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80" w:type="dxa"/>
            <w:vAlign w:val="bottom"/>
          </w:tcPr>
          <w:p>
            <w:pPr>
              <w:spacing w:after="0"/>
              <w:rPr>
                <w:sz w:val="11"/>
                <w:szCs w:val="11"/>
                <w:color w:val="auto"/>
              </w:rPr>
            </w:pPr>
          </w:p>
        </w:tc>
        <w:tc>
          <w:tcPr>
            <w:tcW w:w="820" w:type="dxa"/>
            <w:vAlign w:val="bottom"/>
          </w:tcPr>
          <w:p>
            <w:pPr>
              <w:jc w:val="right"/>
              <w:ind w:right="182"/>
              <w:spacing w:after="0" w:line="133"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11"/>
                <w:szCs w:val="11"/>
                <w:color w:val="auto"/>
              </w:rPr>
            </w:pPr>
          </w:p>
        </w:tc>
        <w:tc>
          <w:tcPr>
            <w:tcW w:w="900" w:type="dxa"/>
            <w:vAlign w:val="bottom"/>
            <w:vMerge w:val="restart"/>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120" w:type="dxa"/>
            <w:vAlign w:val="bottom"/>
          </w:tcPr>
          <w:p>
            <w:pPr>
              <w:spacing w:after="0"/>
              <w:rPr>
                <w:sz w:val="11"/>
                <w:szCs w:val="11"/>
                <w:color w:val="auto"/>
              </w:rPr>
            </w:pPr>
          </w:p>
        </w:tc>
        <w:tc>
          <w:tcPr>
            <w:tcW w:w="860" w:type="dxa"/>
            <w:vAlign w:val="bottom"/>
          </w:tcPr>
          <w:p>
            <w:pPr>
              <w:jc w:val="center"/>
              <w:ind w:right="23"/>
              <w:spacing w:after="0" w:line="13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1"/>
                <w:szCs w:val="11"/>
                <w:color w:val="auto"/>
              </w:rPr>
            </w:pPr>
          </w:p>
        </w:tc>
        <w:tc>
          <w:tcPr>
            <w:tcW w:w="880" w:type="dxa"/>
            <w:vAlign w:val="bottom"/>
          </w:tcPr>
          <w:p>
            <w:pPr>
              <w:jc w:val="right"/>
              <w:ind w:right="22"/>
              <w:spacing w:after="0" w:line="133"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20" w:type="dxa"/>
            <w:vAlign w:val="bottom"/>
          </w:tcPr>
          <w:p>
            <w:pPr>
              <w:spacing w:after="0"/>
              <w:rPr>
                <w:sz w:val="11"/>
                <w:szCs w:val="11"/>
                <w:color w:val="auto"/>
              </w:rPr>
            </w:pPr>
          </w:p>
        </w:tc>
        <w:tc>
          <w:tcPr>
            <w:tcW w:w="880" w:type="dxa"/>
            <w:vAlign w:val="bottom"/>
          </w:tcPr>
          <w:p>
            <w:pPr>
              <w:jc w:val="center"/>
              <w:ind w:right="43"/>
              <w:spacing w:after="0" w:line="13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3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rPr>
              <w:t>Loss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6"/>
        </w:trPr>
        <w:tc>
          <w:tcPr>
            <w:tcW w:w="3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b w:val="1"/>
                <w:bCs w:val="1"/>
                <w:color w:val="auto"/>
              </w:rPr>
              <w:t>Vail Resorts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October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1,126,033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(1,034,822)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633,031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928,180</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219,299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219,299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229,805</w:t>
            </w:r>
          </w:p>
        </w:tc>
        <w:tc>
          <w:tcPr>
            <w:tcW w:w="0" w:type="dxa"/>
            <w:vAlign w:val="bottom"/>
          </w:tcPr>
          <w:p>
            <w:pPr>
              <w:spacing w:after="0"/>
              <w:rPr>
                <w:sz w:val="1"/>
                <w:szCs w:val="1"/>
                <w:color w:val="auto"/>
              </w:rPr>
            </w:pPr>
          </w:p>
        </w:tc>
      </w:tr>
      <w:tr>
        <w:trPr>
          <w:trHeight w:val="210"/>
        </w:trPr>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70,882</w:t>
            </w:r>
          </w:p>
        </w:tc>
        <w:tc>
          <w:tcPr>
            <w:tcW w:w="0" w:type="dxa"/>
            <w:vAlign w:val="bottom"/>
          </w:tcPr>
          <w:p>
            <w:pPr>
              <w:spacing w:after="0"/>
              <w:rPr>
                <w:sz w:val="1"/>
                <w:szCs w:val="1"/>
                <w:color w:val="auto"/>
              </w:rPr>
            </w:pPr>
          </w:p>
        </w:tc>
      </w:tr>
      <w:tr>
        <w:trPr>
          <w:trHeight w:val="161"/>
        </w:trPr>
        <w:tc>
          <w:tcPr>
            <w:tcW w:w="326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267,837</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29,258</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297,095</w:t>
            </w:r>
          </w:p>
        </w:tc>
        <w:tc>
          <w:tcPr>
            <w:tcW w:w="0" w:type="dxa"/>
            <w:vAlign w:val="bottom"/>
          </w:tcPr>
          <w:p>
            <w:pPr>
              <w:spacing w:after="0"/>
              <w:rPr>
                <w:sz w:val="1"/>
                <w:szCs w:val="1"/>
                <w:color w:val="auto"/>
              </w:rPr>
            </w:pPr>
          </w:p>
        </w:tc>
      </w:tr>
      <w:tr>
        <w:trPr>
          <w:trHeight w:val="20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7,336</w:t>
            </w:r>
          </w:p>
        </w:tc>
        <w:tc>
          <w:tcPr>
            <w:tcW w:w="0" w:type="dxa"/>
            <w:vAlign w:val="bottom"/>
          </w:tcPr>
          <w:p>
            <w:pPr>
              <w:spacing w:after="0"/>
              <w:rPr>
                <w:sz w:val="1"/>
                <w:szCs w:val="1"/>
                <w:color w:val="auto"/>
              </w:rPr>
            </w:pPr>
          </w:p>
        </w:tc>
      </w:tr>
      <w:tr>
        <w:trPr>
          <w:trHeight w:val="159"/>
        </w:trPr>
        <w:tc>
          <w:tcPr>
            <w:tcW w:w="32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Issuance of shares under share award plans, net of</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(78,206)</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0" w:type="dxa"/>
            <w:vAlign w:val="bottom"/>
          </w:tcPr>
          <w:p>
            <w:pPr>
              <w:spacing w:after="0"/>
              <w:rPr>
                <w:sz w:val="1"/>
                <w:szCs w:val="1"/>
                <w:color w:val="auto"/>
              </w:rPr>
            </w:pPr>
          </w:p>
        </w:tc>
      </w:tr>
      <w:tr>
        <w:trPr>
          <w:trHeight w:val="231"/>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1,133,275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(1,034,822)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829,904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320,761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1,150,665</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October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1,146,518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(1,155,902)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745,299</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245,548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245,548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258,099</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(63,263)</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(63,263)</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(24,701)</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(87,964)</w:t>
            </w:r>
          </w:p>
        </w:tc>
        <w:tc>
          <w:tcPr>
            <w:tcW w:w="0" w:type="dxa"/>
            <w:vAlign w:val="bottom"/>
          </w:tcPr>
          <w:p>
            <w:pPr>
              <w:spacing w:after="0"/>
              <w:rPr>
                <w:sz w:val="1"/>
                <w:szCs w:val="1"/>
                <w:color w:val="auto"/>
              </w:rPr>
            </w:pPr>
          </w:p>
        </w:tc>
      </w:tr>
      <w:tr>
        <w:trPr>
          <w:trHeight w:val="208"/>
        </w:trPr>
        <w:tc>
          <w:tcPr>
            <w:tcW w:w="3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182,285</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170,135</w:t>
            </w: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7,526</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7,526</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7,526</w:t>
            </w:r>
          </w:p>
        </w:tc>
        <w:tc>
          <w:tcPr>
            <w:tcW w:w="0" w:type="dxa"/>
            <w:vAlign w:val="bottom"/>
          </w:tcPr>
          <w:p>
            <w:pPr>
              <w:spacing w:after="0"/>
              <w:rPr>
                <w:sz w:val="1"/>
                <w:szCs w:val="1"/>
                <w:color w:val="auto"/>
              </w:rPr>
            </w:pPr>
          </w:p>
        </w:tc>
      </w:tr>
      <w:tr>
        <w:trPr>
          <w:trHeight w:val="161"/>
        </w:trPr>
        <w:tc>
          <w:tcPr>
            <w:tcW w:w="32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shares under share award plans, net of</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(20,202)</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(20,202)</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(82,829)</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(3,691)</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(3,691)</w:t>
            </w:r>
          </w:p>
        </w:tc>
        <w:tc>
          <w:tcPr>
            <w:tcW w:w="0" w:type="dxa"/>
            <w:vAlign w:val="bottom"/>
          </w:tcPr>
          <w:p>
            <w:pPr>
              <w:spacing w:after="0"/>
              <w:rPr>
                <w:sz w:val="1"/>
                <w:szCs w:val="1"/>
                <w:color w:val="auto"/>
              </w:rPr>
            </w:pPr>
          </w:p>
        </w:tc>
      </w:tr>
      <w:tr>
        <w:trPr>
          <w:trHeight w:val="231"/>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1,153,868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687,169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(1,176,104)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530,703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816,062</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8"/>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w w:val="96"/>
              </w:rPr>
              <w:t>Total Vail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43"/>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43"/>
              <w:spacing w:after="0" w:line="120" w:lineRule="exact"/>
              <w:rPr>
                <w:sz w:val="20"/>
                <w:szCs w:val="20"/>
                <w:color w:val="auto"/>
              </w:rPr>
            </w:pPr>
            <w:r>
              <w:rPr>
                <w:rFonts w:ascii="Times New Roman" w:cs="Times New Roman" w:eastAsia="Times New Roman" w:hAnsi="Times New Roman"/>
                <w:sz w:val="12"/>
                <w:szCs w:val="12"/>
                <w:b w:val="1"/>
                <w:bCs w:val="1"/>
                <w:color w:val="auto"/>
              </w:rPr>
              <w:t>Resorts, Inc.</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10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Additional Paid</w:t>
            </w:r>
          </w:p>
        </w:tc>
        <w:tc>
          <w:tcPr>
            <w:tcW w:w="10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80" w:type="dxa"/>
            <w:vAlign w:val="bottom"/>
          </w:tcPr>
          <w:p>
            <w:pPr>
              <w:spacing w:after="0"/>
              <w:rPr>
                <w:sz w:val="11"/>
                <w:szCs w:val="11"/>
                <w:color w:val="auto"/>
              </w:rPr>
            </w:pPr>
          </w:p>
        </w:tc>
        <w:tc>
          <w:tcPr>
            <w:tcW w:w="820" w:type="dxa"/>
            <w:vAlign w:val="bottom"/>
          </w:tcPr>
          <w:p>
            <w:pPr>
              <w:jc w:val="right"/>
              <w:ind w:right="182"/>
              <w:spacing w:after="0" w:line="133"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11"/>
                <w:szCs w:val="11"/>
                <w:color w:val="auto"/>
              </w:rPr>
            </w:pPr>
          </w:p>
        </w:tc>
        <w:tc>
          <w:tcPr>
            <w:tcW w:w="900" w:type="dxa"/>
            <w:vAlign w:val="bottom"/>
            <w:vMerge w:val="restart"/>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120" w:type="dxa"/>
            <w:vAlign w:val="bottom"/>
          </w:tcPr>
          <w:p>
            <w:pPr>
              <w:spacing w:after="0"/>
              <w:rPr>
                <w:sz w:val="11"/>
                <w:szCs w:val="11"/>
                <w:color w:val="auto"/>
              </w:rPr>
            </w:pPr>
          </w:p>
        </w:tc>
        <w:tc>
          <w:tcPr>
            <w:tcW w:w="860" w:type="dxa"/>
            <w:vAlign w:val="bottom"/>
          </w:tcPr>
          <w:p>
            <w:pPr>
              <w:jc w:val="center"/>
              <w:ind w:right="23"/>
              <w:spacing w:after="0" w:line="13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1"/>
                <w:szCs w:val="11"/>
                <w:color w:val="auto"/>
              </w:rPr>
            </w:pPr>
          </w:p>
        </w:tc>
        <w:tc>
          <w:tcPr>
            <w:tcW w:w="880" w:type="dxa"/>
            <w:vAlign w:val="bottom"/>
          </w:tcPr>
          <w:p>
            <w:pPr>
              <w:jc w:val="right"/>
              <w:ind w:right="22"/>
              <w:spacing w:after="0" w:line="133"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20" w:type="dxa"/>
            <w:vAlign w:val="bottom"/>
          </w:tcPr>
          <w:p>
            <w:pPr>
              <w:spacing w:after="0"/>
              <w:rPr>
                <w:sz w:val="11"/>
                <w:szCs w:val="11"/>
                <w:color w:val="auto"/>
              </w:rPr>
            </w:pPr>
          </w:p>
        </w:tc>
        <w:tc>
          <w:tcPr>
            <w:tcW w:w="880" w:type="dxa"/>
            <w:vAlign w:val="bottom"/>
          </w:tcPr>
          <w:p>
            <w:pPr>
              <w:jc w:val="center"/>
              <w:ind w:right="43"/>
              <w:spacing w:after="0" w:line="13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3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rPr>
              <w:t>Loss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6"/>
        </w:trPr>
        <w:tc>
          <w:tcPr>
            <w:tcW w:w="3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b w:val="1"/>
                <w:bCs w:val="1"/>
                <w:color w:val="auto"/>
              </w:rPr>
              <w:t>Vail Resorts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July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1,124,433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873,710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(984,306)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1,003,947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1,335,660</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46,758</w:t>
            </w:r>
          </w:p>
        </w:tc>
        <w:tc>
          <w:tcPr>
            <w:tcW w:w="0" w:type="dxa"/>
            <w:vAlign w:val="bottom"/>
          </w:tcPr>
          <w:p>
            <w:pPr>
              <w:spacing w:after="0"/>
              <w:rPr>
                <w:sz w:val="1"/>
                <w:szCs w:val="1"/>
                <w:color w:val="auto"/>
              </w:rPr>
            </w:pPr>
          </w:p>
        </w:tc>
      </w:tr>
      <w:tr>
        <w:trPr>
          <w:trHeight w:val="210"/>
        </w:trPr>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(21,212)</w:t>
            </w:r>
          </w:p>
        </w:tc>
        <w:tc>
          <w:tcPr>
            <w:tcW w:w="0" w:type="dxa"/>
            <w:vAlign w:val="bottom"/>
          </w:tcPr>
          <w:p>
            <w:pPr>
              <w:spacing w:after="0"/>
              <w:rPr>
                <w:sz w:val="1"/>
                <w:szCs w:val="1"/>
                <w:color w:val="auto"/>
              </w:rPr>
            </w:pPr>
          </w:p>
        </w:tc>
      </w:tr>
      <w:tr>
        <w:trPr>
          <w:trHeight w:val="161"/>
        </w:trPr>
        <w:tc>
          <w:tcPr>
            <w:tcW w:w="326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(6,062)</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(6,062)</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(6,062)</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24,307</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19,484</w:t>
            </w:r>
          </w:p>
        </w:tc>
        <w:tc>
          <w:tcPr>
            <w:tcW w:w="0" w:type="dxa"/>
            <w:vAlign w:val="bottom"/>
          </w:tcPr>
          <w:p>
            <w:pPr>
              <w:spacing w:after="0"/>
              <w:rPr>
                <w:sz w:val="1"/>
                <w:szCs w:val="1"/>
                <w:color w:val="auto"/>
              </w:rPr>
            </w:pPr>
          </w:p>
        </w:tc>
      </w:tr>
      <w:tr>
        <w:trPr>
          <w:trHeight w:val="20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14,132</w:t>
            </w:r>
          </w:p>
        </w:tc>
        <w:tc>
          <w:tcPr>
            <w:tcW w:w="0" w:type="dxa"/>
            <w:vAlign w:val="bottom"/>
          </w:tcPr>
          <w:p>
            <w:pPr>
              <w:spacing w:after="0"/>
              <w:rPr>
                <w:sz w:val="1"/>
                <w:szCs w:val="1"/>
                <w:color w:val="auto"/>
              </w:rPr>
            </w:pPr>
          </w:p>
        </w:tc>
      </w:tr>
      <w:tr>
        <w:trPr>
          <w:trHeight w:val="159"/>
        </w:trPr>
        <w:tc>
          <w:tcPr>
            <w:tcW w:w="32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Issuance of shares under share award plans, net of</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(5,289)</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(5,289)</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(50,516)</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(156,677)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(156,677)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(156,677)</w:t>
            </w:r>
          </w:p>
        </w:tc>
        <w:tc>
          <w:tcPr>
            <w:tcW w:w="0" w:type="dxa"/>
            <w:vAlign w:val="bottom"/>
          </w:tcPr>
          <w:p>
            <w:pPr>
              <w:spacing w:after="0"/>
              <w:rPr>
                <w:sz w:val="1"/>
                <w:szCs w:val="1"/>
                <w:color w:val="auto"/>
              </w:rPr>
            </w:pPr>
          </w:p>
        </w:tc>
      </w:tr>
      <w:tr>
        <w:trPr>
          <w:trHeight w:val="212"/>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w:t>
            </w:r>
          </w:p>
        </w:tc>
        <w:tc>
          <w:tcPr>
            <w:tcW w:w="0" w:type="dxa"/>
            <w:vAlign w:val="bottom"/>
          </w:tcPr>
          <w:p>
            <w:pPr>
              <w:spacing w:after="0"/>
              <w:rPr>
                <w:sz w:val="1"/>
                <w:szCs w:val="1"/>
                <w:color w:val="auto"/>
              </w:rPr>
            </w:pPr>
          </w:p>
        </w:tc>
      </w:tr>
      <w:tr>
        <w:trPr>
          <w:trHeight w:val="206"/>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January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1,133,275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760,820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(1,034,822)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829,904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320,761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1,150,665</w:t>
            </w:r>
          </w:p>
        </w:tc>
        <w:tc>
          <w:tcPr>
            <w:tcW w:w="0" w:type="dxa"/>
            <w:vAlign w:val="bottom"/>
          </w:tcPr>
          <w:p>
            <w:pPr>
              <w:spacing w:after="0"/>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2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July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1,145,610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(67,288)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780,431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(1,135,685)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314,946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1,038,483</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76,555</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(65,656)</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(65,656)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(91,818)</w:t>
            </w:r>
          </w:p>
        </w:tc>
        <w:tc>
          <w:tcPr>
            <w:tcW w:w="0" w:type="dxa"/>
            <w:vAlign w:val="bottom"/>
          </w:tcPr>
          <w:p>
            <w:pPr>
              <w:spacing w:after="0"/>
              <w:rPr>
                <w:sz w:val="1"/>
                <w:szCs w:val="1"/>
                <w:color w:val="auto"/>
              </w:rPr>
            </w:pPr>
          </w:p>
        </w:tc>
      </w:tr>
      <w:tr>
        <w:trPr>
          <w:trHeight w:val="159"/>
        </w:trPr>
        <w:tc>
          <w:tcPr>
            <w:tcW w:w="326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(22,319)</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(17,018)</w:t>
            </w: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14,217</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14,217</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14,217</w:t>
            </w:r>
          </w:p>
        </w:tc>
        <w:tc>
          <w:tcPr>
            <w:tcW w:w="0" w:type="dxa"/>
            <w:vAlign w:val="bottom"/>
          </w:tcPr>
          <w:p>
            <w:pPr>
              <w:spacing w:after="0"/>
              <w:rPr>
                <w:sz w:val="1"/>
                <w:szCs w:val="1"/>
                <w:color w:val="auto"/>
              </w:rPr>
            </w:pPr>
          </w:p>
        </w:tc>
      </w:tr>
      <w:tr>
        <w:trPr>
          <w:trHeight w:val="161"/>
        </w:trPr>
        <w:tc>
          <w:tcPr>
            <w:tcW w:w="32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shares under share award plans, net of</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(5,959)</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(5,959)</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(5,959)</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(40,419)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(40,419)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(40,419)</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(165,974)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(165,974)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(165,974)</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0" w:type="dxa"/>
            <w:vAlign w:val="bottom"/>
          </w:tcPr>
          <w:p>
            <w:pPr>
              <w:spacing w:after="0"/>
              <w:rPr>
                <w:sz w:val="1"/>
                <w:szCs w:val="1"/>
                <w:color w:val="auto"/>
              </w:rPr>
            </w:pPr>
          </w:p>
        </w:tc>
      </w:tr>
      <w:tr>
        <w:trPr>
          <w:trHeight w:val="231"/>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1,153,868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687,169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(1,176,104)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530,703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816,062</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74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660" w:type="dxa"/>
            <w:vAlign w:val="bottom"/>
          </w:tcPr>
          <w:p>
            <w:pPr>
              <w:spacing w:after="0"/>
              <w:rPr>
                <w:sz w:val="16"/>
                <w:szCs w:val="16"/>
                <w:color w:val="auto"/>
              </w:rPr>
            </w:pPr>
          </w:p>
        </w:tc>
      </w:tr>
      <w:tr>
        <w:trPr>
          <w:trHeight w:val="24"/>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6"/>
        </w:trPr>
        <w:tc>
          <w:tcPr>
            <w:tcW w:w="7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76,555</w:t>
            </w:r>
          </w:p>
        </w:tc>
        <w:tc>
          <w:tcPr>
            <w:tcW w:w="104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46,758</w:t>
            </w:r>
          </w:p>
        </w:tc>
      </w:tr>
      <w:tr>
        <w:trPr>
          <w:trHeight w:val="21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0"/>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144,740</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136,127</w:t>
            </w:r>
          </w:p>
        </w:tc>
      </w:tr>
      <w:tr>
        <w:trPr>
          <w:trHeight w:val="214"/>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14,217</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14,132</w:t>
            </w:r>
          </w:p>
        </w:tc>
      </w:tr>
      <w:tr>
        <w:trPr>
          <w:trHeight w:val="210"/>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8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28,082</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22,326</w:t>
            </w:r>
          </w:p>
        </w:tc>
      </w:tr>
      <w:tr>
        <w:trPr>
          <w:trHeight w:val="214"/>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non-cash (income) expense, net</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(13,384)</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11,770</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4"/>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receivables, net</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250,972</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235,183</w:t>
            </w:r>
          </w:p>
        </w:tc>
      </w:tr>
      <w:tr>
        <w:trPr>
          <w:trHeight w:val="210"/>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(14,855)</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w:t>
            </w:r>
          </w:p>
        </w:tc>
      </w:tr>
      <w:tr>
        <w:trPr>
          <w:trHeight w:val="214"/>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104,051</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90,578</w:t>
            </w:r>
          </w:p>
        </w:tc>
      </w:tr>
      <w:tr>
        <w:trPr>
          <w:trHeight w:val="210"/>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116,812</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108,693</w:t>
            </w:r>
          </w:p>
        </w:tc>
      </w:tr>
      <w:tr>
        <w:trPr>
          <w:trHeight w:val="214"/>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(72,799)</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(67,119)</w:t>
            </w:r>
          </w:p>
        </w:tc>
      </w:tr>
      <w:tr>
        <w:trPr>
          <w:trHeight w:val="210"/>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(25,710)</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(24,579)</w:t>
            </w:r>
          </w:p>
        </w:tc>
      </w:tr>
      <w:tr>
        <w:trPr>
          <w:trHeight w:val="208"/>
        </w:trPr>
        <w:tc>
          <w:tcPr>
            <w:tcW w:w="7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608,681</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571,161</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4"/>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(146,029)</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(130,291)</w:t>
            </w:r>
          </w:p>
        </w:tc>
      </w:tr>
      <w:tr>
        <w:trPr>
          <w:trHeight w:val="210"/>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Maturity of short-term deposits</w:t>
            </w:r>
          </w:p>
        </w:tc>
        <w:tc>
          <w:tcPr>
            <w:tcW w:w="98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57,647</w:t>
            </w:r>
          </w:p>
        </w:tc>
      </w:tr>
      <w:tr>
        <w:trPr>
          <w:trHeight w:val="212"/>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18,009</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6,565</w:t>
            </w:r>
          </w:p>
        </w:tc>
      </w:tr>
      <w:tr>
        <w:trPr>
          <w:trHeight w:val="206"/>
        </w:trPr>
        <w:tc>
          <w:tcPr>
            <w:tcW w:w="78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(128,020)</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(66,079)</w:t>
            </w:r>
          </w:p>
        </w:tc>
      </w:tr>
      <w:tr>
        <w:trPr>
          <w:trHeight w:val="21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0"/>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borrowings under Vail Holdings Credit Agreement</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(24,609)</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(31,250)</w:t>
            </w:r>
          </w:p>
        </w:tc>
      </w:tr>
      <w:tr>
        <w:trPr>
          <w:trHeight w:val="214"/>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Repurchases of 0.0% Convertible Notes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(48,000)</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taxes paid for share award exercises</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(5,959)</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(5,289)</w:t>
            </w:r>
          </w:p>
        </w:tc>
      </w:tr>
      <w:tr>
        <w:trPr>
          <w:trHeight w:val="214"/>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(165,974)</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(156,677)</w:t>
            </w:r>
          </w:p>
        </w:tc>
      </w:tr>
      <w:tr>
        <w:trPr>
          <w:trHeight w:val="210"/>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2"/>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(18,204)</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(7,961)</w:t>
            </w:r>
          </w:p>
        </w:tc>
      </w:tr>
      <w:tr>
        <w:trPr>
          <w:trHeight w:val="206"/>
        </w:trPr>
        <w:tc>
          <w:tcPr>
            <w:tcW w:w="7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(302,746)</w:t>
            </w: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(251,177)</w:t>
            </w:r>
          </w:p>
        </w:tc>
      </w:tr>
      <w:tr>
        <w:trPr>
          <w:trHeight w:val="208"/>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(10,423)</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r>
      <w:tr>
        <w:trPr>
          <w:trHeight w:val="210"/>
        </w:trPr>
        <w:tc>
          <w:tcPr>
            <w:tcW w:w="78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98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167,492</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252,399</w:t>
            </w:r>
          </w:p>
        </w:tc>
      </w:tr>
      <w:tr>
        <w:trPr>
          <w:trHeight w:val="21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0"/>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Beginning of period</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337,063</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573,093</w:t>
            </w:r>
          </w:p>
        </w:tc>
      </w:tr>
      <w:tr>
        <w:trPr>
          <w:trHeight w:val="231"/>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End of period</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504,555</w:t>
            </w:r>
          </w:p>
        </w:tc>
        <w:tc>
          <w:tcPr>
            <w:tcW w:w="104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825,492</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08"/>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17,588</w:t>
            </w:r>
          </w:p>
        </w:tc>
        <w:tc>
          <w:tcPr>
            <w:tcW w:w="104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11,784</w:t>
            </w: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ind w:left="640" w:hanging="634"/>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Vail Resorts, Inc. (“Vail Resorts”) is organized as a holding company and operates through various subsidiaries. Vail Resorts and its subsidiaries (collectively, the “Company”) operate in three reportable segments: Mountain, Lodging and Real Estate. The Company refers to “Resort” as the combination of the Mountain and Lodging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5761990" cy="2535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1990" cy="2535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which operates destination resorts in Grand Teton National Park; a Colorado resort ground transportation company and mountain resort golf courses.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Real Estate segment primarily owns, develops and sells real estate in and around the Company’s resort communities.</w:t>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mountain business and its lodging properties at or around the Company’s mountain resorts are seasonal in nature, and typically experience their peak operating seasons primarily from mid-December through mid-April in North America and Europe. The peak operating season at the Company’s Australian resorts, NPS concessioner properties and golf courses generally occurs from June to early October.</w:t>
      </w:r>
    </w:p>
    <w:p>
      <w:pPr>
        <w:spacing w:after="0" w:line="201" w:lineRule="exact"/>
        <w:rPr>
          <w:sz w:val="20"/>
          <w:szCs w:val="20"/>
          <w:color w:val="auto"/>
        </w:rPr>
      </w:pPr>
    </w:p>
    <w:p>
      <w:pPr>
        <w:ind w:left="360" w:hanging="354"/>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Consolidated Condensed Financial Statements — </w:t>
      </w:r>
      <w:r>
        <w:rPr>
          <w:rFonts w:ascii="Times New Roman" w:cs="Times New Roman" w:eastAsia="Times New Roman" w:hAnsi="Times New Roman"/>
          <w:sz w:val="18"/>
          <w:szCs w:val="18"/>
          <w:color w:val="auto"/>
        </w:rPr>
        <w:t>In the opinion of the Company, the accompanying Consolidated Condensed Financial Statements reflect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necessary to state fairly the Company’s financial position, results of operations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 w:name="page10"/>
    <w:bookmarkEnd w:id="9"/>
    <w:p>
      <w:pPr>
        <w:jc w:val="both"/>
        <w:spacing w:after="0" w:line="251" w:lineRule="auto"/>
        <w:rPr>
          <w:sz w:val="20"/>
          <w:szCs w:val="20"/>
          <w:color w:val="auto"/>
        </w:rPr>
      </w:pPr>
      <w:r>
        <w:rPr>
          <w:rFonts w:ascii="Times New Roman" w:cs="Times New Roman" w:eastAsia="Times New Roman" w:hAnsi="Times New Roman"/>
          <w:sz w:val="18"/>
          <w:szCs w:val="18"/>
          <w:color w:val="auto"/>
        </w:rPr>
        <w:t>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2024.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2024 was derived from audited financial statements.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estimated fair values of the 6.50% Notes and the 0.0% Convertible Notes (each as defined in Note 5,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are based on quoted market prices (a Level 2 input). The estimated fair value of the EPR Secured Notes and the NRP Loan (each as defined in Note 5, Long-Term Debt) have been estimated using analyses based on current borrowing rates for comparable debt instruments with similar maturity dates (a Level 2 input). The carrying values, including any unamortized premium or discount, and estimated fair values of the 6.50% Notes, 0.0% Convertible Notes, EPR Secured Notes and NRP Loan as of January 31, 2025 are presented below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060" w:type="dxa"/>
            <w:vAlign w:val="bottom"/>
          </w:tcPr>
          <w:p>
            <w:pPr>
              <w:spacing w:after="0"/>
              <w:rPr>
                <w:sz w:val="16"/>
                <w:szCs w:val="16"/>
                <w:color w:val="auto"/>
              </w:rPr>
            </w:pPr>
          </w:p>
        </w:tc>
      </w:tr>
      <w:tr>
        <w:trPr>
          <w:trHeight w:val="24"/>
        </w:trPr>
        <w:tc>
          <w:tcPr>
            <w:tcW w:w="7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8"/>
        </w:trPr>
        <w:tc>
          <w:tcPr>
            <w:tcW w:w="7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jc w:val="right"/>
              <w:ind w:right="439"/>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20" w:type="dxa"/>
            <w:vAlign w:val="bottom"/>
          </w:tcPr>
          <w:p>
            <w:pPr>
              <w:spacing w:after="0"/>
              <w:rPr>
                <w:sz w:val="11"/>
                <w:szCs w:val="11"/>
                <w:color w:val="auto"/>
              </w:rPr>
            </w:pPr>
          </w:p>
        </w:tc>
        <w:tc>
          <w:tcPr>
            <w:tcW w:w="1060" w:type="dxa"/>
            <w:vAlign w:val="bottom"/>
          </w:tcPr>
          <w:p>
            <w:pPr>
              <w:jc w:val="right"/>
              <w:ind w:right="617"/>
              <w:spacing w:after="0" w:line="128"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2"/>
        </w:trPr>
        <w:tc>
          <w:tcPr>
            <w:tcW w:w="7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4"/>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Notes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609,468</w:t>
            </w:r>
          </w:p>
        </w:tc>
      </w:tr>
      <w:tr>
        <w:trPr>
          <w:trHeight w:val="22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 Convertible Notes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6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499,658</w:t>
            </w:r>
          </w:p>
        </w:tc>
      </w:tr>
      <w:tr>
        <w:trPr>
          <w:trHeight w:val="22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EPR Secured Notes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130,098</w:t>
            </w:r>
          </w:p>
        </w:tc>
        <w:tc>
          <w:tcPr>
            <w:tcW w:w="6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166,549</w:t>
            </w:r>
          </w:p>
        </w:tc>
      </w:tr>
      <w:tr>
        <w:trPr>
          <w:trHeight w:val="226"/>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NRP Loan</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34,491</w:t>
            </w:r>
          </w:p>
        </w:tc>
        <w:tc>
          <w:tcPr>
            <w:tcW w:w="6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28,929</w:t>
            </w:r>
          </w:p>
        </w:tc>
      </w:tr>
    </w:tbl>
    <w:p>
      <w:pPr>
        <w:spacing w:after="0" w:line="2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carrying values for all other financial instruments not included in the above table approximate their respective fair value due to their short-term nature or the variable nature of their associated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Being Evaluated</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2023-07, “Segment Reporting (Topic 280): Improvements to Reportable Segment Disclosures,” which is intended to improve reportable segment disclosures, primarily through incorporating enhanced segment disclosure requirements set forth by the Securities and Exchange Commission into U.S. GAAP. The enhanced disclosures will primarily require public entities to include specific disclosures regarding “significant expenses” that are regularly provided to or easily computed from information provided to the chief operating decision maker (“CODM”) and included within segment profit and loss. This ASU also requires that a public entity disclose the title and position of the CODM and an explanation of how the CODM uses the reported measure(s) of segment profit or loss. ASU 2023-07 is effective for fiscal years beginning after December 15, 2023 (the Company’s fiscal year ending July 31, 2025), and interim periods within fiscal years beginning after December 15, 2024 (the Company’s fiscal quarter ending October 31, 2025), with early adoption permitted. The Company will adopt the standard during the fourth quarter of its fiscal year ending July 31, 2025 and is in the process of evaluating the effect that the adoption of this standard will have on its Consolidated Condensed Financial Statements.</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which includes amendments that further enhance the transparency and decision usefulness of income tax disclosures, primarily through standardization and disaggregation of rate reconciliation categories and income taxes paid by jurisdiction. This update is effective for annual periods beginning after December 15, 2024 (the Company’s fiscal year ending July 31, 2026), though early adoption is permitted. The Company will adopt the standard during the fourth quarter of its fiscal year ending July 31, 2026 and is in the process of evaluating the effect that the adoption of this standard will have on its Consolidated Condensed Financial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will expand the disclosures regarding a public entity’s expenses by providing disaggregation of certain costs and expenses. The ASU primarily requires that, for each interim and annual reporting period, an entity disclose the amounts of purchases of inventory, employee compensation, depreciation, and intangible asset amortization, as well as other certain qualitative disclosures regarding costs and expenses. The ASU is effective for fiscal years beginning after December 15, 2026 (the Company’s fiscal year ending July 31, 2028), and interim periods thereafter, with early adoption permitted. The Company is in the process of evaluating the effect that the adoption of this standard will have on its Consolidated Condensed Financial Statements, including determining the timing of adoption.</w:t>
      </w: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following table presents net revenues disaggregated by segment and major revenue type for the three and six months ended January 31, 2025 and 2024 (in thousands):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80" w:type="dxa"/>
            <w:vAlign w:val="bottom"/>
          </w:tcPr>
          <w:p>
            <w:pPr>
              <w:spacing w:after="0"/>
              <w:rPr>
                <w:sz w:val="16"/>
                <w:szCs w:val="16"/>
                <w:color w:val="auto"/>
              </w:rPr>
            </w:pPr>
          </w:p>
        </w:tc>
        <w:tc>
          <w:tcPr>
            <w:tcW w:w="2580" w:type="dxa"/>
            <w:vAlign w:val="bottom"/>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4"/>
        </w:trPr>
        <w:tc>
          <w:tcPr>
            <w:tcW w:w="5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Lift</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644,918</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603,459</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685,341</w:t>
            </w:r>
          </w:p>
        </w:tc>
        <w:tc>
          <w:tcPr>
            <w:tcW w:w="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648,849</w:t>
            </w:r>
          </w:p>
        </w:tc>
      </w:tr>
      <w:tr>
        <w:trPr>
          <w:trHeight w:val="226"/>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Ski School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133,009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139,848</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133,807</w:t>
            </w:r>
          </w:p>
        </w:tc>
      </w:tr>
      <w:tr>
        <w:trPr>
          <w:trHeight w:val="22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Dining</w:t>
            </w:r>
          </w:p>
        </w:tc>
        <w:tc>
          <w:tcPr>
            <w:tcW w:w="34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90,907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111,535</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100,137</w:t>
            </w:r>
          </w:p>
        </w:tc>
      </w:tr>
      <w:tr>
        <w:trPr>
          <w:trHeight w:val="226"/>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Retail/Rental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135,159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164,685</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169,630</w:t>
            </w:r>
          </w:p>
        </w:tc>
      </w:tr>
      <w:tr>
        <w:trPr>
          <w:trHeight w:val="226"/>
        </w:trPr>
        <w:tc>
          <w:tcPr>
            <w:tcW w:w="5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59,101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51,677</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134,981</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120,013</w:t>
            </w:r>
          </w:p>
        </w:tc>
      </w:tr>
      <w:tr>
        <w:trPr>
          <w:trHeight w:val="219"/>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1,063,094</w:t>
            </w:r>
          </w:p>
        </w:tc>
        <w:tc>
          <w:tcPr>
            <w:tcW w:w="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999,981</w:t>
            </w:r>
          </w:p>
        </w:tc>
        <w:tc>
          <w:tcPr>
            <w:tcW w:w="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1,236,390</w:t>
            </w:r>
          </w:p>
        </w:tc>
        <w:tc>
          <w:tcPr>
            <w:tcW w:w="4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1,172,436</w:t>
            </w:r>
          </w:p>
        </w:tc>
      </w:tr>
      <w:tr>
        <w:trPr>
          <w:trHeight w:val="21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Owned hotel rooms</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13,439</w:t>
            </w:r>
          </w:p>
        </w:tc>
        <w:tc>
          <w:tcPr>
            <w:tcW w:w="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41,514</w:t>
            </w:r>
          </w:p>
        </w:tc>
        <w:tc>
          <w:tcPr>
            <w:tcW w:w="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38,760</w:t>
            </w:r>
          </w:p>
        </w:tc>
      </w:tr>
      <w:tr>
        <w:trPr>
          <w:trHeight w:val="22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4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27,074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38,779</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40,311</w:t>
            </w:r>
          </w:p>
        </w:tc>
      </w:tr>
      <w:tr>
        <w:trPr>
          <w:trHeight w:val="226"/>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Dining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13,754</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33,706</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31,692</w:t>
            </w:r>
          </w:p>
        </w:tc>
      </w:tr>
      <w:tr>
        <w:trPr>
          <w:trHeight w:val="22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Transportation</w:t>
            </w:r>
          </w:p>
        </w:tc>
        <w:tc>
          <w:tcPr>
            <w:tcW w:w="34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5,507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r>
      <w:tr>
        <w:trPr>
          <w:trHeight w:val="226"/>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Golf</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r>
      <w:tr>
        <w:trPr>
          <w:trHeight w:val="226"/>
        </w:trPr>
        <w:tc>
          <w:tcPr>
            <w:tcW w:w="5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10,415</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25,131</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26,540</w:t>
            </w:r>
          </w:p>
        </w:tc>
      </w:tr>
      <w:tr>
        <w:trPr>
          <w:trHeight w:val="219"/>
        </w:trPr>
        <w:tc>
          <w:tcPr>
            <w:tcW w:w="5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70,189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153,972</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151,684</w:t>
            </w:r>
          </w:p>
        </w:tc>
      </w:tr>
      <w:tr>
        <w:trPr>
          <w:trHeight w:val="226"/>
        </w:trPr>
        <w:tc>
          <w:tcPr>
            <w:tcW w:w="5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3,771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w:t>
            </w:r>
          </w:p>
        </w:tc>
      </w:tr>
      <w:tr>
        <w:trPr>
          <w:trHeight w:val="219"/>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73,960</w:t>
            </w:r>
          </w:p>
        </w:tc>
        <w:tc>
          <w:tcPr>
            <w:tcW w:w="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77,817</w:t>
            </w:r>
          </w:p>
        </w:tc>
        <w:tc>
          <w:tcPr>
            <w:tcW w:w="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160,876</w:t>
            </w:r>
          </w:p>
        </w:tc>
        <w:tc>
          <w:tcPr>
            <w:tcW w:w="4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159,638</w:t>
            </w:r>
          </w:p>
        </w:tc>
      </w:tr>
      <w:tr>
        <w:trPr>
          <w:trHeight w:val="21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1,137,054</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1,077,798</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1,397,266</w:t>
            </w:r>
          </w:p>
        </w:tc>
        <w:tc>
          <w:tcPr>
            <w:tcW w:w="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1,332,074</w:t>
            </w:r>
          </w:p>
        </w:tc>
      </w:tr>
      <w:tr>
        <w:trPr>
          <w:trHeight w:val="226"/>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r>
      <w:tr>
        <w:trPr>
          <w:trHeight w:val="219"/>
        </w:trPr>
        <w:tc>
          <w:tcPr>
            <w:tcW w:w="5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1,137,225</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1,077,958</w:t>
            </w:r>
          </w:p>
        </w:tc>
        <w:tc>
          <w:tcPr>
            <w:tcW w:w="3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1,397,500</w:t>
            </w:r>
          </w:p>
        </w:tc>
        <w:tc>
          <w:tcPr>
            <w:tcW w:w="4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1,336,523</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Deferred revenue balances of a short-term nature were $688.4 million and $575.8 million as of January 31, 2025 and July 31, 2024, respectively. For the three and six months ended January 31, 2025, the Company recognized approximately $253.9 million and $304.1 million, respectively, of revenue that was included in the deferred revenue balance as of July 31, 2024. Deferred revenue balances of a long-term nature, comprised primarily of long-term private club initiation fee revenue, were $103.1 million, $104.9 million and $108.3 million as of January 31, 2025, July 31, 2024 and January 31, 2024, respectively. As of January 31, 2025, the weighted average remaining period over which revenue for unsatisfied performance obligations on long-term private club contracts will be recognized was approximately 14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Contracts with Customers</w:t>
      </w:r>
    </w:p>
    <w:p>
      <w:pPr>
        <w:spacing w:after="0" w:line="1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Costs to obtain contracts with customers are recorded within other current assets on the Company’s Consolidated Condensed Balance Sheets, and were $14.3 million, $5.2 million and $14.4 million as of January 31, 2025, July 31, 2024 and January 31, 2024, respectively. The amounts capitalized are subject to amortization generally beginning in the second quarter of each fiscal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color w:val="auto"/>
        </w:rPr>
        <w:t>year, commensurate with the recognition of revenue for related pass products. The Company recorded amortization of $14.9 million for these costs during both the three and six months ended January 31, 2025, which was recorded within Mountain and Lodging operating expense on the Company’s Consolidated Condensed Statements of Operations. The Company recorded amortization of $13.9 million for these costs during both the three and six months ended January 31, 2024.</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Basic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three months ended January 31, 2025 and 2024 (in thousands, except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6"/>
                <w:szCs w:val="16"/>
                <w:color w:val="auto"/>
              </w:rPr>
            </w:pPr>
          </w:p>
        </w:tc>
      </w:tr>
      <w:tr>
        <w:trPr>
          <w:trHeight w:val="192"/>
        </w:trPr>
        <w:tc>
          <w:tcPr>
            <w:tcW w:w="5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245,548</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245,548</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219,299</w:t>
            </w: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219,299</w:t>
            </w:r>
          </w:p>
        </w:tc>
      </w:tr>
      <w:tr>
        <w:trPr>
          <w:trHeight w:val="22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37,382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37,382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37,967</w:t>
            </w:r>
          </w:p>
        </w:tc>
      </w:tr>
      <w:tr>
        <w:trPr>
          <w:trHeight w:val="22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9"/>
        </w:trPr>
        <w:tc>
          <w:tcPr>
            <w:tcW w:w="5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37,382</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37,425</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38,046</w:t>
            </w:r>
          </w:p>
        </w:tc>
      </w:tr>
      <w:tr>
        <w:trPr>
          <w:trHeight w:val="21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Vail Resorts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6.57</w:t>
            </w:r>
          </w:p>
        </w:tc>
        <w:tc>
          <w:tcPr>
            <w:tcW w:w="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6.56</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41,000 and 15,000 for the three months ended January 31, 2025 and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six months ended January 31, 2025 and 2024 (in thousands, except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3"/>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6"/>
                <w:szCs w:val="16"/>
                <w:color w:val="auto"/>
              </w:rPr>
            </w:pPr>
          </w:p>
        </w:tc>
      </w:tr>
      <w:tr>
        <w:trPr>
          <w:trHeight w:val="192"/>
        </w:trPr>
        <w:tc>
          <w:tcPr>
            <w:tcW w:w="5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72,712</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72,712</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43,787</w:t>
            </w: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43,787</w:t>
            </w:r>
          </w:p>
        </w:tc>
      </w:tr>
      <w:tr>
        <w:trPr>
          <w:trHeight w:val="22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37,428</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37,428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38,042</w:t>
            </w:r>
          </w:p>
        </w:tc>
      </w:tr>
      <w:tr>
        <w:trPr>
          <w:trHeight w:val="22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9"/>
        </w:trPr>
        <w:tc>
          <w:tcPr>
            <w:tcW w:w="5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37,428</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37,480</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38,042</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38,133</w:t>
            </w:r>
          </w:p>
        </w:tc>
      </w:tr>
      <w:tr>
        <w:trPr>
          <w:trHeight w:val="21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Vail Resorts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1.94</w:t>
            </w:r>
          </w:p>
        </w:tc>
        <w:tc>
          <w:tcPr>
            <w:tcW w:w="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1.94</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number of shares issuable upon the exercise of share-based awards excluded from the calculation of diluted EPS because the effect of their inclusion would have been anti-dilutive totaled approximately 21,000 and 18,000 for the six months ended January 31, 2025 and 2024 respectively.</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2020, the Company completed an offering of $575.0 million in aggregate principal amount of 0.0% Convertible Notes (as defined in Note 5, Long-Term Debt). The Company is required to settle the principal amount of the 0.0% Convertible Notes in cash and has the option to settle the conversion spread in cash or shares. The Company uses the if-converted method to calculate the impact of convertible instruments on diluted EPS when the instruments may be settled in cash or shares. If the conversion value of the 0.0% Convertible Notes exceeds their conversion price, then the Company will calculate its diluted EPS as if all the notes were converted into common stock at the beginning of the period. However, if reflecting the 0.0% Convertible Notes in diluted EPS in this manner is anti-dilutive, or if the conversion value of the notes does not exceed their conversion price for a reporting period, then the shares underlying the notes will not be reflected in the Company’s calculation of diluted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both"/>
        <w:spacing w:after="0" w:line="274" w:lineRule="auto"/>
        <w:rPr>
          <w:sz w:val="20"/>
          <w:szCs w:val="20"/>
          <w:color w:val="auto"/>
        </w:rPr>
      </w:pPr>
      <w:r>
        <w:rPr>
          <w:rFonts w:ascii="Times New Roman" w:cs="Times New Roman" w:eastAsia="Times New Roman" w:hAnsi="Times New Roman"/>
          <w:sz w:val="18"/>
          <w:szCs w:val="18"/>
          <w:color w:val="auto"/>
        </w:rPr>
        <w:t>EPS. For the three and six months ended January 31, 2025 and 2024, the price of Vail Resorts, Inc. common stock (“Vail Shares”) did not exceed the conversion price and therefore there was no impact to diluted EPS during those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January 31, 2025, the Company paid cash dividends of $2.22 and $4.44 per share, respectively ($82.8 million and $166.0 million, respectively). During the three and six months ended January 31, 2024, the Company paid cash dividends of $2.06 and $4.12 per share, respectively ($78.2 million and $156.7 million, respectively). On March 6, 2025, the Company’s Board of Directors approved a cash dividend of $2.22 per share payable on April 10, 2025 to stockholders of record as of March 27, 2025.</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as of January 31, 2025, July 31, 2024 and January 31, 2024 is summarized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54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40" w:type="dxa"/>
            <w:vAlign w:val="bottom"/>
          </w:tcPr>
          <w:p>
            <w:pPr>
              <w:spacing w:after="0"/>
              <w:rPr>
                <w:sz w:val="16"/>
                <w:szCs w:val="16"/>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80" w:type="dxa"/>
            <w:vAlign w:val="bottom"/>
          </w:tcPr>
          <w:p>
            <w:pPr>
              <w:spacing w:after="0"/>
              <w:rPr>
                <w:sz w:val="16"/>
                <w:szCs w:val="16"/>
                <w:color w:val="auto"/>
              </w:rPr>
            </w:pP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40" w:type="dxa"/>
            <w:vAlign w:val="bottom"/>
          </w:tcPr>
          <w:p>
            <w:pPr>
              <w:spacing w:after="0"/>
              <w:rPr>
                <w:sz w:val="16"/>
                <w:szCs w:val="16"/>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5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9"/>
        </w:trPr>
        <w:tc>
          <w:tcPr>
            <w:tcW w:w="51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Vail Holdings Credit Agreement term loan </w:t>
            </w:r>
            <w:r>
              <w:rPr>
                <w:rFonts w:ascii="Times New Roman" w:cs="Times New Roman" w:eastAsia="Times New Roman" w:hAnsi="Times New Roman"/>
                <w:sz w:val="22"/>
                <w:szCs w:val="22"/>
                <w:color w:val="auto"/>
                <w:vertAlign w:val="superscript"/>
              </w:rPr>
              <w:t>(a)</w:t>
            </w:r>
          </w:p>
        </w:tc>
        <w:tc>
          <w:tcPr>
            <w:tcW w:w="154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4"/>
              </w:rPr>
              <w:t>2029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935,156</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959,766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984,375</w:t>
            </w:r>
          </w:p>
        </w:tc>
      </w:tr>
      <w:tr>
        <w:trPr>
          <w:trHeight w:val="226"/>
        </w:trPr>
        <w:tc>
          <w:tcPr>
            <w:tcW w:w="51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Vail Holdings Credit Agreement revolver </w:t>
            </w:r>
            <w:r>
              <w:rPr>
                <w:rFonts w:ascii="Times New Roman" w:cs="Times New Roman" w:eastAsia="Times New Roman" w:hAnsi="Times New Roman"/>
                <w:sz w:val="22"/>
                <w:szCs w:val="22"/>
                <w:color w:val="auto"/>
                <w:vertAlign w:val="superscript"/>
              </w:rPr>
              <w:t>(a)</w:t>
            </w:r>
          </w:p>
        </w:tc>
        <w:tc>
          <w:tcPr>
            <w:tcW w:w="154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4"/>
              </w:rPr>
              <w:t>2029</w:t>
            </w:r>
          </w:p>
        </w:tc>
        <w:tc>
          <w:tcPr>
            <w:tcW w:w="340" w:type="dxa"/>
            <w:vAlign w:val="bottom"/>
          </w:tcPr>
          <w:p>
            <w:pPr>
              <w:spacing w:after="0"/>
              <w:rPr>
                <w:sz w:val="19"/>
                <w:szCs w:val="19"/>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Notes</w:t>
            </w:r>
          </w:p>
        </w:tc>
        <w:tc>
          <w:tcPr>
            <w:tcW w:w="154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4"/>
              </w:rPr>
              <w:t>2032</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600,000</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 Notes</w:t>
            </w:r>
          </w:p>
        </w:tc>
        <w:tc>
          <w:tcPr>
            <w:tcW w:w="154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4"/>
              </w:rPr>
              <w:t>2025</w:t>
            </w:r>
          </w:p>
        </w:tc>
        <w:tc>
          <w:tcPr>
            <w:tcW w:w="340" w:type="dxa"/>
            <w:vAlign w:val="bottom"/>
          </w:tcPr>
          <w:p>
            <w:pPr>
              <w:spacing w:after="0"/>
              <w:rPr>
                <w:sz w:val="19"/>
                <w:szCs w:val="19"/>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6"/>
        </w:trPr>
        <w:tc>
          <w:tcPr>
            <w:tcW w:w="51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0.0% Convertible Notes </w:t>
            </w:r>
            <w:r>
              <w:rPr>
                <w:rFonts w:ascii="Times New Roman" w:cs="Times New Roman" w:eastAsia="Times New Roman" w:hAnsi="Times New Roman"/>
                <w:sz w:val="22"/>
                <w:szCs w:val="22"/>
                <w:color w:val="auto"/>
                <w:vertAlign w:val="superscript"/>
              </w:rPr>
              <w:t>(b)</w:t>
            </w:r>
          </w:p>
        </w:tc>
        <w:tc>
          <w:tcPr>
            <w:tcW w:w="154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4"/>
              </w:rPr>
              <w:t>2026</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525,000</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26"/>
        </w:trPr>
        <w:tc>
          <w:tcPr>
            <w:tcW w:w="51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Whistler Credit Agreement revolver </w:t>
            </w:r>
            <w:r>
              <w:rPr>
                <w:rFonts w:ascii="Times New Roman" w:cs="Times New Roman" w:eastAsia="Times New Roman" w:hAnsi="Times New Roman"/>
                <w:sz w:val="22"/>
                <w:szCs w:val="22"/>
                <w:color w:val="auto"/>
                <w:vertAlign w:val="superscript"/>
              </w:rPr>
              <w:t>(c)</w:t>
            </w:r>
          </w:p>
        </w:tc>
        <w:tc>
          <w:tcPr>
            <w:tcW w:w="154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4"/>
              </w:rPr>
              <w:t>2028</w:t>
            </w:r>
          </w:p>
        </w:tc>
        <w:tc>
          <w:tcPr>
            <w:tcW w:w="340" w:type="dxa"/>
            <w:vAlign w:val="bottom"/>
          </w:tcPr>
          <w:p>
            <w:pPr>
              <w:spacing w:after="0"/>
              <w:rPr>
                <w:sz w:val="19"/>
                <w:szCs w:val="19"/>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1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EPR Secured Notes </w:t>
            </w:r>
            <w:r>
              <w:rPr>
                <w:rFonts w:ascii="Times New Roman" w:cs="Times New Roman" w:eastAsia="Times New Roman" w:hAnsi="Times New Roman"/>
                <w:sz w:val="22"/>
                <w:szCs w:val="22"/>
                <w:color w:val="auto"/>
                <w:vertAlign w:val="superscript"/>
              </w:rPr>
              <w:t>(d)</w:t>
            </w:r>
          </w:p>
        </w:tc>
        <w:tc>
          <w:tcPr>
            <w:tcW w:w="154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9"/>
              </w:rPr>
              <w:t>2034-2036</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114,162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114,162</w:t>
            </w:r>
          </w:p>
        </w:tc>
      </w:tr>
      <w:tr>
        <w:trPr>
          <w:trHeight w:val="22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NRP Loan</w:t>
            </w:r>
          </w:p>
        </w:tc>
        <w:tc>
          <w:tcPr>
            <w:tcW w:w="154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4"/>
              </w:rPr>
              <w:t>2036</w:t>
            </w:r>
          </w:p>
        </w:tc>
        <w:tc>
          <w:tcPr>
            <w:tcW w:w="340" w:type="dxa"/>
            <w:vAlign w:val="bottom"/>
          </w:tcPr>
          <w:p>
            <w:pPr>
              <w:spacing w:after="0"/>
              <w:rPr>
                <w:sz w:val="19"/>
                <w:szCs w:val="19"/>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34,260</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37,088</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39,285</w:t>
            </w:r>
          </w:p>
        </w:tc>
      </w:tr>
      <w:tr>
        <w:trPr>
          <w:trHeight w:val="22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housing bonds</w:t>
            </w:r>
          </w:p>
        </w:tc>
        <w:tc>
          <w:tcPr>
            <w:tcW w:w="154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9"/>
              </w:rPr>
              <w:t>2027-2039</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52,575</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52,575</w:t>
            </w:r>
          </w:p>
        </w:tc>
      </w:tr>
      <w:tr>
        <w:trPr>
          <w:trHeight w:val="22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Canyons obligation</w:t>
            </w:r>
          </w:p>
        </w:tc>
        <w:tc>
          <w:tcPr>
            <w:tcW w:w="154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4"/>
              </w:rPr>
              <w:t>2063</w:t>
            </w:r>
          </w:p>
        </w:tc>
        <w:tc>
          <w:tcPr>
            <w:tcW w:w="340" w:type="dxa"/>
            <w:vAlign w:val="bottom"/>
          </w:tcPr>
          <w:p>
            <w:pPr>
              <w:spacing w:after="0"/>
              <w:rPr>
                <w:sz w:val="19"/>
                <w:szCs w:val="19"/>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372,003</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369,143</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366,264</w:t>
            </w:r>
          </w:p>
        </w:tc>
      </w:tr>
      <w:tr>
        <w:trPr>
          <w:trHeight w:val="22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Whistler Blackcomb employee housing leases</w:t>
            </w:r>
          </w:p>
        </w:tc>
        <w:tc>
          <w:tcPr>
            <w:tcW w:w="154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4"/>
              </w:rPr>
              <w:t>2042</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26,331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27,887</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28,796</w:t>
            </w:r>
          </w:p>
        </w:tc>
      </w:tr>
      <w:tr>
        <w:trPr>
          <w:trHeight w:val="226"/>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8"/>
                <w:szCs w:val="18"/>
                <w:color w:val="auto"/>
                <w:w w:val="99"/>
              </w:rPr>
              <w:t>2025-2037</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49,752</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52,017</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33,574</w:t>
            </w:r>
          </w:p>
        </w:tc>
      </w:tr>
      <w:tr>
        <w:trPr>
          <w:trHeight w:val="21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2,709,239</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2,787,638</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2,794,031</w:t>
            </w:r>
          </w:p>
        </w:tc>
      </w:tr>
      <w:tr>
        <w:trPr>
          <w:trHeight w:val="22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premiums, discounts and debt issuance costs</w:t>
            </w: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7,008</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r>
      <w:tr>
        <w:trPr>
          <w:trHeight w:val="226"/>
        </w:trPr>
        <w:tc>
          <w:tcPr>
            <w:tcW w:w="5120" w:type="dxa"/>
            <w:vAlign w:val="bottom"/>
            <w:tcBorders>
              <w:bottom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Less: Current maturities </w:t>
            </w:r>
            <w:r>
              <w:rPr>
                <w:rFonts w:ascii="Times New Roman" w:cs="Times New Roman" w:eastAsia="Times New Roman" w:hAnsi="Times New Roman"/>
                <w:sz w:val="22"/>
                <w:szCs w:val="22"/>
                <w:color w:val="auto"/>
                <w:vertAlign w:val="superscript"/>
              </w:rPr>
              <w:t>(e)</w:t>
            </w:r>
          </w:p>
        </w:tc>
        <w:tc>
          <w:tcPr>
            <w:tcW w:w="15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584,245</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57,153</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69,135</w:t>
            </w:r>
          </w:p>
        </w:tc>
      </w:tr>
      <w:tr>
        <w:trPr>
          <w:trHeight w:val="219"/>
        </w:trPr>
        <w:tc>
          <w:tcPr>
            <w:tcW w:w="5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2,117,986</w:t>
            </w: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2,721,597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2,721,598</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jc w:val="both"/>
        <w:ind w:left="560" w:hanging="315"/>
        <w:spacing w:after="0" w:line="263" w:lineRule="auto"/>
        <w:tabs>
          <w:tab w:leader="none" w:pos="55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Vail Holdings, Inc. (“VHI”), which is a wholly-owned subsidiary of the Company, along with other certain subsidiaries of VHI, and the Company, as guarantors, Bank of America, N.A., as administrative agent, and certain Lenders are party to the Ninth Amended and Restated Credit Agreement (the “Vail Holdings Credit Agreement”). The Vail Holdings Credit Agreement has a maturity date of April 24, 2029 for both the currently undrawn revolver facility and the term loan facility, which had an outstanding balance of $935.2 million as of January 31, 2025. The term loan is subject to quarterly amortization of principal of approximately $12.3 million, in equal installments, for a total of 5% of principal payable in each year and the final payment of all amounts outstanding, plus accrued and unpaid interest is due upon maturity in April 2029.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bear interest annually at the Secured Overnight Financing Rate (“SOFR”) plus a spread of 1.60% as of January 31, 2025 (5.91% as of January 31, 2025). Interest rate margins may fluctuate based upon the ratio of the Company’s Net Funded Debt to Adjusted EBITDA (as defined in the Vail Holdings Credit Agreement)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(0.30% as of January 31, 2025). The Company was previously party to various interest rate swap agreements which hedged the cash flows associated with the SOFR-based variable interest rate component of $400.0 million in principal amount of its Vail Holdings Credit Agreement at an effective rate of 1.38%. These interest rate swaps expired on September 23,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ind w:left="320"/>
        <w:spacing w:after="0" w:line="266" w:lineRule="auto"/>
        <w:rPr>
          <w:sz w:val="20"/>
          <w:szCs w:val="20"/>
          <w:color w:val="auto"/>
        </w:rPr>
      </w:pPr>
      <w:r>
        <w:rPr>
          <w:rFonts w:ascii="Times New Roman" w:cs="Times New Roman" w:eastAsia="Times New Roman" w:hAnsi="Times New Roman"/>
          <w:sz w:val="17"/>
          <w:szCs w:val="17"/>
          <w:color w:val="auto"/>
        </w:rPr>
        <w:t>On January 27, 2025, VHI entered into the First Amendment to the Vail Holdings Credit Agreement (the “First Amendment”). The First Amendment, among other things, increased the revolving credit facility by $100.0 million to an aggregate principal amount of $600.0 million, and provides for an incremental term loan facility in aggregate principal amount of $450.0 million in the form of delayed draw term loans. The $450.0 million incremental term loan facility is available to be drawn upon at any time at the Company’s option, and any undrawn capacity within the $450.0 million facility will expire on January 27, 2026. While undrawn, any unused portion of the incremental term loan facility incurs a fee equal to 0.30% per annum. Any delayed draw term loan borrowings, upon funding, would be subject to the same interest and principal payment terms and the same maturity date as the outstanding borrowings under the term loan facility. No other material terms of the Vail Holdings Credit Agreement were amended. Proceeds from any borrowings on the incremental term loan facility and the increase in the revolving credit loan facility, both of which are undrawn as of January 31, 2025, are available to be used to refinance the Company’s 0.0% Convertible Notes, as discussed further below.</w:t>
      </w:r>
    </w:p>
    <w:p>
      <w:pPr>
        <w:spacing w:after="0" w:line="199" w:lineRule="exact"/>
        <w:rPr>
          <w:sz w:val="20"/>
          <w:szCs w:val="20"/>
          <w:color w:val="auto"/>
        </w:rPr>
      </w:pPr>
    </w:p>
    <w:p>
      <w:pPr>
        <w:jc w:val="both"/>
        <w:ind w:left="320" w:hanging="315"/>
        <w:spacing w:after="0" w:line="248" w:lineRule="auto"/>
        <w:tabs>
          <w:tab w:leader="none" w:pos="3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$575.0 million in aggregate principal amount of 0.0% Convertible Notes due 2026 (the “0.0% Convertible Notes) under an indenture dated December 18, 2020. As of January 31, 2025, the conversion price of the 0.0% Convertible Notes, adjusted for cash dividends paid since the issuance date, was $360.40. On January 30, 2025, the Company completed separate, privately negotiated repurchases for an aggregate principal amount of $50.0 million of its 0.0% Convertible Notes with a limited number of holders for an aggregate cash repurchase price of approximately $48.0 million, representing a gain on extinguishment of debt of approximately $2.0 million, which the Company recorded within gain (loss) on disposal of fixed assets and other, net on its Consolidated Condensed Statements of Operations during the three and six months ended January 31, 2025. Following the repurchases, approximately $525.0 million aggregate principal amount of the 0.0% Convertible Notes remain outstanding, which is reflected within long-term debt due within one year as of January 31, 2025 given the maturity date of January 1, 2026. Proceeds from any borrowings on the incremental term loan facility and the increase in the revolving credit facility with regard to the First Amendment of the Vail Holdings Credit Agreement, as discussed further above, are undrawn as of January 31, 2025, and are available to be used to refinance the Company’s 0.0% Convertible Notes.</w:t>
      </w:r>
    </w:p>
    <w:p>
      <w:pPr>
        <w:spacing w:after="0" w:line="220" w:lineRule="exact"/>
        <w:rPr>
          <w:rFonts w:ascii="Times New Roman" w:cs="Times New Roman" w:eastAsia="Times New Roman" w:hAnsi="Times New Roman"/>
          <w:sz w:val="18"/>
          <w:szCs w:val="18"/>
          <w:color w:val="auto"/>
        </w:rPr>
      </w:pPr>
    </w:p>
    <w:p>
      <w:pPr>
        <w:jc w:val="both"/>
        <w:ind w:left="320" w:hanging="315"/>
        <w:spacing w:after="0" w:line="267" w:lineRule="auto"/>
        <w:tabs>
          <w:tab w:leader="none" w:pos="31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Whistler Mountain Resort Limited Partnership (“Whistler LP”) and Blackcomb Skiing Enterprises Limited Partnership (“Blackcomb LP” and together with Whistler LP, the “WB Partnerships”) are party to a credit agreement consisting of a C$300.0 million credit facility which was most recently amended on April 14, 2023, by and among Whistler LP, Blackcomb LP, certain subsidiaries of Whistler LP and Blackcomb LP and their general partner party thereto as guarantors, the financial institutions party thereto as lenders and The Toronto-Dominion Bank, as administrative agent. The Whistler Credit Agreement has a maturity date of April 14, 2028 and uses rates based on SOFR with regard to borrowings under the facility made in U.S. dollars. As of January 31, 2025, there were no borrowings under the Whistler Credit Agreement. The Whistler Credit Agreement also includes a quarterly unused commitment fee based on the Consolidated Total Leverage Ratio, which as of January 31, 2025 is equal to 0.39% per annum.</w:t>
      </w:r>
    </w:p>
    <w:p>
      <w:pPr>
        <w:spacing w:after="0" w:line="202" w:lineRule="exact"/>
        <w:rPr>
          <w:rFonts w:ascii="Times New Roman" w:cs="Times New Roman" w:eastAsia="Times New Roman" w:hAnsi="Times New Roman"/>
          <w:sz w:val="17"/>
          <w:szCs w:val="17"/>
          <w:color w:val="auto"/>
        </w:rPr>
      </w:pPr>
    </w:p>
    <w:p>
      <w:pPr>
        <w:jc w:val="both"/>
        <w:ind w:left="320" w:hanging="315"/>
        <w:spacing w:after="0" w:line="260" w:lineRule="auto"/>
        <w:tabs>
          <w:tab w:leader="none" w:pos="3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68" w:lineRule="exact"/>
        <w:rPr>
          <w:rFonts w:ascii="Times New Roman" w:cs="Times New Roman" w:eastAsia="Times New Roman" w:hAnsi="Times New Roman"/>
          <w:sz w:val="18"/>
          <w:szCs w:val="18"/>
          <w:color w:val="auto"/>
        </w:rPr>
      </w:pPr>
    </w:p>
    <w:p>
      <w:pPr>
        <w:ind w:left="960" w:hanging="411"/>
        <w:spacing w:after="0" w:line="276" w:lineRule="auto"/>
        <w:tabs>
          <w:tab w:leader="none" w:pos="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Alpine Valley Secured Note. </w:t>
      </w:r>
      <w:r>
        <w:rPr>
          <w:rFonts w:ascii="Times New Roman" w:cs="Times New Roman" w:eastAsia="Times New Roman" w:hAnsi="Times New Roman"/>
          <w:sz w:val="18"/>
          <w:szCs w:val="18"/>
          <w:color w:val="auto"/>
        </w:rPr>
        <w:t>The $4.6 million Alpine Valley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January 31, 2025, interest on this note accrued at a rate of 12.07%.</w:t>
      </w:r>
    </w:p>
    <w:p>
      <w:pPr>
        <w:spacing w:after="0" w:line="54" w:lineRule="exact"/>
        <w:rPr>
          <w:rFonts w:ascii="Times New Roman" w:cs="Times New Roman" w:eastAsia="Times New Roman" w:hAnsi="Times New Roman"/>
          <w:sz w:val="18"/>
          <w:szCs w:val="18"/>
          <w:color w:val="auto"/>
        </w:rPr>
      </w:pPr>
    </w:p>
    <w:p>
      <w:pPr>
        <w:ind w:left="960" w:hanging="461"/>
        <w:spacing w:after="0" w:line="276" w:lineRule="auto"/>
        <w:tabs>
          <w:tab w:leader="none" w:pos="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Boston Mills/Brandywine Secured Note. </w:t>
      </w:r>
      <w:r>
        <w:rPr>
          <w:rFonts w:ascii="Times New Roman" w:cs="Times New Roman" w:eastAsia="Times New Roman" w:hAnsi="Times New Roman"/>
          <w:sz w:val="18"/>
          <w:szCs w:val="18"/>
          <w:color w:val="auto"/>
        </w:rPr>
        <w:t>The $23.3 million Boston Mills/Brandywine Secured Note provides for interest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its maturity on December 1, 2034. As of January 31, 2025, interest on this note accrued at a rate of 11.58%.</w:t>
      </w:r>
    </w:p>
    <w:p>
      <w:pPr>
        <w:spacing w:after="0" w:line="54" w:lineRule="exact"/>
        <w:rPr>
          <w:rFonts w:ascii="Times New Roman" w:cs="Times New Roman" w:eastAsia="Times New Roman" w:hAnsi="Times New Roman"/>
          <w:sz w:val="18"/>
          <w:szCs w:val="18"/>
          <w:color w:val="auto"/>
        </w:rPr>
      </w:pPr>
    </w:p>
    <w:p>
      <w:pPr>
        <w:ind w:left="960" w:right="20" w:hanging="509"/>
        <w:spacing w:after="0" w:line="276" w:lineRule="auto"/>
        <w:tabs>
          <w:tab w:leader="none" w:pos="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Jack Frost/Big Boulder Secured Note. </w:t>
      </w:r>
      <w:r>
        <w:rPr>
          <w:rFonts w:ascii="Times New Roman" w:cs="Times New Roman" w:eastAsia="Times New Roman" w:hAnsi="Times New Roman"/>
          <w:sz w:val="18"/>
          <w:szCs w:val="18"/>
          <w:color w:val="auto"/>
        </w:rPr>
        <w:t>The $14.3 million Jack Frost/Big Boulder Secured Note provides for interest payments through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on December 1, 2034. As of January 31, 2025, interest on this note accrued at a rate of 11.58%.</w:t>
      </w:r>
    </w:p>
    <w:p>
      <w:pPr>
        <w:spacing w:after="0" w:line="54" w:lineRule="exact"/>
        <w:rPr>
          <w:rFonts w:ascii="Times New Roman" w:cs="Times New Roman" w:eastAsia="Times New Roman" w:hAnsi="Times New Roman"/>
          <w:sz w:val="18"/>
          <w:szCs w:val="18"/>
          <w:color w:val="auto"/>
        </w:rPr>
      </w:pPr>
    </w:p>
    <w:p>
      <w:pPr>
        <w:ind w:left="960" w:hanging="500"/>
        <w:spacing w:after="0" w:line="276" w:lineRule="auto"/>
        <w:tabs>
          <w:tab w:leader="none" w:pos="94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Mount Snow Secured Note. </w:t>
      </w:r>
      <w:r>
        <w:rPr>
          <w:rFonts w:ascii="Times New Roman" w:cs="Times New Roman" w:eastAsia="Times New Roman" w:hAnsi="Times New Roman"/>
          <w:sz w:val="18"/>
          <w:szCs w:val="18"/>
          <w:color w:val="auto"/>
        </w:rPr>
        <w:t>The $51.1 million Mount Snow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January 31, 2025, interest on this note accrued at a rate of 12.50%.</w:t>
      </w:r>
    </w:p>
    <w:p>
      <w:pPr>
        <w:spacing w:after="0" w:line="54" w:lineRule="exact"/>
        <w:rPr>
          <w:rFonts w:ascii="Times New Roman" w:cs="Times New Roman" w:eastAsia="Times New Roman" w:hAnsi="Times New Roman"/>
          <w:sz w:val="18"/>
          <w:szCs w:val="18"/>
          <w:color w:val="auto"/>
        </w:rPr>
      </w:pPr>
    </w:p>
    <w:p>
      <w:pPr>
        <w:ind w:left="960" w:hanging="451"/>
        <w:spacing w:after="0" w:line="276" w:lineRule="auto"/>
        <w:tabs>
          <w:tab w:leader="none" w:pos="9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Hunter Mountain Secured Note. </w:t>
      </w:r>
      <w:r>
        <w:rPr>
          <w:rFonts w:ascii="Times New Roman" w:cs="Times New Roman" w:eastAsia="Times New Roman" w:hAnsi="Times New Roman"/>
          <w:sz w:val="18"/>
          <w:szCs w:val="18"/>
          <w:color w:val="auto"/>
        </w:rPr>
        <w:t>The $21.0 million Hunter Mountain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5, 2036. As of January 31, 2025, interest on this note accrued at a rate of 9.19%.</w:t>
      </w:r>
    </w:p>
    <w:p>
      <w:pPr>
        <w:spacing w:after="0" w:line="200" w:lineRule="exact"/>
        <w:rPr>
          <w:sz w:val="20"/>
          <w:szCs w:val="20"/>
          <w:color w:val="auto"/>
        </w:rPr>
      </w:pPr>
    </w:p>
    <w:p>
      <w:pPr>
        <w:spacing w:after="0" w:line="40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69850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00"/>
          </w:cols>
          <w:pgMar w:left="560" w:top="877" w:right="339" w:bottom="1440" w:gutter="0" w:footer="0" w:header="0"/>
        </w:sectPr>
      </w:pPr>
    </w:p>
    <w:bookmarkStart w:id="14" w:name="page15"/>
    <w:bookmarkEnd w:id="14"/>
    <w:p>
      <w:pPr>
        <w:ind w:left="560"/>
        <w:spacing w:after="0" w:line="274" w:lineRule="auto"/>
        <w:rPr>
          <w:sz w:val="20"/>
          <w:szCs w:val="20"/>
          <w:color w:val="auto"/>
        </w:rPr>
      </w:pPr>
      <w:r>
        <w:rPr>
          <w:rFonts w:ascii="Times New Roman" w:cs="Times New Roman" w:eastAsia="Times New Roman" w:hAnsi="Times New Roman"/>
          <w:sz w:val="18"/>
          <w:szCs w:val="18"/>
          <w:color w:val="auto"/>
        </w:rPr>
        <w:t>In addition, Peak Resorts is required to maintain a debt service reserve account which amounts are applied to fund interest payments and other amounts due and payable to EPR.</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  Current maturities represent principal payments due in the next 12 months.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debt outstanding as of January 31, 2025 reflected by fiscal year (August 1 through July 31) are as follows (in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6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2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(February 2025 through July 2025)</w:t>
            </w:r>
          </w:p>
        </w:tc>
        <w:tc>
          <w:tcPr>
            <w:tcW w:w="37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36,413</w:t>
            </w:r>
          </w:p>
        </w:tc>
      </w:tr>
      <w:tr>
        <w:trPr>
          <w:trHeight w:val="22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588,125</w:t>
            </w:r>
          </w:p>
        </w:tc>
      </w:tr>
      <w:tr>
        <w:trPr>
          <w:trHeight w:val="22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68,334</w:t>
            </w:r>
          </w:p>
        </w:tc>
      </w:tr>
      <w:tr>
        <w:trPr>
          <w:trHeight w:val="22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55,650</w:t>
            </w:r>
          </w:p>
        </w:tc>
      </w:tr>
      <w:tr>
        <w:trPr>
          <w:trHeight w:val="22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769,810</w:t>
            </w:r>
          </w:p>
        </w:tc>
      </w:tr>
      <w:tr>
        <w:trPr>
          <w:trHeight w:val="226"/>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1,190,907</w:t>
            </w:r>
          </w:p>
        </w:tc>
      </w:tr>
      <w:tr>
        <w:trPr>
          <w:trHeight w:val="244"/>
        </w:trPr>
        <w:tc>
          <w:tcPr>
            <w:tcW w:w="62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37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2,709,239</w:t>
            </w:r>
          </w:p>
        </w:tc>
      </w:tr>
      <w:tr>
        <w:trPr>
          <w:trHeight w:val="20"/>
        </w:trPr>
        <w:tc>
          <w:tcPr>
            <w:tcW w:w="622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was in compliance with all of its financial and operating covenants required to be maintained under its debt instruments for all periods presented.</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acquisition of Whistler Blackcomb, VHI funded a portion of the purchase price through an intercompany loan to Whistler Blackcomb,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$1.4 million and $1.6 million of non-cash foreign currency losses on the intercompany loan to Whistler Blackcomb for the three and six months ended January 31, 2025 on the Company’s Consolidated Condensed Statements of Operations. The Company recognized approximately $3.0 million and $(1.9) million of non-cash foreign currency gains (losses) on the intercompany loan to Whistler Blackcomb for the three and six months ended January 31, 2024, respectively, on the Company’s Consolidated Condensed Statements of Operations.</w:t>
      </w:r>
    </w:p>
    <w:p>
      <w:pPr>
        <w:spacing w:after="0" w:line="21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Crans-Montana Mountain Resort</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May 2, 2024, the Company acquired Crans-Montana in Switzerland from CPI Property Group (“CPIPG”). The Company acquired (i) an approximate 84% ownership stake in Romontées Mécaniques Crans Montana Aminona SA (“CMA”), which controls and operates all of the lifts and supporting mountain operations, including four retail and rental locations; (ii) 100% ownership of SportLife AG, which operates one of the ski schools located at the resort; and</w:t>
      </w:r>
    </w:p>
    <w:p>
      <w:pPr>
        <w:spacing w:after="0" w:line="1" w:lineRule="exact"/>
        <w:rPr>
          <w:sz w:val="20"/>
          <w:szCs w:val="20"/>
          <w:color w:val="auto"/>
        </w:rPr>
      </w:pPr>
    </w:p>
    <w:p>
      <w:pPr>
        <w:ind w:firstLine="6"/>
        <w:spacing w:after="0" w:line="252" w:lineRule="auto"/>
        <w:tabs>
          <w:tab w:leader="none" w:pos="3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ownership of 11 restaurants located on and around the mountain. The acquisition was funded with cash on hand. As of May 2, 2024 the total fair value of the consideration paid was $107.2 million (CHF 97.5 million).</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Portions of the Crans-Montana resort operations are conducted on land owned by third parties via numerous registered easements, building rights (which may be subject to federal concessions), or other agreements. The municipality of Crans-Montana, the municipality of Lens and CPIPG collectively retained in total an approximate 16% ownership stake in CMA. The Company entered into a shareholders’ agreement with the municipalities of Crans-Montana and Lens (the “Crans Agreement”) for an initial fixed term until December 31, 2035. Thereafter, the Crans Agreement shall continue to be in effect for successive renewal periods of ten years unless terminated by either the Company or the municipalities acting jointly. The Crans Agreement provides for various terms and conditions in relation to the election and governance of the board of directors, company policies, dividends, financial aspects and related matters. The noncontrolling shares may be traded without restriction.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5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92"/>
        </w:trPr>
        <w:tc>
          <w:tcPr>
            <w:tcW w:w="67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consideration paid by Vail Resorts, Inc.</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107,155</w:t>
            </w:r>
          </w:p>
        </w:tc>
      </w:tr>
      <w:tr>
        <w:trPr>
          <w:trHeight w:val="226"/>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Estimated fair value of noncontrolling interests</w:t>
            </w:r>
          </w:p>
        </w:tc>
        <w:tc>
          <w:tcPr>
            <w:tcW w:w="30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14,084</w:t>
            </w:r>
          </w:p>
        </w:tc>
      </w:tr>
      <w:tr>
        <w:trPr>
          <w:trHeight w:val="244"/>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purchase consideration</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121,239</w:t>
            </w: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Allocation of total estimated purchase consideration:</w:t>
            </w:r>
          </w:p>
        </w:tc>
        <w:tc>
          <w:tcPr>
            <w:tcW w:w="30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w:t>
            </w: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115,609</w:t>
            </w:r>
          </w:p>
        </w:tc>
      </w:tr>
      <w:tr>
        <w:trPr>
          <w:trHeight w:val="22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and other assets</w:t>
            </w:r>
          </w:p>
        </w:tc>
        <w:tc>
          <w:tcPr>
            <w:tcW w:w="30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r>
      <w:tr>
        <w:trPr>
          <w:trHeight w:val="226"/>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(26,067)</w:t>
            </w:r>
          </w:p>
        </w:tc>
      </w:tr>
      <w:tr>
        <w:trPr>
          <w:trHeight w:val="244"/>
        </w:trPr>
        <w:tc>
          <w:tcPr>
            <w:tcW w:w="6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121,239</w:t>
            </w: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 and other factors, and is not expected to be deductible for income tax purposes under Swiss tax law. The operating results of Crans-Montana are reported within the Mountain segment prospectively from the date of acquisition.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in the acquisition of Crans-Montana are preliminary and are based on the information that was available as of the acquisition date.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2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Supplementary Balance Sheet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other current assets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360" w:type="dxa"/>
            <w:vAlign w:val="bottom"/>
          </w:tcPr>
          <w:p>
            <w:pPr>
              <w:spacing w:after="0"/>
              <w:rPr>
                <w:sz w:val="16"/>
                <w:szCs w:val="16"/>
                <w:color w:val="auto"/>
              </w:rPr>
            </w:pPr>
          </w:p>
        </w:tc>
        <w:tc>
          <w:tcPr>
            <w:tcW w:w="14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80" w:type="dxa"/>
            <w:vAlign w:val="bottom"/>
          </w:tcPr>
          <w:p>
            <w:pPr>
              <w:spacing w:after="0"/>
              <w:rPr>
                <w:sz w:val="16"/>
                <w:szCs w:val="16"/>
                <w:color w:val="auto"/>
              </w:rPr>
            </w:pP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37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56,989</w:t>
            </w:r>
          </w:p>
        </w:tc>
        <w:tc>
          <w:tcPr>
            <w:tcW w:w="3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51,519</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51,625</w:t>
            </w:r>
          </w:p>
        </w:tc>
      </w:tr>
      <w:tr>
        <w:trPr>
          <w:trHeight w:val="22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5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27,421</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28,039</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28,579</w:t>
            </w:r>
          </w:p>
        </w:tc>
      </w:tr>
      <w:tr>
        <w:trPr>
          <w:trHeight w:val="244"/>
        </w:trPr>
        <w:tc>
          <w:tcPr>
            <w:tcW w:w="3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5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84,410</w:t>
            </w:r>
          </w:p>
        </w:tc>
        <w:tc>
          <w:tcPr>
            <w:tcW w:w="3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79,558</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80,204</w:t>
            </w:r>
          </w:p>
        </w:tc>
      </w:tr>
      <w:tr>
        <w:trPr>
          <w:trHeight w:val="20"/>
        </w:trPr>
        <w:tc>
          <w:tcPr>
            <w:tcW w:w="376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823"/>
        </w:trPr>
        <w:tc>
          <w:tcPr>
            <w:tcW w:w="3760" w:type="dxa"/>
            <w:vAlign w:val="bottom"/>
          </w:tcPr>
          <w:p>
            <w:pPr>
              <w:spacing w:after="0"/>
              <w:rPr>
                <w:sz w:val="24"/>
                <w:szCs w:val="24"/>
                <w:color w:val="auto"/>
              </w:rPr>
            </w:pPr>
          </w:p>
        </w:tc>
        <w:tc>
          <w:tcPr>
            <w:tcW w:w="254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2"/>
        </w:trPr>
        <w:tc>
          <w:tcPr>
            <w:tcW w:w="376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320" w:type="dxa"/>
            <w:vAlign w:val="bottom"/>
          </w:tcPr>
          <w:p>
            <w:pPr>
              <w:spacing w:after="0"/>
              <w:rPr>
                <w:sz w:val="16"/>
                <w:szCs w:val="16"/>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6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2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793,797</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804,287</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800,460</w:t>
            </w:r>
          </w:p>
        </w:tc>
        <w:tc>
          <w:tcPr>
            <w:tcW w:w="2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0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1,685,468</w:t>
            </w:r>
          </w:p>
        </w:tc>
        <w:tc>
          <w:tcPr>
            <w:tcW w:w="3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1,682,734</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1,649,112</w:t>
            </w:r>
          </w:p>
        </w:tc>
        <w:tc>
          <w:tcPr>
            <w:tcW w:w="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2,036,861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1,984,549</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1,914,253</w:t>
            </w:r>
          </w:p>
        </w:tc>
        <w:tc>
          <w:tcPr>
            <w:tcW w:w="2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340,501</w:t>
            </w:r>
          </w:p>
        </w:tc>
        <w:tc>
          <w:tcPr>
            <w:tcW w:w="3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316,510</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316,269</w:t>
            </w:r>
          </w:p>
        </w:tc>
        <w:tc>
          <w:tcPr>
            <w:tcW w:w="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182,153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161,502</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160,072</w:t>
            </w:r>
          </w:p>
        </w:tc>
        <w:tc>
          <w:tcPr>
            <w:tcW w:w="2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30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94,454</w:t>
            </w:r>
          </w:p>
        </w:tc>
        <w:tc>
          <w:tcPr>
            <w:tcW w:w="3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91,951</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90,303</w:t>
            </w:r>
          </w:p>
        </w:tc>
        <w:tc>
          <w:tcPr>
            <w:tcW w:w="20" w:type="dxa"/>
            <w:vAlign w:val="bottom"/>
          </w:tcPr>
          <w:p>
            <w:pPr>
              <w:spacing w:after="0"/>
              <w:rPr>
                <w:sz w:val="19"/>
                <w:szCs w:val="19"/>
                <w:color w:val="auto"/>
              </w:rPr>
            </w:pPr>
          </w:p>
        </w:tc>
      </w:tr>
      <w:tr>
        <w:trPr>
          <w:trHeight w:val="226"/>
        </w:trPr>
        <w:tc>
          <w:tcPr>
            <w:tcW w:w="20" w:type="dxa"/>
            <w:vAlign w:val="bottom"/>
            <w:tcBorders>
              <w:bottom w:val="single" w:sz="8" w:color="auto"/>
            </w:tcBorders>
            <w:shd w:val="clear" w:color="auto" w:fill="CCEEFF"/>
          </w:tcPr>
          <w:p>
            <w:pPr>
              <w:spacing w:after="0"/>
              <w:rPr>
                <w:sz w:val="19"/>
                <w:szCs w:val="19"/>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105,311</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116,872</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74,884</w:t>
            </w:r>
          </w:p>
        </w:tc>
        <w:tc>
          <w:tcPr>
            <w:tcW w:w="20" w:type="dxa"/>
            <w:vAlign w:val="bottom"/>
            <w:tcBorders>
              <w:bottom w:val="single" w:sz="8" w:color="auto"/>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30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5,238,545</w:t>
            </w:r>
          </w:p>
        </w:tc>
        <w:tc>
          <w:tcPr>
            <w:tcW w:w="3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5,158,405</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5,005,353</w:t>
            </w:r>
          </w:p>
        </w:tc>
        <w:tc>
          <w:tcPr>
            <w:tcW w:w="20" w:type="dxa"/>
            <w:vAlign w:val="bottom"/>
          </w:tcPr>
          <w:p>
            <w:pPr>
              <w:spacing w:after="0"/>
              <w:rPr>
                <w:sz w:val="19"/>
                <w:szCs w:val="19"/>
                <w:color w:val="auto"/>
              </w:rPr>
            </w:pPr>
          </w:p>
        </w:tc>
      </w:tr>
      <w:tr>
        <w:trPr>
          <w:trHeight w:val="226"/>
        </w:trPr>
        <w:tc>
          <w:tcPr>
            <w:tcW w:w="20" w:type="dxa"/>
            <w:vAlign w:val="bottom"/>
            <w:tcBorders>
              <w:bottom w:val="single" w:sz="8" w:color="auto"/>
            </w:tcBorders>
            <w:shd w:val="clear" w:color="auto" w:fill="CCEEFF"/>
          </w:tcPr>
          <w:p>
            <w:pPr>
              <w:spacing w:after="0"/>
              <w:rPr>
                <w:sz w:val="19"/>
                <w:szCs w:val="19"/>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(2,855,927)</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(2,735,770)</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(2,655,929)</w:t>
            </w:r>
          </w:p>
        </w:tc>
        <w:tc>
          <w:tcPr>
            <w:tcW w:w="20" w:type="dxa"/>
            <w:vAlign w:val="bottom"/>
            <w:tcBorders>
              <w:bottom w:val="single" w:sz="8" w:color="auto"/>
            </w:tcBorders>
            <w:shd w:val="clear" w:color="auto" w:fill="CCEEFF"/>
          </w:tcPr>
          <w:p>
            <w:pPr>
              <w:spacing w:after="0"/>
              <w:rPr>
                <w:sz w:val="19"/>
                <w:szCs w:val="19"/>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2,382,618</w:t>
            </w: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2,422,635</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2,349,424</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25"/>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 composition of accounts payable and accrued liabilities follows (in thousands):</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320" w:type="dxa"/>
            <w:vAlign w:val="bottom"/>
          </w:tcPr>
          <w:p>
            <w:pPr>
              <w:spacing w:after="0"/>
              <w:rPr>
                <w:sz w:val="24"/>
                <w:szCs w:val="24"/>
                <w:color w:val="auto"/>
              </w:rPr>
            </w:pPr>
          </w:p>
        </w:tc>
        <w:tc>
          <w:tcPr>
            <w:tcW w:w="14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6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20" w:type="dxa"/>
            <w:vAlign w:val="bottom"/>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9"/>
        </w:trPr>
        <w:tc>
          <w:tcPr>
            <w:tcW w:w="20" w:type="dxa"/>
            <w:vAlign w:val="bottom"/>
          </w:tcPr>
          <w:p>
            <w:pPr>
              <w:spacing w:after="0"/>
              <w:rPr>
                <w:sz w:val="19"/>
                <w:szCs w:val="19"/>
                <w:color w:val="auto"/>
              </w:rPr>
            </w:pPr>
          </w:p>
        </w:tc>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138,188</w:t>
            </w:r>
          </w:p>
        </w:tc>
        <w:tc>
          <w:tcPr>
            <w:tcW w:w="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141,246</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130,796</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688,399</w:t>
            </w:r>
          </w:p>
        </w:tc>
        <w:tc>
          <w:tcPr>
            <w:tcW w:w="32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575,766</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660,281</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deferred compensation</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74,958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43,269</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66,064</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30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64,697</w:t>
            </w:r>
          </w:p>
        </w:tc>
        <w:tc>
          <w:tcPr>
            <w:tcW w:w="32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60,940</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63,314</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69,887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44,500</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90,217</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34,037</w:t>
            </w:r>
          </w:p>
        </w:tc>
        <w:tc>
          <w:tcPr>
            <w:tcW w:w="32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32,611</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122,043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102,466</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92,187</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1,192,209</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1,000,798</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1,141,624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net carrying amount of goodwill by segment for the six months ended January 31, 2025 are as follows (in thousands):</w:t>
      </w:r>
    </w:p>
    <w:p>
      <w:pPr>
        <w:spacing w:after="0" w:line="11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Mountain</w:t>
            </w:r>
          </w:p>
        </w:tc>
        <w:tc>
          <w:tcPr>
            <w:tcW w:w="400" w:type="dxa"/>
            <w:vAlign w:val="bottom"/>
          </w:tcPr>
          <w:p>
            <w:pPr>
              <w:spacing w:after="0"/>
              <w:rPr>
                <w:sz w:val="16"/>
                <w:szCs w:val="16"/>
                <w:color w:val="auto"/>
              </w:rPr>
            </w:pPr>
          </w:p>
        </w:tc>
        <w:tc>
          <w:tcPr>
            <w:tcW w:w="13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Lodging</w:t>
            </w:r>
          </w:p>
        </w:tc>
        <w:tc>
          <w:tcPr>
            <w:tcW w:w="340" w:type="dxa"/>
            <w:vAlign w:val="bottom"/>
          </w:tcPr>
          <w:p>
            <w:pPr>
              <w:spacing w:after="0"/>
              <w:rPr>
                <w:sz w:val="16"/>
                <w:szCs w:val="16"/>
                <w:color w:val="auto"/>
              </w:rPr>
            </w:pPr>
          </w:p>
        </w:tc>
        <w:tc>
          <w:tcPr>
            <w:tcW w:w="13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Goodwill, net</w:t>
            </w:r>
          </w:p>
        </w:tc>
      </w:tr>
      <w:tr>
        <w:trPr>
          <w:trHeight w:val="24"/>
        </w:trPr>
        <w:tc>
          <w:tcPr>
            <w:tcW w:w="4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2024</w:t>
            </w:r>
          </w:p>
        </w:tc>
        <w:tc>
          <w:tcPr>
            <w:tcW w:w="14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1,632,969</w:t>
            </w:r>
          </w:p>
        </w:tc>
        <w:tc>
          <w:tcPr>
            <w:tcW w:w="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45,006</w:t>
            </w:r>
          </w:p>
        </w:tc>
        <w:tc>
          <w:tcPr>
            <w:tcW w:w="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1,677,975</w:t>
            </w:r>
          </w:p>
        </w:tc>
      </w:tr>
      <w:tr>
        <w:trPr>
          <w:trHeight w:val="22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measurement period adjustments</w:t>
            </w:r>
          </w:p>
        </w:tc>
        <w:tc>
          <w:tcPr>
            <w:tcW w:w="1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6"/>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(50,455)</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(50,455)</w:t>
            </w:r>
          </w:p>
        </w:tc>
      </w:tr>
      <w:tr>
        <w:trPr>
          <w:trHeight w:val="219"/>
        </w:trPr>
        <w:tc>
          <w:tcPr>
            <w:tcW w:w="4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Balance at January 31, 2025</w:t>
            </w:r>
          </w:p>
        </w:tc>
        <w:tc>
          <w:tcPr>
            <w:tcW w:w="14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1,581,946</w:t>
            </w:r>
          </w:p>
        </w:tc>
        <w:tc>
          <w:tcPr>
            <w:tcW w:w="4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45,006</w:t>
            </w:r>
          </w:p>
        </w:tc>
        <w:tc>
          <w:tcPr>
            <w:tcW w:w="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1,626,952</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utilizes FASB-issued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to the Company for identical assets or liabilities;</w:t>
      </w:r>
    </w:p>
    <w:p>
      <w:pPr>
        <w:spacing w:after="0" w:line="2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and inactive markets or that are observable for the asset or liability either directly or indirectly; and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spacing w:after="0" w:line="274" w:lineRule="auto"/>
        <w:rPr>
          <w:sz w:val="20"/>
          <w:szCs w:val="20"/>
          <w:color w:val="auto"/>
        </w:rPr>
      </w:pPr>
      <w:r>
        <w:rPr>
          <w:rFonts w:ascii="Times New Roman" w:cs="Times New Roman" w:eastAsia="Times New Roman" w:hAnsi="Times New Roman"/>
          <w:sz w:val="18"/>
          <w:szCs w:val="18"/>
          <w:color w:val="auto"/>
        </w:rPr>
        <w:t>The table below summarizes the Company’s cash equivalents, restricted cash, other current assets, interest rate swaps and Contingent Consideration (defined below) measured at estimated fair value (all other assets and liabilities measured at fair value are immaterial)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20" w:type="dxa"/>
            <w:vAlign w:val="bottom"/>
            <w:gridSpan w:val="6"/>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January 31, 2025</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3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9"/>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135,262</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135,262</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83,338</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83,338</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86,100</w:t>
            </w:r>
          </w:p>
        </w:tc>
        <w:tc>
          <w:tcPr>
            <w:tcW w:w="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86,100</w:t>
            </w:r>
          </w:p>
        </w:tc>
        <w:tc>
          <w:tcPr>
            <w:tcW w:w="0" w:type="dxa"/>
            <w:vAlign w:val="bottom"/>
          </w:tcPr>
          <w:p>
            <w:pPr>
              <w:spacing w:after="0"/>
              <w:rPr>
                <w:sz w:val="1"/>
                <w:szCs w:val="1"/>
                <w:color w:val="auto"/>
              </w:rPr>
            </w:pPr>
          </w:p>
        </w:tc>
      </w:tr>
      <w:tr>
        <w:trPr>
          <w:trHeight w:val="367"/>
        </w:trPr>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gridSpan w:val="6"/>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July 31, 2024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3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9"/>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896</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896</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101,989</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101,989</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2,343</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104,200</w:t>
            </w: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104,200</w:t>
            </w:r>
          </w:p>
        </w:tc>
        <w:tc>
          <w:tcPr>
            <w:tcW w:w="0" w:type="dxa"/>
            <w:vAlign w:val="bottom"/>
          </w:tcPr>
          <w:p>
            <w:pPr>
              <w:spacing w:after="0"/>
              <w:rPr>
                <w:sz w:val="1"/>
                <w:szCs w:val="1"/>
                <w:color w:val="auto"/>
              </w:rPr>
            </w:pPr>
          </w:p>
        </w:tc>
      </w:tr>
      <w:tr>
        <w:trPr>
          <w:trHeight w:val="367"/>
        </w:trPr>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gridSpan w:val="6"/>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January 31, 2024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3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9"/>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102,608</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102,608</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240,450</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240,450</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9,115</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62,700</w:t>
            </w: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62,700</w:t>
            </w:r>
          </w:p>
        </w:tc>
        <w:tc>
          <w:tcPr>
            <w:tcW w:w="0" w:type="dxa"/>
            <w:vAlign w:val="bottom"/>
          </w:tcPr>
          <w:p>
            <w:pPr>
              <w:spacing w:after="0"/>
              <w:rPr>
                <w:sz w:val="1"/>
                <w:szCs w:val="1"/>
                <w:color w:val="auto"/>
              </w:rPr>
            </w:pPr>
          </w:p>
        </w:tc>
      </w:tr>
    </w:tbl>
    <w:p>
      <w:pPr>
        <w:spacing w:after="0" w:line="3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cash equivalents, restricted cash, other current assets and interest rate swaps are measured utilizing quoted market prices or pricing models whereby all significant inputs are either observable or corroborated by observable market data. The interest rate swaps expired on September 23, 2024 and therefore had no estimated fair value as of January 31, 2025. The estimated fair value of the interest rate swaps was included within other current assets on the Company’s Consolidated Balance Sheet as of July 31, 2024 and Consolidated Condensed Balance Sheet as of January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Contingent Consideration during the six months ended January 31, 2025 and 2024 were as follows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2024 and 2023, respectively</w:t>
            </w:r>
          </w:p>
        </w:tc>
        <w:tc>
          <w:tcPr>
            <w:tcW w:w="252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104,200</w:t>
            </w:r>
          </w:p>
        </w:tc>
        <w:tc>
          <w:tcPr>
            <w:tcW w:w="62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73,300</w:t>
            </w:r>
          </w:p>
        </w:tc>
      </w:tr>
      <w:tr>
        <w:trPr>
          <w:trHeight w:val="226"/>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2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(20,279)</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w:t>
            </w:r>
          </w:p>
        </w:tc>
      </w:tr>
      <w:tr>
        <w:trPr>
          <w:trHeight w:val="226"/>
        </w:trPr>
        <w:tc>
          <w:tcPr>
            <w:tcW w:w="5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2,179</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r>
      <w:tr>
        <w:trPr>
          <w:trHeight w:val="219"/>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January 31, 2025 and 2024, respectively</w:t>
            </w:r>
          </w:p>
        </w:tc>
        <w:tc>
          <w:tcPr>
            <w:tcW w:w="25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86,100</w:t>
            </w:r>
          </w:p>
        </w:tc>
        <w:tc>
          <w:tcPr>
            <w:tcW w:w="6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62,700</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lease for Park City provides for participating contingent payments (the “Contingent Consideration”) to the landlord of 42% of the amount by which EBITDA for the Park City resort operations, as calculated under the lease, exceeds inflation linked threshold and an adjustment equal to 10% of any capital improvements or investments made under the lease by the Company. Contingent Consideration is classified as a liability, which is remeasured to fair value at each reporting date until the contingency is resolved.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estimated the fair value of the Contingent Consideration payments using an option pricing valuation model. The estimated fair value of Contingent Consideration includes future period resort operations of Park City in the calculation of EBITDA on which participating contingent payments are made, which is determined on the basis of estimated subsequent year performance, escalated by an assumed annual growth factor and discounted to present value. Other significant assumptions included a discount rate of 11.1%, and volatility of 14.5%, which together with future period Park City EBITDA, are all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of the resort would result in a change in the estimated fair value within the range of approximately $14.1 million to $19.6 million.</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six months ended January 31, 2025, the Company made a payment to the landlord for Contingent Consideration of approximately $20.3 million and recorded an increase in the liability of approximately $2.2 million, primarily related to the estimated Contingent Consideration payment for the fiscal year ending July 31, 2025, which includes the impact of an increase in expected capital expenditures at Park City during the years ending July 31, 2025 and 2026. These changes resulted in an estimated fair value of the Contingent Consideration of approximately $86.1 million, which is reflected in other long-term liabilities in the Company’s Consolidated Condensed Balance Sheet.</w:t>
      </w:r>
    </w:p>
    <w:p>
      <w:pPr>
        <w:spacing w:after="0" w:line="2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Guarantees/Indemnifications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January 31, 2025, the Company had various letters of credit outstanding totaling $95.4 million, consisting of $53.4 million to support the Employee Housing Bonds; $6.4 million to support bonds issued by Holland Creek Metropolitan District; and $35.6 million of other standby letters of credit primarily related to insurance-related deductibles, a wind energy purchase agreement, and workers’ compensation. The Company also had surety bonds of $9.5 million as of January 31, 2025, primarily to provide collateral for its U.S. workers compensation self-insurance programs.</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Self-Insurance</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1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business. The Company will assess the probability of an unfavorable outcome of any material litigation, claims or assessments to determine whether a liability had been incurred and whether it is probable that one or more future events will occur confirming the fact of the loss. In the event that an unfavorable outcome is determined to be probable and the amount of the loss can be reasonably estimated, the Company will establish an accrual for the litigation, claim or assessment. In addition, in the event an unfavorable outcome is determined to be less than probable, but reasonably possible, the Company will disclose an estimate of the possible loss or range of such loss; however, when a reasonable estimate cannot be made, the Company will provide disclosure to that effect. Litigation is inherently uncertain and may result in adverse rulings or decisions. Additionally, the Company may enter into settlements or be subject to judgments that may, individually or in the aggregate, have a material adverse effect on its results of operations. Accordingly, actual results could differ materially. Management believes the Company has adequate insurance coverage and/or has accrued for all loss contingencies for asserted and unasserted matters deemed to be probable and estimable losses. As of January 31, 2025, July 31, 2024 and January 31, 2024, the accruals for the above loss contingencies were not material individually or in the aggregate.</w:t>
      </w:r>
    </w:p>
    <w:p>
      <w:pPr>
        <w:spacing w:after="0" w:line="21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accompanying Consolidated Condensed Financial Statements as indicators of financial performance or liquidity.</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line="274" w:lineRule="auto"/>
        <w:rPr>
          <w:sz w:val="20"/>
          <w:szCs w:val="20"/>
          <w:color w:val="auto"/>
        </w:rPr>
      </w:pPr>
      <w:r>
        <w:rPr>
          <w:rFonts w:ascii="Times New Roman" w:cs="Times New Roman" w:eastAsia="Times New Roman" w:hAnsi="Times New Roman"/>
          <w:sz w:val="18"/>
          <w:szCs w:val="18"/>
          <w:color w:val="auto"/>
        </w:rPr>
        <w:t>The following table presents financial information by reportable segment, which is used by management in evaluating performance and allocating resources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00" w:type="dxa"/>
            <w:vAlign w:val="bottom"/>
          </w:tcPr>
          <w:p>
            <w:pPr>
              <w:spacing w:after="0"/>
              <w:rPr>
                <w:sz w:val="16"/>
                <w:szCs w:val="16"/>
                <w:color w:val="auto"/>
              </w:rPr>
            </w:pPr>
          </w:p>
        </w:tc>
        <w:tc>
          <w:tcPr>
            <w:tcW w:w="2580" w:type="dxa"/>
            <w:vAlign w:val="bottom"/>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4"/>
        </w:trPr>
        <w:tc>
          <w:tcPr>
            <w:tcW w:w="5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Mountain</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1,063,094</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999,981</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1,236,390</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1,172,436</w:t>
            </w:r>
          </w:p>
        </w:tc>
      </w:tr>
      <w:tr>
        <w:trPr>
          <w:trHeight w:val="226"/>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73,960</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77,817</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160,876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159,638</w:t>
            </w: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2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1,137,054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1,397,266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1,332,074</w:t>
            </w:r>
          </w:p>
        </w:tc>
      </w:tr>
      <w:tr>
        <w:trPr>
          <w:trHeight w:val="226"/>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r>
      <w:tr>
        <w:trPr>
          <w:trHeight w:val="21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1,137,225</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1,077,958</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1,397,500</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1,336,523</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606,223</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579,062</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925,732</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891,901</w:t>
            </w:r>
          </w:p>
        </w:tc>
      </w:tr>
      <w:tr>
        <w:trPr>
          <w:trHeight w:val="226"/>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71,913</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73,111</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154,472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155,168</w:t>
            </w: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operating expense</w:t>
            </w:r>
          </w:p>
        </w:tc>
        <w:tc>
          <w:tcPr>
            <w:tcW w:w="2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678,136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1,080,204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1,047,069</w:t>
            </w:r>
          </w:p>
        </w:tc>
      </w:tr>
      <w:tr>
        <w:trPr>
          <w:trHeight w:val="226"/>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1,758</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3,249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r>
      <w:tr>
        <w:trPr>
          <w:trHeight w:val="192"/>
        </w:trPr>
        <w:tc>
          <w:tcPr>
            <w:tcW w:w="5400" w:type="dxa"/>
            <w:vAlign w:val="bottom"/>
            <w:tcBorders>
              <w:bottom w:val="single" w:sz="8" w:color="auto"/>
            </w:tcBorders>
          </w:tcPr>
          <w:p>
            <w:pPr>
              <w:ind w:left="20"/>
              <w:spacing w:after="0" w:line="192" w:lineRule="exact"/>
              <w:rPr>
                <w:sz w:val="20"/>
                <w:szCs w:val="20"/>
                <w:color w:val="auto"/>
              </w:rPr>
            </w:pPr>
            <w:r>
              <w:rPr>
                <w:rFonts w:ascii="Times New Roman" w:cs="Times New Roman" w:eastAsia="Times New Roman" w:hAnsi="Times New Roman"/>
                <w:sz w:val="18"/>
                <w:szCs w:val="18"/>
                <w:color w:val="auto"/>
              </w:rPr>
              <w:t>Total segment operating expense</w:t>
            </w:r>
          </w:p>
        </w:tc>
        <w:tc>
          <w:tcPr>
            <w:tcW w:w="260" w:type="dxa"/>
            <w:vAlign w:val="bottom"/>
            <w:tcBorders>
              <w:bottom w:val="single" w:sz="8" w:color="auto"/>
            </w:tcBorders>
          </w:tcPr>
          <w:p>
            <w:pPr>
              <w:jc w:val="right"/>
              <w:ind w:right="7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
              <w:spacing w:after="0" w:line="192" w:lineRule="exact"/>
              <w:rPr>
                <w:sz w:val="20"/>
                <w:szCs w:val="20"/>
                <w:color w:val="auto"/>
              </w:rPr>
            </w:pPr>
            <w:r>
              <w:rPr>
                <w:rFonts w:ascii="Times New Roman" w:cs="Times New Roman" w:eastAsia="Times New Roman" w:hAnsi="Times New Roman"/>
                <w:sz w:val="18"/>
                <w:szCs w:val="18"/>
                <w:color w:val="auto"/>
              </w:rPr>
              <w:t>679,894</w:t>
            </w:r>
          </w:p>
        </w:tc>
        <w:tc>
          <w:tcPr>
            <w:tcW w:w="380" w:type="dxa"/>
            <w:vAlign w:val="bottom"/>
            <w:tcBorders>
              <w:bottom w:val="single" w:sz="8" w:color="auto"/>
            </w:tcBorders>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653,849</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1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3"/>
              <w:spacing w:after="0" w:line="192" w:lineRule="exact"/>
              <w:rPr>
                <w:sz w:val="20"/>
                <w:szCs w:val="20"/>
                <w:color w:val="auto"/>
              </w:rPr>
            </w:pPr>
            <w:r>
              <w:rPr>
                <w:rFonts w:ascii="Times New Roman" w:cs="Times New Roman" w:eastAsia="Times New Roman" w:hAnsi="Times New Roman"/>
                <w:sz w:val="18"/>
                <w:szCs w:val="18"/>
                <w:color w:val="auto"/>
              </w:rPr>
              <w:t>1,083,453</w:t>
            </w:r>
          </w:p>
        </w:tc>
        <w:tc>
          <w:tcPr>
            <w:tcW w:w="380" w:type="dxa"/>
            <w:vAlign w:val="bottom"/>
            <w:tcBorders>
              <w:bottom w:val="single" w:sz="8" w:color="auto"/>
            </w:tcBorders>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1,053,926</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16,506</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r>
      <w:tr>
        <w:trPr>
          <w:trHeight w:val="22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(loss), net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745</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2,896</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EBITDA:</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457,616</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420,340</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313,554</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280,815</w:t>
            </w:r>
          </w:p>
        </w:tc>
      </w:tr>
      <w:tr>
        <w:trPr>
          <w:trHeight w:val="226"/>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6,404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Resort</w:t>
            </w:r>
          </w:p>
        </w:tc>
        <w:tc>
          <w:tcPr>
            <w:tcW w:w="2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459,663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319,958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285,285</w:t>
            </w:r>
          </w:p>
        </w:tc>
      </w:tr>
      <w:tr>
        <w:trPr>
          <w:trHeight w:val="226"/>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13,491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r>
      <w:tr>
        <w:trPr>
          <w:trHeight w:val="192"/>
        </w:trPr>
        <w:tc>
          <w:tcPr>
            <w:tcW w:w="5400" w:type="dxa"/>
            <w:vAlign w:val="bottom"/>
            <w:tcBorders>
              <w:bottom w:val="single" w:sz="8" w:color="auto"/>
            </w:tcBorders>
          </w:tcPr>
          <w:p>
            <w:pPr>
              <w:ind w:left="20"/>
              <w:spacing w:after="0" w:line="192" w:lineRule="exact"/>
              <w:rPr>
                <w:sz w:val="20"/>
                <w:szCs w:val="20"/>
                <w:color w:val="auto"/>
              </w:rPr>
            </w:pPr>
            <w:r>
              <w:rPr>
                <w:rFonts w:ascii="Times New Roman" w:cs="Times New Roman" w:eastAsia="Times New Roman" w:hAnsi="Times New Roman"/>
                <w:sz w:val="18"/>
                <w:szCs w:val="18"/>
                <w:color w:val="auto"/>
              </w:rPr>
              <w:t>Total Reported EBITDA</w:t>
            </w:r>
          </w:p>
        </w:tc>
        <w:tc>
          <w:tcPr>
            <w:tcW w:w="260" w:type="dxa"/>
            <w:vAlign w:val="bottom"/>
            <w:tcBorders>
              <w:bottom w:val="single" w:sz="8" w:color="auto"/>
            </w:tcBorders>
          </w:tcPr>
          <w:p>
            <w:pPr>
              <w:jc w:val="right"/>
              <w:ind w:right="7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
              <w:spacing w:after="0" w:line="192" w:lineRule="exact"/>
              <w:rPr>
                <w:sz w:val="20"/>
                <w:szCs w:val="20"/>
                <w:color w:val="auto"/>
              </w:rPr>
            </w:pPr>
            <w:r>
              <w:rPr>
                <w:rFonts w:ascii="Times New Roman" w:cs="Times New Roman" w:eastAsia="Times New Roman" w:hAnsi="Times New Roman"/>
                <w:sz w:val="18"/>
                <w:szCs w:val="18"/>
                <w:color w:val="auto"/>
              </w:rPr>
              <w:t>458,076</w:t>
            </w:r>
          </w:p>
        </w:tc>
        <w:tc>
          <w:tcPr>
            <w:tcW w:w="380" w:type="dxa"/>
            <w:vAlign w:val="bottom"/>
            <w:tcBorders>
              <w:bottom w:val="single" w:sz="8" w:color="auto"/>
            </w:tcBorders>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423,530</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1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3"/>
              <w:spacing w:after="0" w:line="192" w:lineRule="exact"/>
              <w:rPr>
                <w:sz w:val="20"/>
                <w:szCs w:val="20"/>
                <w:color w:val="auto"/>
              </w:rPr>
            </w:pPr>
            <w:r>
              <w:rPr>
                <w:rFonts w:ascii="Times New Roman" w:cs="Times New Roman" w:eastAsia="Times New Roman" w:hAnsi="Times New Roman"/>
                <w:sz w:val="18"/>
                <w:szCs w:val="18"/>
                <w:color w:val="auto"/>
              </w:rPr>
              <w:t>333,449</w:t>
            </w:r>
          </w:p>
        </w:tc>
        <w:tc>
          <w:tcPr>
            <w:tcW w:w="380" w:type="dxa"/>
            <w:vAlign w:val="bottom"/>
            <w:tcBorders>
              <w:bottom w:val="single" w:sz="8" w:color="auto"/>
            </w:tcBorders>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289,162</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90,799</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90,799</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86,737</w:t>
            </w:r>
          </w:p>
        </w:tc>
      </w:tr>
      <w:tr>
        <w:trPr>
          <w:trHeight w:val="172"/>
        </w:trPr>
        <w:tc>
          <w:tcPr>
            <w:tcW w:w="54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Reconciliation from net income attributable to Vail Resorts, Inc. to Total</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EBITDA:</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245,548</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72,712</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43,787</w:t>
            </w:r>
          </w:p>
        </w:tc>
      </w:tr>
      <w:tr>
        <w:trPr>
          <w:trHeight w:val="22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12,551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3,843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r>
      <w:tr>
        <w:trPr>
          <w:trHeight w:val="21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258,099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76,555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46,758</w:t>
            </w:r>
          </w:p>
        </w:tc>
      </w:tr>
      <w:tr>
        <w:trPr>
          <w:trHeight w:val="22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86,331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87,486</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28,082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22,326</w:t>
            </w:r>
          </w:p>
        </w:tc>
      </w:tr>
      <w:tr>
        <w:trPr>
          <w:trHeight w:val="21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344,430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104,637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69,084</w:t>
            </w:r>
          </w:p>
        </w:tc>
      </w:tr>
      <w:tr>
        <w:trPr>
          <w:trHeight w:val="22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73,107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144,740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136,127</w:t>
            </w:r>
          </w:p>
        </w:tc>
      </w:tr>
      <w:tr>
        <w:trPr>
          <w:trHeight w:val="22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2,179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r>
      <w:tr>
        <w:trPr>
          <w:trHeight w:val="22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 of fixed assets and other,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1,236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r>
      <w:tr>
        <w:trPr>
          <w:trHeight w:val="22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r>
      <w:tr>
        <w:trPr>
          <w:trHeight w:val="22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 on intercompany loans</w:t>
            </w:r>
          </w:p>
        </w:tc>
        <w:tc>
          <w:tcPr>
            <w:tcW w:w="2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1,649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r>
      <w:tr>
        <w:trPr>
          <w:trHeight w:val="226"/>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42,368</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40,585</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84,522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81,315</w:t>
            </w:r>
          </w:p>
        </w:tc>
      </w:tr>
      <w:tr>
        <w:trPr>
          <w:trHeight w:val="219"/>
        </w:trPr>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458,076</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423,530</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333,449</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289,162</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ind w:left="440" w:hanging="434"/>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Vail Shares. On July 16, 2008, December 4, 2015, March 7, 2023, and September 25, 2024, the Company’s Board of Directors increased the authorization by an additional 3,000,000, 1,500,000, 2,500,000, and 1,100,000 Vail Shares, respectively, for a total authorization to repurchase up to 11,100,000 Vail Shares. During the three months ended January 31, 2025, the Company repurchased 102,268 Vail Shares (at a total cost of $20.0 million excluding accrued excise tax). The Company did not repurchase any Vail Shares during the three months ended January 31, 2024. During the six months ended January 31, 2025 and 2024, the Company repurchased 217,068 and 237,056 Vail Shares, respectively (at a total cost of $40.0 million and $50.0 million, respectively, excluding accrued excise tax). Since inception of this stock repurchase program through January 31, 2025, the Company has repurchased 9,586,748 Vail Shares at a cost of approximately $1,169.4 million. As of January 31, 2025, 1,513,252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Vail Resorts, Inc., together with its subsidiaries, is referred to throughout this Quarterly Report on Form 10-Q for the period ended January 31, 2025 (“Form 10-Q”) as “we,” “us,” “our” or the “Company.”</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our Annual Report on Form 10-K for the fiscal year ended July 31, 2024 (“Form 10-K”) and the Consolidated Condensed Financial Statements as of January 31, 2025 and 2024 and for the three and six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26, 2024.</w:t>
      </w:r>
    </w:p>
    <w:p>
      <w:pPr>
        <w:spacing w:after="0" w:line="2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income attributable to Vail Resorts, Inc. to Total Reported EBITDA and Resort Reported EBITDA, and long-term debt, net to Net Debt.</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income,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operations are grouped into three integrated and interdependent segments: Mountain, Lodging and Real Estate. We refer to “Resort” as the combination of the Mountain and Lodging segments.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 (collectively,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5761990" cy="2535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1990" cy="2535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Resorts typically experience their peak operating season for the Mountain segment from mid-December through mid-April, and our Australian ski areas typically experience their peak operating season from June to early October. Consequently, our first and fourth fiscal quarters are seasonally low periods as most of our North American and European ski operations are generally not open for business, and the activity of our Australian ski areas’ peak season and our North American and European summer operating results are not sufficient to offset the losses incurred during these seasonally low periods. Revenue of the Mountain segment during the first and fourth fiscal quarters is primarily generated from summer and group related visitation at our North American and European destination mountain resorts, retail/rental operations and peak season Australian ski operations. Our largest source of Mountain segment revenue is the sale of lift tickets (including pass products), which represented approximately 61% and 60% of Mountain segment net revenue for the three months ended January 31, 2025 and 2024, respectively.</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Lift revenue is driven by volume and pricing. Pricing is impacted by absolute pricing, as well as both the demographic and geographic mix of guests, which impacts the price points at which various products are purchased. The demographic mix of guests that visit our North American Resorts is divided into two primary categories: (i) out-of-state and international (“Destination”) guests and (ii) in-state and local (“Local”) guests. The geographic mix depends on levels of visitation to our destination mountain resorts versus our regional ski areas. For the three months ended January 31, 2025, Destination guests comprised approximately 52% of our North American destination mountain resort skier visits (excluding complimentary access), while Local guests comprised approximately 48% of our North American destination mountain resort skier visits (excluding complimentary access), which compares to 55% and 45%, respectively, for the three months ended January 31, 2024. Skier visitation at our regional ski areas is largely comprised of Local guests. Destination guests generally purchase our higher-priced lift tickets (including pass products) and utilize more ancillary services such as ski school, dining and retail/rental, as well as lodging at or around our mountain resorts. Additionally, Destination guest visitation is less likely to be impacted by changes in the weather during the current season, but may be more impacted by adverse economic conditions, the global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3" w:name="page24"/>
    <w:bookmarkEnd w:id="23"/>
    <w:p>
      <w:pPr>
        <w:jc w:val="both"/>
        <w:spacing w:after="0" w:line="274" w:lineRule="auto"/>
        <w:rPr>
          <w:sz w:val="20"/>
          <w:szCs w:val="20"/>
          <w:color w:val="auto"/>
        </w:rPr>
      </w:pPr>
      <w:r>
        <w:rPr>
          <w:rFonts w:ascii="Times New Roman" w:cs="Times New Roman" w:eastAsia="Times New Roman" w:hAnsi="Times New Roman"/>
          <w:sz w:val="18"/>
          <w:szCs w:val="18"/>
          <w:color w:val="auto"/>
        </w:rPr>
        <w:t>geopolitical climate, travel disruptions or weather conditions in the immediately preceding ski season. Local guests tend to be more value-oriented and weather-sensitive.</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expect to ski a certain number of days during the season, and which is available in three tiers of resort access offerings. Our pass products provide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enter into strategic long-term pass alliance agreements with third-party mountain resorts, which further increase the value proposition of our pass products. For the 2025/2026 ski season, our pass alliances include Telluride Ski Resort in Colorado, Hakuba Valley and Rusutsu Resort in Japan, Resorts of the Canadian Rockies in Canada, Les 3 Vallées in France, Disentis Ski Area and Verbier 4 Vallées in Switzerland, Skirama Dolomiti in Italy and Ski Arlberg in Austria.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Condensed Statements of Operations throughout the ski season on a straight-line basis using the number of skiable days of the season-to-date period relative to the total estimated number of skiable days of the season.</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Lift revenue consists of pass product lift revenue (“pass revenue”) and non-pass product lift revenue (“non-pass revenue”). For the three months ended January 31, 2025 and 2024, approximately 72% and 74%, respectively, of our total lift revenue recognized was derived from pass revenue. Pass revenue recognized year to date, which is primarily recognized in our second fiscal quarter, represents approximately 49% and 50%, of our total North American pass product revenue for the 2024/2025 and 2023/2024 North American ski seasons, respectively, with the remaining North American pass revenue almost entirely recognized as lift revenue in our third fiscal quarter ending April 30.</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performance of our lodging properties (including managed condominium rooms) proximate to our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94% of Lodging segment net revenue (excluding Lodging segment revenue associated with the reimbursement of payroll costs) for both the three months ended January 31, 2025 and 2024.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concessioner properties (as their peak operating season generally occurs during the months of June to October), as well as golf operations and seasonally low operations from our other owned and managed properties and businesses.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91" w:lineRule="exact"/>
        <w:rPr>
          <w:sz w:val="20"/>
          <w:szCs w:val="20"/>
          <w:color w:val="auto"/>
        </w:rPr>
      </w:pPr>
    </w:p>
    <w:p>
      <w:pPr>
        <w:jc w:val="both"/>
        <w:ind w:left="640" w:hanging="316"/>
        <w:spacing w:after="0" w:line="249"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for the three months ended January 31, 2025 reflect the stability provided by our season pass program, our investments in the guest experience, and the strong execution of our teams across all of our mountain resorts. Second quarter visitation at our North American resorts was slightly above prior year levels with the benefit of improved conditions, partially offset by the expected continued industry demand normalization and the shift in destination guest visitation to the spring. Destination guest visitation at our western North American mountain resorts was below prior year levels, which we believe was driven by the continued shift in historical visitation patterns across the ski industry to later in the ski season, which increased after challenging early season conditions in the prior year. Local guest visitation was in line with expectations as conditions across our North American resorts improved from the prior year and returned to more typical conditions. Ancillary spend per destination guest visit was strong across our ski school and dining businesses throughout the quarter, while overall revenue in our ancillary businesses was impacted by the lower mix of destination visitation.</w:t>
      </w:r>
    </w:p>
    <w:p>
      <w:pPr>
        <w:spacing w:after="0" w:line="216" w:lineRule="exact"/>
        <w:rPr>
          <w:rFonts w:ascii="Times New Roman" w:cs="Times New Roman" w:eastAsia="Times New Roman" w:hAnsi="Times New Roman"/>
          <w:sz w:val="18"/>
          <w:szCs w:val="18"/>
          <w:color w:val="auto"/>
        </w:rPr>
      </w:pPr>
    </w:p>
    <w:p>
      <w:pPr>
        <w:jc w:val="both"/>
        <w:ind w:left="640" w:hanging="316"/>
        <w:spacing w:after="0" w:line="250"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Pass revenue increased approximately $14.2 million, or 3.2%, for the three months ended January 31, 2025 compared to the same period in the prior year, primarily due to increased pass product sales for the 2024/2025 North American ski season compared to the 2023/2024 North American ski season. Deferred revenue related to North American pass product sales was approximately $474.7 million as of January 31, 2025 (compared to approximately $457.0 million as of January 31, 2024).</w:t>
      </w:r>
    </w:p>
    <w:p>
      <w:pPr>
        <w:spacing w:after="0" w:line="215"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economies in the countries in which we operate and from which we attract our guests may be impacted by economic challenges associated with elevated inflation, prolonged elevated interest rates, geopolitical conflicts, political uncertainty and financial institution disruptions and/or fluctuating commodity prices that could adversely impact our business, including decreased guest spending or visitation or increased costs of operations. Skiing, travel and tourism are discretionary recreational activities that can entail a relatively high cost of participation. As a result, economic downturns and other negative impacts to consumer discretionary spending may have a pronounced impact on visitation to our Resorts. We cannot predict the extent to which we may be impacted by such potential economic challenges, whether in North America or globally.</w:t>
      </w:r>
    </w:p>
    <w:p>
      <w:pPr>
        <w:spacing w:after="0" w:line="213" w:lineRule="exact"/>
        <w:rPr>
          <w:rFonts w:ascii="Times New Roman" w:cs="Times New Roman" w:eastAsia="Times New Roman" w:hAnsi="Times New Roman"/>
          <w:sz w:val="18"/>
          <w:szCs w:val="18"/>
          <w:color w:val="auto"/>
        </w:rPr>
      </w:pPr>
    </w:p>
    <w:p>
      <w:pPr>
        <w:jc w:val="both"/>
        <w:ind w:left="640" w:hanging="316"/>
        <w:spacing w:after="0" w:line="272" w:lineRule="auto"/>
        <w:tabs>
          <w:tab w:leader="none" w:pos="6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31, 2025, we had $488.2 million of cash and cash equivalents, as well as $508.5 million available under the revolver component of our Ninth Amended and Restated Credit Agreement, dated as of April 24, 2024 and most recently amended on January 27, 2025 (the “Vail Holdings</w:t>
      </w:r>
    </w:p>
    <w:p>
      <w:pPr>
        <w:spacing w:after="0" w:line="1" w:lineRule="exact"/>
        <w:rPr>
          <w:sz w:val="20"/>
          <w:szCs w:val="20"/>
          <w:color w:val="auto"/>
        </w:rPr>
      </w:pPr>
    </w:p>
    <w:p>
      <w:pPr>
        <w:jc w:val="both"/>
        <w:ind w:left="640"/>
        <w:spacing w:after="0" w:line="246" w:lineRule="auto"/>
        <w:rPr>
          <w:sz w:val="20"/>
          <w:szCs w:val="20"/>
          <w:color w:val="auto"/>
        </w:rPr>
      </w:pPr>
      <w:r>
        <w:rPr>
          <w:rFonts w:ascii="Times New Roman" w:cs="Times New Roman" w:eastAsia="Times New Roman" w:hAnsi="Times New Roman"/>
          <w:sz w:val="18"/>
          <w:szCs w:val="18"/>
          <w:color w:val="auto"/>
        </w:rPr>
        <w:t>Credit Agreement”), which represents the total commitment of $600.0 million less certain letters of credit outstanding of $91.5 million. We also have $450.0 million available under a delayed draw term loan of the Vail Holdings Credit Agreement, which will remain available to draw on at any time until January 27, 2026. Additionally, we have a credit facility which supports the liquidity needs of Whistler Blackcomb (the “Whistler Credit Agreement”). As of January 31, 2025, we had C$296.6 million ($204.1 million) available under the revolver component of the Whistler Credit Agreement, which represents the total commitment of C$300.0 million ($206.4 million) less letters of credit outstanding of C$3.4 million ($2.3 million). 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Shown below is a summary of operating results for the three and six months ended January 31, 2025, compared to the three and six months ended January 31,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00" w:type="dxa"/>
            <w:vAlign w:val="bottom"/>
          </w:tcPr>
          <w:p>
            <w:pPr>
              <w:spacing w:after="0"/>
              <w:rPr>
                <w:sz w:val="16"/>
                <w:szCs w:val="16"/>
                <w:color w:val="auto"/>
              </w:rPr>
            </w:pPr>
          </w:p>
        </w:tc>
        <w:tc>
          <w:tcPr>
            <w:tcW w:w="2580" w:type="dxa"/>
            <w:vAlign w:val="bottom"/>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4"/>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245,548</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72,712</w:t>
            </w:r>
          </w:p>
        </w:tc>
        <w:tc>
          <w:tcPr>
            <w:tcW w:w="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43,787</w:t>
            </w:r>
          </w:p>
        </w:tc>
      </w:tr>
      <w:tr>
        <w:trPr>
          <w:trHeight w:val="22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344,430</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317,291</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104,637</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69,084</w:t>
            </w:r>
          </w:p>
        </w:tc>
      </w:tr>
      <w:tr>
        <w:trPr>
          <w:trHeight w:val="22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457,616</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313,554</w:t>
            </w:r>
          </w:p>
        </w:tc>
        <w:tc>
          <w:tcPr>
            <w:tcW w:w="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280,815</w:t>
            </w:r>
          </w:p>
        </w:tc>
      </w:tr>
      <w:tr>
        <w:trPr>
          <w:trHeight w:val="22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2,047</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6,404</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1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459,663</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319,958</w:t>
            </w:r>
          </w:p>
        </w:tc>
        <w:tc>
          <w:tcPr>
            <w:tcW w:w="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285,285</w:t>
            </w:r>
          </w:p>
        </w:tc>
      </w:tr>
      <w:tr>
        <w:trPr>
          <w:trHeight w:val="22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13,491</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r>
    </w:tbl>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discussion of segment results, including reconciliations of net income attributable to Vail Resorts, Inc. to Total Reported EBITDA, and other items can be found below. The consolidated results of operations, including any consolidated financial metrics pertaining thereto, include the operations of Crans-Montana (acquired May 2, 2024) prospectively from the date of acquisition.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31, 2025 compared to the three months ended January 31, 2024</w:t>
      </w:r>
    </w:p>
    <w:p>
      <w:pPr>
        <w:spacing w:after="0" w:line="1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Mountain segment operating results for the three months ended January 31, 2025 and 2024 are presented by category as follows (in thousands, except effective ticket price (“ETP”)). ETP is calculated as lift revenue divided by total skier visits for each applicable period presented.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80" w:type="dxa"/>
            <w:vAlign w:val="bottom"/>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188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66"/>
        </w:trPr>
        <w:tc>
          <w:tcPr>
            <w:tcW w:w="60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14"/>
              <w:spacing w:after="0" w:line="121"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35"/>
        </w:trPr>
        <w:tc>
          <w:tcPr>
            <w:tcW w:w="6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vMerge w:val="restart"/>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3"/>
                <w:szCs w:val="3"/>
                <w:color w:val="auto"/>
              </w:rPr>
            </w:pPr>
          </w:p>
        </w:tc>
        <w:tc>
          <w:tcPr>
            <w:tcW w:w="124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8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4"/>
        </w:trPr>
        <w:tc>
          <w:tcPr>
            <w:tcW w:w="6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644,918</w:t>
            </w: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603,459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133,009</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90,907</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135,159</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6"/>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59,101</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51,677</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1,063,094</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999,981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1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264,490</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252,641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cost of sales</w:t>
            </w:r>
          </w:p>
        </w:tc>
        <w:tc>
          <w:tcPr>
            <w:tcW w:w="3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40,473</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related fees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47,794</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2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98,342</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6"/>
        </w:trPr>
        <w:tc>
          <w:tcPr>
            <w:tcW w:w="6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155,124</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144,323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1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606,223</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579,062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6"/>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(loss), net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745</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228.7 %</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457,616</w:t>
            </w:r>
          </w:p>
        </w:tc>
        <w:tc>
          <w:tcPr>
            <w:tcW w:w="4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420,340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0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38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7,755</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83.16</w:t>
            </w:r>
          </w:p>
        </w:tc>
        <w:tc>
          <w:tcPr>
            <w:tcW w:w="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Mountain Reported EBITDA includes $6.6 million and $6.3 million of stock-based compensation expense for the three months ended January 31, 2025 and 2024, respectively.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6" w:name="page27"/>
    <w:bookmarkEnd w:id="26"/>
    <w:p>
      <w:pPr>
        <w:jc w:val="both"/>
        <w:spacing w:after="0" w:line="250" w:lineRule="auto"/>
        <w:rPr>
          <w:sz w:val="20"/>
          <w:szCs w:val="20"/>
          <w:color w:val="auto"/>
        </w:rPr>
      </w:pPr>
      <w:r>
        <w:rPr>
          <w:rFonts w:ascii="Times New Roman" w:cs="Times New Roman" w:eastAsia="Times New Roman" w:hAnsi="Times New Roman"/>
          <w:sz w:val="18"/>
          <w:szCs w:val="18"/>
          <w:color w:val="auto"/>
        </w:rPr>
        <w:t>Mountain Reported EBITDA increased $37.3 million, or 8.9%, primarily driven by an increase in skier visitation as a result of improved early season weather conditions during the 2024/2025 North American ski season compared to the prior year, particularly at our Eastern U.S. Resorts (comprising the Midwest, Mid-Atlantic and Northeast) and western North American Resorts, many of which experienced delayed openings and reduced terrain offerings in the prior year. These improved conditions enabled a strong terrain offering which drove increases in non-pass visitation and most other ancillary lines of business. Additionally, Mountain Reported EBITDA increased due to an increase in pass product sales for the 2024/2025 North American ski season compared to the prior year. Mountain segment results also include the impact of one-time operating expenses attributable to our resource efficiency transformation plan of $2.6 million for the three months ended January 31, 2025, as well as acquisition and integration related expenses of $0.1 million and $2.1 million for the three months ended January 31, 2025 and 2024, respectively.</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Lift revenue increased $41.5 million, or 6.9%, due to increases in both pass revenue and non-pass revenue. Non-pass revenue increased 17.5% primarily as a result of an increase in visitation at our Eastern U.S. Resorts, as well as an increase in non-pass ETP (excluding Crans-Montana) of 4.4%, and incremental non-pass revenue from Crans-Montana of $6.6 million. Total non-pass ETP, including the impact of Crans-Montana, was flat compared to the same period in the prior year. Additionally, pass product revenue increased 3.2%, which was primarily driven by an increase in pass product sales for the 2024/2025 North American ski season compared to the prior year.</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Ski school revenue increased $6.4 million, or 5.0%, driven by increased Local skier visitation and increased lesson pricing, partially offset by decreased Destination skier visitation, as these guests typically utilize more ancillary services. Dining revenue increased $8.8 million, or 10.8%, driven by increased Local skier visitation and pricing, as well as incremental revenue from Crans-Montana of $3.3 million, partially offset by decreased Destination skier visitation. Retail/rental revenue decreased $1.0 million, or 0.7%, for which retail revenues decreased $2.0 million, or 2.6%, driven by lower sales at our on-mountain retail locations and the mix of retail merchandise purchased by customers, including decreased sales of higher-margin accessories and apparel goods, partially offset by increased rental revenues of $1.0 million, or 1.6%.</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revenue mainly consists of other mountain activities revenue, employee housing revenue, guest services revenue, commercial leasing revenue, marketing revenue, private club revenue (which includes both club dues and amortization of initiation fees), municipal services revenue and other recreation activity revenue. Other revenue increased $7.4 million, or 14.4%, primarily due to increased tubing revenue, parking revenue, heli-skiing revenue and sightseeing revenue, each as a result of increased skier visitation which drove additional demand for ancillary services, as well as incremental revenue from Crans-Montana of $1.2 million.</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 increased $27.2 million, or 4.7%, which was primarily attributable to increased variable expenses associated with increased revenue, and incremental operating expenses from Crans-Montana. Operating expense also includes one-time expenses attributable to our resource transformation plan of $2.6 million for the three months ended January 31, 2025, as well as acquisition and integration related expenses of $0.1 million and $2.1 million for the three months ended January 31, 2025 and 2024, respectively.</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Labor and labor-related benefits increased 4.7%, primarily due to normal wage adjustments, incremental expenses from Crans-Montana of $5.0 million and increased variable compensation accruals of $1.5 million. Resort related fees increased 7.2% primarily as a result of an increase in revenues on which those fees are based. General and administrative expense increased 2.1%, due to an increase in corporate overhead costs, primarily driven by information technology costs, and increased variable compensation accruals of $2.1 million. Other expense increased 7.5%, primarily due to incremental expenses from Crans-Montana of $4.6 million, in addition to increased utility costs of $2.3 million associated with increased snowmaking operations at our western North American Resorts, as well as increases in dining cost of sales ($1.9 million) and professional services ($1.4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(loss), net primarily includes our share of income from the operations of a real estate brokerage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January 31, 2025 compared to the six months ended January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segment operating results for the six months ended January 31, 2025 and 2024 are presented by category as follows (in thousands, except ETP):</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120" w:type="dxa"/>
            <w:vAlign w:val="bottom"/>
            <w:gridSpan w:val="3"/>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182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6"/>
        </w:trPr>
        <w:tc>
          <w:tcPr>
            <w:tcW w:w="59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20" w:type="dxa"/>
            <w:vAlign w:val="bottom"/>
            <w:vMerge w:val="restart"/>
          </w:tcPr>
          <w:p>
            <w:pPr>
              <w:jc w:val="center"/>
              <w:ind w:left="14"/>
              <w:spacing w:after="0" w:line="133"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46"/>
        </w:trPr>
        <w:tc>
          <w:tcPr>
            <w:tcW w:w="5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vMerge w:val="restart"/>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4"/>
                <w:szCs w:val="4"/>
                <w:color w:val="auto"/>
              </w:rPr>
            </w:pPr>
          </w:p>
        </w:tc>
        <w:tc>
          <w:tcPr>
            <w:tcW w:w="122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5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5"/>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685,341</w:t>
            </w:r>
          </w:p>
        </w:tc>
        <w:tc>
          <w:tcPr>
            <w:tcW w:w="5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648,849</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139,848</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133,807</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111,535</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100,137</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2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164,685</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6"/>
        </w:trPr>
        <w:tc>
          <w:tcPr>
            <w:tcW w:w="5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134,981</w:t>
            </w: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120,013</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19"/>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1,236,390</w:t>
            </w: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1,172,436</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383,020</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364,690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cost of sales</w:t>
            </w:r>
          </w:p>
        </w:tc>
        <w:tc>
          <w:tcPr>
            <w:tcW w:w="38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55,504</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related fees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51,603</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48,263</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190,910</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189,521</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6"/>
        </w:trPr>
        <w:tc>
          <w:tcPr>
            <w:tcW w:w="5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244,695</w:t>
            </w: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230,429</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1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8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925,732</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891,901</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6"/>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2,896</w:t>
            </w: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934.3 %</w:t>
            </w:r>
          </w:p>
        </w:tc>
        <w:tc>
          <w:tcPr>
            <w:tcW w:w="0" w:type="dxa"/>
            <w:vAlign w:val="bottom"/>
          </w:tcPr>
          <w:p>
            <w:pPr>
              <w:spacing w:after="0"/>
              <w:rPr>
                <w:sz w:val="1"/>
                <w:szCs w:val="1"/>
                <w:color w:val="auto"/>
              </w:rPr>
            </w:pPr>
          </w:p>
        </w:tc>
      </w:tr>
      <w:tr>
        <w:trPr>
          <w:trHeight w:val="219"/>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313,554</w:t>
            </w:r>
          </w:p>
        </w:tc>
        <w:tc>
          <w:tcPr>
            <w:tcW w:w="5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280,815</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9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38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8,303</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82.54</w:t>
            </w:r>
          </w:p>
        </w:tc>
        <w:tc>
          <w:tcPr>
            <w:tcW w:w="5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Mountain Reported EBITDA includes $12.4 million and $12.2 million of stock-based compensation expense for the six months ended January 31, 2025 and 2024, respectively.</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Mountain Reported EBITDA increased $32.7 million, or 11.7%. The increase was primarily driven by an increase in skier visitation as a result of improved early season weather conditions during the 2024/2025 North American ski season compared to the prior year, particularly at our Eastern U.S. Resorts and western North American Resorts, many of which experienced delayed openings and reduced terrain offerings in the prior year. These improved conditions enabled a strong terrain offering and guest experience, which drove increases in non-pass visitation and other ancillary lines of business. Additionally, Mountain Reported EBITDA increased due to an increase in pass product sales for the 2024/2025 North American ski season compared to the prior year and an increase in results from summer operations at our North American resorts, which benefited from warm weather conditions late in the season. These increases were partially offset by a decline from our Australian operations compared to the prior year, which experienced weather-related challenges that impacted terrain and resulted in early closures. Mountain segment results also include the impact of one-time operating expenses attributable to our resource efficiency transformation plan of $4.6 million for the six months ended January 31, 2025, as well as acquisition and integration related expenses of $1.0 million and $4.0 million for the six months ended January 31, 2025 and 2024, respectively.</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our North American Resorts primarily opened for ski season operations during our second fiscal quarter, certain components of Mountain segment net revenue, such as North American lift revenue, ski school revenue and dining revenue for the six months ended January 31, 2025 and 2024 are materially unchanged as compared to those same components for the three months ended January 31, 2025 and 2024. Accordingly, the primary basis for the changes to these components of our North American Resorts for the six months ended January 31, 2025 as compared to the prior period are discussed above under the section heading “</w:t>
      </w:r>
      <w:r>
        <w:rPr>
          <w:rFonts w:ascii="Times New Roman" w:cs="Times New Roman" w:eastAsia="Times New Roman" w:hAnsi="Times New Roman"/>
          <w:sz w:val="18"/>
          <w:szCs w:val="18"/>
          <w:i w:val="1"/>
          <w:iCs w:val="1"/>
          <w:color w:val="auto"/>
        </w:rPr>
        <w:t>Three months ended January 31, 2025 compared to the three months ended January 31, 2024</w:t>
      </w:r>
      <w:r>
        <w:rPr>
          <w:rFonts w:ascii="Times New Roman" w:cs="Times New Roman" w:eastAsia="Times New Roman" w:hAnsi="Times New Roman"/>
          <w:sz w:val="18"/>
          <w:szCs w:val="18"/>
          <w:color w:val="auto"/>
        </w:rPr>
        <w:t>.” Additionally, with regard to the six months ended January 31, 2025 compared to the six months ended January 31, 2024, lift revenue decreased at our Australian ski areas, which experienced weather-related challenges that impacted terrain and resulted in early closures.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both"/>
        <w:spacing w:after="0" w:line="260" w:lineRule="auto"/>
        <w:rPr>
          <w:sz w:val="20"/>
          <w:szCs w:val="20"/>
          <w:color w:val="auto"/>
        </w:rPr>
      </w:pPr>
      <w:r>
        <w:rPr>
          <w:rFonts w:ascii="Times New Roman" w:cs="Times New Roman" w:eastAsia="Times New Roman" w:hAnsi="Times New Roman"/>
          <w:sz w:val="18"/>
          <w:szCs w:val="18"/>
          <w:color w:val="auto"/>
        </w:rPr>
        <w:t>Retail/rental revenue decreased $4.9 million, or 2.9%, driven by the impact of broader industry-wide customer spending trends which negatively impacted summer retail demand ($3.9 million), particularly at our Colorado city store locations, as well as lower sales at our on-mountain retail locations during the 2024/2025 North American ski season.</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Other revenue mainly consists of revenues stemming from summer visitation,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includes Australian resort lodging and transportation revenue. Other revenue increased $15.0 million or 12.5%, primarily driven by increased skier visitation at our North American resorts, which drove additional demand for ancillary services, as well as an increase in other on-mountain summer activities and sightseeing revenue from the impact of increased summer visitation at our North American resorts as a result of improved weather conditions.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 increased $33.8 million or 3.8%, which was primarily attributable to incremental operating expenses from Crans-Montana, and increased variable expenses associated with increased revenue. Operating expense also includes one-time expenses attributable to our resource efficiency transformation plan of $4.6 million for the six months ended January 31, 2025, as well as acquisition and integration related expenses of $1.0 million and $4.0 million for the six months ended January 31, 2025 and 2024, respectively.</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Labor and labor-related benefits increased 5.0%, primarily due to normal wage adjustments and an increase in labor expense to support increased North American operations, as well as incremental expenses from Crans-Montana of $7.3 million. Retail cost of sales decreased 5.9%, compared to a decrease in retail sales of 5.5%. Resort related fees increased 6.9% primarily as a result of an increase in revenues on which those fees are based. General and administrative expense increased 0.7%, primarily due to an increase in corporate overhead costs. Other expense increased 6.2%, primarily due to incremental expenses from Crans-Montana of $6.8 million, increased variable expenses associated with increased revenues, including dining cost of sales ($2.0 million), supplies ($1.7 million) and rent ($1.7 million), in addition to increased utilities expense ($2.9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31, 2025 compared to the three months ended January 31, 2024</w:t>
      </w:r>
    </w:p>
    <w:p>
      <w:pPr>
        <w:spacing w:after="0" w:line="1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Lodging segment operating results for the three months ended January 31, 2025 and 2024 are presented by category as follows (in thousands, except average daily rates (“ADR”) and revenue per available room (“RevPAR”)):</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gridSpan w:val="3"/>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188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66"/>
        </w:trPr>
        <w:tc>
          <w:tcPr>
            <w:tcW w:w="6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14"/>
              <w:spacing w:after="0" w:line="121"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35"/>
        </w:trPr>
        <w:tc>
          <w:tcPr>
            <w:tcW w:w="6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3"/>
                <w:szCs w:val="3"/>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8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4"/>
        </w:trPr>
        <w:tc>
          <w:tcPr>
            <w:tcW w:w="6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13,439</w:t>
            </w: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27,074</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13,754</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Transportation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5,507</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6"/>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10,415</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70,189</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6"/>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3,771</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73,960</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77,817</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32,469</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16,198</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6"/>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19,475</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9"/>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68,142</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6"/>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3,771</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71,913</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4"/>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2,047</w:t>
            </w:r>
          </w:p>
        </w:tc>
        <w:tc>
          <w:tcPr>
            <w:tcW w:w="4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311.52</w:t>
            </w: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140.06</w:t>
            </w:r>
          </w:p>
        </w:tc>
        <w:tc>
          <w:tcPr>
            <w:tcW w:w="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504.70</w:t>
            </w:r>
          </w:p>
        </w:tc>
        <w:tc>
          <w:tcPr>
            <w:tcW w:w="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159.72</w:t>
            </w: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447.54</w:t>
            </w: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155.23</w:t>
            </w:r>
          </w:p>
        </w:tc>
        <w:tc>
          <w:tcPr>
            <w:tcW w:w="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Lodging Reported EBITDA includes $0.9 million of stock-based compensation expense for both the three months ended January 31, 2025 and 2024.</w:t>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Lodging Reported EBITDA decreased $2.7 million, or 56.5%, primarily due to a decrease in destination skier visitation which decreased demand for lodging and other ancillary services proximate to our mountain resorts, as well as a net reduction in our inventory of available managed condominium rooms and a reduction in property tax refunds received.</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 from managed condominium rooms decreased $1.2 million, or 4.4%, primarily due to lower ADR driven by lower peak-season holiday pricing compared to prior year, as well as a net reduction in our inventory of available managed condominium rooms proximate to our mountain resorts. Other revenue decreased $1.0 million, or 8.8%, primarily as a result of decreases in conference and lodging property support services.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January 31, 2025 compared to the six months ended January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Lodging segment operating results for the six months ended January 31, 2025 and 2024 are presented by category as follows (in thousands, except ADR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RevPAR):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100" w:type="dxa"/>
            <w:vAlign w:val="bottom"/>
            <w:gridSpan w:val="3"/>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182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6"/>
        </w:trPr>
        <w:tc>
          <w:tcPr>
            <w:tcW w:w="59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20" w:type="dxa"/>
            <w:vAlign w:val="bottom"/>
            <w:vMerge w:val="restart"/>
          </w:tcPr>
          <w:p>
            <w:pPr>
              <w:jc w:val="center"/>
              <w:ind w:left="14"/>
              <w:spacing w:after="0" w:line="133"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46"/>
        </w:trPr>
        <w:tc>
          <w:tcPr>
            <w:tcW w:w="5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vMerge w:val="restart"/>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4"/>
                <w:szCs w:val="4"/>
                <w:color w:val="auto"/>
              </w:rPr>
            </w:pPr>
          </w:p>
        </w:tc>
        <w:tc>
          <w:tcPr>
            <w:tcW w:w="12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5"/>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41,514</w:t>
            </w:r>
          </w:p>
        </w:tc>
        <w:tc>
          <w:tcPr>
            <w:tcW w:w="5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38,760</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38,779</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33,706</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Transportation</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7,041</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Golf</w:t>
            </w:r>
          </w:p>
        </w:tc>
        <w:tc>
          <w:tcPr>
            <w:tcW w:w="38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7,801</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26"/>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25,131</w:t>
            </w: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26,540</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9"/>
        </w:trPr>
        <w:tc>
          <w:tcPr>
            <w:tcW w:w="5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153,972</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151,684</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6"/>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6,904</w:t>
            </w: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160,876</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159,638</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69,696</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70,626</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30,487</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31,218</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6"/>
        </w:trPr>
        <w:tc>
          <w:tcPr>
            <w:tcW w:w="5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47,385</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45,370</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147,568</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147,214</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6"/>
        </w:trPr>
        <w:tc>
          <w:tcPr>
            <w:tcW w:w="5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6,904</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154,472</w:t>
            </w: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155,168</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6,404</w:t>
            </w:r>
          </w:p>
        </w:tc>
        <w:tc>
          <w:tcPr>
            <w:tcW w:w="5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0" w:type="dxa"/>
            <w:vAlign w:val="bottom"/>
          </w:tcPr>
          <w:p>
            <w:pPr>
              <w:spacing w:after="0"/>
              <w:rPr>
                <w:sz w:val="1"/>
                <w:szCs w:val="1"/>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314.44</w:t>
            </w:r>
          </w:p>
        </w:tc>
        <w:tc>
          <w:tcPr>
            <w:tcW w:w="5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308.89</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163.44</w:t>
            </w:r>
          </w:p>
        </w:tc>
        <w:tc>
          <w:tcPr>
            <w:tcW w:w="5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390.48</w:t>
            </w:r>
          </w:p>
        </w:tc>
        <w:tc>
          <w:tcPr>
            <w:tcW w:w="5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403.05</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106.47</w:t>
            </w:r>
          </w:p>
        </w:tc>
        <w:tc>
          <w:tcPr>
            <w:tcW w:w="5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358.90</w:t>
            </w:r>
          </w:p>
        </w:tc>
        <w:tc>
          <w:tcPr>
            <w:tcW w:w="5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365.67</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2"/>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121.94</w:t>
            </w:r>
          </w:p>
        </w:tc>
        <w:tc>
          <w:tcPr>
            <w:tcW w:w="5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Lodging Reported EBITDA includes $1.7 million and $1.8 million of stock-based compensation expense for the six months ended January 31, 2025 and 2024, respectively.</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Lodging Reported EBITDA increased $1.9 million, or 43.3%, primarily driven by favorable weather conditions which drove increased summer visitation at GTLC and our mountain resort properties, partially offset by a decrease in destination skier visitation during the 2024/2025 North American ski season, which decreased demand for lodging and other ancillary services proximate to our mountain resorts, as well as a net reduction in our inventory of available managed condominium rooms.</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from owned hotel rooms increased $2.8 million, or 7.1%, primarily due to increased visitation at GTLC driven by favorable weather conditions, which also drove an increase in ADR, as well as stronger demand for summer lodging at our North American mountain resort properties. Revenue from managed condominium rooms decreased $1.5 million, or 3.8%, primarily due to lower ADR driven by lower peak-season holiday pricing compared to the prior year, as well as a net reduction in our inventory of available managed condominium rooms proximate to our mountain resorts. Dining revenue increased $2.0 million, or 6.4%, and golf revenue increased $1.3 million, or 20.6%, each primarily as a result of increased summer visitation at our North American mountain resort properties. Other revenue decreased $1.4 million, or 5.3%, primarily as a result of a decrease in lodging property support services, including revenue from our central reservations booking service.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spacing w:after="0" w:line="274" w:lineRule="auto"/>
        <w:rPr>
          <w:sz w:val="20"/>
          <w:szCs w:val="20"/>
          <w:color w:val="auto"/>
        </w:rPr>
      </w:pPr>
      <w:r>
        <w:rPr>
          <w:rFonts w:ascii="Times New Roman" w:cs="Times New Roman" w:eastAsia="Times New Roman" w:hAnsi="Times New Roman"/>
          <w:sz w:val="18"/>
          <w:szCs w:val="18"/>
          <w:color w:val="auto"/>
        </w:rPr>
        <w:t>Other expense increased 4.4%, primarily due to one-time costs attributable to our resource efficiency transformation plan of $1.0 million, as well as a reduction in property tax refunds received during the six months ended January 31, 2025.</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31, 2025 compared to the three months ended January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the three months ended January 31, 2025 and 2024 are presented by category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600" w:type="dxa"/>
            <w:vAlign w:val="bottom"/>
          </w:tcPr>
          <w:p>
            <w:pPr>
              <w:spacing w:after="0"/>
              <w:rPr>
                <w:sz w:val="13"/>
                <w:szCs w:val="13"/>
                <w:color w:val="auto"/>
              </w:rPr>
            </w:pPr>
          </w:p>
        </w:tc>
        <w:tc>
          <w:tcPr>
            <w:tcW w:w="1880" w:type="dxa"/>
            <w:vAlign w:val="bottom"/>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66"/>
        </w:trPr>
        <w:tc>
          <w:tcPr>
            <w:tcW w:w="60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46"/>
        </w:trPr>
        <w:tc>
          <w:tcPr>
            <w:tcW w:w="602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4"/>
                <w:szCs w:val="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60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100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108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6"/>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1,758</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44"/>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8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January 31, 2025 and 2024, we did not close on any significant real estate transactions.</w:t>
      </w:r>
    </w:p>
    <w:p>
      <w:pPr>
        <w:spacing w:after="0" w:line="2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operating expense for both the three months ended January 31, 2025 and 2024 was primarily comprised of general and administrative costs, such as labor and labor-related benefits, professional services and allocated corporate overhead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January 31, 2025 compared to the six months ended January 31,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the six months ended January 31, 2025 and 2024 are presented by category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900" w:type="dxa"/>
            <w:vAlign w:val="bottom"/>
            <w:gridSpan w:val="3"/>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560" w:type="dxa"/>
            <w:vAlign w:val="bottom"/>
          </w:tcPr>
          <w:p>
            <w:pPr>
              <w:spacing w:after="0"/>
              <w:rPr>
                <w:sz w:val="13"/>
                <w:szCs w:val="13"/>
                <w:color w:val="auto"/>
              </w:rPr>
            </w:pPr>
          </w:p>
        </w:tc>
        <w:tc>
          <w:tcPr>
            <w:tcW w:w="182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66"/>
        </w:trPr>
        <w:tc>
          <w:tcPr>
            <w:tcW w:w="596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20" w:type="dxa"/>
            <w:vAlign w:val="bottom"/>
            <w:vMerge w:val="restart"/>
          </w:tcPr>
          <w:p>
            <w:pPr>
              <w:jc w:val="center"/>
              <w:ind w:left="37"/>
              <w:spacing w:after="0" w:line="121"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35"/>
        </w:trPr>
        <w:tc>
          <w:tcPr>
            <w:tcW w:w="5960" w:type="dxa"/>
            <w:vAlign w:val="bottom"/>
          </w:tcPr>
          <w:p>
            <w:pPr>
              <w:spacing w:after="0"/>
              <w:rPr>
                <w:sz w:val="3"/>
                <w:szCs w:val="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3"/>
                <w:szCs w:val="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59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82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
        </w:trPr>
        <w:tc>
          <w:tcPr>
            <w:tcW w:w="5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234</w:t>
            </w:r>
          </w:p>
        </w:tc>
        <w:tc>
          <w:tcPr>
            <w:tcW w:w="12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2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6"/>
        </w:trPr>
        <w:tc>
          <w:tcPr>
            <w:tcW w:w="5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3,249</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3,249</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6"/>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9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16,506</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162.6 %</w:t>
            </w:r>
          </w:p>
        </w:tc>
        <w:tc>
          <w:tcPr>
            <w:tcW w:w="0" w:type="dxa"/>
            <w:vAlign w:val="bottom"/>
          </w:tcPr>
          <w:p>
            <w:pPr>
              <w:spacing w:after="0"/>
              <w:rPr>
                <w:sz w:val="1"/>
                <w:szCs w:val="1"/>
                <w:color w:val="auto"/>
              </w:rPr>
            </w:pPr>
          </w:p>
        </w:tc>
      </w:tr>
      <w:tr>
        <w:trPr>
          <w:trHeight w:val="244"/>
        </w:trPr>
        <w:tc>
          <w:tcPr>
            <w:tcW w:w="5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13,491</w:t>
            </w:r>
          </w:p>
        </w:tc>
        <w:tc>
          <w:tcPr>
            <w:tcW w:w="120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248.0 %</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six months ended January 31, 2025, we recorded a gain on sale of real property for $16.5 million related to the resolution of the October 2023 Eagle County District Court final ruling and valuation regarding the Town of Vail’s condemnation of our East Vail property, for which we received proceeds of $17.6 million during the six months ended January 31, 2025. During the six months ended January 31, 2024, we closed on the sale of a land parcel in Keystone for $4.2 million, which was recorded within Real Estate net revenue, with a corresponding cost of sale of $3.6 million. Additionally, we recorded a gain on sale of real property for $6.3 million related to a land parcel sale in Beaver Creek, CO, which closed for proceeds of $6.5 million during the six months ended January 31, 2024.</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operating expense for both the six months ended January 31, 2025 and 2024 was primarily comprised of general and administrative costs, such as labor and labor-related benefits, professional services and allocated corporate overhead costs.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segment operating results, the following material items contributed to our overall financial results for the three and six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2025 and 2024 (in thousands):</w:t>
      </w: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146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00" w:type="dxa"/>
            <w:vAlign w:val="bottom"/>
          </w:tcPr>
          <w:p>
            <w:pPr>
              <w:spacing w:after="0"/>
              <w:rPr>
                <w:sz w:val="16"/>
                <w:szCs w:val="16"/>
                <w:color w:val="auto"/>
              </w:rPr>
            </w:pPr>
          </w:p>
        </w:tc>
        <w:tc>
          <w:tcPr>
            <w:tcW w:w="254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14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60" w:type="dxa"/>
            <w:vAlign w:val="bottom"/>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4"/>
                <w:szCs w:val="4"/>
                <w:color w:val="auto"/>
              </w:rPr>
            </w:pPr>
          </w:p>
        </w:tc>
        <w:tc>
          <w:tcPr>
            <w:tcW w:w="102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4"/>
                <w:szCs w:val="4"/>
                <w:color w:val="auto"/>
              </w:rPr>
            </w:pPr>
          </w:p>
        </w:tc>
        <w:tc>
          <w:tcPr>
            <w:tcW w:w="10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(73,107)</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(69,399)</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5.3 %</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(144,740)</w:t>
            </w: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(136,127)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6"/>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(86,331)</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(87,486)</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(28,082)</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(22,326)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26"/>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 pts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pts</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for the six months ended January 31, 2025 increased $8.6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the prior year, primarily due to assets acquired in the acquisition of Crans-Montana, as well as capital projects completed at our Resorts during the prior capital year.</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At the end of each interim period, the Company estimates the annual effective tax rate and applies that rate to its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earnings. The tax expense or benefit related to significant, unusual or extraordinary items that will be separately reported or reported net of their related tax effect are individually computed and recognized in the interim period in which those items occur. In addition, the effects of changes in enacted tax laws or rates or tax status are recognized in the interim period in which the change occurs. The effective tax rate for the three and six months ended January 31, 2025 was 25.1% and 26.8%, respectively, compared to 27.6% and 32.3% for the three and six months ended January 31, 2024, respectively.</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decrease in the effective tax rate for the three and six months ended January 31, 2025 compared to the three and six months ended January 31, 2024 was primarily due to a decrease in net unfavorable discrete items impacting the tax provision in the current period, including a nonrecurring foreign partnership basis adjustment of $4.7 million during the three and six months ended January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and Net Debt</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table reconciles net income attributable to Vail Resorts, Inc. to Total Reported EBITDA for the three and six months ended January 31, 2025 and 2024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00" w:type="dxa"/>
            <w:vAlign w:val="bottom"/>
          </w:tcPr>
          <w:p>
            <w:pPr>
              <w:spacing w:after="0"/>
              <w:rPr>
                <w:sz w:val="16"/>
                <w:szCs w:val="16"/>
                <w:color w:val="auto"/>
              </w:rPr>
            </w:pPr>
          </w:p>
        </w:tc>
        <w:tc>
          <w:tcPr>
            <w:tcW w:w="2580" w:type="dxa"/>
            <w:vAlign w:val="bottom"/>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4"/>
        </w:trPr>
        <w:tc>
          <w:tcPr>
            <w:tcW w:w="5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245,548</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72,712</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43,787</w:t>
            </w:r>
          </w:p>
        </w:tc>
      </w:tr>
      <w:tr>
        <w:trPr>
          <w:trHeight w:val="22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12,551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3,843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r>
      <w:tr>
        <w:trPr>
          <w:trHeight w:val="21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258,099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76,555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46,758</w:t>
            </w:r>
          </w:p>
        </w:tc>
      </w:tr>
      <w:tr>
        <w:trPr>
          <w:trHeight w:val="22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86,331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87,486</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28,082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22,326</w:t>
            </w:r>
          </w:p>
        </w:tc>
      </w:tr>
      <w:tr>
        <w:trPr>
          <w:trHeight w:val="21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344,430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104,637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69,084</w:t>
            </w:r>
          </w:p>
        </w:tc>
      </w:tr>
      <w:tr>
        <w:trPr>
          <w:trHeight w:val="22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73,107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144,740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136,127</w:t>
            </w:r>
          </w:p>
        </w:tc>
      </w:tr>
      <w:tr>
        <w:trPr>
          <w:trHeight w:val="22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disposal of fixed assets and other,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r>
      <w:tr>
        <w:trPr>
          <w:trHeight w:val="22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2,179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r>
      <w:tr>
        <w:trPr>
          <w:trHeight w:val="22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r>
      <w:tr>
        <w:trPr>
          <w:trHeight w:val="22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 on intercompany loans</w:t>
            </w:r>
          </w:p>
        </w:tc>
        <w:tc>
          <w:tcPr>
            <w:tcW w:w="1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1,385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1,649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r>
      <w:tr>
        <w:trPr>
          <w:trHeight w:val="226"/>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42,368</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40,585</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84,522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81,315</w:t>
            </w:r>
          </w:p>
        </w:tc>
      </w:tr>
      <w:tr>
        <w:trPr>
          <w:trHeight w:val="219"/>
        </w:trPr>
        <w:tc>
          <w:tcPr>
            <w:tcW w:w="5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458,076</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423,530</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333,449</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289,162</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2"/>
        </w:trPr>
        <w:tc>
          <w:tcPr>
            <w:tcW w:w="5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457,616</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420,340</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313,554</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280,815</w:t>
            </w:r>
          </w:p>
        </w:tc>
      </w:tr>
      <w:tr>
        <w:trPr>
          <w:trHeight w:val="226"/>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2,047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6,404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19"/>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1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459,663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319,958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285,285</w:t>
            </w:r>
          </w:p>
        </w:tc>
      </w:tr>
      <w:tr>
        <w:trPr>
          <w:trHeight w:val="226"/>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13,491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r>
      <w:tr>
        <w:trPr>
          <w:trHeight w:val="219"/>
        </w:trPr>
        <w:tc>
          <w:tcPr>
            <w:tcW w:w="5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458,076</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423,530</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333,449</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289,162</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43"/>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w w:val="99"/>
              </w:rPr>
              <w:t>32</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2"/>
        </w:trPr>
        <w:tc>
          <w:tcPr>
            <w:tcW w:w="5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following table reconciles long-term debt, net to Net Debt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60" w:type="dxa"/>
            <w:vAlign w:val="bottom"/>
          </w:tcPr>
          <w:p>
            <w:pPr>
              <w:spacing w:after="0"/>
              <w:rPr>
                <w:sz w:val="16"/>
                <w:szCs w:val="16"/>
                <w:color w:val="auto"/>
              </w:rPr>
            </w:pPr>
          </w:p>
        </w:tc>
      </w:tr>
      <w:tr>
        <w:trPr>
          <w:trHeight w:val="24"/>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7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2,117,986</w:t>
            </w:r>
          </w:p>
        </w:tc>
        <w:tc>
          <w:tcPr>
            <w:tcW w:w="5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2,721,598</w:t>
            </w:r>
          </w:p>
        </w:tc>
      </w:tr>
      <w:tr>
        <w:trPr>
          <w:trHeight w:val="226"/>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584,245</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69,135</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2,702,231</w:t>
            </w: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2,790,733</w:t>
            </w:r>
          </w:p>
        </w:tc>
      </w:tr>
      <w:tr>
        <w:trPr>
          <w:trHeight w:val="226"/>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488,211</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812,163</w:t>
            </w:r>
          </w:p>
        </w:tc>
      </w:tr>
      <w:tr>
        <w:trPr>
          <w:trHeight w:val="244"/>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Debt</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2,214,020</w:t>
            </w:r>
          </w:p>
        </w:tc>
        <w:tc>
          <w:tcPr>
            <w:tcW w:w="56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1,978,570</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significant sources of cash for the six months ended January 31, 2025 and 2024 are presented by categories as follows (in thousands).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4"/>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8"/>
                <w:szCs w:val="18"/>
                <w:color w:val="auto"/>
                <w:w w:val="99"/>
              </w:rPr>
              <w:t>608,681</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571,161</w:t>
            </w: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379"/>
              <w:spacing w:after="0"/>
              <w:rPr>
                <w:sz w:val="20"/>
                <w:szCs w:val="20"/>
                <w:color w:val="auto"/>
              </w:rPr>
            </w:pPr>
            <w:r>
              <w:rPr>
                <w:rFonts w:ascii="Times New Roman" w:cs="Times New Roman" w:eastAsia="Times New Roman" w:hAnsi="Times New Roman"/>
                <w:sz w:val="18"/>
                <w:szCs w:val="18"/>
                <w:color w:val="auto"/>
                <w:w w:val="96"/>
              </w:rPr>
              <w:t>(128,020)</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(66,079)</w:t>
            </w:r>
          </w:p>
        </w:tc>
      </w:tr>
      <w:tr>
        <w:trPr>
          <w:trHeight w:val="226"/>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w w:val="96"/>
              </w:rPr>
              <w:t>(302,746)</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(251,177)</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January 31, 2025 compared to the six months ended January 31, 2024</w:t>
      </w:r>
    </w:p>
    <w:p>
      <w:pPr>
        <w:spacing w:after="0" w:line="1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generated $608.7 million of cash from operating activities during the six months ended January 31, 2025, an increase of $37.5 million compared to $571.2 million generated during the six months ended January 31, 2024. The increase in operating cash flows was primarily a result of increased pass product sales and collections and other operating cash flows related to Resort operations during the six months ended January 31, 2025 as compared to the prior year, partially offset by an increase in income tax payments of approximately $5.7 million for the six months ended January 31, 2025 as compared to the prior year, driven by overpayments and other deductions which offset our estimated payments made during the six months ended January 31, 2024 and higher estimated taxable income for the current fiscal year.</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increase in cash used in investing activities for the six months ended January 31, 2025 of $61.9 million was primarily due to (i) the maturity of short-term bank deposits in the prior year which had maturity dates of more than three months at the date of purchase and were therefore not reflected as cash equivalents as of July 31, 2023, of which $57.6 million matured during the three months ended January 31, 2024 and (ii) an increase in capital expenditures of approximately $15.7 million as compared to the prior year, which is largely driven by an acceleration of the timing of work being completed and associated payments taking place in the current year. These increases were partially offset by $17.6 million of cash received during the six months ended January 31, 2025 related to the resolution of the October 2023 Eagle County District Court final ruling and valuation regarding the Town of Vail’s condemnation of our East Vail property.</w:t>
      </w: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Cash used in financing activities increased by $51.6 million during the six months ended January 31, 2025 compared to the six months ended January 31, 2024, primarily due to $48.0 million of cash paid for repurchases of 0.0% Convertible Notes during the six months ended January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of Cash</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$488.2 million of cash and cash equivalents as of January 31, 2025, compared to $812.2 million as of January 31, 2024, and the decrease was primarily attributable to the cash purchase price associated with the acquisition of Crans-Montana, net of cash acquired, and share repurchases completed during the last twelve months. We currently anticipate that our Mountain and Lodging segment operating results will continue to provide a significant source of future operating cash flows (primarily generated in our second and third fiscal quarters).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$488.2 million of cash and cash equivalents at January 31, 2025, we had $508.5 million available under the revolver component of our Vail Holdings Credit Agreement as of January 31, 2025 (which represents the total commitment of $600.0 million less outstanding letters of credit of $91.5 million). Additionally, we had C$296.6 million ($204.1 million) available under the revolver component of our Whistler Credit Agreement (which represents the total commitment of C$300.0 million ($206.4 million) less certain outstanding letters of credit of C$3.4 million ($2.3 million). We also have $450.0 million available under a delayed draw term loan of the Vail Holdings Credit Agreement which will remain available to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draw on at any time until January 27, 2026. Proceeds from any borrowings on the revolver component of our Vail Holdings Credit Agreement and the delayed draw term loans are available to be used to refinance our 0.0% Convertible Notes.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with any new borrowings currently priced at the Secured Overnight Financing Rate plus 1.60% and Bankers Acceptance Rate plus 1.75%,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Uses of Cash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historically invested significant amounts of cash in capital expenditures for our resort operations, and we expect to continue to do so, subject to operating performance particularly as it relates to discretionary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our capital plan for calendar year 2025 will be approximately $198 million to $203 million, excluding $45 million of growth capital investments at our European resorts, including $41 million at Andermatt-Sedrun and $4 million at Crans-Montana, and $6 million of real estate related capital projects to complete multi-year transformational investments at the key base area portals of Breckenridge Peak 8 and Keystone River Run, and planning investments to support the development of the West Lionshead area into a fourth base village at Vail Mountain. Including European growth capital investments and real estate related capital, our total capital plan for calendar year 2025 is expected to be approximately $249 million to $254 million. Included in these estimated capital expenditures are approximately $124 million to $128 million of maintenance capital expenditures, which are necessary to maintain appearance and level of service appropriate to our resorts. We currently plan to utilize cash on hand, borrowings available under our credit agreements and/or cash flow generated from future operations to provide the cash necessary to complete our capital plans.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January 31, 2025, principal payments on the majority of our long-term debt ($2.0 billion of the total $2.7 billion debt outstanding as of January 31, 2025) are not due until fiscal year 2029 and beyond. As of January 31, 2025 and 2024, total long-term debt, net (including long-term debt due within one year) was $2.7 billion and $2.8 billion, respectively. Net Debt (defined as long-term debt, net plus long-term debt due within one year less cash and cash equivalents) increased from $2.0 billion as of January 31, 2024 to $2.2 billion as of January 31, 2025, primarily due to the cash purchase price associated with the acquisition of Crans-Montana, net of cash acquired, and share repurchases completed during the last twelve months.</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January 27, 2025, we entered into the First Amendment to the Vail Holdings Credit Agreement (the “First Amendment”). The First Amendment, among other things, increased the revolving credit facility by $100.0 million to an aggregate principal amount of $600.0 million, and provides for an incremental term loan facility in an aggregate principal amount of $450.0 million in the form of delayed draw term loans. The $450.0 million incremental term loan facility is available to be drawn upon at any time at our option, and any undrawn capacity within the $450.0 million facility will expire on January 27, 2026. No other material terms of the Vail Holdings Credit Agreement were amended. As of January 31, 2025, the Vail Holdings Credit Agreement provides for (i) a revolving loan facility in an aggregate principal amount of $600.0 million, (ii) a term loan of $935.2 million and (iii) $450.0 million incremental term loan facility in the form of delayed draw term loans, and the Whistler Credit Agreement provides for a revolving loan facility in an aggregate principal amount of C$300.0 million. We expect that our liquidity needs in the near term will be met by continued use of our existing cash and cash equivalents, operating cash flows and borrowings under both the Vail Holdings Credit Agreement and Whistler Credit Agreement, if needed.</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0.0% Convertible Notes due 2026 (the “0.0% Convertible Notes”) mature on January 1, 2026, and are therefore reflected within long-term debt due within one year on the Company’s Consolidated Condensed Balance Sheet as of January 31, 2025. On January 30, 2025, we completed separate, privately negotiated repurchases for an aggregate principal amount of $50.0 million of its 0.0% Convertible Notes with a limited number of holders for an aggregate cash repurchase price of approximately $48.0 million, representing a gain on extinguishment of debt of approximately $2.0 million, which was recorded within gain (loss) on disposal of fixed assets and other, net on the Company’s Consolidated Condensed Statements of Operations during the three and six months ended January 31, 2025. Following the repurchases, approximately $525.0 million aggregate principal amount of the 0.0% Convertible Notes remain outstanding. Proceeds from any borrowings on the incremental term loan facility and the increase in the revolving credit facility with regard to the First Amendment of the Vail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spacing w:after="0" w:line="274" w:lineRule="auto"/>
        <w:rPr>
          <w:sz w:val="20"/>
          <w:szCs w:val="20"/>
          <w:color w:val="auto"/>
        </w:rPr>
      </w:pPr>
      <w:r>
        <w:rPr>
          <w:rFonts w:ascii="Times New Roman" w:cs="Times New Roman" w:eastAsia="Times New Roman" w:hAnsi="Times New Roman"/>
          <w:sz w:val="18"/>
          <w:szCs w:val="18"/>
          <w:color w:val="auto"/>
        </w:rPr>
        <w:t>Holdings Credit Agreement, as discussed further above, remain undrawn as of January 31, 2025, and are available to be used to refinance our 0.0% Convertible Notes.</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debt service requirements can be impacted by changing interest rates as we had approximately $1.0 billion of variable-rate debt outstanding as of January 31, 2025. A 100-basis point change in our borrowing rates would cause our annual interest payments to change by approximately $9.9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We can respond to liquidity impacts of changes in the business and economic environment by managing our capital expenditures, variable operating expenses, the timing of new real estate development activity and the payment of cash dividends on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Payments</w:t>
      </w:r>
    </w:p>
    <w:p>
      <w:pPr>
        <w:spacing w:after="0" w:line="1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March 6, 2025, the Company’s Board of Directors approved a cash dividend of $2.22 per share payable on April 10, 2025 to stockholders of record as of March 27, 2025. During the six months ended January 31, 2025, we paid cash dividends of $4.44 per share ($166.0 million). During the six months ended January 31, 2024, we paid cash dividends of $4.12 per share ($156.7 million). We funded these dividends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1,500,000 Vail Shares (December 4, 2015), 2,500,000 Vail Shares (March 7, 2023), and 1,100,000 Vail Shares (September 25, 2024), for a total authorization to repurchase up to 11,100,000 Vail Shares. During the six months ended January 31, 2025, we repurchased 217,068 Vail Shares (at an average cost of $184.27) for a total cost of approximately $40.0 million, excluding accrued excise tax. During the six months ended January 31, 2024, we repurchased 237,056 Vail Shares (at an average cost of $210.92) for a total cost of approximately $50.0 million, excluding accrued excise tax. We funded the share repurchases with available cash on hand. Since inception of this stock repurchase program through January 31, 2025, we have repurchased 9,586,748 Vail Shares at a cost of approximately $1,169.4 million. As of January 31, 2025, 1,513,252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repurchase at prices that we believe are attractive. The share repurchase program has no expiration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Limitations</w:t>
      </w:r>
    </w:p>
    <w:p>
      <w:pPr>
        <w:spacing w:after="0" w:line="1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Graubünden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We were in compliance with all restrictive financial covenants in our debt instruments as of January 31, 2025.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to our critical accounting policies and estimates as reported in our Form 10-K for the fiscal year ended July 31, 2024.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90" w:lineRule="exact"/>
        <w:rPr>
          <w:sz w:val="20"/>
          <w:szCs w:val="20"/>
          <w:color w:val="auto"/>
        </w:rPr>
      </w:pPr>
    </w:p>
    <w:p>
      <w:pPr>
        <w:ind w:left="800" w:hanging="635"/>
        <w:spacing w:after="0" w:line="258" w:lineRule="auto"/>
        <w:tabs>
          <w:tab w:leader="none" w:pos="79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prolonged weakness in general economic conditions, including adverse effects on the overall travel and leisure related industries and our business and results of operations;</w:t>
      </w:r>
    </w:p>
    <w:p>
      <w:pPr>
        <w:ind w:left="800" w:hanging="635"/>
        <w:spacing w:after="0"/>
        <w:tabs>
          <w:tab w:leader="none" w:pos="8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effects of high or prolonged inflation, elevated interest rates and financial institution disruptions;</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tabs>
          <w:tab w:leader="none" w:pos="8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unfavorable weather conditions or the impact of natural disasters or other unexpected events;</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line="246" w:lineRule="auto"/>
        <w:tabs>
          <w:tab w:leader="none" w:pos="79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ultimate amount of refunds that we could be required to refund to our pass product holders for qualifying circumstances under our Epic Coverage program;</w:t>
      </w:r>
    </w:p>
    <w:p>
      <w:pPr>
        <w:ind w:left="800" w:hanging="635"/>
        <w:spacing w:after="0" w:line="246" w:lineRule="auto"/>
        <w:tabs>
          <w:tab w:leader="none" w:pos="79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willingness or ability of our guests to travel due to terrorism, the uncertainty of military conflicts or public health emergencies, and the cost and availability of travel options and changing consumer preferences or discretionary spending habits;</w:t>
      </w:r>
    </w:p>
    <w:p>
      <w:pPr>
        <w:ind w:left="800" w:hanging="635"/>
        <w:spacing w:after="0"/>
        <w:tabs>
          <w:tab w:leader="none" w:pos="8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travel and airline disruptions, and other adverse impacts on the ability of our guests to travel;</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tabs>
          <w:tab w:leader="none" w:pos="8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interruptions or disruptions of our information technology systems, data security or cyberattacks;</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line="246" w:lineRule="auto"/>
        <w:tabs>
          <w:tab w:leader="none" w:pos="7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00" w:hanging="635"/>
        <w:spacing w:after="0"/>
        <w:tabs>
          <w:tab w:leader="none" w:pos="8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acquire, develop and implement relevant technology offerings for customers and partners;</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tabs>
          <w:tab w:leader="none" w:pos="8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seasonality of our business combined with adverse events that may occur during our peak operating periods;</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tabs>
          <w:tab w:leader="none" w:pos="8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mountain and lodging businesses or with other recreational and leisure activities;</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tabs>
          <w:tab w:leader="none" w:pos="8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the high fixed cost structure of our business;</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tabs>
          <w:tab w:leader="none" w:pos="8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fund resort capital expenditures, or accurately identify the need for, or anticipate the timing of certain capital expenditures;</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tabs>
          <w:tab w:leader="none" w:pos="8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 disruption in our water supply that would impact our snowmaking capabilities and operations;</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tabs>
          <w:tab w:leader="none" w:pos="8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government permits or approvals for our use of public land or to make operational and capital improvements;</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tabs>
          <w:tab w:leader="none" w:pos="8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resource efficiency transformation initiatives;</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line="246" w:lineRule="auto"/>
        <w:tabs>
          <w:tab w:leader="none" w:pos="79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federal, state, local and foreign government laws, rules and regulations, including environmental and health and safety laws and regulations;</w:t>
      </w:r>
    </w:p>
    <w:p>
      <w:pPr>
        <w:ind w:left="800" w:hanging="635"/>
        <w:spacing w:after="0" w:line="246" w:lineRule="auto"/>
        <w:tabs>
          <w:tab w:leader="none" w:pos="79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00" w:hanging="635"/>
        <w:spacing w:after="0"/>
        <w:tabs>
          <w:tab w:leader="none" w:pos="8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failure to adapt to technological developments or industry trends regarding information technology;</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tabs>
          <w:tab w:leader="none" w:pos="8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launch and promote adoption of new products, technology, services and programs;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7" w:name="page38"/>
    <w:bookmarkEnd w:id="37"/>
    <w:p>
      <w:pPr>
        <w:ind w:left="800" w:hanging="635"/>
        <w:spacing w:after="0" w:line="258" w:lineRule="auto"/>
        <w:tabs>
          <w:tab w:leader="none" w:pos="7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workforce, including increased labor costs, loss of key personnel and our ability to maintain adequate staffing, including hiring and retaining a sufficient seasonal workforce;</w:t>
      </w:r>
    </w:p>
    <w:p>
      <w:pPr>
        <w:ind w:left="800" w:hanging="635"/>
        <w:spacing w:after="0"/>
        <w:tabs>
          <w:tab w:leader="none" w:pos="80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labor disruptions or strikes from labor unions representing certain employees;</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line="246" w:lineRule="auto"/>
        <w:tabs>
          <w:tab w:leader="none" w:pos="7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w:t>
      </w:r>
    </w:p>
    <w:p>
      <w:pPr>
        <w:ind w:left="800" w:hanging="635"/>
        <w:spacing w:after="0" w:line="246" w:lineRule="auto"/>
        <w:tabs>
          <w:tab w:leader="none" w:pos="7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deterioration in the quality or reputation of our brands, including our ability to protect our intellectual property and the risk of accidents at our mountain resorts;</w:t>
      </w:r>
    </w:p>
    <w:p>
      <w:pPr>
        <w:ind w:left="800" w:hanging="635"/>
        <w:spacing w:after="0"/>
        <w:tabs>
          <w:tab w:leader="none" w:pos="80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scrutiny and changing expectations regarding our environmental, social and governance practices and reporting;</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line="246" w:lineRule="auto"/>
        <w:tabs>
          <w:tab w:leader="none" w:pos="7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international operations, including fluctuations in foreign currency exchange rates where the Company has foreign currency exposure, primarily the Canadian and Australian dollars and the Swiss franc, as compared to the U.S. dollar;</w:t>
      </w:r>
    </w:p>
    <w:p>
      <w:pPr>
        <w:ind w:left="800" w:hanging="635"/>
        <w:spacing w:after="0"/>
        <w:tabs>
          <w:tab w:leader="none" w:pos="80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laws, regulations or interpretations, or adverse determinations by taxing authorities;</w:t>
      </w:r>
    </w:p>
    <w:p>
      <w:pPr>
        <w:spacing w:after="0" w:line="5" w:lineRule="exact"/>
        <w:rPr>
          <w:rFonts w:ascii="Times New Roman" w:cs="Times New Roman" w:eastAsia="Times New Roman" w:hAnsi="Times New Roman"/>
          <w:sz w:val="18"/>
          <w:szCs w:val="18"/>
          <w:i w:val="1"/>
          <w:iCs w:val="1"/>
          <w:color w:val="auto"/>
        </w:rPr>
      </w:pPr>
    </w:p>
    <w:p>
      <w:pPr>
        <w:jc w:val="both"/>
        <w:ind w:left="800" w:hanging="635"/>
        <w:spacing w:after="0" w:line="246" w:lineRule="auto"/>
        <w:tabs>
          <w:tab w:leader="none" w:pos="7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ind w:left="800" w:hanging="635"/>
        <w:spacing w:after="0"/>
        <w:tabs>
          <w:tab w:leader="none" w:pos="80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materially adverse change in our financial condition;</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tabs>
          <w:tab w:leader="none" w:pos="80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consequences of current or future litigation and legal claims;</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tabs>
          <w:tab w:leader="none" w:pos="80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judgments and estimates, accounting principles, policies or guidelines; and</w:t>
      </w:r>
    </w:p>
    <w:p>
      <w:pPr>
        <w:spacing w:after="0" w:line="5" w:lineRule="exact"/>
        <w:rPr>
          <w:rFonts w:ascii="Times New Roman" w:cs="Times New Roman" w:eastAsia="Times New Roman" w:hAnsi="Times New Roman"/>
          <w:sz w:val="18"/>
          <w:szCs w:val="18"/>
          <w:i w:val="1"/>
          <w:iCs w:val="1"/>
          <w:color w:val="auto"/>
        </w:rPr>
      </w:pPr>
    </w:p>
    <w:p>
      <w:pPr>
        <w:ind w:left="800" w:hanging="635"/>
        <w:spacing w:after="0" w:line="252" w:lineRule="auto"/>
        <w:tabs>
          <w:tab w:leader="none" w:pos="7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risks and uncertainties included under Part 1. Item 1A. “Risk Factors” of our Annual Report on Form 10-K for the fiscal year ended July 31,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w:t>
      </w:r>
    </w:p>
    <w:p>
      <w:pPr>
        <w:spacing w:after="0" w:line="2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is limited primarily to the fluctuating interest rates associated with variable rate indebtedness.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January 31, 2025, we had approximately $1.0 billion of variable rate indebtedness, representing approximately 36.5% of our total debt outstanding, at an average interest rate during the six months ended January 31, 2025 of approximately 6.4%. Based on variable-rate borrowings outstanding as of January 31, 2025, a 100-basis point (or 1.0%) change in our borrowing rates would result in our annual interest payments changing by approximately $9.9 million. Our market risk exposure fluctuates based on changes in underlying interest rates.</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currency translation risk because the results of our international entities are reported in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which we then translate to U.S. dollars for inclusion in our Consolidated Condensed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are reported in Canadian dollars, the results of our Australian resorts are reported in Australian dollars and the results of our Swiss resorts are reported in Swiss francs, each of which we then translate to U.S. dollars for inclusion in our Consolidated Condensed Financial Statements. We do not currently enter into hedging arrangements to minimize the impact of foreign currency fluctuations on our operations.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8" w:name="page39"/>
    <w:bookmarkEnd w:id="38"/>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amounts of foreign currency translation adjustments, representing losses, and foreign currency loss on intercompany loans recognized in comprehensive income (loss)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3"/>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4"/>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7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(91,818)</w:t>
            </w:r>
          </w:p>
        </w:tc>
        <w:tc>
          <w:tcPr>
            <w:tcW w:w="4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(21,212)</w:t>
            </w:r>
          </w:p>
        </w:tc>
      </w:tr>
      <w:tr>
        <w:trPr>
          <w:trHeight w:val="226"/>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4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Management of the Company, under the supervision and with participation of the Chief Executive Officer (the “CEO”) and Chief Financial Officer (the “CFO”), evaluated the effectiveness of the Company’s “disclosure controls and procedures” as such term is defined in Rule 13a-15(e) and 15d-15(e) under the Securities Exchange Act of 1934, as amended (the “Act”), as of the end of the period covered by this Quarterly Report on Form 10-Q.</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January 31, 2025 that have materially affected, or are reasonably likely to materially affect, the Company’s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our Form 10-K, which was filed on September 26, 2024 as of and for the year ended July 31, 2024.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Equity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purchases of Vail Shares during the second quarter of fiscal 2025:</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2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4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44"/>
        </w:trPr>
        <w:tc>
          <w:tcPr>
            <w:tcW w:w="384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80" w:type="dxa"/>
            <w:vAlign w:val="bottom"/>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3"/>
        </w:trPr>
        <w:tc>
          <w:tcPr>
            <w:tcW w:w="3840" w:type="dxa"/>
            <w:vAlign w:val="bottom"/>
            <w:tcBorders>
              <w:bottom w:val="single" w:sz="8" w:color="auto"/>
            </w:tcBorders>
            <w:vMerge w:val="continue"/>
          </w:tcPr>
          <w:p>
            <w:pPr>
              <w:spacing w:after="0"/>
              <w:rPr>
                <w:sz w:val="16"/>
                <w:szCs w:val="16"/>
                <w:color w:val="auto"/>
              </w:rPr>
            </w:pPr>
          </w:p>
        </w:tc>
        <w:tc>
          <w:tcPr>
            <w:tcW w:w="24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2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1,615,520</w:t>
            </w: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2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102,268</w:t>
            </w:r>
          </w:p>
        </w:tc>
        <w:tc>
          <w:tcPr>
            <w:tcW w:w="4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195.56</w:t>
            </w:r>
          </w:p>
        </w:tc>
        <w:tc>
          <w:tcPr>
            <w:tcW w:w="16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102,268</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1,513,252</w:t>
            </w:r>
          </w:p>
        </w:tc>
        <w:tc>
          <w:tcPr>
            <w:tcW w:w="0" w:type="dxa"/>
            <w:vAlign w:val="bottom"/>
          </w:tcPr>
          <w:p>
            <w:pPr>
              <w:spacing w:after="0"/>
              <w:rPr>
                <w:sz w:val="1"/>
                <w:szCs w:val="1"/>
                <w:color w:val="auto"/>
              </w:rPr>
            </w:pPr>
          </w:p>
        </w:tc>
      </w:tr>
      <w:tr>
        <w:trPr>
          <w:trHeight w:val="226"/>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24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1,513,252</w:t>
            </w:r>
          </w:p>
        </w:tc>
        <w:tc>
          <w:tcPr>
            <w:tcW w:w="0" w:type="dxa"/>
            <w:vAlign w:val="bottom"/>
          </w:tcPr>
          <w:p>
            <w:pPr>
              <w:spacing w:after="0"/>
              <w:rPr>
                <w:sz w:val="1"/>
                <w:szCs w:val="1"/>
                <w:color w:val="auto"/>
              </w:rPr>
            </w:pPr>
          </w:p>
        </w:tc>
      </w:tr>
      <w:tr>
        <w:trPr>
          <w:trHeight w:val="219"/>
        </w:trPr>
        <w:tc>
          <w:tcPr>
            <w:tcW w:w="3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102,268</w:t>
            </w:r>
          </w:p>
        </w:tc>
        <w:tc>
          <w:tcPr>
            <w:tcW w:w="4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195.56</w:t>
            </w:r>
          </w:p>
        </w:tc>
        <w:tc>
          <w:tcPr>
            <w:tcW w:w="1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color w:val="auto"/>
              </w:rPr>
              <w:t>102,268</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1,513,252</w:t>
            </w: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520" w:right="100" w:hanging="410"/>
        <w:spacing w:after="0" w:line="214"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repurchase program is conducted under authorizations made from time to time by our Board of Directors. The Board of Directors initially authorized the repurchase of up to 3,000,000 Vail Shares (March 9, 2006), and later authorized additional repurchases of up to 3,000,000 Vail Shares (July 16, 2008), 1,500,000 Vail Shares (December 4, 2015), 2,500,000 Vail Shares (March 7, 2023), and 1,100,000 (September 25, 2024), for a total authorization to repurchase up to 11,100,000 Vail Shares. As of January 31, 2025, 1,513,252 Vail Shares remained available to repurchase under the existing repurchase authorization. Repurchases under these authorizations may be made from time to time at prevailing prices as permitted by applicable laws, including under plans complying with Rule 10b5-1 under the Securities Exchange Act of 1934, as amended, and subject to market conditions and other factors. These authorizations have no expiration date.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Rule 10b5-1 Trading Arrangements</w:t>
      </w:r>
    </w:p>
    <w:p>
      <w:pPr>
        <w:spacing w:after="0" w:line="113"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7"/>
          <w:szCs w:val="17"/>
          <w:color w:val="auto"/>
        </w:rPr>
        <w:t>During the three months ended January 31, 2025, none of the Company’s directors or “officers” (as defined in Rule 16a-1(f) under the Exchange Act) adopted, modified or terminated “Rule 10b5-1 trading arrangements” or “non-Rule 10b5-1 trading arrangements” (each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580" w:type="dxa"/>
            <w:vAlign w:val="bottom"/>
            <w:gridSpan w:val="7"/>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58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Form of Restricted Share Unit Agreement.</w:t>
            </w:r>
          </w:p>
        </w:tc>
        <w:tc>
          <w:tcPr>
            <w:tcW w:w="69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Form of Share Appreciation Rights Agreement.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940" w:type="dxa"/>
            <w:vAlign w:val="bottom"/>
            <w:gridSpan w:val="10"/>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Vail Resorts, Inc. 2024 Omnibus Incentive Plan (Incorporated by reference to Exhibit 10.1 on Form 8-K of Vail Resorts, Inc. filed on</w:t>
              </w:r>
            </w:hyperlink>
          </w:p>
        </w:tc>
        <w:tc>
          <w:tcPr>
            <w:tcW w:w="0" w:type="dxa"/>
            <w:vAlign w:val="bottom"/>
          </w:tcPr>
          <w:p>
            <w:pPr>
              <w:spacing w:after="0"/>
              <w:rPr>
                <w:sz w:val="1"/>
                <w:szCs w:val="1"/>
                <w:color w:val="auto"/>
              </w:rPr>
            </w:pPr>
          </w:p>
        </w:tc>
      </w:tr>
      <w:tr>
        <w:trPr>
          <w:trHeight w:val="152"/>
        </w:trPr>
        <w:tc>
          <w:tcPr>
            <w:tcW w:w="1320" w:type="dxa"/>
            <w:vAlign w:val="bottom"/>
          </w:tcPr>
          <w:p>
            <w:pPr>
              <w:spacing w:after="0"/>
              <w:rPr>
                <w:sz w:val="13"/>
                <w:szCs w:val="13"/>
                <w:color w:val="auto"/>
              </w:rPr>
            </w:pPr>
          </w:p>
        </w:tc>
        <w:tc>
          <w:tcPr>
            <w:tcW w:w="290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rPr>
            </w:pPr>
            <w:hyperlink r:id="rId53">
              <w:r>
                <w:rPr>
                  <w:rFonts w:ascii="Times New Roman" w:cs="Times New Roman" w:eastAsia="Times New Roman" w:hAnsi="Times New Roman"/>
                  <w:sz w:val="17"/>
                  <w:szCs w:val="17"/>
                  <w:color w:val="0000FF"/>
                </w:rPr>
                <w:t>December 9, 2024 (File No. 001-09614).</w:t>
              </w:r>
            </w:hyperlink>
          </w:p>
        </w:tc>
        <w:tc>
          <w:tcPr>
            <w:tcW w:w="70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First Amendment to the Ninth Amended and Restated Credit Agreement, dated as of January 27, 2025, between Vail Holdings, Inc., as</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7"/>
          </w:tcPr>
          <w:p>
            <w:pPr>
              <w:spacing w:after="0" w:line="153" w:lineRule="exact"/>
              <w:rPr>
                <w:sz w:val="20"/>
                <w:szCs w:val="20"/>
                <w:color w:val="auto"/>
              </w:rPr>
            </w:pPr>
            <w:r>
              <w:rPr>
                <w:rFonts w:ascii="Times New Roman" w:cs="Times New Roman" w:eastAsia="Times New Roman" w:hAnsi="Times New Roman"/>
                <w:sz w:val="17"/>
                <w:szCs w:val="17"/>
                <w:color w:val="0000FF"/>
              </w:rPr>
              <w:t>borrower, Vail Resorts, Inc. and certain subsidiaries of Vail Resorts, Inc., as guarantors, and Bank of America, N.A., as administrative</w:t>
            </w: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20" w:type="dxa"/>
            <w:vAlign w:val="bottom"/>
          </w:tcPr>
          <w:p>
            <w:pPr>
              <w:spacing w:after="0"/>
              <w:rPr>
                <w:sz w:val="13"/>
                <w:szCs w:val="13"/>
                <w:color w:val="auto"/>
              </w:rPr>
            </w:pPr>
          </w:p>
        </w:tc>
        <w:tc>
          <w:tcPr>
            <w:tcW w:w="9900" w:type="dxa"/>
            <w:vAlign w:val="bottom"/>
            <w:gridSpan w:val="8"/>
          </w:tcPr>
          <w:p>
            <w:pPr>
              <w:spacing w:after="0" w:line="153" w:lineRule="exact"/>
              <w:rPr>
                <w:sz w:val="20"/>
                <w:szCs w:val="20"/>
                <w:color w:val="auto"/>
              </w:rPr>
            </w:pPr>
            <w:r>
              <w:rPr>
                <w:rFonts w:ascii="Times New Roman" w:cs="Times New Roman" w:eastAsia="Times New Roman" w:hAnsi="Times New Roman"/>
                <w:sz w:val="17"/>
                <w:szCs w:val="17"/>
                <w:color w:val="0000FF"/>
              </w:rPr>
              <w:t>agent, on its own behalf and on the behalf of the Lenders party thereto.</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000" w:type="dxa"/>
            <w:vAlign w:val="bottom"/>
            <w:gridSpan w:val="4"/>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302 of the Sarbanes-Oxley Act of 2002.</w:t>
            </w:r>
          </w:p>
        </w:tc>
        <w:tc>
          <w:tcPr>
            <w:tcW w:w="284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340" w:right="20" w:hanging="1316"/>
        <w:spacing w:after="0" w:line="234"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 906 of the Sarbanes-Oxley Act of 2002.</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as its XBRL tags are embedded within the</w:t>
            </w:r>
          </w:p>
        </w:tc>
      </w:tr>
      <w:tr>
        <w:trPr>
          <w:trHeight w:val="232"/>
        </w:trPr>
        <w:tc>
          <w:tcPr>
            <w:tcW w:w="1000" w:type="dxa"/>
            <w:vAlign w:val="bottom"/>
          </w:tcPr>
          <w:p>
            <w:pPr>
              <w:spacing w:after="0"/>
              <w:rPr>
                <w:sz w:val="20"/>
                <w:szCs w:val="20"/>
                <w:color w:val="auto"/>
              </w:rPr>
            </w:pP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8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7" w:lineRule="exact"/>
        <w:rPr>
          <w:sz w:val="20"/>
          <w:szCs w:val="20"/>
          <w:color w:val="auto"/>
        </w:rPr>
      </w:pPr>
    </w:p>
    <w:p>
      <w:pPr>
        <w:ind w:right="3860" w:firstLine="24"/>
        <w:spacing w:after="0" w:line="474" w:lineRule="auto"/>
        <w:tabs>
          <w:tab w:leader="none" w:pos="13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*Management contracts and compensatory plans and arrangements.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1" w:name="page42"/>
    <w:bookmarkEnd w:id="4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Vail Resorts, Inc.</w:t>
            </w:r>
          </w:p>
        </w:tc>
      </w:tr>
      <w:tr>
        <w:trPr>
          <w:trHeight w:val="49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2025</w:t>
            </w:r>
          </w:p>
        </w:tc>
        <w:tc>
          <w:tcPr>
            <w:tcW w:w="25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Angela A. Korch</w:t>
            </w:r>
          </w:p>
        </w:tc>
      </w:tr>
      <w:tr>
        <w:trPr>
          <w:trHeight w:val="214"/>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Angela A. Korch</w:t>
            </w:r>
          </w:p>
        </w:tc>
      </w:tr>
      <w:tr>
        <w:trPr>
          <w:trHeight w:val="226"/>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Executive Vice President and Chief Financial Officer</w:t>
            </w:r>
          </w:p>
        </w:tc>
      </w:tr>
      <w:tr>
        <w:trPr>
          <w:trHeight w:val="232"/>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(Principal Financial Officer)</w:t>
            </w:r>
          </w:p>
        </w:tc>
      </w:tr>
      <w:tr>
        <w:trPr>
          <w:trHeight w:val="49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2025</w:t>
            </w:r>
          </w:p>
        </w:tc>
        <w:tc>
          <w:tcPr>
            <w:tcW w:w="25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Nathan Gronberg</w:t>
            </w:r>
          </w:p>
        </w:tc>
      </w:tr>
      <w:tr>
        <w:trPr>
          <w:trHeight w:val="214"/>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Nathan Gronberg</w:t>
            </w:r>
          </w:p>
        </w:tc>
      </w:tr>
      <w:tr>
        <w:trPr>
          <w:trHeight w:val="178"/>
        </w:trPr>
        <w:tc>
          <w:tcPr>
            <w:tcW w:w="35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820" w:type="dxa"/>
            <w:vAlign w:val="bottom"/>
          </w:tcPr>
          <w:p>
            <w:pPr>
              <w:ind w:left="1320"/>
              <w:spacing w:after="0" w:line="177" w:lineRule="exact"/>
              <w:rPr>
                <w:sz w:val="20"/>
                <w:szCs w:val="20"/>
                <w:color w:val="auto"/>
              </w:rPr>
            </w:pPr>
            <w:r>
              <w:rPr>
                <w:rFonts w:ascii="Times New Roman" w:cs="Times New Roman" w:eastAsia="Times New Roman" w:hAnsi="Times New Roman"/>
                <w:sz w:val="18"/>
                <w:szCs w:val="18"/>
                <w:color w:val="auto"/>
              </w:rPr>
              <w:t>Vice President, Controller and</w:t>
            </w:r>
          </w:p>
        </w:tc>
      </w:tr>
      <w:tr>
        <w:trPr>
          <w:trHeight w:val="232"/>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Accounting Officer</w:t>
            </w:r>
          </w:p>
        </w:tc>
      </w:tr>
      <w:tr>
        <w:trPr>
          <w:trHeight w:val="234"/>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Accounting Officer)</w:t>
            </w:r>
          </w:p>
        </w:tc>
      </w:tr>
    </w:tbl>
    <w:p>
      <w:pPr>
        <w:sectPr>
          <w:pgSz w:w="11900" w:h="16838" w:orient="portrait"/>
          <w:cols w:equalWidth="0" w:num="1">
            <w:col w:w="11000"/>
          </w:cols>
          <w:pgMar w:left="320" w:top="119" w:right="579" w:bottom="1440" w:gutter="0" w:footer="0" w:header="0"/>
        </w:sectPr>
      </w:pPr>
    </w:p>
    <w:bookmarkStart w:id="42" w:name="page43"/>
    <w:bookmarkEnd w:id="42"/>
    <w:p>
      <w:pPr>
        <w:ind w:left="1014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VAIL RESORTS,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SHARE UNIT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199" w:lineRule="exact"/>
        <w:rPr>
          <w:sz w:val="20"/>
          <w:szCs w:val="20"/>
          <w:color w:val="auto"/>
        </w:rPr>
      </w:pPr>
    </w:p>
    <w:p>
      <w:pPr>
        <w:jc w:val="both"/>
        <w:ind w:firstLine="637"/>
        <w:spacing w:after="0" w:line="244" w:lineRule="auto"/>
        <w:rPr>
          <w:sz w:val="20"/>
          <w:szCs w:val="20"/>
          <w:color w:val="auto"/>
        </w:rPr>
      </w:pPr>
      <w:r>
        <w:rPr>
          <w:rFonts w:ascii="Times New Roman" w:cs="Times New Roman" w:eastAsia="Times New Roman" w:hAnsi="Times New Roman"/>
          <w:sz w:val="21"/>
          <w:szCs w:val="21"/>
          <w:color w:val="auto"/>
        </w:rPr>
        <w:t>THIS AGREEMENT is between Vail Resorts, Inc., a Delaware corporation (the “Company”), and the Participant who receives this Agreement in connection with an award of Restricted Share Units under the Company’s 2024 Omnibus Incentive Plan (the “Plan”), the terms of which are incorporated herein by reference. Capitalized terms used and not defined herein have the meanings set forth in the Plan.</w:t>
      </w:r>
    </w:p>
    <w:p>
      <w:pPr>
        <w:spacing w:after="0" w:line="185" w:lineRule="exact"/>
        <w:rPr>
          <w:sz w:val="20"/>
          <w:szCs w:val="20"/>
          <w:color w:val="auto"/>
        </w:rPr>
      </w:pPr>
    </w:p>
    <w:p>
      <w:pPr>
        <w:jc w:val="both"/>
        <w:ind w:firstLine="637"/>
        <w:spacing w:after="0" w:line="272" w:lineRule="auto"/>
        <w:rPr>
          <w:sz w:val="20"/>
          <w:szCs w:val="20"/>
          <w:color w:val="auto"/>
        </w:rPr>
      </w:pPr>
      <w:r>
        <w:rPr>
          <w:rFonts w:ascii="Times New Roman" w:cs="Times New Roman" w:eastAsia="Times New Roman" w:hAnsi="Times New Roman"/>
          <w:sz w:val="21"/>
          <w:szCs w:val="21"/>
          <w:color w:val="auto"/>
        </w:rPr>
        <w:t>NOW, THEREFORE, in consideration of the premises and mutual covenants contained herein, and for other good and valuable consideration, the parties hereto agree as follows.</w:t>
      </w:r>
    </w:p>
    <w:p>
      <w:pPr>
        <w:spacing w:after="0" w:line="156" w:lineRule="exact"/>
        <w:rPr>
          <w:sz w:val="20"/>
          <w:szCs w:val="20"/>
          <w:color w:val="auto"/>
        </w:rPr>
      </w:pPr>
    </w:p>
    <w:p>
      <w:pPr>
        <w:jc w:val="both"/>
        <w:ind w:left="640" w:hanging="316"/>
        <w:spacing w:after="0" w:line="241" w:lineRule="auto"/>
        <w:tabs>
          <w:tab w:leader="none" w:pos="632" w:val="left"/>
        </w:tabs>
        <w:numPr>
          <w:ilvl w:val="0"/>
          <w:numId w:val="15"/>
        </w:numPr>
        <w:rPr>
          <w:rFonts w:ascii="Calibri" w:cs="Calibri" w:eastAsia="Calibri" w:hAnsi="Calibri"/>
          <w:sz w:val="19"/>
          <w:szCs w:val="19"/>
          <w:color w:val="auto"/>
        </w:rPr>
      </w:pPr>
      <w:r>
        <w:rPr>
          <w:rFonts w:ascii="Times New Roman" w:cs="Times New Roman" w:eastAsia="Times New Roman" w:hAnsi="Times New Roman"/>
          <w:sz w:val="21"/>
          <w:szCs w:val="21"/>
          <w:u w:val="single" w:color="auto"/>
          <w:color w:val="auto"/>
        </w:rPr>
        <w:t>Award of Restricted Share Units</w:t>
      </w:r>
      <w:r>
        <w:rPr>
          <w:rFonts w:ascii="Times New Roman" w:cs="Times New Roman" w:eastAsia="Times New Roman" w:hAnsi="Times New Roman"/>
          <w:sz w:val="21"/>
          <w:szCs w:val="21"/>
          <w:color w:val="auto"/>
        </w:rPr>
        <w:t>. Pursuant to the provisions of the Plan, the terms of which are incorporated herein by reference, you may, from time to time, be awarded Restricted Share Units (the “Award”), subject to the terms and conditions of the Plan and those herein set forth. An Award is granted as of the date set forth in the notification to you of such Award (the “Date of Grant”). Capitalized terms used herein and not defined shall have the meanings set forth in the Plan. In the event of any conflict between this Agreement and the Plan, the Plan shall control.</w:t>
      </w:r>
    </w:p>
    <w:p>
      <w:pPr>
        <w:spacing w:after="0" w:line="201" w:lineRule="exact"/>
        <w:rPr>
          <w:rFonts w:ascii="Calibri" w:cs="Calibri" w:eastAsia="Calibri" w:hAnsi="Calibri"/>
          <w:sz w:val="19"/>
          <w:szCs w:val="19"/>
          <w:color w:val="auto"/>
        </w:rPr>
      </w:pPr>
    </w:p>
    <w:p>
      <w:pPr>
        <w:ind w:left="640" w:right="20" w:hanging="316"/>
        <w:spacing w:after="0" w:line="259" w:lineRule="auto"/>
        <w:tabs>
          <w:tab w:leader="none" w:pos="640" w:val="left"/>
        </w:tabs>
        <w:numPr>
          <w:ilvl w:val="0"/>
          <w:numId w:val="1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Terms and Conditions</w:t>
      </w:r>
      <w:r>
        <w:rPr>
          <w:rFonts w:ascii="Times New Roman" w:cs="Times New Roman" w:eastAsia="Times New Roman" w:hAnsi="Times New Roman"/>
          <w:sz w:val="21"/>
          <w:szCs w:val="21"/>
          <w:color w:val="auto"/>
        </w:rPr>
        <w:t>. It is understood and agreed that the Award of Restricted Share Units is subject to the following terms and conditions:</w:t>
      </w:r>
    </w:p>
    <w:p>
      <w:pPr>
        <w:spacing w:after="0" w:line="181" w:lineRule="exact"/>
        <w:rPr>
          <w:rFonts w:ascii="Times New Roman" w:cs="Times New Roman" w:eastAsia="Times New Roman" w:hAnsi="Times New Roman"/>
          <w:sz w:val="21"/>
          <w:szCs w:val="21"/>
          <w:u w:val="single" w:color="auto"/>
          <w:color w:val="auto"/>
        </w:rPr>
      </w:pPr>
    </w:p>
    <w:p>
      <w:pPr>
        <w:ind w:left="640" w:hanging="316"/>
        <w:spacing w:after="0" w:line="259" w:lineRule="auto"/>
        <w:tabs>
          <w:tab w:leader="none" w:pos="6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Award</w:t>
      </w:r>
      <w:r>
        <w:rPr>
          <w:rFonts w:ascii="Times New Roman" w:cs="Times New Roman" w:eastAsia="Times New Roman" w:hAnsi="Times New Roman"/>
          <w:sz w:val="21"/>
          <w:szCs w:val="21"/>
          <w:color w:val="auto"/>
        </w:rPr>
        <w:t>. Subject to Sections 4 and 5 below and the other terms and conditions of this Agreement, the Award shall become vested as provided in the notification to you of such Award.</w:t>
      </w:r>
    </w:p>
    <w:p>
      <w:pPr>
        <w:spacing w:after="0" w:line="168" w:lineRule="exact"/>
        <w:rPr>
          <w:rFonts w:ascii="Times New Roman" w:cs="Times New Roman" w:eastAsia="Times New Roman" w:hAnsi="Times New Roman"/>
          <w:sz w:val="21"/>
          <w:szCs w:val="21"/>
          <w:color w:val="auto"/>
        </w:rPr>
      </w:pPr>
    </w:p>
    <w:p>
      <w:pPr>
        <w:jc w:val="both"/>
        <w:ind w:left="640" w:hanging="316"/>
        <w:spacing w:after="0" w:line="235" w:lineRule="auto"/>
        <w:tabs>
          <w:tab w:leader="none" w:pos="6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Notwithstanding any provision of this Agreement to the contrary, in the event that the successor corporation in a Change in Control does not assume or substitute for the Award (or portion thereof), the Committee will (i) cause any or all of such Award (or portion thereof) to terminate in exchange for cash, rights or other property having a value (as determined by the Committee acting in good faith) equal to the formula or fixed price per share paid to holders of Shares pursuant to such Change in Control, with respect to each Share underlying the Restricted Share Units, or (ii) cause the Participant to fully vest in the Award and all restrictions on the Award to lapse, and, with respect to any performance criteria, all performance goals will be deemed achieved at the greater of actual performance or 100% of target levels and all other terms and conditions shall be deemed met, in each case, to the extent the Award otherwise remains outstanding and has not otherwise vested or been forfeited as of any such Change in Control.</w:t>
      </w:r>
    </w:p>
    <w:p>
      <w:pPr>
        <w:spacing w:after="0" w:line="193" w:lineRule="exact"/>
        <w:rPr>
          <w:rFonts w:ascii="Times New Roman" w:cs="Times New Roman" w:eastAsia="Times New Roman" w:hAnsi="Times New Roman"/>
          <w:sz w:val="21"/>
          <w:szCs w:val="21"/>
          <w:color w:val="auto"/>
        </w:rPr>
      </w:pPr>
    </w:p>
    <w:p>
      <w:pPr>
        <w:jc w:val="both"/>
        <w:ind w:left="640"/>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in the event that the Award is assumed or substituted or otherwise continued by a successor in a Change in Control, the following terms shall apply. In the event of your termination of continuous service or employment without Cause by the successor or its affiliates in a Change in Control during the 12-month period following a Change in Control, the Award shall fully vest and all restrictions on the Award shall lapse, and, with respect to any performance criteria, all performance goals will be deemed achieved at the greater of actual</w:t>
      </w:r>
    </w:p>
    <w:p>
      <w:pPr>
        <w:sectPr>
          <w:pgSz w:w="11900" w:h="16838" w:orient="portrait"/>
          <w:cols w:equalWidth="0" w:num="1">
            <w:col w:w="11240"/>
          </w:cols>
          <w:pgMar w:left="320" w:top="121" w:right="339" w:bottom="1440" w:gutter="0" w:footer="0" w:header="0"/>
        </w:sectPr>
      </w:pPr>
    </w:p>
    <w:bookmarkStart w:id="43" w:name="page44"/>
    <w:bookmarkEnd w:id="43"/>
    <w:p>
      <w:pPr>
        <w:jc w:val="both"/>
        <w:ind w:left="316"/>
        <w:spacing w:after="0" w:line="239" w:lineRule="auto"/>
        <w:rPr>
          <w:sz w:val="20"/>
          <w:szCs w:val="20"/>
          <w:color w:val="auto"/>
        </w:rPr>
      </w:pPr>
      <w:r>
        <w:rPr>
          <w:rFonts w:ascii="Times New Roman" w:cs="Times New Roman" w:eastAsia="Times New Roman" w:hAnsi="Times New Roman"/>
          <w:sz w:val="21"/>
          <w:szCs w:val="21"/>
          <w:color w:val="auto"/>
        </w:rPr>
        <w:t>performance or 100% of target levels and all other terms and conditions shall be deemed met, in each case, to the extent the Award otherwise remains outstanding and has not otherwise vested or been forfeited. The good faith determination by the Company of whether your service or employment was terminated by the Company for Cause shall be final and binding for all purposes hereunder. For the avoidance of doubt, the foregoing shall apply to the extent and in a manner consistent with the requirements of Section 409A of the Internal Revenue Code.</w:t>
      </w:r>
    </w:p>
    <w:p>
      <w:pPr>
        <w:spacing w:after="0" w:line="190" w:lineRule="exact"/>
        <w:rPr>
          <w:sz w:val="20"/>
          <w:szCs w:val="20"/>
          <w:color w:val="auto"/>
        </w:rPr>
      </w:pPr>
    </w:p>
    <w:p>
      <w:pPr>
        <w:ind w:left="316"/>
        <w:spacing w:after="0"/>
        <w:rPr>
          <w:sz w:val="20"/>
          <w:szCs w:val="20"/>
          <w:color w:val="auto"/>
        </w:rPr>
      </w:pPr>
      <w:r>
        <w:rPr>
          <w:rFonts w:ascii="Times New Roman" w:cs="Times New Roman" w:eastAsia="Times New Roman" w:hAnsi="Times New Roman"/>
          <w:sz w:val="21"/>
          <w:szCs w:val="21"/>
          <w:color w:val="auto"/>
        </w:rPr>
        <w:t>The obligations of the Company hereunder shall be binding upon any successor of the Company.</w:t>
      </w:r>
    </w:p>
    <w:p>
      <w:pPr>
        <w:spacing w:after="0" w:line="236" w:lineRule="exact"/>
        <w:rPr>
          <w:sz w:val="20"/>
          <w:szCs w:val="20"/>
          <w:color w:val="auto"/>
        </w:rPr>
      </w:pPr>
    </w:p>
    <w:p>
      <w:pPr>
        <w:jc w:val="both"/>
        <w:ind w:left="316" w:hanging="316"/>
        <w:spacing w:after="0" w:line="238" w:lineRule="auto"/>
        <w:tabs>
          <w:tab w:leader="none" w:pos="307" w:val="left"/>
        </w:tabs>
        <w:numPr>
          <w:ilvl w:val="0"/>
          <w:numId w:val="16"/>
        </w:numPr>
        <w:rPr>
          <w:rFonts w:ascii="Calibri" w:cs="Calibri" w:eastAsia="Calibri" w:hAnsi="Calibri"/>
          <w:sz w:val="19"/>
          <w:szCs w:val="19"/>
          <w:color w:val="auto"/>
        </w:rPr>
      </w:pPr>
      <w:r>
        <w:rPr>
          <w:rFonts w:ascii="Times New Roman" w:cs="Times New Roman" w:eastAsia="Times New Roman" w:hAnsi="Times New Roman"/>
          <w:sz w:val="21"/>
          <w:szCs w:val="21"/>
          <w:u w:val="single" w:color="auto"/>
          <w:color w:val="auto"/>
        </w:rPr>
        <w:t>Termination of Service or Employment; Forfeiture of Unvested Shares; Death; Disability</w:t>
      </w:r>
      <w:r>
        <w:rPr>
          <w:rFonts w:ascii="Times New Roman" w:cs="Times New Roman" w:eastAsia="Times New Roman" w:hAnsi="Times New Roman"/>
          <w:sz w:val="21"/>
          <w:szCs w:val="21"/>
          <w:color w:val="auto"/>
        </w:rPr>
        <w:t>. Upon the termination of your service or employment for any reason, by you or by the Company and/or its Subsidiaries, with or without Cause prior to the date that the Award otherwise becomes vested, the unvested portion of the Award shall immediately be forfeited by you and become the property of the Company. Notwithstanding the foregoing, if your employment with the Company and/or its Subsidiaries terminates as a result of your death or separation from employment due to Disability, then the Award, if not already vested under Section 3, will vest in full as of the date of death or separation from employment due to Disability.</w:t>
      </w:r>
    </w:p>
    <w:p>
      <w:pPr>
        <w:spacing w:after="0" w:line="202" w:lineRule="exact"/>
        <w:rPr>
          <w:rFonts w:ascii="Calibri" w:cs="Calibri" w:eastAsia="Calibri" w:hAnsi="Calibri"/>
          <w:sz w:val="19"/>
          <w:szCs w:val="19"/>
          <w:color w:val="auto"/>
        </w:rPr>
      </w:pPr>
    </w:p>
    <w:p>
      <w:pPr>
        <w:jc w:val="both"/>
        <w:ind w:left="316" w:hanging="316"/>
        <w:spacing w:after="0" w:line="235" w:lineRule="auto"/>
        <w:tabs>
          <w:tab w:leader="none" w:pos="31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w:t>
      </w:r>
      <w:r>
        <w:rPr>
          <w:rFonts w:ascii="Times New Roman" w:cs="Times New Roman" w:eastAsia="Times New Roman" w:hAnsi="Times New Roman"/>
          <w:sz w:val="21"/>
          <w:szCs w:val="21"/>
          <w:color w:val="auto"/>
        </w:rPr>
        <w:t>. Promptly following the vesting of Restricted Share Units pursuant to the terms and conditions hereof and the satisfaction of any withholding tax liability pursuant to Section 11 hereof, but no later than March 15 of the calendar year following the calendar year in which such vesting occurs, the certificates evidencing the Shares to which the vested Restricted Share Units relate shall be delivered to you or other evidence of the Shares shall be provided to you. In the event of your death and the vesting of this Award pursuant to Section 5 above, the Shares shall be delivered to the executor or administrator of your estate or to the person or persons to whom your rights under this Agreement shall pass by will or by the laws of intestate succession.</w:t>
      </w:r>
    </w:p>
    <w:p>
      <w:pPr>
        <w:spacing w:after="0" w:line="201" w:lineRule="exact"/>
        <w:rPr>
          <w:rFonts w:ascii="Times New Roman" w:cs="Times New Roman" w:eastAsia="Times New Roman" w:hAnsi="Times New Roman"/>
          <w:sz w:val="21"/>
          <w:szCs w:val="21"/>
          <w:color w:val="auto"/>
        </w:rPr>
      </w:pPr>
    </w:p>
    <w:p>
      <w:pPr>
        <w:jc w:val="both"/>
        <w:ind w:left="316" w:hanging="316"/>
        <w:spacing w:after="0" w:line="248" w:lineRule="auto"/>
        <w:tabs>
          <w:tab w:leader="none" w:pos="31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of a Stockholder</w:t>
      </w:r>
      <w:r>
        <w:rPr>
          <w:rFonts w:ascii="Times New Roman" w:cs="Times New Roman" w:eastAsia="Times New Roman" w:hAnsi="Times New Roman"/>
          <w:sz w:val="21"/>
          <w:szCs w:val="21"/>
          <w:color w:val="auto"/>
        </w:rPr>
        <w:t>. You shall have no right to transfer, pledge, hypothecate or otherwise encumber the Restricted Share Units. You shall not have the rights of a stockholder with respect to the Restricted Share Units, including the right to receive dividends.</w:t>
      </w:r>
    </w:p>
    <w:p>
      <w:pPr>
        <w:spacing w:after="0" w:line="179"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1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 to Continued Employment or Service</w:t>
      </w:r>
      <w:r>
        <w:rPr>
          <w:rFonts w:ascii="Times New Roman" w:cs="Times New Roman" w:eastAsia="Times New Roman" w:hAnsi="Times New Roman"/>
          <w:sz w:val="21"/>
          <w:szCs w:val="21"/>
          <w:color w:val="auto"/>
        </w:rPr>
        <w:t>. Nothing in this Agreement shall interfere with or limit in any way the right of the Company and/or its Subsidiaries to terminate your employment or service at any time (with or without Cause), or confer upon you any right to continue in the employ or service of the Company and/or its Subsidiaries for any period of time or to continue to receive your current (or other) rate of compensation. Nothing in this Agreement shall confer upon you any right to be selected to receive additional awards under the Plan or otherwise.</w:t>
      </w:r>
    </w:p>
    <w:p>
      <w:pPr>
        <w:spacing w:after="0" w:line="190" w:lineRule="exact"/>
        <w:rPr>
          <w:rFonts w:ascii="Times New Roman" w:cs="Times New Roman" w:eastAsia="Times New Roman" w:hAnsi="Times New Roman"/>
          <w:sz w:val="21"/>
          <w:szCs w:val="21"/>
          <w:color w:val="auto"/>
        </w:rPr>
      </w:pPr>
    </w:p>
    <w:p>
      <w:pPr>
        <w:jc w:val="both"/>
        <w:ind w:left="316" w:hanging="316"/>
        <w:spacing w:after="0" w:line="244" w:lineRule="auto"/>
        <w:tabs>
          <w:tab w:leader="none" w:pos="31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of Shares</w:t>
      </w:r>
      <w:r>
        <w:rPr>
          <w:rFonts w:ascii="Times New Roman" w:cs="Times New Roman" w:eastAsia="Times New Roman" w:hAnsi="Times New Roman"/>
          <w:sz w:val="21"/>
          <w:szCs w:val="21"/>
          <w:color w:val="auto"/>
        </w:rPr>
        <w:t>. The Shares delivered hereunder, or any interest therein, may be sold, assigned, pledged, hypothecated, encumbered, or transferred or disposed of in any other manner, in whole or in part, only in compliance with the terms, conditions and restrictions as set forth in the governing instruments of the Company, applicable federal and state securities laws or any other applicable laws or regulations and the terms and</w:t>
      </w:r>
    </w:p>
    <w:p>
      <w:pPr>
        <w:sectPr>
          <w:pgSz w:w="11900" w:h="16838" w:orient="portrait"/>
          <w:cols w:equalWidth="0" w:num="1">
            <w:col w:w="10916"/>
          </w:cols>
          <w:pgMar w:left="644" w:top="1386" w:right="339" w:bottom="1440" w:gutter="0" w:footer="0" w:header="0"/>
        </w:sectPr>
      </w:pPr>
    </w:p>
    <w:bookmarkStart w:id="44" w:name="page45"/>
    <w:bookmarkEnd w:id="44"/>
    <w:p>
      <w:pPr>
        <w:ind w:left="640"/>
        <w:spacing w:after="0" w:line="259" w:lineRule="auto"/>
        <w:rPr>
          <w:sz w:val="20"/>
          <w:szCs w:val="20"/>
          <w:color w:val="auto"/>
        </w:rPr>
      </w:pPr>
      <w:r>
        <w:rPr>
          <w:rFonts w:ascii="Times New Roman" w:cs="Times New Roman" w:eastAsia="Times New Roman" w:hAnsi="Times New Roman"/>
          <w:sz w:val="21"/>
          <w:szCs w:val="21"/>
          <w:color w:val="auto"/>
        </w:rPr>
        <w:t>conditions hereof. No Shares shall be issued or transferred unless and until any then applicable requirements of state and federal laws and regulatory agencies have been fully complied with to the satisfaction of the Company and its counsel.</w:t>
      </w:r>
    </w:p>
    <w:p>
      <w:pPr>
        <w:spacing w:after="0" w:line="182" w:lineRule="exact"/>
        <w:rPr>
          <w:sz w:val="20"/>
          <w:szCs w:val="20"/>
          <w:color w:val="auto"/>
        </w:rPr>
      </w:pPr>
    </w:p>
    <w:p>
      <w:pPr>
        <w:jc w:val="both"/>
        <w:ind w:left="640" w:hanging="316"/>
        <w:spacing w:after="0" w:line="248" w:lineRule="auto"/>
        <w:tabs>
          <w:tab w:leader="none" w:pos="6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 of Issuance of Shares</w:t>
      </w:r>
      <w:r>
        <w:rPr>
          <w:rFonts w:ascii="Times New Roman" w:cs="Times New Roman" w:eastAsia="Times New Roman" w:hAnsi="Times New Roman"/>
          <w:sz w:val="21"/>
          <w:szCs w:val="21"/>
          <w:color w:val="auto"/>
        </w:rPr>
        <w:t>. The issuance of stock certificates hereunder shall be without charge to you. The Company shall pay any issuance, stamp or documentary taxes (other than transfer taxes) or charges imposed by any governmental body, agency or official (other than income taxes) by reason of the issuance of Shares.</w:t>
      </w:r>
    </w:p>
    <w:p>
      <w:pPr>
        <w:spacing w:after="0" w:line="179" w:lineRule="exact"/>
        <w:rPr>
          <w:rFonts w:ascii="Times New Roman" w:cs="Times New Roman" w:eastAsia="Times New Roman" w:hAnsi="Times New Roman"/>
          <w:sz w:val="21"/>
          <w:szCs w:val="21"/>
          <w:color w:val="auto"/>
        </w:rPr>
      </w:pPr>
    </w:p>
    <w:p>
      <w:pPr>
        <w:jc w:val="both"/>
        <w:ind w:left="640" w:hanging="316"/>
        <w:spacing w:after="0" w:line="234" w:lineRule="auto"/>
        <w:tabs>
          <w:tab w:leader="none" w:pos="632"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No later than the date of delivery of Shares pursuant to Section 6 hereunder, you shall pay to the Company or make arrangements satisfactory to the Committee regarding payment of any federal, state or local taxes of any kind required by law to be withheld at such time with respect to the Award and the Company shall, to the extent permitted or required by law, have the right to deduct from any payment of any kind otherwise due to you, federal, state and local taxes of any kind required by law to be withheld at such time. You may elect to have the Company withhold Shares to pay any applicable withholding taxes resulting from the Award, in accordance with any rules or regulations of the Committee then in effect. Notwithstanding the foregoing, the maximum number of Shares that may be withheld from the Award to satisfy any federal, state, or local tax withholding requirements upon the vesting of, or payment of Shares pursuant to, the Award, as applicable, may not exceed such number of Shares having a Fair Market Value equal to the minimum statutory amount required by the Company to be withheld and paid to any such federal, state, or local taxing authority with respect to such vesting or payment of Shares, or such greater amount as may be permitted under applicable accounting standards.</w:t>
      </w:r>
    </w:p>
    <w:p>
      <w:pPr>
        <w:spacing w:after="0" w:line="195" w:lineRule="exact"/>
        <w:rPr>
          <w:rFonts w:ascii="Times New Roman" w:cs="Times New Roman" w:eastAsia="Times New Roman" w:hAnsi="Times New Roman"/>
          <w:sz w:val="21"/>
          <w:szCs w:val="21"/>
          <w:color w:val="auto"/>
        </w:rPr>
      </w:pPr>
    </w:p>
    <w:p>
      <w:pPr>
        <w:jc w:val="both"/>
        <w:ind w:left="640" w:hanging="316"/>
        <w:spacing w:after="0" w:line="248" w:lineRule="auto"/>
        <w:tabs>
          <w:tab w:leader="none" w:pos="6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References</w:t>
      </w:r>
      <w:r>
        <w:rPr>
          <w:rFonts w:ascii="Times New Roman" w:cs="Times New Roman" w:eastAsia="Times New Roman" w:hAnsi="Times New Roman"/>
          <w:sz w:val="21"/>
          <w:szCs w:val="21"/>
          <w:color w:val="auto"/>
        </w:rPr>
        <w:t>. References herein to your rights and obligations shall apply, where appropriate, to your legal representative or estate without regard to whether specific reference to such legal representative or estate is contained in a particular provision of this Agreement.</w:t>
      </w:r>
    </w:p>
    <w:p>
      <w:pPr>
        <w:spacing w:after="0" w:line="179" w:lineRule="exact"/>
        <w:rPr>
          <w:rFonts w:ascii="Times New Roman" w:cs="Times New Roman" w:eastAsia="Times New Roman" w:hAnsi="Times New Roman"/>
          <w:sz w:val="21"/>
          <w:szCs w:val="21"/>
          <w:color w:val="auto"/>
        </w:rPr>
      </w:pPr>
    </w:p>
    <w:p>
      <w:pPr>
        <w:jc w:val="both"/>
        <w:ind w:left="640" w:hanging="316"/>
        <w:spacing w:after="0" w:line="239" w:lineRule="auto"/>
        <w:tabs>
          <w:tab w:leader="none" w:pos="6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or permitted to be given under this 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 or by email or other electronic means using a system maintained by the Company when transmitted without a notice of failed delivery:</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to the Company: Vail Resorts, Inc.</w:t>
      </w:r>
    </w:p>
    <w:p>
      <w:pPr>
        <w:ind w:left="3180"/>
        <w:spacing w:after="0" w:line="232" w:lineRule="auto"/>
        <w:rPr>
          <w:sz w:val="20"/>
          <w:szCs w:val="20"/>
          <w:color w:val="auto"/>
        </w:rPr>
      </w:pPr>
      <w:r>
        <w:rPr>
          <w:rFonts w:ascii="Times New Roman" w:cs="Times New Roman" w:eastAsia="Times New Roman" w:hAnsi="Times New Roman"/>
          <w:sz w:val="21"/>
          <w:szCs w:val="21"/>
          <w:color w:val="auto"/>
        </w:rPr>
        <w:t>390 Interlocken Crescent</w:t>
      </w:r>
    </w:p>
    <w:p>
      <w:pPr>
        <w:ind w:left="3180"/>
        <w:spacing w:after="0" w:line="237" w:lineRule="auto"/>
        <w:rPr>
          <w:sz w:val="20"/>
          <w:szCs w:val="20"/>
          <w:color w:val="auto"/>
        </w:rPr>
      </w:pPr>
      <w:r>
        <w:rPr>
          <w:rFonts w:ascii="Times New Roman" w:cs="Times New Roman" w:eastAsia="Times New Roman" w:hAnsi="Times New Roman"/>
          <w:sz w:val="21"/>
          <w:szCs w:val="21"/>
          <w:color w:val="auto"/>
        </w:rPr>
        <w:t>Suite 1000</w:t>
      </w:r>
    </w:p>
    <w:p>
      <w:pPr>
        <w:ind w:left="3180"/>
        <w:spacing w:after="0" w:line="224" w:lineRule="auto"/>
        <w:rPr>
          <w:sz w:val="20"/>
          <w:szCs w:val="20"/>
          <w:color w:val="auto"/>
        </w:rPr>
      </w:pPr>
      <w:r>
        <w:rPr>
          <w:rFonts w:ascii="Times New Roman" w:cs="Times New Roman" w:eastAsia="Times New Roman" w:hAnsi="Times New Roman"/>
          <w:sz w:val="21"/>
          <w:szCs w:val="21"/>
          <w:color w:val="auto"/>
        </w:rPr>
        <w:t>Broomfield, Colorado 80021</w:t>
      </w:r>
    </w:p>
    <w:p>
      <w:pPr>
        <w:spacing w:after="0" w:line="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you: At your most recent address shown on the Company’s</w:t>
      </w:r>
    </w:p>
    <w:p>
      <w:pPr>
        <w:spacing w:after="0" w:line="8" w:lineRule="exact"/>
        <w:rPr>
          <w:sz w:val="20"/>
          <w:szCs w:val="20"/>
          <w:color w:val="auto"/>
        </w:rPr>
      </w:pPr>
    </w:p>
    <w:p>
      <w:pPr>
        <w:ind w:left="3120"/>
        <w:spacing w:after="0" w:line="248" w:lineRule="auto"/>
        <w:rPr>
          <w:sz w:val="20"/>
          <w:szCs w:val="20"/>
          <w:color w:val="auto"/>
        </w:rPr>
      </w:pPr>
      <w:r>
        <w:rPr>
          <w:rFonts w:ascii="Times New Roman" w:cs="Times New Roman" w:eastAsia="Times New Roman" w:hAnsi="Times New Roman"/>
          <w:sz w:val="21"/>
          <w:szCs w:val="21"/>
          <w:color w:val="auto"/>
        </w:rPr>
        <w:t>corporate records, or at any other address which you may specify in a notice delivered to the Company in the manner set forth herein.</w:t>
      </w:r>
    </w:p>
    <w:p>
      <w:pPr>
        <w:sectPr>
          <w:pgSz w:w="11900" w:h="16838" w:orient="portrait"/>
          <w:cols w:equalWidth="0" w:num="1">
            <w:col w:w="11240"/>
          </w:cols>
          <w:pgMar w:left="320" w:top="1386" w:right="339" w:bottom="1440" w:gutter="0" w:footer="0" w:header="0"/>
        </w:sectPr>
      </w:pPr>
    </w:p>
    <w:bookmarkStart w:id="45" w:name="page46"/>
    <w:bookmarkEnd w:id="45"/>
    <w:p>
      <w:pPr>
        <w:spacing w:after="0" w:line="185" w:lineRule="exact"/>
        <w:rPr>
          <w:sz w:val="20"/>
          <w:szCs w:val="20"/>
          <w:color w:val="auto"/>
        </w:rPr>
      </w:pPr>
    </w:p>
    <w:p>
      <w:pPr>
        <w:jc w:val="both"/>
        <w:ind w:left="316" w:hanging="316"/>
        <w:spacing w:after="0" w:line="234" w:lineRule="auto"/>
        <w:tabs>
          <w:tab w:leader="none" w:pos="307"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the Committee shall determine that any dividend in Shares, recapitalization, Share split, reverse split, reorganization, merger, consolidation, spin-off, combination, repurchase, share exchange, or other similar corporate transaction or event affects the Shares such that an adjustment is appropriate in order to prevent dilution or enlargement of your rights under this Award, then the Committee shall make such equitable changes or adjustments as it deems appropriate and adjust, in such manner as it deems equitable, including, without limitation, the number and kind of Shares, other securities or other consideration issued or issuable with respect to this Award. In the event that the Company shall declare an extraordinary cash dividend, then the Committee shall in its discretion either (i) pay you cash when and as your Restricted Share Units vest in an amount equal to the number of Restricted Share Units vested multiplied by the per share amount of such extraordinary cash dividend; or (ii) make such other adjustment as the Committee determines would provide you with a substantially similar benefit.</w:t>
      </w:r>
    </w:p>
    <w:p>
      <w:pPr>
        <w:spacing w:after="0" w:line="192" w:lineRule="exact"/>
        <w:rPr>
          <w:rFonts w:ascii="Times New Roman" w:cs="Times New Roman" w:eastAsia="Times New Roman" w:hAnsi="Times New Roman"/>
          <w:sz w:val="19"/>
          <w:szCs w:val="19"/>
          <w:color w:val="auto"/>
        </w:rPr>
      </w:pPr>
    </w:p>
    <w:p>
      <w:pPr>
        <w:jc w:val="both"/>
        <w:ind w:left="316" w:hanging="316"/>
        <w:spacing w:after="0" w:line="244" w:lineRule="auto"/>
        <w:tabs>
          <w:tab w:leader="none" w:pos="31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you and your beneficiaries, executors, administrators and the person(s) to whom the Restricted Share Units may be transferred by will or the laws of descent or distribution.</w:t>
      </w:r>
    </w:p>
    <w:p>
      <w:pPr>
        <w:spacing w:after="0" w:line="185" w:lineRule="exact"/>
        <w:rPr>
          <w:rFonts w:ascii="Times New Roman" w:cs="Times New Roman" w:eastAsia="Times New Roman" w:hAnsi="Times New Roman"/>
          <w:sz w:val="21"/>
          <w:szCs w:val="21"/>
          <w:color w:val="auto"/>
        </w:rPr>
      </w:pPr>
    </w:p>
    <w:p>
      <w:pPr>
        <w:jc w:val="both"/>
        <w:ind w:left="316" w:hanging="316"/>
        <w:spacing w:after="0" w:line="248" w:lineRule="auto"/>
        <w:tabs>
          <w:tab w:leader="none" w:pos="31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79"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1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you on account of non-compliance with Section 409A of the Code</w:t>
      </w:r>
      <w:r>
        <w:rPr>
          <w:rFonts w:ascii="Times New Roman" w:cs="Times New Roman" w:eastAsia="Times New Roman" w:hAnsi="Times New Roman"/>
          <w:sz w:val="21"/>
          <w:szCs w:val="21"/>
          <w:color w:val="010000"/>
        </w:rPr>
        <w:t>.</w:t>
      </w:r>
    </w:p>
    <w:p>
      <w:pPr>
        <w:spacing w:after="0" w:line="188" w:lineRule="exact"/>
        <w:rPr>
          <w:rFonts w:ascii="Times New Roman" w:cs="Times New Roman" w:eastAsia="Times New Roman" w:hAnsi="Times New Roman"/>
          <w:sz w:val="21"/>
          <w:szCs w:val="21"/>
          <w:color w:val="auto"/>
        </w:rPr>
      </w:pPr>
    </w:p>
    <w:p>
      <w:pPr>
        <w:ind w:left="316" w:hanging="316"/>
        <w:spacing w:after="0" w:line="272" w:lineRule="auto"/>
        <w:tabs>
          <w:tab w:leader="none" w:pos="316" w:val="left"/>
        </w:tabs>
        <w:numPr>
          <w:ilvl w:val="0"/>
          <w:numId w:val="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Delaware, without giving effect to principles of conflict of laws.</w:t>
      </w:r>
    </w:p>
    <w:p>
      <w:pPr>
        <w:spacing w:after="0" w:line="155" w:lineRule="exact"/>
        <w:rPr>
          <w:rFonts w:ascii="Times New Roman" w:cs="Times New Roman" w:eastAsia="Times New Roman" w:hAnsi="Times New Roman"/>
          <w:sz w:val="21"/>
          <w:szCs w:val="21"/>
          <w:color w:val="010000"/>
        </w:rPr>
      </w:pPr>
    </w:p>
    <w:p>
      <w:pPr>
        <w:ind w:left="316" w:hanging="316"/>
        <w:spacing w:after="0"/>
        <w:tabs>
          <w:tab w:leader="none" w:pos="31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By accepting the Award, you agree to be bound by this Agreement.</w:t>
      </w:r>
    </w:p>
    <w:p>
      <w:pPr>
        <w:spacing w:after="0" w:line="222"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1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As part of your responsibilities with the Company, you may have access to or become familiar with information concerning the business of the Company that is of a confidential nature. By accepting this Award, you agree that you will not discuss or disclose any confidential information to any outside individual or institution or to use it for your own benefit except on the direct written authorization of a member of the Executive Committee. Please refer to the Confidential Information section in the Employee Guide for additional information, including a description of the information</w:t>
      </w:r>
    </w:p>
    <w:p>
      <w:pPr>
        <w:sectPr>
          <w:pgSz w:w="11900" w:h="16838" w:orient="portrait"/>
          <w:cols w:equalWidth="0" w:num="1">
            <w:col w:w="10916"/>
          </w:cols>
          <w:pgMar w:left="644" w:top="1440" w:right="339" w:bottom="1440" w:gutter="0" w:footer="0" w:header="0"/>
        </w:sectPr>
      </w:pPr>
    </w:p>
    <w:bookmarkStart w:id="46" w:name="page47"/>
    <w:bookmarkEnd w:id="46"/>
    <w:p>
      <w:pPr>
        <w:spacing w:after="0" w:line="259" w:lineRule="auto"/>
        <w:rPr>
          <w:sz w:val="20"/>
          <w:szCs w:val="20"/>
          <w:color w:val="auto"/>
        </w:rPr>
      </w:pPr>
      <w:r>
        <w:rPr>
          <w:rFonts w:ascii="Times New Roman" w:cs="Times New Roman" w:eastAsia="Times New Roman" w:hAnsi="Times New Roman"/>
          <w:sz w:val="21"/>
          <w:szCs w:val="21"/>
          <w:color w:val="auto"/>
        </w:rPr>
        <w:t>considered confidential. The Company will pursue legal remedies for unauthorized use or disclosure of sensitive, confidential information.</w:t>
      </w:r>
    </w:p>
    <w:p>
      <w:pPr>
        <w:sectPr>
          <w:pgSz w:w="11900" w:h="16838" w:orient="portrait"/>
          <w:cols w:equalWidth="0" w:num="1">
            <w:col w:w="10600"/>
          </w:cols>
          <w:pgMar w:left="960" w:top="1386"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1"/>
          <w:szCs w:val="21"/>
          <w:b w:val="1"/>
          <w:bCs w:val="1"/>
          <w:color w:val="auto"/>
        </w:rPr>
        <w:t>VAIL RESORTS,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SHARE UNIT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AUSTRALIA</w:t>
      </w:r>
    </w:p>
    <w:p>
      <w:pPr>
        <w:spacing w:after="0" w:line="199" w:lineRule="exact"/>
        <w:rPr>
          <w:sz w:val="20"/>
          <w:szCs w:val="20"/>
          <w:color w:val="auto"/>
        </w:rPr>
      </w:pPr>
    </w:p>
    <w:p>
      <w:pPr>
        <w:jc w:val="both"/>
        <w:ind w:firstLine="637"/>
        <w:spacing w:after="0" w:line="244" w:lineRule="auto"/>
        <w:rPr>
          <w:sz w:val="20"/>
          <w:szCs w:val="20"/>
          <w:color w:val="auto"/>
        </w:rPr>
      </w:pPr>
      <w:r>
        <w:rPr>
          <w:rFonts w:ascii="Times New Roman" w:cs="Times New Roman" w:eastAsia="Times New Roman" w:hAnsi="Times New Roman"/>
          <w:sz w:val="21"/>
          <w:szCs w:val="21"/>
          <w:color w:val="auto"/>
        </w:rPr>
        <w:t>THIS AGREEMENT is between Vail Resorts, Inc., a Delaware corporation (the “Company”), and the employee who receives this Agreement in connection with an award of Restricted Share Units under the Company’s 2024 Omnibus Incentive Plan (the “Plan”), the terms of which are incorporated herein by reference. Capitalized terms used and not defined herein have the meanings set forth in the Plan.</w:t>
      </w:r>
    </w:p>
    <w:p>
      <w:pPr>
        <w:spacing w:after="0" w:line="185" w:lineRule="exact"/>
        <w:rPr>
          <w:sz w:val="20"/>
          <w:szCs w:val="20"/>
          <w:color w:val="auto"/>
        </w:rPr>
      </w:pPr>
    </w:p>
    <w:p>
      <w:pPr>
        <w:jc w:val="both"/>
        <w:ind w:firstLine="637"/>
        <w:spacing w:after="0" w:line="272" w:lineRule="auto"/>
        <w:rPr>
          <w:sz w:val="20"/>
          <w:szCs w:val="20"/>
          <w:color w:val="auto"/>
        </w:rPr>
      </w:pPr>
      <w:r>
        <w:rPr>
          <w:rFonts w:ascii="Times New Roman" w:cs="Times New Roman" w:eastAsia="Times New Roman" w:hAnsi="Times New Roman"/>
          <w:sz w:val="21"/>
          <w:szCs w:val="21"/>
          <w:color w:val="auto"/>
        </w:rPr>
        <w:t>NOW, THEREFORE, in consideration of the premises and mutual covenants contained herein, and for other good and valuable consideration, the parties hereto agree as follows.</w:t>
      </w:r>
    </w:p>
    <w:p>
      <w:pPr>
        <w:spacing w:after="0" w:line="156" w:lineRule="exact"/>
        <w:rPr>
          <w:sz w:val="20"/>
          <w:szCs w:val="20"/>
          <w:color w:val="auto"/>
        </w:rPr>
      </w:pPr>
    </w:p>
    <w:p>
      <w:pPr>
        <w:jc w:val="both"/>
        <w:ind w:left="640" w:hanging="316"/>
        <w:spacing w:after="0" w:line="241" w:lineRule="auto"/>
        <w:tabs>
          <w:tab w:leader="none" w:pos="632" w:val="left"/>
        </w:tabs>
        <w:numPr>
          <w:ilvl w:val="0"/>
          <w:numId w:val="19"/>
        </w:numPr>
        <w:rPr>
          <w:rFonts w:ascii="Calibri" w:cs="Calibri" w:eastAsia="Calibri" w:hAnsi="Calibri"/>
          <w:sz w:val="19"/>
          <w:szCs w:val="19"/>
          <w:color w:val="auto"/>
        </w:rPr>
      </w:pPr>
      <w:r>
        <w:rPr>
          <w:rFonts w:ascii="Times New Roman" w:cs="Times New Roman" w:eastAsia="Times New Roman" w:hAnsi="Times New Roman"/>
          <w:sz w:val="21"/>
          <w:szCs w:val="21"/>
          <w:u w:val="single" w:color="auto"/>
          <w:color w:val="auto"/>
        </w:rPr>
        <w:t>Award of Restricted Share Units</w:t>
      </w:r>
      <w:r>
        <w:rPr>
          <w:rFonts w:ascii="Times New Roman" w:cs="Times New Roman" w:eastAsia="Times New Roman" w:hAnsi="Times New Roman"/>
          <w:sz w:val="21"/>
          <w:szCs w:val="21"/>
          <w:color w:val="auto"/>
        </w:rPr>
        <w:t>. Pursuant to the provisions of the Plan, the terms of which are incorporated herein by reference, you may, from time to time, be awarded Restricted Share Units (the “Award”), subject to the terms and conditions of the Plan and those herein set forth. An Award is granted as of the date set forth in the notification to you of such Award (the “Date of Grant”). Capitalized terms used herein and not defined shall have the meanings set forth in the Plan. In the event of any conflict between this Agreement and the Plan, the Plan shall control.</w:t>
      </w:r>
    </w:p>
    <w:p>
      <w:pPr>
        <w:spacing w:after="0" w:line="201" w:lineRule="exact"/>
        <w:rPr>
          <w:rFonts w:ascii="Calibri" w:cs="Calibri" w:eastAsia="Calibri" w:hAnsi="Calibri"/>
          <w:sz w:val="19"/>
          <w:szCs w:val="19"/>
          <w:color w:val="auto"/>
        </w:rPr>
      </w:pPr>
    </w:p>
    <w:p>
      <w:pPr>
        <w:ind w:left="640" w:right="20" w:hanging="316"/>
        <w:spacing w:after="0" w:line="259" w:lineRule="auto"/>
        <w:tabs>
          <w:tab w:leader="none" w:pos="64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and Conditions</w:t>
      </w:r>
      <w:r>
        <w:rPr>
          <w:rFonts w:ascii="Times New Roman" w:cs="Times New Roman" w:eastAsia="Times New Roman" w:hAnsi="Times New Roman"/>
          <w:sz w:val="21"/>
          <w:szCs w:val="21"/>
          <w:color w:val="auto"/>
        </w:rPr>
        <w:t>. It is understood and agreed that the Award of Restricted Share Units is subject to the following terms and conditions:</w:t>
      </w:r>
    </w:p>
    <w:p>
      <w:pPr>
        <w:spacing w:after="0" w:line="181" w:lineRule="exact"/>
        <w:rPr>
          <w:rFonts w:ascii="Times New Roman" w:cs="Times New Roman" w:eastAsia="Times New Roman" w:hAnsi="Times New Roman"/>
          <w:sz w:val="21"/>
          <w:szCs w:val="21"/>
          <w:color w:val="auto"/>
        </w:rPr>
      </w:pPr>
    </w:p>
    <w:p>
      <w:pPr>
        <w:ind w:left="640" w:hanging="316"/>
        <w:spacing w:after="0" w:line="259" w:lineRule="auto"/>
        <w:tabs>
          <w:tab w:leader="none" w:pos="64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Award</w:t>
      </w:r>
      <w:r>
        <w:rPr>
          <w:rFonts w:ascii="Times New Roman" w:cs="Times New Roman" w:eastAsia="Times New Roman" w:hAnsi="Times New Roman"/>
          <w:sz w:val="21"/>
          <w:szCs w:val="21"/>
          <w:color w:val="auto"/>
        </w:rPr>
        <w:t>. Subject to Sections 4 and 5 below and the other terms and conditions of this Agreement, the Award shall become vested as provided in the notification to you of such Award.</w:t>
      </w:r>
    </w:p>
    <w:p>
      <w:pPr>
        <w:spacing w:after="0" w:line="168" w:lineRule="exact"/>
        <w:rPr>
          <w:rFonts w:ascii="Times New Roman" w:cs="Times New Roman" w:eastAsia="Times New Roman" w:hAnsi="Times New Roman"/>
          <w:sz w:val="21"/>
          <w:szCs w:val="21"/>
          <w:color w:val="auto"/>
        </w:rPr>
      </w:pPr>
    </w:p>
    <w:p>
      <w:pPr>
        <w:jc w:val="both"/>
        <w:ind w:left="640" w:hanging="316"/>
        <w:spacing w:after="0" w:line="235" w:lineRule="auto"/>
        <w:tabs>
          <w:tab w:leader="none" w:pos="64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Notwithstanding any provision of this Agreement to the contrary, in the event that the successor corporation in a Change in Control does not assume or substitute for the Award (or portion thereof), the Committee will (i) cause any or all of such Award (or portion thereof) to terminate in exchange for cash, rights or other property having a value (as determined by the Committee acting in good faith) equal to the formula or fixed price per share paid to holders of Shares pursuant to such Change in Control, with respect to each Share underlying the Restricted Share Units, or (ii) cause the Participant to fully vest in the Award and all restrictions on the Award to lapse, and, with respect to any performance criteria, all performance goals will be deemed achieved at the greater of actual performance or 100% of target levels and all other terms and conditions shall be deemed met, in each case, to the extent the Award otherwise remains outstanding and has not otherwise vested or been forfeited as of any such Change in Control.</w:t>
      </w:r>
    </w:p>
    <w:p>
      <w:pPr>
        <w:spacing w:after="0" w:line="193" w:lineRule="exact"/>
        <w:rPr>
          <w:rFonts w:ascii="Times New Roman" w:cs="Times New Roman" w:eastAsia="Times New Roman" w:hAnsi="Times New Roman"/>
          <w:sz w:val="21"/>
          <w:szCs w:val="21"/>
          <w:color w:val="auto"/>
        </w:rPr>
      </w:pPr>
    </w:p>
    <w:p>
      <w:pPr>
        <w:jc w:val="both"/>
        <w:ind w:left="640"/>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in the event that the Award is assumed or substituted or otherwise continued by a successor in a Change in Control, the following terms shall apply. In the event of your termination of continuous employment without Cause by the successor or its affiliates in a Change in Control during the 12-month period following a Change in Control, the Award shall fully vest and all restrictions on the Award shall lapse, and, with respect to any performance criteria, all performance goals will be deemed achieved at the greater of actual performance or 100%</w:t>
      </w:r>
    </w:p>
    <w:p>
      <w:pPr>
        <w:sectPr>
          <w:pgSz w:w="11900" w:h="16838" w:orient="portrait"/>
          <w:cols w:equalWidth="0" w:num="1">
            <w:col w:w="11240"/>
          </w:cols>
          <w:pgMar w:left="320" w:top="1382" w:right="339" w:bottom="1440" w:gutter="0" w:footer="0" w:header="0"/>
        </w:sectPr>
      </w:pPr>
    </w:p>
    <w:bookmarkStart w:id="48" w:name="page49"/>
    <w:bookmarkEnd w:id="48"/>
    <w:p>
      <w:pPr>
        <w:jc w:val="both"/>
        <w:ind w:left="316"/>
        <w:spacing w:after="0" w:line="239" w:lineRule="auto"/>
        <w:rPr>
          <w:sz w:val="20"/>
          <w:szCs w:val="20"/>
          <w:color w:val="auto"/>
        </w:rPr>
      </w:pPr>
      <w:r>
        <w:rPr>
          <w:rFonts w:ascii="Times New Roman" w:cs="Times New Roman" w:eastAsia="Times New Roman" w:hAnsi="Times New Roman"/>
          <w:sz w:val="21"/>
          <w:szCs w:val="21"/>
          <w:color w:val="auto"/>
        </w:rPr>
        <w:t>of target levels and all other terms and conditions shall be deemed met, in each case, to the extent the Award otherwise remains outstanding and has not otherwise vested or been forfeited. The good faith determination by the Company of whether your employment was terminated by the Company for Cause shall be final and binding for all purposes hereunder. For the avoidance of doubt, the foregoing shall apply to the extent and in a manner consistent with the requirements of Section 409A of the Internal Revenue Code.</w:t>
      </w:r>
    </w:p>
    <w:p>
      <w:pPr>
        <w:spacing w:after="0" w:line="190" w:lineRule="exact"/>
        <w:rPr>
          <w:sz w:val="20"/>
          <w:szCs w:val="20"/>
          <w:color w:val="auto"/>
        </w:rPr>
      </w:pPr>
    </w:p>
    <w:p>
      <w:pPr>
        <w:ind w:left="316"/>
        <w:spacing w:after="0"/>
        <w:rPr>
          <w:sz w:val="20"/>
          <w:szCs w:val="20"/>
          <w:color w:val="auto"/>
        </w:rPr>
      </w:pPr>
      <w:r>
        <w:rPr>
          <w:rFonts w:ascii="Times New Roman" w:cs="Times New Roman" w:eastAsia="Times New Roman" w:hAnsi="Times New Roman"/>
          <w:sz w:val="21"/>
          <w:szCs w:val="21"/>
          <w:color w:val="auto"/>
        </w:rPr>
        <w:t>The obligations of the Company hereunder shall be binding upon any successor of the Company.</w:t>
      </w:r>
    </w:p>
    <w:p>
      <w:pPr>
        <w:spacing w:after="0" w:line="236" w:lineRule="exact"/>
        <w:rPr>
          <w:sz w:val="20"/>
          <w:szCs w:val="20"/>
          <w:color w:val="auto"/>
        </w:rPr>
      </w:pPr>
    </w:p>
    <w:p>
      <w:pPr>
        <w:jc w:val="both"/>
        <w:ind w:left="316" w:hanging="316"/>
        <w:spacing w:after="0" w:line="237" w:lineRule="auto"/>
        <w:tabs>
          <w:tab w:leader="none" w:pos="315"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Termination of Employment; Forfeiture of Unvested Shares; Death; Disability</w:t>
      </w:r>
      <w:r>
        <w:rPr>
          <w:rFonts w:ascii="Times New Roman" w:cs="Times New Roman" w:eastAsia="Times New Roman" w:hAnsi="Times New Roman"/>
          <w:sz w:val="21"/>
          <w:szCs w:val="21"/>
          <w:color w:val="auto"/>
        </w:rPr>
        <w:t>. Upon the termination of your employment for any reason, by you or by the Company and/or its Subsidiaries, with or without Cause, prior to the date that the Award otherwise becomes vested, the unvested portion of the Award shall immediately be forfeited by you and become the property of the Company. Notwithstanding the foregoing, if your employment with the Company and/or its Subsidiaries terminates as a result of your death or separation from employment due to Disability, then the Award, if not already vested under Section 3, will vest in full as of the date of death or separation from employment due to Disability.</w:t>
      </w:r>
    </w:p>
    <w:p>
      <w:pPr>
        <w:spacing w:after="0" w:line="187" w:lineRule="exact"/>
        <w:rPr>
          <w:rFonts w:ascii="Times New Roman" w:cs="Times New Roman" w:eastAsia="Times New Roman" w:hAnsi="Times New Roman"/>
          <w:sz w:val="19"/>
          <w:szCs w:val="19"/>
          <w:color w:val="auto"/>
        </w:rPr>
      </w:pPr>
    </w:p>
    <w:p>
      <w:pPr>
        <w:jc w:val="both"/>
        <w:ind w:left="316" w:hanging="316"/>
        <w:spacing w:after="0" w:line="237" w:lineRule="auto"/>
        <w:tabs>
          <w:tab w:leader="none" w:pos="31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w:t>
      </w:r>
      <w:r>
        <w:rPr>
          <w:rFonts w:ascii="Times New Roman" w:cs="Times New Roman" w:eastAsia="Times New Roman" w:hAnsi="Times New Roman"/>
          <w:sz w:val="21"/>
          <w:szCs w:val="21"/>
          <w:color w:val="auto"/>
        </w:rPr>
        <w:t>. Promptly following the vesting of Restricted Share Units pursuant to the terms and conditions hereof and the satisfaction of any withholding tax liability pursuant to Section 11 hereof, but no later than March 15 of the calendar year following the calendar year in which such vesting occurs, the certificates evidencing the Shares to which the vested Restricted Share Units relate shall be delivered to you or other evidence of the Shares shall be provided to you. In the event of your death and the vesting of this Award pursuant to Section 5 above, the Shares shall be delivered to the executor or administrator of your estate or to the person or persons to whom your rights under this Agreement shall pass by will or by the laws of intestate succession.</w:t>
      </w:r>
    </w:p>
    <w:p>
      <w:pPr>
        <w:spacing w:after="0" w:line="187" w:lineRule="exact"/>
        <w:rPr>
          <w:rFonts w:ascii="Times New Roman" w:cs="Times New Roman" w:eastAsia="Times New Roman" w:hAnsi="Times New Roman"/>
          <w:sz w:val="21"/>
          <w:szCs w:val="21"/>
          <w:color w:val="auto"/>
        </w:rPr>
      </w:pPr>
    </w:p>
    <w:p>
      <w:pPr>
        <w:jc w:val="both"/>
        <w:ind w:left="316" w:hanging="316"/>
        <w:spacing w:after="0" w:line="248" w:lineRule="auto"/>
        <w:tabs>
          <w:tab w:leader="none" w:pos="31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of a Stockholder</w:t>
      </w:r>
      <w:r>
        <w:rPr>
          <w:rFonts w:ascii="Times New Roman" w:cs="Times New Roman" w:eastAsia="Times New Roman" w:hAnsi="Times New Roman"/>
          <w:sz w:val="21"/>
          <w:szCs w:val="21"/>
          <w:color w:val="auto"/>
        </w:rPr>
        <w:t>. You shall have no right to transfer, pledge, hypothecate or otherwise encumber the Restricted Share Units. You shall not have the rights of a stockholder with respect to the Restricted Share Units, including the right to receive dividends.</w:t>
      </w:r>
    </w:p>
    <w:p>
      <w:pPr>
        <w:spacing w:after="0" w:line="193" w:lineRule="exact"/>
        <w:rPr>
          <w:rFonts w:ascii="Times New Roman" w:cs="Times New Roman" w:eastAsia="Times New Roman" w:hAnsi="Times New Roman"/>
          <w:sz w:val="21"/>
          <w:szCs w:val="21"/>
          <w:color w:val="auto"/>
        </w:rPr>
      </w:pPr>
    </w:p>
    <w:p>
      <w:pPr>
        <w:jc w:val="both"/>
        <w:ind w:left="316" w:hanging="316"/>
        <w:spacing w:after="0" w:line="237" w:lineRule="auto"/>
        <w:tabs>
          <w:tab w:leader="none" w:pos="31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 to Continued Employment</w:t>
      </w:r>
      <w:r>
        <w:rPr>
          <w:rFonts w:ascii="Times New Roman" w:cs="Times New Roman" w:eastAsia="Times New Roman" w:hAnsi="Times New Roman"/>
          <w:sz w:val="21"/>
          <w:szCs w:val="21"/>
          <w:color w:val="auto"/>
        </w:rPr>
        <w:t>. Nothing in this Agreement shall interfere with or limit in any way the right of the Company and/or its Subsidiaries to terminate your employment at any time (with or without Cause), or confer upon you any right to continue in the employ of the Company and/or its Subsidiaries for any period of time or to continue to receive your current (or other) rate of compensation. Nothing in this Agreement shall confer upon you any right to be selected to receive additional awards under the Plan or otherwise.</w:t>
      </w:r>
    </w:p>
    <w:p>
      <w:pPr>
        <w:spacing w:after="0" w:line="200"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1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of Shares</w:t>
      </w:r>
      <w:r>
        <w:rPr>
          <w:rFonts w:ascii="Times New Roman" w:cs="Times New Roman" w:eastAsia="Times New Roman" w:hAnsi="Times New Roman"/>
          <w:sz w:val="21"/>
          <w:szCs w:val="21"/>
          <w:color w:val="auto"/>
        </w:rPr>
        <w:t>. The Shares delivered hereunder, or any interest therein, may be sold, assigned, pledged, hypothecated, encumbered, or transferred or disposed of in any other manner, in whole or in part, only in compliance with the terms, conditions and restrictions as set forth in the governing instruments of the Company, applicable federal and state securities laws or any other applicable laws or regulations and the terms and conditions hereof. No Shares shall be issued or transferred unless and until any then</w:t>
      </w:r>
    </w:p>
    <w:p>
      <w:pPr>
        <w:sectPr>
          <w:pgSz w:w="11900" w:h="16838" w:orient="portrait"/>
          <w:cols w:equalWidth="0" w:num="1">
            <w:col w:w="10916"/>
          </w:cols>
          <w:pgMar w:left="644" w:top="1386" w:right="339" w:bottom="1440" w:gutter="0" w:footer="0" w:header="0"/>
        </w:sectPr>
      </w:pPr>
    </w:p>
    <w:bookmarkStart w:id="49" w:name="page50"/>
    <w:bookmarkEnd w:id="49"/>
    <w:p>
      <w:pPr>
        <w:ind w:left="640"/>
        <w:spacing w:after="0" w:line="259" w:lineRule="auto"/>
        <w:rPr>
          <w:sz w:val="20"/>
          <w:szCs w:val="20"/>
          <w:color w:val="auto"/>
        </w:rPr>
      </w:pPr>
      <w:r>
        <w:rPr>
          <w:rFonts w:ascii="Times New Roman" w:cs="Times New Roman" w:eastAsia="Times New Roman" w:hAnsi="Times New Roman"/>
          <w:sz w:val="21"/>
          <w:szCs w:val="21"/>
          <w:color w:val="auto"/>
        </w:rPr>
        <w:t>applicable requirements of state and federal laws and regulatory agencies have been fully complied with to the satisfaction of the Company and its counsel.</w:t>
      </w:r>
    </w:p>
    <w:p>
      <w:pPr>
        <w:spacing w:after="0" w:line="182" w:lineRule="exact"/>
        <w:rPr>
          <w:sz w:val="20"/>
          <w:szCs w:val="20"/>
          <w:color w:val="auto"/>
        </w:rPr>
      </w:pPr>
    </w:p>
    <w:p>
      <w:pPr>
        <w:jc w:val="both"/>
        <w:ind w:left="640" w:hanging="316"/>
        <w:spacing w:after="0" w:line="248" w:lineRule="auto"/>
        <w:tabs>
          <w:tab w:leader="none" w:pos="64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 of Issuance of Shares</w:t>
      </w:r>
      <w:r>
        <w:rPr>
          <w:rFonts w:ascii="Times New Roman" w:cs="Times New Roman" w:eastAsia="Times New Roman" w:hAnsi="Times New Roman"/>
          <w:sz w:val="21"/>
          <w:szCs w:val="21"/>
          <w:color w:val="auto"/>
        </w:rPr>
        <w:t>. The issuance of stock certificates hereunder shall be without charge to you. The Company shall pay any issuance, stamp or documentary taxes (other than transfer taxes) or charges imposed by any governmental body, agency or official (other than income taxes) by reason of the issuance of Shares.</w:t>
      </w:r>
    </w:p>
    <w:p>
      <w:pPr>
        <w:spacing w:after="0" w:line="179" w:lineRule="exact"/>
        <w:rPr>
          <w:rFonts w:ascii="Times New Roman" w:cs="Times New Roman" w:eastAsia="Times New Roman" w:hAnsi="Times New Roman"/>
          <w:sz w:val="21"/>
          <w:szCs w:val="21"/>
          <w:color w:val="auto"/>
        </w:rPr>
      </w:pPr>
    </w:p>
    <w:p>
      <w:pPr>
        <w:jc w:val="both"/>
        <w:ind w:left="640" w:hanging="316"/>
        <w:spacing w:after="0" w:line="234" w:lineRule="auto"/>
        <w:tabs>
          <w:tab w:leader="none" w:pos="63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No later than the date of delivery of Shares pursuant to Section 6 hereunder, you shall pay to the Company or make arrangements satisfactory to the Committee regarding payment of any federal, state or local taxes of any kind required by law to be withheld at such time with respect to the Award and the Company shall, to the extent permitted or required by law, have the right to deduct from any payment of any kind otherwise due to you, federal, state and local taxes of any kind required by law to be withheld at such time. You may elect to have the Company withhold Shares to pay any applicable withholding taxes resulting from the Award, in accordance with any rules or regulations of the Committee then in effect. Notwithstanding the foregoing, the maximum number of Shares that may be withheld from the Award to satisfy any federal, state, or local tax withholding requirements upon the vesting of, or payment of Shares pursuant to, the Award, as applicable, may not exceed such number of Shares having a Fair Market Value equal to the minimum statutory amount required by the Company to be withheld and paid to any such federal, state, or local taxing authority with respect to such vesting or payment of Shares, or such greater amount as may be permitted under applicable accounting standards.</w:t>
      </w:r>
    </w:p>
    <w:p>
      <w:pPr>
        <w:spacing w:after="0" w:line="195" w:lineRule="exact"/>
        <w:rPr>
          <w:rFonts w:ascii="Times New Roman" w:cs="Times New Roman" w:eastAsia="Times New Roman" w:hAnsi="Times New Roman"/>
          <w:sz w:val="21"/>
          <w:szCs w:val="21"/>
          <w:color w:val="auto"/>
        </w:rPr>
      </w:pPr>
    </w:p>
    <w:p>
      <w:pPr>
        <w:jc w:val="both"/>
        <w:ind w:left="640" w:hanging="316"/>
        <w:spacing w:after="0" w:line="248" w:lineRule="auto"/>
        <w:tabs>
          <w:tab w:leader="none" w:pos="64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References</w:t>
      </w:r>
      <w:r>
        <w:rPr>
          <w:rFonts w:ascii="Times New Roman" w:cs="Times New Roman" w:eastAsia="Times New Roman" w:hAnsi="Times New Roman"/>
          <w:sz w:val="21"/>
          <w:szCs w:val="21"/>
          <w:color w:val="auto"/>
        </w:rPr>
        <w:t>. References herein to your rights and obligations shall apply, where appropriate, to your legal representative or estate without regard to whether specific reference to such legal representative or estate is contained in a particular provision of this Agreement.</w:t>
      </w:r>
    </w:p>
    <w:p>
      <w:pPr>
        <w:spacing w:after="0" w:line="179" w:lineRule="exact"/>
        <w:rPr>
          <w:rFonts w:ascii="Times New Roman" w:cs="Times New Roman" w:eastAsia="Times New Roman" w:hAnsi="Times New Roman"/>
          <w:sz w:val="21"/>
          <w:szCs w:val="21"/>
          <w:color w:val="auto"/>
        </w:rPr>
      </w:pPr>
    </w:p>
    <w:p>
      <w:pPr>
        <w:jc w:val="both"/>
        <w:ind w:left="640" w:hanging="316"/>
        <w:spacing w:after="0" w:line="239" w:lineRule="auto"/>
        <w:tabs>
          <w:tab w:leader="none" w:pos="64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or permitted to be given under this 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 or by email or other electronic means using a system maintained by the Company when transmitted without a notice of failed delivery:</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to the Company: Vail Resorts, Inc.</w:t>
      </w:r>
    </w:p>
    <w:p>
      <w:pPr>
        <w:ind w:left="3180"/>
        <w:spacing w:after="0" w:line="232" w:lineRule="auto"/>
        <w:rPr>
          <w:sz w:val="20"/>
          <w:szCs w:val="20"/>
          <w:color w:val="auto"/>
        </w:rPr>
      </w:pPr>
      <w:r>
        <w:rPr>
          <w:rFonts w:ascii="Times New Roman" w:cs="Times New Roman" w:eastAsia="Times New Roman" w:hAnsi="Times New Roman"/>
          <w:sz w:val="21"/>
          <w:szCs w:val="21"/>
          <w:color w:val="auto"/>
        </w:rPr>
        <w:t>390 Interlocken Crescent</w:t>
      </w:r>
    </w:p>
    <w:p>
      <w:pPr>
        <w:ind w:left="3180"/>
        <w:spacing w:after="0" w:line="237" w:lineRule="auto"/>
        <w:rPr>
          <w:sz w:val="20"/>
          <w:szCs w:val="20"/>
          <w:color w:val="auto"/>
        </w:rPr>
      </w:pPr>
      <w:r>
        <w:rPr>
          <w:rFonts w:ascii="Times New Roman" w:cs="Times New Roman" w:eastAsia="Times New Roman" w:hAnsi="Times New Roman"/>
          <w:sz w:val="21"/>
          <w:szCs w:val="21"/>
          <w:color w:val="auto"/>
        </w:rPr>
        <w:t>Suite 1000</w:t>
      </w:r>
    </w:p>
    <w:p>
      <w:pPr>
        <w:ind w:left="3180"/>
        <w:spacing w:after="0" w:line="224" w:lineRule="auto"/>
        <w:rPr>
          <w:sz w:val="20"/>
          <w:szCs w:val="20"/>
          <w:color w:val="auto"/>
        </w:rPr>
      </w:pPr>
      <w:r>
        <w:rPr>
          <w:rFonts w:ascii="Times New Roman" w:cs="Times New Roman" w:eastAsia="Times New Roman" w:hAnsi="Times New Roman"/>
          <w:sz w:val="21"/>
          <w:szCs w:val="21"/>
          <w:color w:val="auto"/>
        </w:rPr>
        <w:t>Broomfield, Colorado 80021</w:t>
      </w:r>
    </w:p>
    <w:p>
      <w:pPr>
        <w:spacing w:after="0" w:line="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you: At your most recent address shown on the Company’s</w:t>
      </w:r>
    </w:p>
    <w:p>
      <w:pPr>
        <w:spacing w:after="0" w:line="8" w:lineRule="exact"/>
        <w:rPr>
          <w:sz w:val="20"/>
          <w:szCs w:val="20"/>
          <w:color w:val="auto"/>
        </w:rPr>
      </w:pPr>
    </w:p>
    <w:p>
      <w:pPr>
        <w:ind w:left="3180"/>
        <w:spacing w:after="0" w:line="248" w:lineRule="auto"/>
        <w:rPr>
          <w:sz w:val="20"/>
          <w:szCs w:val="20"/>
          <w:color w:val="auto"/>
        </w:rPr>
      </w:pPr>
      <w:r>
        <w:rPr>
          <w:rFonts w:ascii="Times New Roman" w:cs="Times New Roman" w:eastAsia="Times New Roman" w:hAnsi="Times New Roman"/>
          <w:sz w:val="21"/>
          <w:szCs w:val="21"/>
          <w:color w:val="auto"/>
        </w:rPr>
        <w:t>corporate records, or at any other address which you may specify in a notice delivered to the Company in the manner set forth herein.</w:t>
      </w:r>
    </w:p>
    <w:p>
      <w:pPr>
        <w:sectPr>
          <w:pgSz w:w="11900" w:h="16838" w:orient="portrait"/>
          <w:cols w:equalWidth="0" w:num="1">
            <w:col w:w="11240"/>
          </w:cols>
          <w:pgMar w:left="320" w:top="1386" w:right="339" w:bottom="1440" w:gutter="0" w:footer="0" w:header="0"/>
        </w:sectPr>
      </w:pPr>
    </w:p>
    <w:bookmarkStart w:id="50" w:name="page51"/>
    <w:bookmarkEnd w:id="50"/>
    <w:p>
      <w:pPr>
        <w:jc w:val="both"/>
        <w:ind w:left="316" w:hanging="316"/>
        <w:spacing w:after="0" w:line="234" w:lineRule="auto"/>
        <w:tabs>
          <w:tab w:leader="none" w:pos="307"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the Committee shall determine that any dividend in Shares, recapitalization, Share split, reverse split, reorganization, merger, consolidation, spin-off, combination, repurchase, share exchange, or other similar corporate transaction or event affects the Shares such that an adjustment is appropriate in order to prevent dilution or enlargement of your rights under this Award, then the Committee shall make such equitable changes or adjustments as it deems appropriate and adjust, in such manner as it deems equitable, including, without limitation, the number and kind of Shares, other securities or other consideration issued or issuable with respect to this Award. In the event that the Company shall declare an extraordinary cash dividend, then the Committee shall in its discretion either (i) pay you cash when and as your Restricted Share Units vest in an amount equal to the number of Restricted Share Units vested multiplied by the per share amount of such extraordinary cash dividend; or (ii) make such other adjustment as the Committee determines would provide you with a substantially similar benefit.</w:t>
      </w:r>
    </w:p>
    <w:p>
      <w:pPr>
        <w:spacing w:after="0" w:line="192" w:lineRule="exact"/>
        <w:rPr>
          <w:rFonts w:ascii="Times New Roman" w:cs="Times New Roman" w:eastAsia="Times New Roman" w:hAnsi="Times New Roman"/>
          <w:sz w:val="19"/>
          <w:szCs w:val="19"/>
          <w:color w:val="auto"/>
        </w:rPr>
      </w:pPr>
    </w:p>
    <w:p>
      <w:pPr>
        <w:jc w:val="both"/>
        <w:ind w:left="316" w:hanging="316"/>
        <w:spacing w:after="0" w:line="244" w:lineRule="auto"/>
        <w:tabs>
          <w:tab w:leader="none" w:pos="31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you and your beneficiaries, executors, administrators and the person(s) to whom the Restricted Share Units may be transferred by will or the laws of descent or distribution.</w:t>
      </w:r>
    </w:p>
    <w:p>
      <w:pPr>
        <w:spacing w:after="0" w:line="185" w:lineRule="exact"/>
        <w:rPr>
          <w:rFonts w:ascii="Times New Roman" w:cs="Times New Roman" w:eastAsia="Times New Roman" w:hAnsi="Times New Roman"/>
          <w:sz w:val="21"/>
          <w:szCs w:val="21"/>
          <w:color w:val="auto"/>
        </w:rPr>
      </w:pPr>
    </w:p>
    <w:p>
      <w:pPr>
        <w:jc w:val="both"/>
        <w:ind w:left="316" w:hanging="316"/>
        <w:spacing w:after="0" w:line="248" w:lineRule="auto"/>
        <w:tabs>
          <w:tab w:leader="none" w:pos="31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79"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1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you on account of non-compliance with Section 409A of the Code</w:t>
      </w:r>
      <w:r>
        <w:rPr>
          <w:rFonts w:ascii="Times New Roman" w:cs="Times New Roman" w:eastAsia="Times New Roman" w:hAnsi="Times New Roman"/>
          <w:sz w:val="21"/>
          <w:szCs w:val="21"/>
          <w:color w:val="010000"/>
        </w:rPr>
        <w:t>.</w:t>
      </w:r>
    </w:p>
    <w:p>
      <w:pPr>
        <w:spacing w:after="0" w:line="188" w:lineRule="exact"/>
        <w:rPr>
          <w:rFonts w:ascii="Times New Roman" w:cs="Times New Roman" w:eastAsia="Times New Roman" w:hAnsi="Times New Roman"/>
          <w:sz w:val="21"/>
          <w:szCs w:val="21"/>
          <w:color w:val="auto"/>
        </w:rPr>
      </w:pPr>
    </w:p>
    <w:p>
      <w:pPr>
        <w:ind w:left="316" w:hanging="316"/>
        <w:spacing w:after="0" w:line="272" w:lineRule="auto"/>
        <w:tabs>
          <w:tab w:leader="none" w:pos="316" w:val="left"/>
        </w:tabs>
        <w:numPr>
          <w:ilvl w:val="0"/>
          <w:numId w:val="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Delaware, without giving effect to principles of conflict of laws.</w:t>
      </w:r>
    </w:p>
    <w:p>
      <w:pPr>
        <w:spacing w:after="0" w:line="155" w:lineRule="exact"/>
        <w:rPr>
          <w:rFonts w:ascii="Times New Roman" w:cs="Times New Roman" w:eastAsia="Times New Roman" w:hAnsi="Times New Roman"/>
          <w:sz w:val="21"/>
          <w:szCs w:val="21"/>
          <w:color w:val="010000"/>
        </w:rPr>
      </w:pPr>
    </w:p>
    <w:p>
      <w:pPr>
        <w:ind w:left="316" w:hanging="316"/>
        <w:spacing w:after="0"/>
        <w:tabs>
          <w:tab w:leader="none" w:pos="31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By accepting the Award, you agree to be bound by this Agreement.</w:t>
      </w:r>
    </w:p>
    <w:p>
      <w:pPr>
        <w:spacing w:after="0" w:line="222" w:lineRule="exact"/>
        <w:rPr>
          <w:rFonts w:ascii="Times New Roman" w:cs="Times New Roman" w:eastAsia="Times New Roman" w:hAnsi="Times New Roman"/>
          <w:sz w:val="21"/>
          <w:szCs w:val="21"/>
          <w:color w:val="auto"/>
        </w:rPr>
      </w:pPr>
    </w:p>
    <w:p>
      <w:pPr>
        <w:jc w:val="both"/>
        <w:ind w:left="316" w:hanging="316"/>
        <w:spacing w:after="0" w:line="237" w:lineRule="auto"/>
        <w:tabs>
          <w:tab w:leader="none" w:pos="31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As part of your responsibilities with the Company, you may have access to or become familiar with information concerning the business of the Company that is of a confidential nature. By accepting this Award, you agree that you will not discuss or disclose any confidential information to any outside individual or institution or to use it for your own benefit except on the direct written authorization of a member of the Executive Committee. Please refer to the Confidential Information section in the Employee Guide for additional information, including a description of the information considered confidential. The Company will pursue legal remedies for unauthorized use or disclosure of sensitive, confidential information.</w:t>
      </w:r>
    </w:p>
    <w:p>
      <w:pPr>
        <w:sectPr>
          <w:pgSz w:w="11900" w:h="16838" w:orient="portrait"/>
          <w:cols w:equalWidth="0" w:num="1">
            <w:col w:w="10916"/>
          </w:cols>
          <w:pgMar w:left="644" w:top="1386" w:right="339" w:bottom="1440" w:gutter="0" w:footer="0" w:header="0"/>
        </w:sectPr>
      </w:pPr>
    </w:p>
    <w:bookmarkStart w:id="51" w:name="page52"/>
    <w:bookmarkEnd w:id="51"/>
    <w:p>
      <w:pPr>
        <w:spacing w:after="0" w:line="185" w:lineRule="exact"/>
        <w:rPr>
          <w:sz w:val="20"/>
          <w:szCs w:val="20"/>
          <w:color w:val="auto"/>
        </w:rPr>
      </w:pPr>
    </w:p>
    <w:p>
      <w:pPr>
        <w:jc w:val="both"/>
        <w:ind w:left="316" w:hanging="316"/>
        <w:spacing w:after="0" w:line="235" w:lineRule="auto"/>
        <w:tabs>
          <w:tab w:leader="none" w:pos="31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Disclosure Under the Australian Corporations Act</w:t>
      </w:r>
      <w:r>
        <w:rPr>
          <w:rFonts w:ascii="Times New Roman" w:cs="Times New Roman" w:eastAsia="Times New Roman" w:hAnsi="Times New Roman"/>
          <w:sz w:val="21"/>
          <w:szCs w:val="21"/>
          <w:color w:val="auto"/>
        </w:rPr>
        <w:t>. The issue of any Award to any Australian Eligible Person pursuant to the 2024 Omnibus Incentive Plan is made without any disclosure under Part 6D of the Australian Corporations Act on the basis that the issue of the Award to the Eligible Person is an offer that does not require disclosure under section 708 of the Australian Corporations Act. This also means that the Australian Eligible Person who is issued an Award pursuant to the 2024 Omnibus Incentive Plan may not transfer that Award within 12 months of issue without that Eligible Person themselves making applicable disclosure under Part 6D of the Corporations Act (which, in practice, may mean that such Awards cannot be legally transferred by the Eligible Persons within 12 months of issue) – this is the case regardless of whether or not the relevant Award has vested at that time.</w:t>
      </w:r>
    </w:p>
    <w:p>
      <w:pPr>
        <w:sectPr>
          <w:pgSz w:w="11900" w:h="16838" w:orient="portrait"/>
          <w:cols w:equalWidth="0" w:num="1">
            <w:col w:w="10916"/>
          </w:cols>
          <w:pgMar w:left="644" w:top="144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1"/>
          <w:szCs w:val="21"/>
          <w:b w:val="1"/>
          <w:bCs w:val="1"/>
          <w:color w:val="auto"/>
        </w:rPr>
        <w:t>VAIL RESORTS,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SHARE UNIT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CANADA</w:t>
      </w:r>
    </w:p>
    <w:p>
      <w:pPr>
        <w:spacing w:after="0" w:line="212" w:lineRule="exact"/>
        <w:rPr>
          <w:sz w:val="20"/>
          <w:szCs w:val="20"/>
          <w:color w:val="auto"/>
        </w:rPr>
      </w:pPr>
    </w:p>
    <w:p>
      <w:pPr>
        <w:jc w:val="both"/>
        <w:ind w:firstLine="637"/>
        <w:spacing w:after="0" w:line="255" w:lineRule="auto"/>
        <w:rPr>
          <w:sz w:val="20"/>
          <w:szCs w:val="20"/>
          <w:color w:val="auto"/>
        </w:rPr>
      </w:pPr>
      <w:r>
        <w:rPr>
          <w:rFonts w:ascii="Times New Roman" w:cs="Times New Roman" w:eastAsia="Times New Roman" w:hAnsi="Times New Roman"/>
          <w:sz w:val="21"/>
          <w:szCs w:val="21"/>
          <w:color w:val="auto"/>
        </w:rPr>
        <w:t>THIS AGREEMENT is between Vail Resorts, Inc., a Delaware corporation (the “Company”), and the Participant who receives this Agreement in connection with an award of Restricted Share Units under the Company’s 2024 Omnibus Incentive Plan (the “Plan”).</w:t>
      </w:r>
    </w:p>
    <w:p>
      <w:pPr>
        <w:spacing w:after="0" w:line="172" w:lineRule="exact"/>
        <w:rPr>
          <w:sz w:val="20"/>
          <w:szCs w:val="20"/>
          <w:color w:val="auto"/>
        </w:rPr>
      </w:pPr>
    </w:p>
    <w:p>
      <w:pPr>
        <w:jc w:val="both"/>
        <w:ind w:firstLine="637"/>
        <w:spacing w:after="0" w:line="272" w:lineRule="auto"/>
        <w:rPr>
          <w:sz w:val="20"/>
          <w:szCs w:val="20"/>
          <w:color w:val="auto"/>
        </w:rPr>
      </w:pPr>
      <w:r>
        <w:rPr>
          <w:rFonts w:ascii="Times New Roman" w:cs="Times New Roman" w:eastAsia="Times New Roman" w:hAnsi="Times New Roman"/>
          <w:sz w:val="21"/>
          <w:szCs w:val="21"/>
          <w:color w:val="auto"/>
        </w:rPr>
        <w:t>NOW, THEREFORE, in consideration of the premises and mutual covenants contained herein, and for other good and valuable consideration, the parties hereto agree as follows.</w:t>
      </w:r>
    </w:p>
    <w:p>
      <w:pPr>
        <w:spacing w:after="0" w:line="169" w:lineRule="exact"/>
        <w:rPr>
          <w:sz w:val="20"/>
          <w:szCs w:val="20"/>
          <w:color w:val="auto"/>
        </w:rPr>
      </w:pPr>
    </w:p>
    <w:p>
      <w:pPr>
        <w:jc w:val="both"/>
        <w:ind w:left="640" w:hanging="316"/>
        <w:spacing w:after="0" w:line="246" w:lineRule="auto"/>
        <w:tabs>
          <w:tab w:leader="none" w:pos="6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Award of Restricted Share Units</w:t>
      </w:r>
      <w:r>
        <w:rPr>
          <w:rFonts w:ascii="Times New Roman" w:cs="Times New Roman" w:eastAsia="Times New Roman" w:hAnsi="Times New Roman"/>
          <w:sz w:val="21"/>
          <w:szCs w:val="21"/>
          <w:color w:val="auto"/>
        </w:rPr>
        <w:t>. Pursuant to the provisions of the Plan, the terms of which are incorporated herein by reference, you may, from time to time, be awarded Restricted Share Units (the “Award”), subject to the terms and conditions of the Plan and those herein set forth. An Award is granted as of the date set forth in the notification to you of such Award (the “Date of Grant”). Capitalized terms used herein and not defined shall have the meanings set forth in the Plan. In the event of any conflict between this Agreement and the Plan, the Plan shall control.</w:t>
      </w:r>
    </w:p>
    <w:p>
      <w:pPr>
        <w:spacing w:after="0" w:line="195" w:lineRule="exact"/>
        <w:rPr>
          <w:rFonts w:ascii="Times New Roman" w:cs="Times New Roman" w:eastAsia="Times New Roman" w:hAnsi="Times New Roman"/>
          <w:sz w:val="21"/>
          <w:szCs w:val="21"/>
          <w:color w:val="auto"/>
        </w:rPr>
      </w:pPr>
    </w:p>
    <w:p>
      <w:pPr>
        <w:ind w:left="640" w:right="20" w:hanging="316"/>
        <w:spacing w:after="0" w:line="272" w:lineRule="auto"/>
        <w:tabs>
          <w:tab w:leader="none" w:pos="6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and Conditions</w:t>
      </w:r>
      <w:r>
        <w:rPr>
          <w:rFonts w:ascii="Times New Roman" w:cs="Times New Roman" w:eastAsia="Times New Roman" w:hAnsi="Times New Roman"/>
          <w:sz w:val="21"/>
          <w:szCs w:val="21"/>
          <w:color w:val="auto"/>
        </w:rPr>
        <w:t>. It is understood and agreed that the Award of Restricted Share Units is subject to the following terms and conditions:</w:t>
      </w:r>
    </w:p>
    <w:p>
      <w:pPr>
        <w:spacing w:after="0" w:line="168" w:lineRule="exact"/>
        <w:rPr>
          <w:rFonts w:ascii="Times New Roman" w:cs="Times New Roman" w:eastAsia="Times New Roman" w:hAnsi="Times New Roman"/>
          <w:sz w:val="21"/>
          <w:szCs w:val="21"/>
          <w:color w:val="auto"/>
        </w:rPr>
      </w:pPr>
    </w:p>
    <w:p>
      <w:pPr>
        <w:ind w:left="640" w:hanging="316"/>
        <w:spacing w:after="0" w:line="272" w:lineRule="auto"/>
        <w:tabs>
          <w:tab w:leader="none" w:pos="6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Award</w:t>
      </w:r>
      <w:r>
        <w:rPr>
          <w:rFonts w:ascii="Times New Roman" w:cs="Times New Roman" w:eastAsia="Times New Roman" w:hAnsi="Times New Roman"/>
          <w:sz w:val="21"/>
          <w:szCs w:val="21"/>
          <w:color w:val="auto"/>
        </w:rPr>
        <w:t>. Subject to Sections 4 and 5 below and the other terms and conditions of this Agreement, the Award shall become vested as provided in the notification to you of such Award.</w:t>
      </w:r>
    </w:p>
    <w:p>
      <w:pPr>
        <w:spacing w:after="0" w:line="155" w:lineRule="exact"/>
        <w:rPr>
          <w:rFonts w:ascii="Times New Roman" w:cs="Times New Roman" w:eastAsia="Times New Roman" w:hAnsi="Times New Roman"/>
          <w:sz w:val="21"/>
          <w:szCs w:val="21"/>
          <w:color w:val="auto"/>
        </w:rPr>
      </w:pPr>
    </w:p>
    <w:p>
      <w:pPr>
        <w:jc w:val="both"/>
        <w:ind w:left="640" w:hanging="316"/>
        <w:spacing w:after="0" w:line="241" w:lineRule="auto"/>
        <w:tabs>
          <w:tab w:leader="none" w:pos="6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Notwithstanding any provision of this Agreement to the contrary, in the event that the successor corporation in a Change in Control does not assume or substitute for the Award (or portion thereof), the Committee will (i) cause any or all of such Award (or portion thereof) to terminate in exchange for cash, rights or other property having a value (as determined by the Committee acting in good faith) equal to the formula or fixed price per share paid to holders of Shares pursuant to such Change in Control, with respect to each Share underlying the Restricted Share Units, or (ii) cause the Participant to fully vest in the Award and all restrictions on the Award to lapse, and, with respect to any performance criteria, all performance goals will be deemed achieved at the greater of actual performance or 100% of target levels and all other terms and conditions shall be deemed met, in each case, to the extent the Award otherwise remains outstanding and has not otherwise vested or been forfeited as of any such Change in Control.</w:t>
      </w:r>
    </w:p>
    <w:p>
      <w:pPr>
        <w:spacing w:after="0" w:line="205" w:lineRule="exact"/>
        <w:rPr>
          <w:rFonts w:ascii="Times New Roman" w:cs="Times New Roman" w:eastAsia="Times New Roman" w:hAnsi="Times New Roman"/>
          <w:sz w:val="21"/>
          <w:szCs w:val="21"/>
          <w:color w:val="auto"/>
        </w:rPr>
      </w:pPr>
    </w:p>
    <w:p>
      <w:pPr>
        <w:jc w:val="both"/>
        <w:ind w:left="640"/>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in the event that the Award is assumed or substituted or otherwise continued by a successor in a Change in Control, the following terms shall apply. In the event of your Termination of Service without Cause by the successor or its affiliates in a Change in Control during the 12-month period following a Change in Control, the Award shall fully vest and all restrictions on the Award shall lapse, and, with respect to any performance criteria, all performance goals will be deemed achieved at the greater of actual performance or 100% of target levels and all other terms and conditions shall be deemed met, in each case, to the extent the Award</w:t>
      </w:r>
    </w:p>
    <w:p>
      <w:pPr>
        <w:sectPr>
          <w:pgSz w:w="11900" w:h="16838" w:orient="portrait"/>
          <w:cols w:equalWidth="0" w:num="1">
            <w:col w:w="11240"/>
          </w:cols>
          <w:pgMar w:left="320" w:top="1382" w:right="339" w:bottom="1440" w:gutter="0" w:footer="0" w:header="0"/>
        </w:sectPr>
      </w:pPr>
    </w:p>
    <w:bookmarkStart w:id="53" w:name="page54"/>
    <w:bookmarkEnd w:id="53"/>
    <w:p>
      <w:pPr>
        <w:jc w:val="both"/>
        <w:ind w:left="316"/>
        <w:spacing w:after="0" w:line="239" w:lineRule="auto"/>
        <w:rPr>
          <w:sz w:val="20"/>
          <w:szCs w:val="20"/>
          <w:color w:val="auto"/>
        </w:rPr>
      </w:pPr>
      <w:r>
        <w:rPr>
          <w:rFonts w:ascii="Times New Roman" w:cs="Times New Roman" w:eastAsia="Times New Roman" w:hAnsi="Times New Roman"/>
          <w:sz w:val="21"/>
          <w:szCs w:val="21"/>
          <w:color w:val="auto"/>
        </w:rPr>
        <w:t>otherwise remains outstanding and has not otherwise vested or been forfeited. “Cause” shall have the equivalent meaning or the same meaning as “cause” or “for cause” set forth in any employment, consulting, or other agreement for the performance of services between you and the Company or an Affiliate or, in the absence of any such agreement or any such definition in such agreement, such term shall mean (i) the failure by you to perform, in a reasonable manner, your duties consistent with your duties immediately prior to a Change in Control (provided, that a material reduction in your compensation as in effect immediately prior to the Change in Control shall excuse any failure to perform such duties, unless otherwise agreed by you), (ii) any violation or breach by you of your employment, consulting or other similar agreement with the Company or an Affiliate, if any, (iii) any violation or breach by you of any non-competition, non-solicitation, non-disclosure and/or other similar agreement with the Company or an Affiliate, (iv) any act by you of dishonesty or bad faith with respect to the Company or an Affiliate, or (v) the commission by you of any act, or crime reflecting unfavorably upon you or the Company or any Affiliate. The good faith determination by the Company of whether your service was terminated by the Company for “Cause” shall be final and binding for all purposes hereunder. For the avoidance of doubt, the foregoing shall apply to the extent and in a manner consistent with the requirements of Section 409A of the Internal Revenue Code.</w:t>
      </w:r>
    </w:p>
    <w:p>
      <w:pPr>
        <w:spacing w:after="0" w:line="203" w:lineRule="exact"/>
        <w:rPr>
          <w:sz w:val="20"/>
          <w:szCs w:val="20"/>
          <w:color w:val="auto"/>
        </w:rPr>
      </w:pPr>
    </w:p>
    <w:p>
      <w:pPr>
        <w:ind w:left="316" w:right="3300"/>
        <w:spacing w:after="0" w:line="272" w:lineRule="auto"/>
        <w:rPr>
          <w:sz w:val="20"/>
          <w:szCs w:val="20"/>
          <w:color w:val="auto"/>
        </w:rPr>
      </w:pPr>
      <w:r>
        <w:rPr>
          <w:rFonts w:ascii="Times New Roman" w:cs="Times New Roman" w:eastAsia="Times New Roman" w:hAnsi="Times New Roman"/>
          <w:sz w:val="21"/>
          <w:szCs w:val="21"/>
          <w:color w:val="auto"/>
        </w:rPr>
        <w:t>The obligations of the Company hereunder shall be binding upon any successor of the Company.</w:t>
      </w:r>
    </w:p>
    <w:p>
      <w:pPr>
        <w:spacing w:after="0" w:line="182" w:lineRule="exact"/>
        <w:rPr>
          <w:sz w:val="20"/>
          <w:szCs w:val="20"/>
          <w:color w:val="auto"/>
        </w:rPr>
      </w:pPr>
    </w:p>
    <w:p>
      <w:pPr>
        <w:jc w:val="both"/>
        <w:ind w:left="316" w:hanging="316"/>
        <w:spacing w:after="0" w:line="242" w:lineRule="auto"/>
        <w:tabs>
          <w:tab w:leader="none" w:pos="31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 Forfeiture of Unvested Shares; Death</w:t>
      </w:r>
      <w:r>
        <w:rPr>
          <w:rFonts w:ascii="Times New Roman" w:cs="Times New Roman" w:eastAsia="Times New Roman" w:hAnsi="Times New Roman"/>
          <w:sz w:val="21"/>
          <w:szCs w:val="21"/>
          <w:color w:val="auto"/>
        </w:rPr>
        <w:t>. In the event of a Termination of Service with the Company or its Subsidiaries prior to the date that the Award otherwise becomes vested, the unvested portion of the Award shall immediately be forfeited by you effective as of the Termination Date and will become the property of the Company. Notwithstanding the foregoing, in the event of a Termination of Service with the Company and/or its Subsidiaries as a result of your death, then the Award, if not already vested under Section 3, will vest in full as of the Termination Date.</w:t>
      </w:r>
    </w:p>
    <w:p>
      <w:pPr>
        <w:spacing w:after="0" w:line="201" w:lineRule="exact"/>
        <w:rPr>
          <w:rFonts w:ascii="Times New Roman" w:cs="Times New Roman" w:eastAsia="Times New Roman" w:hAnsi="Times New Roman"/>
          <w:sz w:val="21"/>
          <w:szCs w:val="21"/>
          <w:color w:val="auto"/>
        </w:rPr>
      </w:pPr>
    </w:p>
    <w:p>
      <w:pPr>
        <w:jc w:val="both"/>
        <w:ind w:left="316"/>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010000"/>
        </w:rPr>
        <w:t>For greater clarity, “Termination of Service” means the termination of your employment or consulting relationship with the Company or a Subsidiary for any reason and “Termination Date” means your last day of actual and active service with the Company or a Subsidiary due to a Termination of Service and, except as required by applicable employment standards legislation, no period of notice or pay in lieu of notice that is given or that ought to have been given and which follows or is in respect of a period after your last day of actual and active service shall be considered as extending your service for the purposes of determining the entitlement to the Award or any other entitlement under the Plan.</w:t>
      </w:r>
    </w:p>
    <w:p>
      <w:pPr>
        <w:spacing w:after="0" w:line="198" w:lineRule="exact"/>
        <w:rPr>
          <w:rFonts w:ascii="Times New Roman" w:cs="Times New Roman" w:eastAsia="Times New Roman" w:hAnsi="Times New Roman"/>
          <w:sz w:val="21"/>
          <w:szCs w:val="21"/>
          <w:color w:val="auto"/>
        </w:rPr>
      </w:pPr>
    </w:p>
    <w:p>
      <w:pPr>
        <w:jc w:val="both"/>
        <w:ind w:left="316" w:hanging="316"/>
        <w:spacing w:after="0" w:line="241" w:lineRule="auto"/>
        <w:tabs>
          <w:tab w:leader="none" w:pos="316" w:val="left"/>
        </w:tabs>
        <w:numPr>
          <w:ilvl w:val="0"/>
          <w:numId w:val="2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Delivery</w:t>
      </w:r>
      <w:r>
        <w:rPr>
          <w:rFonts w:ascii="Times New Roman" w:cs="Times New Roman" w:eastAsia="Times New Roman" w:hAnsi="Times New Roman"/>
          <w:sz w:val="21"/>
          <w:szCs w:val="21"/>
          <w:color w:val="auto"/>
        </w:rPr>
        <w:t>. Promptly following the vesting of Restricted Share Units pursuant to the terms and conditions hereof and the satisfaction of any withholding tax liability pursuant to Section 11 hereof, but no later than March 15 of the calendar year following the calendar year in which such vesting occurs, the certificates evidencing the Shares to which the vested Restricted Share Units relate shall be delivered to you or other evidence of the Shares shall be provided to you. In the event of your death and the vesting of this Award pursuant to Section 5 above, the Shares shall be delivered to the executor or administrator</w:t>
      </w:r>
    </w:p>
    <w:p>
      <w:pPr>
        <w:sectPr>
          <w:pgSz w:w="11900" w:h="16838" w:orient="portrait"/>
          <w:cols w:equalWidth="0" w:num="1">
            <w:col w:w="10916"/>
          </w:cols>
          <w:pgMar w:left="644" w:top="1386" w:right="339" w:bottom="1440" w:gutter="0" w:footer="0" w:header="0"/>
        </w:sectPr>
      </w:pPr>
    </w:p>
    <w:bookmarkStart w:id="54" w:name="page55"/>
    <w:bookmarkEnd w:id="54"/>
    <w:p>
      <w:pPr>
        <w:ind w:left="316"/>
        <w:spacing w:after="0" w:line="272" w:lineRule="auto"/>
        <w:rPr>
          <w:sz w:val="20"/>
          <w:szCs w:val="20"/>
          <w:color w:val="auto"/>
        </w:rPr>
      </w:pPr>
      <w:r>
        <w:rPr>
          <w:rFonts w:ascii="Times New Roman" w:cs="Times New Roman" w:eastAsia="Times New Roman" w:hAnsi="Times New Roman"/>
          <w:sz w:val="21"/>
          <w:szCs w:val="21"/>
          <w:color w:val="auto"/>
        </w:rPr>
        <w:t>of your estate or to the person or persons to whom your rights under this Agreement shall pass by will or by the laws of intestate succession.</w:t>
      </w:r>
    </w:p>
    <w:p>
      <w:pPr>
        <w:spacing w:after="0" w:line="169" w:lineRule="exact"/>
        <w:rPr>
          <w:sz w:val="20"/>
          <w:szCs w:val="20"/>
          <w:color w:val="auto"/>
        </w:rPr>
      </w:pPr>
    </w:p>
    <w:p>
      <w:pPr>
        <w:jc w:val="both"/>
        <w:ind w:left="316" w:hanging="316"/>
        <w:spacing w:after="0" w:line="255" w:lineRule="auto"/>
        <w:tabs>
          <w:tab w:leader="none" w:pos="31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of a Stockholder</w:t>
      </w:r>
      <w:r>
        <w:rPr>
          <w:rFonts w:ascii="Times New Roman" w:cs="Times New Roman" w:eastAsia="Times New Roman" w:hAnsi="Times New Roman"/>
          <w:sz w:val="21"/>
          <w:szCs w:val="21"/>
          <w:color w:val="auto"/>
        </w:rPr>
        <w:t>. You shall have no right to transfer, pledge, hypothecate or otherwise encumber the Restricted Share Units. You shall not have the rights of a stockholder with respect to the Restricted Share Units, including the right to receive dividends.</w:t>
      </w:r>
    </w:p>
    <w:p>
      <w:pPr>
        <w:spacing w:after="0" w:line="185"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 to Continued Service</w:t>
      </w:r>
      <w:r>
        <w:rPr>
          <w:rFonts w:ascii="Times New Roman" w:cs="Times New Roman" w:eastAsia="Times New Roman" w:hAnsi="Times New Roman"/>
          <w:sz w:val="21"/>
          <w:szCs w:val="21"/>
          <w:color w:val="auto"/>
        </w:rPr>
        <w:t>. The Award shall not confer upon you any right with respect to continuance of service by the Company nor shall this Award interfere with the right of the Company to terminate your service at any time. You acknowledge and agree that the granting of this Award, or any other Award under the Plan will not: (i) impose any obligation on the Company to grant any Award to you in the future; (ii) entitle you to receive any further Award; or (iii) confer upon you any claim to be granted any Award under the Plan. You further acknowledge and agree that there is no entitlement to damages or other compensation arising from or related to not receiving, or the forfeiture of, any Award under the Plan, including with respect to any entitlements which may have been awarded, vested or paid, after your last day of actual and active service with the Company or any Subsidiary, or if working notice of termination had been given, including but not limited to damages in lieu of notice at common law.</w:t>
      </w:r>
    </w:p>
    <w:p>
      <w:pPr>
        <w:spacing w:after="0" w:line="201" w:lineRule="exact"/>
        <w:rPr>
          <w:rFonts w:ascii="Times New Roman" w:cs="Times New Roman" w:eastAsia="Times New Roman" w:hAnsi="Times New Roman"/>
          <w:sz w:val="21"/>
          <w:szCs w:val="21"/>
          <w:color w:val="auto"/>
        </w:rPr>
      </w:pPr>
    </w:p>
    <w:p>
      <w:pPr>
        <w:jc w:val="both"/>
        <w:ind w:left="316" w:hanging="316"/>
        <w:spacing w:after="0" w:line="241" w:lineRule="auto"/>
        <w:tabs>
          <w:tab w:leader="none" w:pos="31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of Shares</w:t>
      </w:r>
      <w:r>
        <w:rPr>
          <w:rFonts w:ascii="Times New Roman" w:cs="Times New Roman" w:eastAsia="Times New Roman" w:hAnsi="Times New Roman"/>
          <w:sz w:val="21"/>
          <w:szCs w:val="21"/>
          <w:color w:val="auto"/>
        </w:rPr>
        <w:t>. The Shares delivered hereunder, or any interest therein, may be sold, assigned, pledged, hypothecated, encumbered, or transferred or disposed of in any other manner, in whole or in part, only in compliance with the terms, conditions and restrictions as set forth in the governing instruments of the Company, applicable federal and state securities laws or any other applicable laws or regulations and the terms and conditions hereof. No Shares shall be issued or transferred unless and until any then applicable requirements of state and federal laws and regulatory agencies have been fully complied with to the satisfaction of the Company and its counsel.</w:t>
      </w:r>
    </w:p>
    <w:p>
      <w:pPr>
        <w:spacing w:after="0" w:line="203" w:lineRule="exact"/>
        <w:rPr>
          <w:rFonts w:ascii="Times New Roman" w:cs="Times New Roman" w:eastAsia="Times New Roman" w:hAnsi="Times New Roman"/>
          <w:sz w:val="21"/>
          <w:szCs w:val="21"/>
          <w:color w:val="auto"/>
        </w:rPr>
      </w:pPr>
    </w:p>
    <w:p>
      <w:pPr>
        <w:jc w:val="both"/>
        <w:ind w:left="316" w:hanging="316"/>
        <w:spacing w:after="0" w:line="255" w:lineRule="auto"/>
        <w:tabs>
          <w:tab w:leader="none" w:pos="31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 of Issuance of Shares</w:t>
      </w:r>
      <w:r>
        <w:rPr>
          <w:rFonts w:ascii="Times New Roman" w:cs="Times New Roman" w:eastAsia="Times New Roman" w:hAnsi="Times New Roman"/>
          <w:sz w:val="21"/>
          <w:szCs w:val="21"/>
          <w:color w:val="auto"/>
        </w:rPr>
        <w:t>. The issuance of stock certificates hereunder shall be without charge to you. The Company shall pay any issuance, stamp or documentary taxes (other than transfer taxes) or charges imposed by any governmental body, agency or official (other than income taxes) by reason of the issuance of Shares.</w:t>
      </w:r>
    </w:p>
    <w:p>
      <w:pPr>
        <w:spacing w:after="0" w:line="185"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0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No later than the date of delivery of Shares pursuant to Section 6 hereunder, you shall pay to the Company or make arrangements satisfactory to the Committee regarding payment of any federal, state or local taxes of any kind required by law to be withheld at such time with respect to the Award and the Company shall, to the extent permitted or required by law, have the right to deduct from any payment of any kind otherwise due to you, federal, state and local taxes of any kind required by law to be withheld at such time. You may elect to have the Company withhold Shares to pay any applicable withholding taxes resulting from the Award, in accordance with any rules or regulations of the Committee then in effect. Notwithstanding the foregoing, the maximum number of Shares that may be withheld from the Award to satisfy any federal, state, or local tax withholding requirements upon the vesting of, or payment of Shares pursuant to, the Award, as applicable, may not exceed such number of Shares having a Fair Market Value equal to the minimum statutory amount required by the Company to be withheld</w:t>
      </w:r>
    </w:p>
    <w:p>
      <w:pPr>
        <w:sectPr>
          <w:pgSz w:w="11900" w:h="16838" w:orient="portrait"/>
          <w:cols w:equalWidth="0" w:num="1">
            <w:col w:w="10916"/>
          </w:cols>
          <w:pgMar w:left="644" w:top="1386" w:right="339" w:bottom="1440" w:gutter="0" w:footer="0" w:header="0"/>
        </w:sectPr>
      </w:pPr>
    </w:p>
    <w:bookmarkStart w:id="55" w:name="page56"/>
    <w:bookmarkEnd w:id="55"/>
    <w:p>
      <w:pPr>
        <w:ind w:left="640"/>
        <w:spacing w:after="0" w:line="272" w:lineRule="auto"/>
        <w:rPr>
          <w:sz w:val="20"/>
          <w:szCs w:val="20"/>
          <w:color w:val="auto"/>
        </w:rPr>
      </w:pPr>
      <w:r>
        <w:rPr>
          <w:rFonts w:ascii="Times New Roman" w:cs="Times New Roman" w:eastAsia="Times New Roman" w:hAnsi="Times New Roman"/>
          <w:sz w:val="21"/>
          <w:szCs w:val="21"/>
          <w:color w:val="auto"/>
        </w:rPr>
        <w:t>and paid to any such federal, state, or local taxing authority with respect to such vesting or payment of Shares, or such greater amount as may be permitted under applicable accounting standards.</w:t>
      </w:r>
    </w:p>
    <w:p>
      <w:pPr>
        <w:spacing w:after="0" w:line="169" w:lineRule="exact"/>
        <w:rPr>
          <w:sz w:val="20"/>
          <w:szCs w:val="20"/>
          <w:color w:val="auto"/>
        </w:rPr>
      </w:pPr>
    </w:p>
    <w:p>
      <w:pPr>
        <w:jc w:val="both"/>
        <w:ind w:left="640" w:hanging="316"/>
        <w:spacing w:after="0" w:line="255" w:lineRule="auto"/>
        <w:tabs>
          <w:tab w:leader="none" w:pos="64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References</w:t>
      </w:r>
      <w:r>
        <w:rPr>
          <w:rFonts w:ascii="Times New Roman" w:cs="Times New Roman" w:eastAsia="Times New Roman" w:hAnsi="Times New Roman"/>
          <w:sz w:val="21"/>
          <w:szCs w:val="21"/>
          <w:color w:val="auto"/>
        </w:rPr>
        <w:t>. References herein to your rights and obligations shall apply, where appropriate, to your legal representative or estate without regard to whether specific reference to such legal representative or estate is contained in a particular provision of this Agreement.</w:t>
      </w:r>
    </w:p>
    <w:p>
      <w:pPr>
        <w:spacing w:after="0" w:line="185" w:lineRule="exact"/>
        <w:rPr>
          <w:rFonts w:ascii="Times New Roman" w:cs="Times New Roman" w:eastAsia="Times New Roman" w:hAnsi="Times New Roman"/>
          <w:sz w:val="21"/>
          <w:szCs w:val="21"/>
          <w:color w:val="auto"/>
        </w:rPr>
      </w:pPr>
    </w:p>
    <w:p>
      <w:pPr>
        <w:jc w:val="both"/>
        <w:ind w:left="640" w:hanging="316"/>
        <w:spacing w:after="0" w:line="242" w:lineRule="auto"/>
        <w:tabs>
          <w:tab w:leader="none" w:pos="64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or permitted to be given under this 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 or by email or other electronic means using a system maintained by the Company when transmitted without a notice of failed delivery:</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to the Company: Vail Resorts, Inc.</w:t>
      </w:r>
    </w:p>
    <w:p>
      <w:pPr>
        <w:spacing w:after="0" w:line="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390 Interlocken Crescent</w:t>
      </w:r>
    </w:p>
    <w:p>
      <w:pPr>
        <w:ind w:left="3180"/>
        <w:spacing w:after="0" w:line="224" w:lineRule="auto"/>
        <w:rPr>
          <w:sz w:val="20"/>
          <w:szCs w:val="20"/>
          <w:color w:val="auto"/>
        </w:rPr>
      </w:pPr>
      <w:r>
        <w:rPr>
          <w:rFonts w:ascii="Times New Roman" w:cs="Times New Roman" w:eastAsia="Times New Roman" w:hAnsi="Times New Roman"/>
          <w:sz w:val="21"/>
          <w:szCs w:val="21"/>
          <w:color w:val="auto"/>
        </w:rPr>
        <w:t>Suite 1000</w:t>
      </w:r>
    </w:p>
    <w:p>
      <w:pPr>
        <w:ind w:left="3180"/>
        <w:spacing w:after="0" w:line="237" w:lineRule="auto"/>
        <w:rPr>
          <w:sz w:val="20"/>
          <w:szCs w:val="20"/>
          <w:color w:val="auto"/>
        </w:rPr>
      </w:pPr>
      <w:r>
        <w:rPr>
          <w:rFonts w:ascii="Times New Roman" w:cs="Times New Roman" w:eastAsia="Times New Roman" w:hAnsi="Times New Roman"/>
          <w:sz w:val="21"/>
          <w:szCs w:val="21"/>
          <w:color w:val="auto"/>
        </w:rPr>
        <w:t>Broomfield, Colorado 80021</w:t>
      </w:r>
    </w:p>
    <w:p>
      <w:pPr>
        <w:ind w:left="318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you: At your most recent address shown on the Company’s</w:t>
      </w:r>
    </w:p>
    <w:p>
      <w:pPr>
        <w:spacing w:after="0" w:line="21" w:lineRule="exact"/>
        <w:rPr>
          <w:sz w:val="20"/>
          <w:szCs w:val="20"/>
          <w:color w:val="auto"/>
        </w:rPr>
      </w:pPr>
    </w:p>
    <w:p>
      <w:pPr>
        <w:ind w:left="3180"/>
        <w:spacing w:after="0" w:line="237" w:lineRule="auto"/>
        <w:rPr>
          <w:sz w:val="20"/>
          <w:szCs w:val="20"/>
          <w:color w:val="auto"/>
        </w:rPr>
      </w:pPr>
      <w:r>
        <w:rPr>
          <w:rFonts w:ascii="Times New Roman" w:cs="Times New Roman" w:eastAsia="Times New Roman" w:hAnsi="Times New Roman"/>
          <w:sz w:val="21"/>
          <w:szCs w:val="21"/>
          <w:color w:val="auto"/>
        </w:rPr>
        <w:t>corporate records, or at any other address which you may specify in a notice delivered to the Company in the manner set forth herein.</w:t>
      </w:r>
    </w:p>
    <w:p>
      <w:pPr>
        <w:spacing w:after="0" w:line="202" w:lineRule="exact"/>
        <w:rPr>
          <w:sz w:val="20"/>
          <w:szCs w:val="20"/>
          <w:color w:val="auto"/>
        </w:rPr>
      </w:pPr>
    </w:p>
    <w:p>
      <w:pPr>
        <w:jc w:val="both"/>
        <w:ind w:left="640" w:hanging="316"/>
        <w:spacing w:after="0" w:line="239" w:lineRule="auto"/>
        <w:tabs>
          <w:tab w:leader="none" w:pos="64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the Committee shall determine that any dividend in Shares, recapitalization, Share split, reverse split, reorganization, merger, consolidation, spin- off, combination, repurchase, share exchange, or other similar corporate transaction or event affects the Shares such that an adjustment is appropriate in order to prevent dilution or enlargement of your rights under this Award, then the Committee shall make such equitable changes or adjustments as it deems appropriate and adjust, in such manner as it deems equitable, including, without limitation, the number and kind of Shares, other securities or other consideration issued or issuable with respect to this Award. In the event that the Company shall declare an extraordinary cash dividend, then the Committee shall in its discretion either (i) pay you cash when and as your Restricted Share Units vest in an amount equal to the number of Restricted Share Units vested multiplied by the per share amount of such extraordinary cash dividend; or (ii) make such other adjustment as the Committee determines would provide you with a substantially similar benefit.</w:t>
      </w:r>
    </w:p>
    <w:p>
      <w:pPr>
        <w:spacing w:after="0" w:line="208" w:lineRule="exact"/>
        <w:rPr>
          <w:rFonts w:ascii="Times New Roman" w:cs="Times New Roman" w:eastAsia="Times New Roman" w:hAnsi="Times New Roman"/>
          <w:sz w:val="21"/>
          <w:szCs w:val="21"/>
          <w:color w:val="auto"/>
        </w:rPr>
      </w:pPr>
    </w:p>
    <w:p>
      <w:pPr>
        <w:jc w:val="both"/>
        <w:ind w:left="640" w:hanging="316"/>
        <w:spacing w:after="0" w:line="244" w:lineRule="auto"/>
        <w:tabs>
          <w:tab w:leader="none" w:pos="64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you and your beneficiaries, executors, administrators and the person(s) to whom the Restricted Share Units may be transferred by will or the laws of descent or distribution.</w:t>
      </w:r>
    </w:p>
    <w:p>
      <w:pPr>
        <w:sectPr>
          <w:pgSz w:w="11900" w:h="16838" w:orient="portrait"/>
          <w:cols w:equalWidth="0" w:num="1">
            <w:col w:w="11240"/>
          </w:cols>
          <w:pgMar w:left="320" w:top="1386" w:right="339" w:bottom="1440" w:gutter="0" w:footer="0" w:header="0"/>
        </w:sectPr>
      </w:pPr>
    </w:p>
    <w:bookmarkStart w:id="56" w:name="page57"/>
    <w:bookmarkEnd w:id="56"/>
    <w:p>
      <w:pPr>
        <w:spacing w:after="0" w:line="185" w:lineRule="exact"/>
        <w:rPr>
          <w:sz w:val="20"/>
          <w:szCs w:val="20"/>
          <w:color w:val="auto"/>
        </w:rPr>
      </w:pPr>
    </w:p>
    <w:p>
      <w:pPr>
        <w:jc w:val="both"/>
        <w:ind w:left="316" w:hanging="316"/>
        <w:spacing w:after="0" w:line="255" w:lineRule="auto"/>
        <w:tabs>
          <w:tab w:leader="none" w:pos="31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85" w:lineRule="exact"/>
        <w:rPr>
          <w:rFonts w:ascii="Times New Roman" w:cs="Times New Roman" w:eastAsia="Times New Roman" w:hAnsi="Times New Roman"/>
          <w:sz w:val="21"/>
          <w:szCs w:val="21"/>
          <w:color w:val="auto"/>
        </w:rPr>
      </w:pPr>
    </w:p>
    <w:p>
      <w:pPr>
        <w:jc w:val="both"/>
        <w:ind w:left="316" w:hanging="316"/>
        <w:spacing w:after="0" w:line="241" w:lineRule="auto"/>
        <w:tabs>
          <w:tab w:leader="none" w:pos="31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you on account of non-compliance with Section 409A of the Code</w:t>
      </w:r>
      <w:r>
        <w:rPr>
          <w:rFonts w:ascii="Times New Roman" w:cs="Times New Roman" w:eastAsia="Times New Roman" w:hAnsi="Times New Roman"/>
          <w:sz w:val="21"/>
          <w:szCs w:val="21"/>
          <w:color w:val="010000"/>
        </w:rPr>
        <w:t>.</w:t>
      </w:r>
    </w:p>
    <w:p>
      <w:pPr>
        <w:spacing w:after="0" w:line="203" w:lineRule="exact"/>
        <w:rPr>
          <w:rFonts w:ascii="Times New Roman" w:cs="Times New Roman" w:eastAsia="Times New Roman" w:hAnsi="Times New Roman"/>
          <w:sz w:val="21"/>
          <w:szCs w:val="21"/>
          <w:color w:val="auto"/>
        </w:rPr>
      </w:pPr>
    </w:p>
    <w:p>
      <w:pPr>
        <w:ind w:left="316" w:hanging="316"/>
        <w:spacing w:after="0" w:line="272" w:lineRule="auto"/>
        <w:tabs>
          <w:tab w:leader="none" w:pos="316" w:val="left"/>
        </w:tabs>
        <w:numPr>
          <w:ilvl w:val="0"/>
          <w:numId w:val="2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Delaware, without giving effect to principles of conflict of laws.</w:t>
      </w:r>
    </w:p>
    <w:p>
      <w:pPr>
        <w:spacing w:after="0" w:line="168" w:lineRule="exact"/>
        <w:rPr>
          <w:rFonts w:ascii="Times New Roman" w:cs="Times New Roman" w:eastAsia="Times New Roman" w:hAnsi="Times New Roman"/>
          <w:sz w:val="21"/>
          <w:szCs w:val="21"/>
          <w:color w:val="010000"/>
        </w:rPr>
      </w:pPr>
    </w:p>
    <w:p>
      <w:pPr>
        <w:ind w:left="316" w:hanging="316"/>
        <w:spacing w:after="0"/>
        <w:tabs>
          <w:tab w:leader="none" w:pos="31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By accepting the Award, you agree to be bound by this Agreement.</w:t>
      </w:r>
    </w:p>
    <w:p>
      <w:pPr>
        <w:spacing w:after="0" w:line="236" w:lineRule="exact"/>
        <w:rPr>
          <w:rFonts w:ascii="Times New Roman" w:cs="Times New Roman" w:eastAsia="Times New Roman" w:hAnsi="Times New Roman"/>
          <w:sz w:val="21"/>
          <w:szCs w:val="21"/>
          <w:color w:val="auto"/>
        </w:rPr>
      </w:pPr>
    </w:p>
    <w:p>
      <w:pPr>
        <w:jc w:val="both"/>
        <w:ind w:left="316" w:hanging="316"/>
        <w:spacing w:after="0" w:line="241" w:lineRule="auto"/>
        <w:tabs>
          <w:tab w:leader="none" w:pos="31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As part of your responsibilities with the Company, you may have access to or become familiar with information concerning the business of the Company that is of a confidential nature. By accepting this Award, you agree that you will not discuss or disclose any confidential information to any outside individual or institution or to use it for your own benefit except on the direct written authorization of a member of the Executive Committee. Please refer to the Confidential Information section in the Employee Guide for additional information, including a description of the information considered confidential. The Company will pursue legal remedies for unauthorized use or disclosure of sensitive, confidential information.</w:t>
      </w:r>
    </w:p>
    <w:p>
      <w:pPr>
        <w:sectPr>
          <w:pgSz w:w="11900" w:h="16838" w:orient="portrait"/>
          <w:cols w:equalWidth="0" w:num="1">
            <w:col w:w="10916"/>
          </w:cols>
          <w:pgMar w:left="644" w:top="144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1"/>
          <w:szCs w:val="21"/>
          <w:b w:val="1"/>
          <w:bCs w:val="1"/>
          <w:color w:val="auto"/>
        </w:rPr>
        <w:t>VAIL RESORTS,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SHARE UNIT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SWITZERLAND</w:t>
      </w:r>
    </w:p>
    <w:p>
      <w:pPr>
        <w:spacing w:after="0" w:line="199" w:lineRule="exact"/>
        <w:rPr>
          <w:sz w:val="20"/>
          <w:szCs w:val="20"/>
          <w:color w:val="auto"/>
        </w:rPr>
      </w:pPr>
    </w:p>
    <w:p>
      <w:pPr>
        <w:jc w:val="both"/>
        <w:ind w:firstLine="637"/>
        <w:spacing w:after="0" w:line="244" w:lineRule="auto"/>
        <w:rPr>
          <w:sz w:val="20"/>
          <w:szCs w:val="20"/>
          <w:color w:val="auto"/>
        </w:rPr>
      </w:pPr>
      <w:r>
        <w:rPr>
          <w:rFonts w:ascii="Times New Roman" w:cs="Times New Roman" w:eastAsia="Times New Roman" w:hAnsi="Times New Roman"/>
          <w:sz w:val="21"/>
          <w:szCs w:val="21"/>
          <w:color w:val="auto"/>
        </w:rPr>
        <w:t>THIS AGREEMENT is between Vail Resorts, Inc., a Delaware corporation (the “Company”), and the employee who receives this Agreement in connection with an award of Restricted Share Units under the Company’s 2024 Omnibus Incentive Plan (the “Plan”), the terms of which are incorporated herein by reference. Capitalized terms used and not defined herein have the meanings set forth in the Plan.</w:t>
      </w:r>
    </w:p>
    <w:p>
      <w:pPr>
        <w:spacing w:after="0" w:line="185" w:lineRule="exact"/>
        <w:rPr>
          <w:sz w:val="20"/>
          <w:szCs w:val="20"/>
          <w:color w:val="auto"/>
        </w:rPr>
      </w:pPr>
    </w:p>
    <w:p>
      <w:pPr>
        <w:jc w:val="both"/>
        <w:ind w:firstLine="637"/>
        <w:spacing w:after="0" w:line="272" w:lineRule="auto"/>
        <w:rPr>
          <w:sz w:val="20"/>
          <w:szCs w:val="20"/>
          <w:color w:val="auto"/>
        </w:rPr>
      </w:pPr>
      <w:r>
        <w:rPr>
          <w:rFonts w:ascii="Times New Roman" w:cs="Times New Roman" w:eastAsia="Times New Roman" w:hAnsi="Times New Roman"/>
          <w:sz w:val="21"/>
          <w:szCs w:val="21"/>
          <w:color w:val="auto"/>
        </w:rPr>
        <w:t>NOW, THEREFORE, in consideration of the premises and mutual covenants contained herein, and for other good and valuable consideration, the parties hereto agree as follows.</w:t>
      </w:r>
    </w:p>
    <w:p>
      <w:pPr>
        <w:spacing w:after="0" w:line="156" w:lineRule="exact"/>
        <w:rPr>
          <w:sz w:val="20"/>
          <w:szCs w:val="20"/>
          <w:color w:val="auto"/>
        </w:rPr>
      </w:pPr>
    </w:p>
    <w:p>
      <w:pPr>
        <w:jc w:val="both"/>
        <w:ind w:left="640" w:hanging="316"/>
        <w:spacing w:after="0" w:line="239" w:lineRule="auto"/>
        <w:tabs>
          <w:tab w:leader="none" w:pos="6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Award of Restricted Share Units</w:t>
      </w:r>
      <w:r>
        <w:rPr>
          <w:rFonts w:ascii="Times New Roman" w:cs="Times New Roman" w:eastAsia="Times New Roman" w:hAnsi="Times New Roman"/>
          <w:sz w:val="21"/>
          <w:szCs w:val="21"/>
          <w:color w:val="auto"/>
        </w:rPr>
        <w:t>. Pursuant to the provisions of the Plan, the terms of which are incorporated herein by reference, you may, from time to time, be awarded Restricted Share Units (the “Award”), subject to the terms and conditions of the Plan and those herein set forth. An Award is granted as of the date set forth in the notification to you of such Award (the “Date of Grant”). Capitalized terms used herein and not defined shall have the meanings set forth in the Plan. In the event of any conflict between this Agreement and the Plan, the Plan shall control.</w:t>
      </w:r>
    </w:p>
    <w:p>
      <w:pPr>
        <w:spacing w:after="0" w:line="190" w:lineRule="exact"/>
        <w:rPr>
          <w:rFonts w:ascii="Times New Roman" w:cs="Times New Roman" w:eastAsia="Times New Roman" w:hAnsi="Times New Roman"/>
          <w:sz w:val="21"/>
          <w:szCs w:val="21"/>
          <w:color w:val="auto"/>
        </w:rPr>
      </w:pPr>
    </w:p>
    <w:p>
      <w:pPr>
        <w:ind w:left="640" w:right="20" w:hanging="316"/>
        <w:spacing w:after="0" w:line="272" w:lineRule="auto"/>
        <w:tabs>
          <w:tab w:leader="none" w:pos="6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and Conditions</w:t>
      </w:r>
      <w:r>
        <w:rPr>
          <w:rFonts w:ascii="Times New Roman" w:cs="Times New Roman" w:eastAsia="Times New Roman" w:hAnsi="Times New Roman"/>
          <w:sz w:val="21"/>
          <w:szCs w:val="21"/>
          <w:color w:val="auto"/>
        </w:rPr>
        <w:t>. It is understood and agreed that the Award of Restricted Share Units is subject to the following terms and conditions:</w:t>
      </w:r>
    </w:p>
    <w:p>
      <w:pPr>
        <w:spacing w:after="0" w:line="155" w:lineRule="exact"/>
        <w:rPr>
          <w:rFonts w:ascii="Times New Roman" w:cs="Times New Roman" w:eastAsia="Times New Roman" w:hAnsi="Times New Roman"/>
          <w:sz w:val="21"/>
          <w:szCs w:val="21"/>
          <w:color w:val="auto"/>
        </w:rPr>
      </w:pPr>
    </w:p>
    <w:p>
      <w:pPr>
        <w:ind w:left="640" w:hanging="316"/>
        <w:spacing w:after="0" w:line="259" w:lineRule="auto"/>
        <w:tabs>
          <w:tab w:leader="none" w:pos="6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Award</w:t>
      </w:r>
      <w:r>
        <w:rPr>
          <w:rFonts w:ascii="Times New Roman" w:cs="Times New Roman" w:eastAsia="Times New Roman" w:hAnsi="Times New Roman"/>
          <w:sz w:val="21"/>
          <w:szCs w:val="21"/>
          <w:color w:val="auto"/>
        </w:rPr>
        <w:t>. Subject to Sections 4 and 5 below and the other terms and conditions of this Agreement, the Award shall become vested as provided in the notification to you of such Award.</w:t>
      </w:r>
    </w:p>
    <w:p>
      <w:pPr>
        <w:spacing w:after="0" w:line="181" w:lineRule="exact"/>
        <w:rPr>
          <w:rFonts w:ascii="Times New Roman" w:cs="Times New Roman" w:eastAsia="Times New Roman" w:hAnsi="Times New Roman"/>
          <w:sz w:val="21"/>
          <w:szCs w:val="21"/>
          <w:color w:val="auto"/>
        </w:rPr>
      </w:pPr>
    </w:p>
    <w:p>
      <w:pPr>
        <w:jc w:val="both"/>
        <w:ind w:left="640" w:hanging="316"/>
        <w:spacing w:after="0" w:line="234" w:lineRule="auto"/>
        <w:tabs>
          <w:tab w:leader="none" w:pos="6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Notwithstanding any provision of this Agreement to the contrary, in the event that the successor corporation in a Change in Control does not assume or substitute for the Award (or portion thereof), the Committee will (i) cause any or all of such Award (or portion thereof) to terminate in exchange for cash, rights or other property having a value (as determined by the Committee acting in good faith) equal to the formula or fixed price per share paid to holders of Shares pursuant to such Change in Control, with respect to each Share underlying the Restricted Share Units, or (ii) cause the Participant to fully vest in the Award and all restrictions on the Award to lapse, and, with respect to any performance criteria, all performance goals will be deemed achieved at the greater of actual performance or 100% of target levels and all other terms and conditions shall be deemed met, in each case, to the extent the Award otherwise remains outstanding and has not otherwise vested or been forfeited as of any such Change in Control.</w:t>
      </w:r>
    </w:p>
    <w:p>
      <w:pPr>
        <w:spacing w:after="0" w:line="202" w:lineRule="exact"/>
        <w:rPr>
          <w:rFonts w:ascii="Times New Roman" w:cs="Times New Roman" w:eastAsia="Times New Roman" w:hAnsi="Times New Roman"/>
          <w:sz w:val="21"/>
          <w:szCs w:val="21"/>
          <w:color w:val="auto"/>
        </w:rPr>
      </w:pPr>
    </w:p>
    <w:p>
      <w:pPr>
        <w:jc w:val="both"/>
        <w:ind w:left="640"/>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in the event that the Award is assumed or substituted or otherwise continued by a successor in a Change in Control, the following terms shall apply. In the event of your termination of continuous service or employment without Cause by the successor or its affiliates in a Change in Control during the 12-month period following a Change in Control, the Award shall fully vest and all restrictions on the Award shall lapse, and, with respect to any performance criteria, all performance goals will be deemed achieved at the greater of actual</w:t>
      </w:r>
    </w:p>
    <w:p>
      <w:pPr>
        <w:sectPr>
          <w:pgSz w:w="11900" w:h="16838" w:orient="portrait"/>
          <w:cols w:equalWidth="0" w:num="1">
            <w:col w:w="11240"/>
          </w:cols>
          <w:pgMar w:left="320" w:top="1382" w:right="339" w:bottom="1440" w:gutter="0" w:footer="0" w:header="0"/>
        </w:sectPr>
      </w:pPr>
    </w:p>
    <w:bookmarkStart w:id="58" w:name="page59"/>
    <w:bookmarkEnd w:id="58"/>
    <w:p>
      <w:pPr>
        <w:jc w:val="both"/>
        <w:ind w:left="316"/>
        <w:spacing w:after="0" w:line="239" w:lineRule="auto"/>
        <w:rPr>
          <w:sz w:val="20"/>
          <w:szCs w:val="20"/>
          <w:color w:val="auto"/>
        </w:rPr>
      </w:pPr>
      <w:r>
        <w:rPr>
          <w:rFonts w:ascii="Times New Roman" w:cs="Times New Roman" w:eastAsia="Times New Roman" w:hAnsi="Times New Roman"/>
          <w:sz w:val="21"/>
          <w:szCs w:val="21"/>
          <w:color w:val="auto"/>
        </w:rPr>
        <w:t>performance or 100% of target levels and all other terms and conditions shall be deemed met, in each case, to the extent the Award otherwise remains outstanding and has not otherwise vested or been forfeited. The good faith determination by the Company of whether your service or employment was terminated by the Company for Cause shall be final and binding for all purposes hereunder. For the avoidance of doubt, the foregoing shall apply to the extent and in a manner consistent with the requirements of Section 409A of the Internal Revenue Code.</w:t>
      </w:r>
    </w:p>
    <w:p>
      <w:pPr>
        <w:spacing w:after="0" w:line="190" w:lineRule="exact"/>
        <w:rPr>
          <w:sz w:val="20"/>
          <w:szCs w:val="20"/>
          <w:color w:val="auto"/>
        </w:rPr>
      </w:pPr>
    </w:p>
    <w:p>
      <w:pPr>
        <w:ind w:left="316"/>
        <w:spacing w:after="0"/>
        <w:rPr>
          <w:sz w:val="20"/>
          <w:szCs w:val="20"/>
          <w:color w:val="auto"/>
        </w:rPr>
      </w:pPr>
      <w:r>
        <w:rPr>
          <w:rFonts w:ascii="Times New Roman" w:cs="Times New Roman" w:eastAsia="Times New Roman" w:hAnsi="Times New Roman"/>
          <w:sz w:val="21"/>
          <w:szCs w:val="21"/>
          <w:color w:val="auto"/>
        </w:rPr>
        <w:t>The obligations of the Company hereunder shall be binding upon any successor of the Company.</w:t>
      </w:r>
    </w:p>
    <w:p>
      <w:pPr>
        <w:spacing w:after="0" w:line="236" w:lineRule="exact"/>
        <w:rPr>
          <w:sz w:val="20"/>
          <w:szCs w:val="20"/>
          <w:color w:val="auto"/>
        </w:rPr>
      </w:pPr>
    </w:p>
    <w:p>
      <w:pPr>
        <w:jc w:val="both"/>
        <w:ind w:left="316" w:hanging="316"/>
        <w:spacing w:after="0" w:line="237" w:lineRule="auto"/>
        <w:tabs>
          <w:tab w:leader="none" w:pos="31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 or Employment; Forfeiture of Unvested Shares; Death; Disability</w:t>
      </w:r>
      <w:r>
        <w:rPr>
          <w:rFonts w:ascii="Times New Roman" w:cs="Times New Roman" w:eastAsia="Times New Roman" w:hAnsi="Times New Roman"/>
          <w:sz w:val="21"/>
          <w:szCs w:val="21"/>
          <w:color w:val="auto"/>
        </w:rPr>
        <w:t>. Upon the termination of your service or employment for any reason, by you or by the Company and/or its Subsidiaries, with or without Cause prior to the date that the Award otherwise becomes vested, the unvested portion of the Award shall immediately be forfeited by you and become the property of the Company. Notwithstanding the foregoing, if your employment with the Company and/or its Subsidiaries terminates as a result of your death or separation from employment due to Disability, then the Award, if not already vested under Section 3, will vest in full as of the date of death or separation from employment due to Disability.</w:t>
      </w:r>
    </w:p>
    <w:p>
      <w:pPr>
        <w:spacing w:after="0" w:line="187" w:lineRule="exact"/>
        <w:rPr>
          <w:rFonts w:ascii="Times New Roman" w:cs="Times New Roman" w:eastAsia="Times New Roman" w:hAnsi="Times New Roman"/>
          <w:sz w:val="21"/>
          <w:szCs w:val="21"/>
          <w:color w:val="auto"/>
        </w:rPr>
      </w:pPr>
    </w:p>
    <w:p>
      <w:pPr>
        <w:jc w:val="both"/>
        <w:ind w:left="316" w:hanging="316"/>
        <w:spacing w:after="0" w:line="237" w:lineRule="auto"/>
        <w:tabs>
          <w:tab w:leader="none" w:pos="31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w:t>
      </w:r>
      <w:r>
        <w:rPr>
          <w:rFonts w:ascii="Times New Roman" w:cs="Times New Roman" w:eastAsia="Times New Roman" w:hAnsi="Times New Roman"/>
          <w:sz w:val="21"/>
          <w:szCs w:val="21"/>
          <w:color w:val="auto"/>
        </w:rPr>
        <w:t>. Promptly following the vesting of Restricted Share Units pursuant to the terms and conditions hereof and the satisfaction of any withholding tax liability pursuant to Section 11 hereof, but no later than March 15 of the calendar year following the calendar year in which such vesting occurs, the certificates evidencing the Shares to which the vested Restricted Share Units relate shall be delivered to you or other evidence of the Shares shall be provided to you. In the event of your death and the vesting of this Award pursuant to Section 5 above, the Shares shall be delivered to the executor or administrator of your estate or to the person or persons to whom your rights under this Agreement shall pass by will or by the laws of intestate succession.</w:t>
      </w:r>
    </w:p>
    <w:p>
      <w:pPr>
        <w:spacing w:after="0" w:line="187" w:lineRule="exact"/>
        <w:rPr>
          <w:rFonts w:ascii="Times New Roman" w:cs="Times New Roman" w:eastAsia="Times New Roman" w:hAnsi="Times New Roman"/>
          <w:sz w:val="21"/>
          <w:szCs w:val="21"/>
          <w:color w:val="auto"/>
        </w:rPr>
      </w:pPr>
    </w:p>
    <w:p>
      <w:pPr>
        <w:jc w:val="both"/>
        <w:ind w:left="316" w:hanging="316"/>
        <w:spacing w:after="0" w:line="248" w:lineRule="auto"/>
        <w:tabs>
          <w:tab w:leader="none" w:pos="31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of a Stockholder</w:t>
      </w:r>
      <w:r>
        <w:rPr>
          <w:rFonts w:ascii="Times New Roman" w:cs="Times New Roman" w:eastAsia="Times New Roman" w:hAnsi="Times New Roman"/>
          <w:sz w:val="21"/>
          <w:szCs w:val="21"/>
          <w:color w:val="auto"/>
        </w:rPr>
        <w:t>. You shall have no right to transfer, pledge, hypothecate or otherwise encumber the Restricted Share Units. You shall not have the rights of a stockholder with respect to the Restricted Share Units, including the right to receive dividends.</w:t>
      </w:r>
    </w:p>
    <w:p>
      <w:pPr>
        <w:spacing w:after="0" w:line="193" w:lineRule="exact"/>
        <w:rPr>
          <w:rFonts w:ascii="Times New Roman" w:cs="Times New Roman" w:eastAsia="Times New Roman" w:hAnsi="Times New Roman"/>
          <w:sz w:val="21"/>
          <w:szCs w:val="21"/>
          <w:color w:val="auto"/>
        </w:rPr>
      </w:pPr>
    </w:p>
    <w:p>
      <w:pPr>
        <w:jc w:val="both"/>
        <w:ind w:left="316" w:hanging="316"/>
        <w:spacing w:after="0" w:line="237" w:lineRule="auto"/>
        <w:tabs>
          <w:tab w:leader="none" w:pos="31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 to Continued Employment or Service</w:t>
      </w:r>
      <w:r>
        <w:rPr>
          <w:rFonts w:ascii="Times New Roman" w:cs="Times New Roman" w:eastAsia="Times New Roman" w:hAnsi="Times New Roman"/>
          <w:sz w:val="21"/>
          <w:szCs w:val="21"/>
          <w:color w:val="auto"/>
        </w:rPr>
        <w:t>. Nothing in this Agreement shall interfere with or limit in any way the right of the Company and/or its Subsidiaries to terminate your employment or service at any time (with or without Cause), or confer upon you any right to continue in the employ or service of the Company and/or its Subsidiaries for any period of time or to continue to receive your current (or other) rate of compensation. Nothing in this Agreement shall confer upon you any right to be selected to receive additional awards under the Plan or otherwise.</w:t>
      </w:r>
    </w:p>
    <w:p>
      <w:pPr>
        <w:spacing w:after="0" w:line="200"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of Shares</w:t>
      </w:r>
      <w:r>
        <w:rPr>
          <w:rFonts w:ascii="Times New Roman" w:cs="Times New Roman" w:eastAsia="Times New Roman" w:hAnsi="Times New Roman"/>
          <w:sz w:val="21"/>
          <w:szCs w:val="21"/>
          <w:color w:val="auto"/>
        </w:rPr>
        <w:t>. The Shares delivered hereunder, or any interest therein, may be sold, assigned, pledged, hypothecated, encumbered, or transferred or disposed of in any other manner, in whole or in part, only in compliance with the terms, conditions and restrictions as set forth in the governing instruments of the Company, applicable federal and state securities laws or any other applicable laws or regulations and the terms and</w:t>
      </w:r>
    </w:p>
    <w:p>
      <w:pPr>
        <w:sectPr>
          <w:pgSz w:w="11900" w:h="16838" w:orient="portrait"/>
          <w:cols w:equalWidth="0" w:num="1">
            <w:col w:w="10916"/>
          </w:cols>
          <w:pgMar w:left="644" w:top="1386" w:right="339" w:bottom="1440" w:gutter="0" w:footer="0" w:header="0"/>
        </w:sectPr>
      </w:pPr>
    </w:p>
    <w:bookmarkStart w:id="59" w:name="page60"/>
    <w:bookmarkEnd w:id="59"/>
    <w:p>
      <w:pPr>
        <w:ind w:left="640"/>
        <w:spacing w:after="0" w:line="259" w:lineRule="auto"/>
        <w:rPr>
          <w:sz w:val="20"/>
          <w:szCs w:val="20"/>
          <w:color w:val="auto"/>
        </w:rPr>
      </w:pPr>
      <w:r>
        <w:rPr>
          <w:rFonts w:ascii="Times New Roman" w:cs="Times New Roman" w:eastAsia="Times New Roman" w:hAnsi="Times New Roman"/>
          <w:sz w:val="21"/>
          <w:szCs w:val="21"/>
          <w:color w:val="auto"/>
        </w:rPr>
        <w:t>conditions hereof. No Shares shall be issued or transferred unless and until any then applicable requirements of state and federal laws and regulatory agencies have been fully complied with to the satisfaction of the Company and its counsel.</w:t>
      </w:r>
    </w:p>
    <w:p>
      <w:pPr>
        <w:spacing w:after="0" w:line="182" w:lineRule="exact"/>
        <w:rPr>
          <w:sz w:val="20"/>
          <w:szCs w:val="20"/>
          <w:color w:val="auto"/>
        </w:rPr>
      </w:pPr>
    </w:p>
    <w:p>
      <w:pPr>
        <w:jc w:val="both"/>
        <w:ind w:left="640" w:hanging="316"/>
        <w:spacing w:after="0" w:line="248" w:lineRule="auto"/>
        <w:tabs>
          <w:tab w:leader="none" w:pos="64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 of Issuance of Shares</w:t>
      </w:r>
      <w:r>
        <w:rPr>
          <w:rFonts w:ascii="Times New Roman" w:cs="Times New Roman" w:eastAsia="Times New Roman" w:hAnsi="Times New Roman"/>
          <w:sz w:val="21"/>
          <w:szCs w:val="21"/>
          <w:color w:val="auto"/>
        </w:rPr>
        <w:t>. The issuance of stock certificates hereunder shall be without charge to you. The Company shall pay any issuance, stamp or documentary taxes (other than transfer taxes) or charges imposed by any governmental body, agency or official (other than income taxes) by reason of the issuance of Shares.</w:t>
      </w:r>
    </w:p>
    <w:p>
      <w:pPr>
        <w:spacing w:after="0" w:line="179" w:lineRule="exact"/>
        <w:rPr>
          <w:rFonts w:ascii="Times New Roman" w:cs="Times New Roman" w:eastAsia="Times New Roman" w:hAnsi="Times New Roman"/>
          <w:sz w:val="21"/>
          <w:szCs w:val="21"/>
          <w:color w:val="auto"/>
        </w:rPr>
      </w:pPr>
    </w:p>
    <w:p>
      <w:pPr>
        <w:jc w:val="both"/>
        <w:ind w:left="640" w:hanging="316"/>
        <w:spacing w:after="0" w:line="234" w:lineRule="auto"/>
        <w:tabs>
          <w:tab w:leader="none" w:pos="63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No later than the date of delivery of Shares pursuant to Section 6 hereunder, you shall pay to the Company or make arrangements satisfactory to the Committee regarding payment of any federal, state or local taxes of any kind required by law to be withheld at such time with respect to the Award and the Company shall, to the extent permitted or required by law, have the right to deduct from any payment of any kind otherwise due to you, federal, state and local taxes of any kind required by law to be withheld at such time. You may elect to have the Company withhold Shares to pay any applicable withholding taxes resulting from the Award, in accordance with any rules or regulations of the Committee then in effect. Notwithstanding the foregoing, the maximum number of Shares that may be withheld from the Award to satisfy any federal, state, or local tax withholding requirements upon the vesting of, or payment of Shares pursuant to, the Award, as applicable, may not exceed such number of Shares having a Fair Market Value equal to the minimum statutory amount required by the Company to be withheld and paid to any such federal, state, or local taxing authority with respect to such vesting or payment of Shares, or such greater amount as may be permitted under applicable accounting standards.</w:t>
      </w:r>
    </w:p>
    <w:p>
      <w:pPr>
        <w:spacing w:after="0" w:line="195" w:lineRule="exact"/>
        <w:rPr>
          <w:rFonts w:ascii="Times New Roman" w:cs="Times New Roman" w:eastAsia="Times New Roman" w:hAnsi="Times New Roman"/>
          <w:sz w:val="21"/>
          <w:szCs w:val="21"/>
          <w:color w:val="auto"/>
        </w:rPr>
      </w:pPr>
    </w:p>
    <w:p>
      <w:pPr>
        <w:jc w:val="both"/>
        <w:ind w:left="640" w:hanging="316"/>
        <w:spacing w:after="0" w:line="248" w:lineRule="auto"/>
        <w:tabs>
          <w:tab w:leader="none" w:pos="64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References</w:t>
      </w:r>
      <w:r>
        <w:rPr>
          <w:rFonts w:ascii="Times New Roman" w:cs="Times New Roman" w:eastAsia="Times New Roman" w:hAnsi="Times New Roman"/>
          <w:sz w:val="21"/>
          <w:szCs w:val="21"/>
          <w:color w:val="auto"/>
        </w:rPr>
        <w:t>. References herein to your rights and obligations shall apply, where appropriate, to your legal representative or estate without regard to whether specific reference to such legal representative or estate is contained in a particular provision of this Agreement.</w:t>
      </w:r>
    </w:p>
    <w:p>
      <w:pPr>
        <w:spacing w:after="0" w:line="179" w:lineRule="exact"/>
        <w:rPr>
          <w:rFonts w:ascii="Times New Roman" w:cs="Times New Roman" w:eastAsia="Times New Roman" w:hAnsi="Times New Roman"/>
          <w:sz w:val="21"/>
          <w:szCs w:val="21"/>
          <w:color w:val="auto"/>
        </w:rPr>
      </w:pPr>
    </w:p>
    <w:p>
      <w:pPr>
        <w:jc w:val="both"/>
        <w:ind w:left="640" w:hanging="316"/>
        <w:spacing w:after="0" w:line="239" w:lineRule="auto"/>
        <w:tabs>
          <w:tab w:leader="none" w:pos="64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or permitted to be given under this 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 or by email or other electronic means using a system maintained by the Company when transmitted without a notice of failed delivery:</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to the Company: Vail Resorts, Inc.</w:t>
      </w:r>
    </w:p>
    <w:p>
      <w:pPr>
        <w:ind w:left="3180"/>
        <w:spacing w:after="0" w:line="232" w:lineRule="auto"/>
        <w:rPr>
          <w:sz w:val="20"/>
          <w:szCs w:val="20"/>
          <w:color w:val="auto"/>
        </w:rPr>
      </w:pPr>
      <w:r>
        <w:rPr>
          <w:rFonts w:ascii="Times New Roman" w:cs="Times New Roman" w:eastAsia="Times New Roman" w:hAnsi="Times New Roman"/>
          <w:sz w:val="21"/>
          <w:szCs w:val="21"/>
          <w:color w:val="auto"/>
        </w:rPr>
        <w:t>390 Interlocken Crescent</w:t>
      </w:r>
    </w:p>
    <w:p>
      <w:pPr>
        <w:ind w:left="3180"/>
        <w:spacing w:after="0" w:line="237" w:lineRule="auto"/>
        <w:rPr>
          <w:sz w:val="20"/>
          <w:szCs w:val="20"/>
          <w:color w:val="auto"/>
        </w:rPr>
      </w:pPr>
      <w:r>
        <w:rPr>
          <w:rFonts w:ascii="Times New Roman" w:cs="Times New Roman" w:eastAsia="Times New Roman" w:hAnsi="Times New Roman"/>
          <w:sz w:val="21"/>
          <w:szCs w:val="21"/>
          <w:color w:val="auto"/>
        </w:rPr>
        <w:t>Suite 1000</w:t>
      </w:r>
    </w:p>
    <w:p>
      <w:pPr>
        <w:ind w:left="3180"/>
        <w:spacing w:after="0" w:line="224" w:lineRule="auto"/>
        <w:rPr>
          <w:sz w:val="20"/>
          <w:szCs w:val="20"/>
          <w:color w:val="auto"/>
        </w:rPr>
      </w:pPr>
      <w:r>
        <w:rPr>
          <w:rFonts w:ascii="Times New Roman" w:cs="Times New Roman" w:eastAsia="Times New Roman" w:hAnsi="Times New Roman"/>
          <w:sz w:val="21"/>
          <w:szCs w:val="21"/>
          <w:color w:val="auto"/>
        </w:rPr>
        <w:t>Broomfield, Colorado 80021</w:t>
      </w:r>
    </w:p>
    <w:p>
      <w:pPr>
        <w:spacing w:after="0" w:line="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you: At your most recent address shown on the Company’s</w:t>
      </w:r>
    </w:p>
    <w:p>
      <w:pPr>
        <w:spacing w:after="0" w:line="8" w:lineRule="exact"/>
        <w:rPr>
          <w:sz w:val="20"/>
          <w:szCs w:val="20"/>
          <w:color w:val="auto"/>
        </w:rPr>
      </w:pPr>
    </w:p>
    <w:p>
      <w:pPr>
        <w:ind w:left="3180"/>
        <w:spacing w:after="0" w:line="248" w:lineRule="auto"/>
        <w:rPr>
          <w:sz w:val="20"/>
          <w:szCs w:val="20"/>
          <w:color w:val="auto"/>
        </w:rPr>
      </w:pPr>
      <w:r>
        <w:rPr>
          <w:rFonts w:ascii="Times New Roman" w:cs="Times New Roman" w:eastAsia="Times New Roman" w:hAnsi="Times New Roman"/>
          <w:sz w:val="21"/>
          <w:szCs w:val="21"/>
          <w:color w:val="auto"/>
        </w:rPr>
        <w:t>corporate records, or at any other address which you may specify in a notice delivered to the Company in the manner set forth herein.</w:t>
      </w:r>
    </w:p>
    <w:p>
      <w:pPr>
        <w:sectPr>
          <w:pgSz w:w="11900" w:h="16838" w:orient="portrait"/>
          <w:cols w:equalWidth="0" w:num="1">
            <w:col w:w="11240"/>
          </w:cols>
          <w:pgMar w:left="320" w:top="1386" w:right="339" w:bottom="1440" w:gutter="0" w:footer="0" w:header="0"/>
        </w:sectPr>
      </w:pPr>
    </w:p>
    <w:bookmarkStart w:id="60" w:name="page61"/>
    <w:bookmarkEnd w:id="60"/>
    <w:p>
      <w:pPr>
        <w:spacing w:after="0" w:line="185" w:lineRule="exact"/>
        <w:rPr>
          <w:sz w:val="20"/>
          <w:szCs w:val="20"/>
          <w:color w:val="auto"/>
        </w:rPr>
      </w:pPr>
    </w:p>
    <w:p>
      <w:pPr>
        <w:jc w:val="both"/>
        <w:ind w:left="316" w:hanging="316"/>
        <w:spacing w:after="0" w:line="234" w:lineRule="auto"/>
        <w:tabs>
          <w:tab w:leader="none" w:pos="31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the Committee shall determine that any dividend in Shares, recapitalization, Share split, reverse split, reorganization, merger, consolidation, spin-off, combination, repurchase, share exchange, or other similar corporate transaction or event affects the Shares such that an adjustment is appropriate in order to prevent dilution or enlargement of your rights under this Award, then the Committee shall make such equitable changes or adjustments as it deems appropriate and adjust, in such manner as it deems equitable, including, without limitation, the number and kind of Shares, other securities or other consideration issued or issuable with respect to this Award. In the event that the Company shall declare an extraordinary cash dividend, then the Committee shall in its discretion either (i) pay you cash when and as your Restricted Share Units vest in an amount equal to the number of Restricted Share Units vested multiplied by the per share amount of such extraordinary cash dividend; or (ii) make such other adjustment as the Committee determines would provide you with a substantially similar benefit.</w:t>
      </w:r>
    </w:p>
    <w:p>
      <w:pPr>
        <w:spacing w:after="0" w:line="192" w:lineRule="exact"/>
        <w:rPr>
          <w:rFonts w:ascii="Times New Roman" w:cs="Times New Roman" w:eastAsia="Times New Roman" w:hAnsi="Times New Roman"/>
          <w:sz w:val="21"/>
          <w:szCs w:val="21"/>
          <w:color w:val="auto"/>
        </w:rPr>
      </w:pPr>
    </w:p>
    <w:p>
      <w:pPr>
        <w:jc w:val="both"/>
        <w:ind w:left="316" w:hanging="316"/>
        <w:spacing w:after="0" w:line="244" w:lineRule="auto"/>
        <w:tabs>
          <w:tab w:leader="none" w:pos="31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you and your beneficiaries, executors, administrators and the person(s) to whom the Restricted Share Units may be transferred by will or the laws of descent or distribution.</w:t>
      </w:r>
    </w:p>
    <w:p>
      <w:pPr>
        <w:spacing w:after="0" w:line="185" w:lineRule="exact"/>
        <w:rPr>
          <w:rFonts w:ascii="Times New Roman" w:cs="Times New Roman" w:eastAsia="Times New Roman" w:hAnsi="Times New Roman"/>
          <w:sz w:val="21"/>
          <w:szCs w:val="21"/>
          <w:color w:val="auto"/>
        </w:rPr>
      </w:pPr>
    </w:p>
    <w:p>
      <w:pPr>
        <w:jc w:val="both"/>
        <w:ind w:left="316" w:hanging="316"/>
        <w:spacing w:after="0" w:line="248" w:lineRule="auto"/>
        <w:tabs>
          <w:tab w:leader="none" w:pos="31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79"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paragraph applies only to the extent that you are a U.S. taxpayer.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you on account of non-compliance with Section 409A of the Code</w:t>
      </w:r>
      <w:r>
        <w:rPr>
          <w:rFonts w:ascii="Times New Roman" w:cs="Times New Roman" w:eastAsia="Times New Roman" w:hAnsi="Times New Roman"/>
          <w:sz w:val="21"/>
          <w:szCs w:val="21"/>
          <w:color w:val="010000"/>
        </w:rPr>
        <w:t>.</w:t>
      </w:r>
    </w:p>
    <w:p>
      <w:pPr>
        <w:spacing w:after="0" w:line="200" w:lineRule="exact"/>
        <w:rPr>
          <w:rFonts w:ascii="Times New Roman" w:cs="Times New Roman" w:eastAsia="Times New Roman" w:hAnsi="Times New Roman"/>
          <w:sz w:val="21"/>
          <w:szCs w:val="21"/>
          <w:color w:val="auto"/>
        </w:rPr>
      </w:pPr>
    </w:p>
    <w:p>
      <w:pPr>
        <w:spacing w:after="0" w:line="221" w:lineRule="exact"/>
        <w:rPr>
          <w:rFonts w:ascii="Times New Roman" w:cs="Times New Roman" w:eastAsia="Times New Roman" w:hAnsi="Times New Roman"/>
          <w:sz w:val="21"/>
          <w:szCs w:val="21"/>
          <w:color w:val="auto"/>
        </w:rPr>
      </w:pPr>
    </w:p>
    <w:p>
      <w:pPr>
        <w:ind w:left="316" w:hanging="316"/>
        <w:spacing w:after="0" w:line="259" w:lineRule="auto"/>
        <w:tabs>
          <w:tab w:leader="none" w:pos="316" w:val="left"/>
        </w:tabs>
        <w:numPr>
          <w:ilvl w:val="0"/>
          <w:numId w:val="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Delaware, without giving effect to principles of conflict of laws.</w:t>
      </w:r>
    </w:p>
    <w:p>
      <w:pPr>
        <w:spacing w:after="0" w:line="168" w:lineRule="exact"/>
        <w:rPr>
          <w:rFonts w:ascii="Times New Roman" w:cs="Times New Roman" w:eastAsia="Times New Roman" w:hAnsi="Times New Roman"/>
          <w:sz w:val="21"/>
          <w:szCs w:val="21"/>
          <w:color w:val="010000"/>
        </w:rPr>
      </w:pPr>
    </w:p>
    <w:p>
      <w:pPr>
        <w:ind w:left="316" w:hanging="316"/>
        <w:spacing w:after="0"/>
        <w:tabs>
          <w:tab w:leader="none" w:pos="31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By accepting the Award, you agree to be bound by this Agreement.</w:t>
      </w:r>
    </w:p>
    <w:p>
      <w:pPr>
        <w:spacing w:after="0" w:line="236"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1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As part of your responsibilities with the Company, you may have access to or become familiar with information concerning the business of the Company that is of a confidential nature. By accepting this Award, you agree that you will not discuss or disclose any confidential information to any outside individual or institution or to use it for your own benefit except on the direct written authorization of a member of the Executive Committee. Please refer to the Confidential Information section in the Employee Guide for additional information, including a description of the information</w:t>
      </w:r>
    </w:p>
    <w:p>
      <w:pPr>
        <w:sectPr>
          <w:pgSz w:w="11900" w:h="16838" w:orient="portrait"/>
          <w:cols w:equalWidth="0" w:num="1">
            <w:col w:w="10916"/>
          </w:cols>
          <w:pgMar w:left="644" w:top="1440" w:right="339" w:bottom="1440" w:gutter="0" w:footer="0" w:header="0"/>
        </w:sectPr>
      </w:pPr>
    </w:p>
    <w:bookmarkStart w:id="61" w:name="page62"/>
    <w:bookmarkEnd w:id="61"/>
    <w:p>
      <w:pPr>
        <w:ind w:left="316"/>
        <w:spacing w:after="0" w:line="259" w:lineRule="auto"/>
        <w:rPr>
          <w:sz w:val="20"/>
          <w:szCs w:val="20"/>
          <w:color w:val="auto"/>
        </w:rPr>
      </w:pPr>
      <w:r>
        <w:rPr>
          <w:rFonts w:ascii="Times New Roman" w:cs="Times New Roman" w:eastAsia="Times New Roman" w:hAnsi="Times New Roman"/>
          <w:sz w:val="21"/>
          <w:szCs w:val="21"/>
          <w:color w:val="auto"/>
        </w:rPr>
        <w:t>considered confidential. The Company will pursue legal remedies for unauthorized use or disclosure of sensitive, confidential information.</w:t>
      </w:r>
    </w:p>
    <w:p>
      <w:pPr>
        <w:spacing w:after="0" w:line="182" w:lineRule="exact"/>
        <w:rPr>
          <w:sz w:val="20"/>
          <w:szCs w:val="20"/>
          <w:color w:val="auto"/>
        </w:rPr>
      </w:pPr>
    </w:p>
    <w:p>
      <w:pPr>
        <w:jc w:val="both"/>
        <w:ind w:left="316" w:hanging="316"/>
        <w:spacing w:after="0" w:line="239" w:lineRule="auto"/>
        <w:tabs>
          <w:tab w:leader="none" w:pos="31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Language</w:t>
      </w:r>
      <w:r>
        <w:rPr>
          <w:rFonts w:ascii="Times New Roman" w:cs="Times New Roman" w:eastAsia="Times New Roman" w:hAnsi="Times New Roman"/>
          <w:sz w:val="21"/>
          <w:szCs w:val="21"/>
          <w:color w:val="auto"/>
        </w:rPr>
        <w:t>. You acknowledge that you are sufficiently proficient in the English language, or have consulted with an advisor who is sufficiently proficient in English, so as to allow you to understand the terms and conditions of this Agreement. If you have received this Agreement, or any other document related to your Award and/or the Plan translated into a language other than English and if the meaning of the translated version is different than the English version, the English version will control.</w:t>
      </w:r>
    </w:p>
    <w:p>
      <w:pPr>
        <w:spacing w:after="0" w:line="190"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Appendix</w:t>
      </w:r>
      <w:r>
        <w:rPr>
          <w:rFonts w:ascii="Times New Roman" w:cs="Times New Roman" w:eastAsia="Times New Roman" w:hAnsi="Times New Roman"/>
          <w:sz w:val="21"/>
          <w:szCs w:val="21"/>
          <w:color w:val="auto"/>
        </w:rPr>
        <w:t>. Notwithstanding any provisions in this Agreement, your Award shall be subject to the special terms and conditions for your country of residence and/or work set forth in the Appendix attached to this Agreement which, where applicable, shall prevail in the event of conflict between such terms and conditions and the terms of this Agreement, the notification, and/or the Plan.</w:t>
      </w:r>
    </w:p>
    <w:p>
      <w:pPr>
        <w:sectPr>
          <w:pgSz w:w="11900" w:h="16838" w:orient="portrait"/>
          <w:cols w:equalWidth="0" w:num="1">
            <w:col w:w="10916"/>
          </w:cols>
          <w:pgMar w:left="644" w:top="1386"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APPENDIX</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SWITZERLAND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This appendix is applicable for employees with residence or work place in Switzerland.</w:t>
      </w:r>
    </w:p>
    <w:p>
      <w:pPr>
        <w:spacing w:after="0" w:line="23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1"/>
          <w:szCs w:val="21"/>
          <w:b w:val="1"/>
          <w:bCs w:val="1"/>
          <w:u w:val="single" w:color="auto"/>
          <w:color w:val="auto"/>
        </w:rPr>
        <w:t>Termination of Service or Employment; Forfeiture of Unvested Shares; Death; Disability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following supplements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5 of the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you are employed by a Swiss employer, termination of your employment is deemed to occur:</w:t>
      </w:r>
    </w:p>
    <w:p>
      <w:pPr>
        <w:spacing w:after="0" w:line="223" w:lineRule="exact"/>
        <w:rPr>
          <w:sz w:val="20"/>
          <w:szCs w:val="20"/>
          <w:color w:val="auto"/>
        </w:rPr>
      </w:pPr>
    </w:p>
    <w:p>
      <w:pPr>
        <w:ind w:left="260" w:hanging="254"/>
        <w:spacing w:after="0"/>
        <w:tabs>
          <w:tab w:leader="none" w:pos="26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effective date of termination of your employment; or</w:t>
      </w:r>
    </w:p>
    <w:p>
      <w:pPr>
        <w:spacing w:after="0" w:line="236" w:lineRule="exact"/>
        <w:rPr>
          <w:rFonts w:ascii="Times New Roman" w:cs="Times New Roman" w:eastAsia="Times New Roman" w:hAnsi="Times New Roman"/>
          <w:sz w:val="21"/>
          <w:szCs w:val="21"/>
          <w:color w:val="auto"/>
        </w:rPr>
      </w:pPr>
    </w:p>
    <w:p>
      <w:pPr>
        <w:jc w:val="both"/>
        <w:ind w:firstLine="6"/>
        <w:spacing w:after="0" w:line="255" w:lineRule="auto"/>
        <w:tabs>
          <w:tab w:leader="none" w:pos="36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date when notice of termination of employment is given, if the employment agreement is terminated for Cause, irrespective of whether such reason would justify a termination of the employment relationship for cause according to art. 337 of the Swiss Code of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Withholding. </w:t>
      </w:r>
      <w:r>
        <w:rPr>
          <w:rFonts w:ascii="Times New Roman" w:cs="Times New Roman" w:eastAsia="Times New Roman" w:hAnsi="Times New Roman"/>
          <w:sz w:val="21"/>
          <w:szCs w:val="21"/>
          <w:color w:val="auto"/>
        </w:rPr>
        <w:t>The following supplements Section 11 of the Agreement: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As a condition of the vesting of your Award, you unconditionally and irrevocably agree:</w:t>
      </w:r>
    </w:p>
    <w:p>
      <w:pPr>
        <w:spacing w:after="0" w:line="212" w:lineRule="exact"/>
        <w:rPr>
          <w:sz w:val="20"/>
          <w:szCs w:val="20"/>
          <w:color w:val="auto"/>
        </w:rPr>
      </w:pPr>
    </w:p>
    <w:p>
      <w:pPr>
        <w:jc w:val="both"/>
        <w:ind w:firstLine="6"/>
        <w:spacing w:after="0" w:line="255" w:lineRule="auto"/>
        <w:tabs>
          <w:tab w:leader="none" w:pos="25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pay upon request of the Company to your employer in cash (1) all Swiss income tax which your employer is liable to account for on your behalf directly to the Swiss tax administration; and (2) all liability to employee’s social contributions which the employer is liable to account for on your behalf to the Swiss social security administration (together the “</w:t>
      </w:r>
      <w:r>
        <w:rPr>
          <w:rFonts w:ascii="Times New Roman" w:cs="Times New Roman" w:eastAsia="Times New Roman" w:hAnsi="Times New Roman"/>
          <w:sz w:val="21"/>
          <w:szCs w:val="21"/>
          <w:b w:val="1"/>
          <w:bCs w:val="1"/>
          <w:i w:val="1"/>
          <w:iCs w:val="1"/>
          <w:color w:val="auto"/>
        </w:rPr>
        <w:t>Swiss Tax Liability</w:t>
      </w:r>
      <w:r>
        <w:rPr>
          <w:rFonts w:ascii="Times New Roman" w:cs="Times New Roman" w:eastAsia="Times New Roman" w:hAnsi="Times New Roman"/>
          <w:sz w:val="21"/>
          <w:szCs w:val="21"/>
          <w:color w:val="auto"/>
        </w:rPr>
        <w:t>”); or</w:t>
      </w:r>
    </w:p>
    <w:p>
      <w:pPr>
        <w:spacing w:after="0" w:line="185" w:lineRule="exact"/>
        <w:rPr>
          <w:rFonts w:ascii="Times New Roman" w:cs="Times New Roman" w:eastAsia="Times New Roman" w:hAnsi="Times New Roman"/>
          <w:sz w:val="21"/>
          <w:szCs w:val="21"/>
          <w:color w:val="auto"/>
        </w:rPr>
      </w:pPr>
    </w:p>
    <w:p>
      <w:pPr>
        <w:jc w:val="both"/>
        <w:ind w:firstLine="6"/>
        <w:spacing w:after="0" w:line="248" w:lineRule="auto"/>
        <w:tabs>
          <w:tab w:leader="none" w:pos="31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permit the Company to sell at the best price which it can reasonably obtain such number of Shares allocated or allotted to you following vesting as will provide the Company with an amount equal to the Swiss Tax Liability; and to permit your employer to withhold an amount not exceeding the Swiss Tax Liability from any payment made to you (including, but not limited to salary).</w:t>
      </w:r>
    </w:p>
    <w:p>
      <w:pPr>
        <w:spacing w:after="0" w:line="189" w:lineRule="exact"/>
        <w:rPr>
          <w:sz w:val="20"/>
          <w:szCs w:val="20"/>
          <w:color w:val="auto"/>
        </w:rPr>
      </w:pPr>
    </w:p>
    <w:p>
      <w:pPr>
        <w:jc w:val="both"/>
        <w:ind w:firstLine="9"/>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Legal Nature of Award. </w:t>
      </w:r>
      <w:r>
        <w:rPr>
          <w:rFonts w:ascii="Times New Roman" w:cs="Times New Roman" w:eastAsia="Times New Roman" w:hAnsi="Times New Roman"/>
          <w:sz w:val="21"/>
          <w:szCs w:val="21"/>
          <w:color w:val="auto"/>
        </w:rPr>
        <w:t>If you have your residence or work place in Switzerland, the grant of your Award shall always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 gratuity or special reward </w:t>
      </w:r>
      <w:r>
        <w:rPr>
          <w:rFonts w:ascii="Times New Roman" w:cs="Times New Roman" w:eastAsia="Times New Roman" w:hAnsi="Times New Roman"/>
          <w:sz w:val="21"/>
          <w:szCs w:val="21"/>
          <w:i w:val="1"/>
          <w:iCs w:val="1"/>
          <w:color w:val="auto"/>
        </w:rPr>
        <w:t>(Gratifikation/Sondervergütung)</w:t>
      </w:r>
      <w:r>
        <w:rPr>
          <w:rFonts w:ascii="Times New Roman" w:cs="Times New Roman" w:eastAsia="Times New Roman" w:hAnsi="Times New Roman"/>
          <w:sz w:val="21"/>
          <w:szCs w:val="21"/>
          <w:color w:val="auto"/>
        </w:rPr>
        <w:t xml:space="preserve"> within the meaning of art. 332d of the Swiss Code of Obligations and not an element of salary.</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Data Privacy</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For the purposes of operating the Plan in Switzerland, the Company will collect and process information relating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you in accordance with the privacy notice from time to time in force.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Tax Reporting Obligations:</w:t>
      </w:r>
    </w:p>
    <w:p>
      <w:pPr>
        <w:spacing w:after="0" w:line="2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b w:val="1"/>
          <w:bCs w:val="1"/>
          <w:color w:val="auto"/>
        </w:rPr>
        <w:t>At grant</w:t>
      </w:r>
      <w:r>
        <w:rPr>
          <w:rFonts w:ascii="Times New Roman" w:cs="Times New Roman" w:eastAsia="Times New Roman" w:hAnsi="Times New Roman"/>
          <w:sz w:val="21"/>
          <w:szCs w:val="21"/>
          <w:color w:val="auto"/>
        </w:rPr>
        <w:t>: You will receive an addendum to your annual salary statement, reporting the details of your Award. You are required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file such document with your tax return. Furthermore, you are required to declare the Award granted to you in the securities statement (</w:t>
      </w:r>
      <w:r>
        <w:rPr>
          <w:rFonts w:ascii="Times New Roman" w:cs="Times New Roman" w:eastAsia="Times New Roman" w:hAnsi="Times New Roman"/>
          <w:sz w:val="21"/>
          <w:szCs w:val="21"/>
          <w:i w:val="1"/>
          <w:iCs w:val="1"/>
          <w:color w:val="auto"/>
        </w:rPr>
        <w:t>Wertschriftenverzeichnis</w:t>
      </w:r>
      <w:r>
        <w:rPr>
          <w:rFonts w:ascii="Times New Roman" w:cs="Times New Roman" w:eastAsia="Times New Roman" w:hAnsi="Times New Roman"/>
          <w:sz w:val="21"/>
          <w:szCs w:val="21"/>
          <w:color w:val="auto"/>
        </w:rPr>
        <w:t>) of your tax return on a "pro memoria" basis with nil value.</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b w:val="1"/>
          <w:bCs w:val="1"/>
          <w:color w:val="auto"/>
        </w:rPr>
        <w:t>At vesting</w:t>
      </w:r>
      <w:r>
        <w:rPr>
          <w:rFonts w:ascii="Times New Roman" w:cs="Times New Roman" w:eastAsia="Times New Roman" w:hAnsi="Times New Roman"/>
          <w:sz w:val="21"/>
          <w:szCs w:val="21"/>
          <w:color w:val="auto"/>
        </w:rPr>
        <w:t>: You will receive an addendum to the annual salary statement, reporting the taxable income realized upon vesting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Award. You are required to declare such income in and to file this document with your tax return. Any Shares acquired upon vesting will be subject to net</w:t>
      </w:r>
    </w:p>
    <w:p>
      <w:pPr>
        <w:sectPr>
          <w:pgSz w:w="11900" w:h="16838" w:orient="portrait"/>
          <w:cols w:equalWidth="0" w:num="1">
            <w:col w:w="11240"/>
          </w:cols>
          <w:pgMar w:left="320" w:top="138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color w:val="auto"/>
        </w:rPr>
        <w:t>wealth tax and must be reported in the securities statement (</w:t>
      </w:r>
      <w:r>
        <w:rPr>
          <w:rFonts w:ascii="Times New Roman" w:cs="Times New Roman" w:eastAsia="Times New Roman" w:hAnsi="Times New Roman"/>
          <w:sz w:val="21"/>
          <w:szCs w:val="21"/>
          <w:i w:val="1"/>
          <w:iCs w:val="1"/>
          <w:color w:val="auto"/>
        </w:rPr>
        <w:t>Wertschriftenverzeichnis</w:t>
      </w:r>
      <w:r>
        <w:rPr>
          <w:rFonts w:ascii="Times New Roman" w:cs="Times New Roman" w:eastAsia="Times New Roman" w:hAnsi="Times New Roman"/>
          <w:sz w:val="21"/>
          <w:szCs w:val="21"/>
          <w:color w:val="auto"/>
        </w:rPr>
        <w:t>) of your tax return.</w:t>
      </w:r>
    </w:p>
    <w:p>
      <w:pPr>
        <w:sectPr>
          <w:pgSz w:w="11900" w:h="16838" w:orient="portrait"/>
          <w:cols w:equalWidth="0" w:num="1">
            <w:col w:w="10139"/>
          </w:cols>
          <w:pgMar w:left="320" w:top="1382" w:right="1440" w:bottom="1440" w:gutter="0" w:footer="0" w:header="0"/>
        </w:sectPr>
      </w:pPr>
    </w:p>
    <w:bookmarkStart w:id="64" w:name="page65"/>
    <w:bookmarkEnd w:id="64"/>
    <w:p>
      <w:pPr>
        <w:ind w:left="1014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VAIL RESORTS,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SHARE APPRECIATION RIGHTS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12" w:lineRule="exact"/>
        <w:rPr>
          <w:sz w:val="20"/>
          <w:szCs w:val="20"/>
          <w:color w:val="auto"/>
        </w:rPr>
      </w:pPr>
    </w:p>
    <w:p>
      <w:pPr>
        <w:jc w:val="both"/>
        <w:ind w:firstLine="637"/>
        <w:spacing w:after="0"/>
        <w:rPr>
          <w:sz w:val="20"/>
          <w:szCs w:val="20"/>
          <w:color w:val="auto"/>
        </w:rPr>
      </w:pPr>
      <w:r>
        <w:rPr>
          <w:rFonts w:ascii="Times New Roman" w:cs="Times New Roman" w:eastAsia="Times New Roman" w:hAnsi="Times New Roman"/>
          <w:sz w:val="21"/>
          <w:szCs w:val="21"/>
          <w:color w:val="auto"/>
        </w:rPr>
        <w:t>THIS AGREEMENT is between Vail Resorts, Inc., a Delaware corporation (the “Company”), and the employee who receives this Agreement in connection with an award of Share Appreciation Rights under the Company’s 2024 Omnibus Incentive Plan (the “Plan”), the terms of which are incorporated herein by reference. Capitalized terms used and not defined herein have the meanings set forth in the Plan.</w:t>
      </w:r>
    </w:p>
    <w:p>
      <w:pPr>
        <w:spacing w:after="0" w:line="188" w:lineRule="exact"/>
        <w:rPr>
          <w:sz w:val="20"/>
          <w:szCs w:val="20"/>
          <w:color w:val="auto"/>
        </w:rPr>
      </w:pPr>
    </w:p>
    <w:p>
      <w:pPr>
        <w:jc w:val="both"/>
        <w:ind w:firstLine="637"/>
        <w:spacing w:after="0" w:line="272" w:lineRule="auto"/>
        <w:rPr>
          <w:sz w:val="20"/>
          <w:szCs w:val="20"/>
          <w:color w:val="auto"/>
        </w:rPr>
      </w:pPr>
      <w:r>
        <w:rPr>
          <w:rFonts w:ascii="Times New Roman" w:cs="Times New Roman" w:eastAsia="Times New Roman" w:hAnsi="Times New Roman"/>
          <w:sz w:val="21"/>
          <w:szCs w:val="21"/>
          <w:color w:val="auto"/>
        </w:rPr>
        <w:t>NOW, THEREFORE, in consideration of the premises and mutual covenants contained herein, and for other good and valuable consideration, the parties hereto agree as follows.</w:t>
      </w:r>
    </w:p>
    <w:p>
      <w:pPr>
        <w:spacing w:after="0" w:line="156" w:lineRule="exact"/>
        <w:rPr>
          <w:sz w:val="20"/>
          <w:szCs w:val="20"/>
          <w:color w:val="auto"/>
        </w:rPr>
      </w:pPr>
    </w:p>
    <w:p>
      <w:pPr>
        <w:ind w:left="640" w:hanging="316"/>
        <w:spacing w:after="0"/>
        <w:tabs>
          <w:tab w:leader="none" w:pos="64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Appreciation Rights Terms</w:t>
      </w:r>
      <w:r>
        <w:rPr>
          <w:rFonts w:ascii="Times New Roman" w:cs="Times New Roman" w:eastAsia="Times New Roman" w:hAnsi="Times New Roman"/>
          <w:sz w:val="21"/>
          <w:szCs w:val="21"/>
          <w:color w:val="auto"/>
        </w:rPr>
        <w:t>.</w:t>
      </w:r>
    </w:p>
    <w:p>
      <w:pPr>
        <w:spacing w:after="0" w:line="236" w:lineRule="exact"/>
        <w:rPr>
          <w:rFonts w:ascii="Times New Roman" w:cs="Times New Roman" w:eastAsia="Times New Roman" w:hAnsi="Times New Roman"/>
          <w:sz w:val="21"/>
          <w:szCs w:val="21"/>
          <w:color w:val="auto"/>
        </w:rPr>
      </w:pPr>
    </w:p>
    <w:p>
      <w:pPr>
        <w:jc w:val="both"/>
        <w:ind w:left="1280" w:hanging="319"/>
        <w:spacing w:after="0" w:line="235" w:lineRule="auto"/>
        <w:tabs>
          <w:tab w:leader="none" w:pos="1268"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You may, from time to time, be awarded Share Appreciation Rights, subject to the terms and conditions of the Plan and those herein set forth. An award of Share Appreciation Rights is granted as of the date set forth in the notification to you of such award (the “Date of Grant”) with respect to the number of Shares indicated in your award notification (the “SAR Shares”), at an exercise price per Share Appreciation Right as provided in your award notification (the “Exercise Price”). Your Share Appreciation Rights will expire at the close of business on the tenth anniversary of the Date of Grant (the “Expiration Date”), subject to earlier expiration in connection with the termination of your employment as provided below.</w:t>
      </w:r>
    </w:p>
    <w:p>
      <w:pPr>
        <w:spacing w:after="0" w:line="201" w:lineRule="exact"/>
        <w:rPr>
          <w:rFonts w:ascii="Times New Roman" w:cs="Times New Roman" w:eastAsia="Times New Roman" w:hAnsi="Times New Roman"/>
          <w:sz w:val="21"/>
          <w:szCs w:val="21"/>
          <w:color w:val="auto"/>
        </w:rPr>
      </w:pPr>
    </w:p>
    <w:p>
      <w:pPr>
        <w:jc w:val="both"/>
        <w:ind w:left="1280" w:hanging="319"/>
        <w:spacing w:after="0" w:line="235" w:lineRule="auto"/>
        <w:tabs>
          <w:tab w:leader="none" w:pos="128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Exercisability/Vesting</w:t>
      </w:r>
      <w:r>
        <w:rPr>
          <w:rFonts w:ascii="Times New Roman" w:cs="Times New Roman" w:eastAsia="Times New Roman" w:hAnsi="Times New Roman"/>
          <w:sz w:val="21"/>
          <w:szCs w:val="21"/>
          <w:color w:val="auto"/>
        </w:rPr>
        <w:t>. Your Share Appreciation Rights will be exercisable only to the extent they have vested. Your Share Appreciation Rights will become vested as provided in your award notification, if and only if you have been continuously employed by the Company and/or its Subsidiaries from the date of this Agreement through such dates. Upon the termination of your employment for any reason, by you or by the Company and/or its Subsidiaries, with or without Cause, all of your unvested Share Appreciation Rights shall expire and be of no further force or effect. Any such termination shall not affect your vested Share Appreciation Rights, which shall remain exercisable pursuant to paragraph 1(d) below.</w:t>
      </w:r>
    </w:p>
    <w:p>
      <w:pPr>
        <w:spacing w:after="0" w:line="201" w:lineRule="exact"/>
        <w:rPr>
          <w:rFonts w:ascii="Times New Roman" w:cs="Times New Roman" w:eastAsia="Times New Roman" w:hAnsi="Times New Roman"/>
          <w:sz w:val="21"/>
          <w:szCs w:val="21"/>
          <w:color w:val="auto"/>
        </w:rPr>
      </w:pPr>
    </w:p>
    <w:p>
      <w:pPr>
        <w:jc w:val="both"/>
        <w:ind w:left="1280" w:hanging="319"/>
        <w:spacing w:after="0" w:line="234" w:lineRule="auto"/>
        <w:tabs>
          <w:tab w:leader="none" w:pos="1268"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Notwithstanding any provision of this Agreement to the contrary, in the event that the successor corporation in a Change in Control does not assume or substitute for the Share Appreciation Rights (“Award” or “SAR”) (or portion thereof), the Committee will (i) cause any or all of such Award (or portion thereof) to terminate in exchange for cash, rights or other property having a value (as determined by the Committee acting in good faith) equal to the product of the number of SAR Shares multiplied by the amount, if any, by which the formula or fixed price per share paid to holders of Shares pursuant to such transaction exceeds the Exercise Price applicable to the Award, or (ii) cause the Participant to fully vest in and have the right to exercise all of his or her outstanding Share Appreciation Rights, including Shares as to which such Awards would not otherwise be vested or exercisable, in each case, to the extent the</w:t>
      </w:r>
    </w:p>
    <w:p>
      <w:pPr>
        <w:sectPr>
          <w:pgSz w:w="11900" w:h="16838" w:orient="portrait"/>
          <w:cols w:equalWidth="0" w:num="1">
            <w:col w:w="11240"/>
          </w:cols>
          <w:pgMar w:left="320" w:top="121" w:right="339" w:bottom="1440" w:gutter="0" w:footer="0" w:header="0"/>
        </w:sectPr>
      </w:pPr>
    </w:p>
    <w:bookmarkStart w:id="65" w:name="page66"/>
    <w:bookmarkEnd w:id="65"/>
    <w:p>
      <w:pPr>
        <w:jc w:val="both"/>
        <w:ind w:left="956"/>
        <w:spacing w:after="0"/>
        <w:rPr>
          <w:sz w:val="20"/>
          <w:szCs w:val="20"/>
          <w:color w:val="auto"/>
        </w:rPr>
      </w:pPr>
      <w:r>
        <w:rPr>
          <w:rFonts w:ascii="Times New Roman" w:cs="Times New Roman" w:eastAsia="Times New Roman" w:hAnsi="Times New Roman"/>
          <w:sz w:val="21"/>
          <w:szCs w:val="21"/>
          <w:color w:val="auto"/>
        </w:rPr>
        <w:t>Award otherwise remains outstanding and has not otherwise been exercised or forfeited as of any such Change in Control. For the avoidance of doubt, if the formula or fixed price per share paid to holders of Shares pursuant to such transaction is equal to or less than the SAR Price applicable to the SAR, then the SAR may be cancelled without payment therefore.</w:t>
      </w:r>
    </w:p>
    <w:p>
      <w:pPr>
        <w:spacing w:after="0" w:line="201" w:lineRule="exact"/>
        <w:rPr>
          <w:sz w:val="20"/>
          <w:szCs w:val="20"/>
          <w:color w:val="auto"/>
        </w:rPr>
      </w:pPr>
    </w:p>
    <w:p>
      <w:pPr>
        <w:jc w:val="both"/>
        <w:ind w:left="956"/>
        <w:spacing w:after="0" w:line="234" w:lineRule="auto"/>
        <w:rPr>
          <w:sz w:val="20"/>
          <w:szCs w:val="20"/>
          <w:color w:val="auto"/>
        </w:rPr>
      </w:pPr>
      <w:r>
        <w:rPr>
          <w:rFonts w:ascii="Times New Roman" w:cs="Times New Roman" w:eastAsia="Times New Roman" w:hAnsi="Times New Roman"/>
          <w:sz w:val="21"/>
          <w:szCs w:val="21"/>
          <w:color w:val="auto"/>
        </w:rPr>
        <w:t>Notwithstanding anything herein to the contrary, in the event that the Award is assumed or substituted or otherwise continued by a successor in a Change in Control, the following terms shall apply. In the event of your termination of continuous employment without Cause by the successor or its affiliates in a Change in Control during the 12-month period following a Change in Control, the outstanding Stock Appreciation Rights shall become immediately exercisable with respect to 100% of the shares subject thereto as of the date of your termination of employment. The good faith determination by the Company of whether your employment was terminated by the Company for Cause shall be final and binding for all purposes hereunder. For the avoidance of doubt, the foregoing shall apply to the extent and in a manner consistent with the requirements of Section 409A of the Internal Revenue Code. The obligations of the Company hereunder shall be binding upon any successor of the Company.</w:t>
      </w:r>
    </w:p>
    <w:p>
      <w:pPr>
        <w:spacing w:after="0" w:line="202" w:lineRule="exact"/>
        <w:rPr>
          <w:sz w:val="20"/>
          <w:szCs w:val="20"/>
          <w:color w:val="auto"/>
        </w:rPr>
      </w:pPr>
    </w:p>
    <w:p>
      <w:pPr>
        <w:jc w:val="both"/>
        <w:ind w:left="956" w:hanging="319"/>
        <w:spacing w:after="0" w:line="237" w:lineRule="auto"/>
        <w:tabs>
          <w:tab w:leader="none" w:pos="956"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Share Appreciation Rights</w:t>
      </w:r>
      <w:r>
        <w:rPr>
          <w:rFonts w:ascii="Times New Roman" w:cs="Times New Roman" w:eastAsia="Times New Roman" w:hAnsi="Times New Roman"/>
          <w:sz w:val="21"/>
          <w:szCs w:val="21"/>
          <w:color w:val="auto"/>
        </w:rPr>
        <w:t>. In no event shall any part of your Share Appreciation Rights be exercisable after the Expiration Date set forth in paragraph 1(a) If your employment with the Company and/or its Subsidiaries terminates for any reason, that portion of your Share Appreciation Rights that is not vested and exercisable on the date of termination of your employment shall expire and be forfeited. The portion of your Share Appreciation Rights that is vested and exercisable on the date of such termination shall, to the extent not theretofore exercised, expire on the 90th day after such date of termination.</w:t>
      </w:r>
    </w:p>
    <w:p>
      <w:pPr>
        <w:spacing w:after="0" w:line="187" w:lineRule="exact"/>
        <w:rPr>
          <w:rFonts w:ascii="Times New Roman" w:cs="Times New Roman" w:eastAsia="Times New Roman" w:hAnsi="Times New Roman"/>
          <w:sz w:val="21"/>
          <w:szCs w:val="21"/>
          <w:color w:val="auto"/>
        </w:rPr>
      </w:pPr>
    </w:p>
    <w:p>
      <w:pPr>
        <w:jc w:val="both"/>
        <w:ind w:left="956" w:hanging="319"/>
        <w:spacing w:after="0" w:line="235" w:lineRule="auto"/>
        <w:tabs>
          <w:tab w:leader="none" w:pos="944"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Exercisability/Vesting in Event of Death or Disability</w:t>
      </w:r>
      <w:r>
        <w:rPr>
          <w:rFonts w:ascii="Times New Roman" w:cs="Times New Roman" w:eastAsia="Times New Roman" w:hAnsi="Times New Roman"/>
          <w:sz w:val="21"/>
          <w:szCs w:val="21"/>
          <w:color w:val="auto"/>
        </w:rPr>
        <w:t>. Notwithstanding any provision of this Agreement to the contrary, if your employment with the Company and/or its Subsidiaries terminates as a result of your death or Disability, then your Share Appreciation Rights, if not already vested under Sections 1(b) or 1(c) above, will vest in full as of the date of death or separation from employment due to Disability and may be exercised by the persons described in Section 4 below, but only within the period ending on the earlier of (1) the date twelve (12) months following the date of death or separation from employment due to Disability, or (2) the Expiration Date set forth in paragraph 1(a). If, after death or separation from employment due to Disability, the Share Appreciation Rights are not exercised within the time specified herein, the Share Appreciation Rights shall expire and be forfeited.</w:t>
      </w:r>
    </w:p>
    <w:p>
      <w:pPr>
        <w:spacing w:after="0" w:line="204"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 for Share Appreciation Rights Exercise</w:t>
      </w:r>
      <w:r>
        <w:rPr>
          <w:rFonts w:ascii="Times New Roman" w:cs="Times New Roman" w:eastAsia="Times New Roman" w:hAnsi="Times New Roman"/>
          <w:sz w:val="21"/>
          <w:szCs w:val="21"/>
          <w:color w:val="auto"/>
        </w:rPr>
        <w:t>. You may, at any time or from time to time, to the extent permitted hereby, exercise all or any portion of your vested portion of your Share Appreciation Rights by delivering, to the attention of the Company’s General Counsel at the address set forth in paragraph 9 below, written notice to the Company of the number of Share Appreciation Rights to be exercised.</w:t>
      </w:r>
    </w:p>
    <w:p>
      <w:pPr>
        <w:sectPr>
          <w:pgSz w:w="11900" w:h="16838" w:orient="portrait"/>
          <w:cols w:equalWidth="0" w:num="1">
            <w:col w:w="10916"/>
          </w:cols>
          <w:pgMar w:left="644" w:top="1386" w:right="339" w:bottom="1440" w:gutter="0" w:footer="0" w:header="0"/>
        </w:sectPr>
      </w:pPr>
    </w:p>
    <w:bookmarkStart w:id="66" w:name="page67"/>
    <w:bookmarkEnd w:id="66"/>
    <w:p>
      <w:pPr>
        <w:jc w:val="both"/>
        <w:ind w:left="316" w:hanging="316"/>
        <w:spacing w:after="0" w:line="239" w:lineRule="auto"/>
        <w:tabs>
          <w:tab w:leader="none" w:pos="31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for Share Appreciation Rights</w:t>
      </w:r>
      <w:r>
        <w:rPr>
          <w:rFonts w:ascii="Times New Roman" w:cs="Times New Roman" w:eastAsia="Times New Roman" w:hAnsi="Times New Roman"/>
          <w:sz w:val="21"/>
          <w:szCs w:val="21"/>
          <w:color w:val="auto"/>
        </w:rPr>
        <w:t>. Upon your exercise of the Share Appreciation Rights, the Company shall pay you in SAR Shares an amount equal to the quotient of (i) the product of (x) the positive difference (if any) between the Fair Market Value of a SAR Share on the exercise date and the Exercise Price, multiplied by (y) the number of Share Appreciation Rights being exercised, divided by (ii) the Fair Market Value of a SAR Share on the exercise date, rounded down to the nearest whole share. Any fractional SAR Shares shall be forfeited.</w:t>
      </w:r>
    </w:p>
    <w:p>
      <w:pPr>
        <w:spacing w:after="0" w:line="190"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1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Appreciation Rights Not Transferable</w:t>
      </w:r>
      <w:r>
        <w:rPr>
          <w:rFonts w:ascii="Times New Roman" w:cs="Times New Roman" w:eastAsia="Times New Roman" w:hAnsi="Times New Roman"/>
          <w:sz w:val="21"/>
          <w:szCs w:val="21"/>
          <w:color w:val="auto"/>
        </w:rPr>
        <w:t>. Your Share Appreciation Rights are personal to you and are not transferable by you, other than by will or by the laws of descent and distribution. During your lifetime, only you (or your guardian or legal representative) may exercise your Share Appreciation Rights. In the event of your death, your Share Appreciation Rights may be exercised only by the executor or administrator of your estate or the person or persons to whom your rights under the Share Appreciation Rights shall pass by will or by the laws of intestate succession.</w:t>
      </w:r>
    </w:p>
    <w:p>
      <w:pPr>
        <w:spacing w:after="0" w:line="190" w:lineRule="exact"/>
        <w:rPr>
          <w:rFonts w:ascii="Times New Roman" w:cs="Times New Roman" w:eastAsia="Times New Roman" w:hAnsi="Times New Roman"/>
          <w:sz w:val="21"/>
          <w:szCs w:val="21"/>
          <w:color w:val="auto"/>
        </w:rPr>
      </w:pPr>
    </w:p>
    <w:p>
      <w:pPr>
        <w:jc w:val="both"/>
        <w:ind w:left="316" w:hanging="316"/>
        <w:spacing w:after="0" w:line="248" w:lineRule="auto"/>
        <w:tabs>
          <w:tab w:leader="none" w:pos="31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Conformity with the Plan</w:t>
      </w:r>
      <w:r>
        <w:rPr>
          <w:rFonts w:ascii="Times New Roman" w:cs="Times New Roman" w:eastAsia="Times New Roman" w:hAnsi="Times New Roman"/>
          <w:sz w:val="21"/>
          <w:szCs w:val="21"/>
          <w:color w:val="auto"/>
        </w:rPr>
        <w:t>. Your Share Appreciation Rights are intended to conform in all respects with, and are subject to, all applicable provisions of the Plan, the terms and conditions of which are incorporated herein by reference. Any inconsistencies between this Agreement and the Plan shall be resolved in accordance with the Plan.</w:t>
      </w:r>
    </w:p>
    <w:p>
      <w:pPr>
        <w:spacing w:after="0" w:line="193" w:lineRule="exact"/>
        <w:rPr>
          <w:rFonts w:ascii="Times New Roman" w:cs="Times New Roman" w:eastAsia="Times New Roman" w:hAnsi="Times New Roman"/>
          <w:sz w:val="21"/>
          <w:szCs w:val="21"/>
          <w:color w:val="auto"/>
        </w:rPr>
      </w:pPr>
    </w:p>
    <w:p>
      <w:pPr>
        <w:jc w:val="both"/>
        <w:ind w:left="316" w:hanging="316"/>
        <w:spacing w:after="0" w:line="237" w:lineRule="auto"/>
        <w:tabs>
          <w:tab w:leader="none" w:pos="31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of Participants</w:t>
      </w:r>
      <w:r>
        <w:rPr>
          <w:rFonts w:ascii="Times New Roman" w:cs="Times New Roman" w:eastAsia="Times New Roman" w:hAnsi="Times New Roman"/>
          <w:sz w:val="21"/>
          <w:szCs w:val="21"/>
          <w:color w:val="auto"/>
        </w:rPr>
        <w:t>. Nothing in this Agreement shall interfere with or limit in any way the right of the Company and/or its Subsidiaries to terminate your employment at any time (with or without Cause), or confer upon you any right to continue in the employ of the Company and/or its Subsidiaries for any period of time or to continue to receive your current (or other) rate of compensation. Nothing in this Agreement shall confer upon you any right to be selected to receive additional awards under the Plan or otherwise.</w:t>
      </w:r>
    </w:p>
    <w:p>
      <w:pPr>
        <w:spacing w:after="0" w:line="200" w:lineRule="exact"/>
        <w:rPr>
          <w:rFonts w:ascii="Times New Roman" w:cs="Times New Roman" w:eastAsia="Times New Roman" w:hAnsi="Times New Roman"/>
          <w:sz w:val="21"/>
          <w:szCs w:val="21"/>
          <w:color w:val="auto"/>
        </w:rPr>
      </w:pPr>
    </w:p>
    <w:p>
      <w:pPr>
        <w:spacing w:after="0" w:line="239"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The Company may, if necessary or desirable, withhold from any amounts due and payable to you by the Company or a Subsidiary (or secure payment from you in lieu of withholding) the amount of any withholding or other tax due from the Company or Subsidiary with respect to the issuance or exercise of your Share Appreciation Rights, and the Company may defer such issuance or exercise unless indemnified by you to its satisfaction against the payment of any such amount. Notwithstanding the foregoing, the maximum number of SAR Shares that may be withheld upon the issuance or exercise of your Share Appreciation Rights to satisfy any federal, state, or local tax withholding requirements may not exceed such number of SAR Shares having a Fair Market Value equal to the minimum statutory amount required by the Company to be withheld and paid to any such federal, state, or local taxing authority with respect to such issuance or exercise of your Share Appreciation Rights, or such greater amount as may be permitted under applicable accounting standards.</w:t>
      </w:r>
    </w:p>
    <w:p>
      <w:pPr>
        <w:spacing w:after="0" w:line="373"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1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the Committee shall determine that any dividend in Shares, recapitalization, Share split, reverse split, reorganization, merger, consolidation, spin-off, combination, repurchase, share exchange, or other similar corporate transaction or event affects the Shares such that an adjustment is appropriate in order to prevent dilution or enlargement of your rights under this Share Appreciation Rights Agreement, then the Committee shall make such equitable changes or adjustments as it deems appropriate and</w:t>
      </w:r>
    </w:p>
    <w:p>
      <w:pPr>
        <w:sectPr>
          <w:pgSz w:w="11900" w:h="16838" w:orient="portrait"/>
          <w:cols w:equalWidth="0" w:num="1">
            <w:col w:w="10916"/>
          </w:cols>
          <w:pgMar w:left="644" w:top="1386" w:right="339" w:bottom="1440" w:gutter="0" w:footer="0" w:header="0"/>
        </w:sectPr>
      </w:pPr>
    </w:p>
    <w:bookmarkStart w:id="67" w:name="page68"/>
    <w:bookmarkEnd w:id="67"/>
    <w:p>
      <w:pPr>
        <w:jc w:val="both"/>
        <w:ind w:left="640"/>
        <w:spacing w:after="0" w:line="235" w:lineRule="auto"/>
        <w:rPr>
          <w:sz w:val="20"/>
          <w:szCs w:val="20"/>
          <w:color w:val="auto"/>
        </w:rPr>
      </w:pPr>
      <w:r>
        <w:rPr>
          <w:rFonts w:ascii="Times New Roman" w:cs="Times New Roman" w:eastAsia="Times New Roman" w:hAnsi="Times New Roman"/>
          <w:sz w:val="21"/>
          <w:szCs w:val="21"/>
          <w:color w:val="auto"/>
        </w:rPr>
        <w:t>adjust, in such manner as it deems equitable, any or all of: (i) the number and kinds of SAR Shares, other securities or other consideration subject to the Share Appreciation Rights; and (ii) the Exercise Price of the Share Appreciation Rights. In the event that the Company shall declare an extraordinary cash dividend, then the Committee shall in its discretion either (i) pay you cash on the payment date of such dividend in an amount equal to the number of SAR Shares represented by the vested portion of your Share Appreciation Rights multiplied by the per share amount of such extraordinary cash dividend and to the extent these Share Appreciation Rights are not then fully vested make similar additional payments in the future when and as the remaining portion of these Share Appreciation Rights vest; or (ii) reduce the Exercise Price of your Share Appreciation Rights by an amount equal to the per share extraordinary dividend; or (iii) make such other adjustment as the Committee determines would provide you with a substantially similar benefit.</w:t>
      </w:r>
    </w:p>
    <w:p>
      <w:pPr>
        <w:spacing w:after="0" w:line="193" w:lineRule="exact"/>
        <w:rPr>
          <w:sz w:val="20"/>
          <w:szCs w:val="20"/>
          <w:color w:val="auto"/>
        </w:rPr>
      </w:pPr>
    </w:p>
    <w:p>
      <w:pPr>
        <w:jc w:val="both"/>
        <w:ind w:left="640" w:hanging="316"/>
        <w:spacing w:after="0" w:line="239" w:lineRule="auto"/>
        <w:tabs>
          <w:tab w:leader="none" w:pos="6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or permitted to be given under this 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 or by email or other electronic means using a system maintained by the Company when transmitted without a notice of failed delivery:</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to the Company: Vail Resorts, Inc.</w:t>
      </w:r>
    </w:p>
    <w:p>
      <w:pPr>
        <w:spacing w:after="0" w:line="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390 Interlocken Crescent</w:t>
      </w:r>
    </w:p>
    <w:p>
      <w:pPr>
        <w:ind w:left="3180"/>
        <w:spacing w:after="0" w:line="224" w:lineRule="auto"/>
        <w:rPr>
          <w:sz w:val="20"/>
          <w:szCs w:val="20"/>
          <w:color w:val="auto"/>
        </w:rPr>
      </w:pPr>
      <w:r>
        <w:rPr>
          <w:rFonts w:ascii="Times New Roman" w:cs="Times New Roman" w:eastAsia="Times New Roman" w:hAnsi="Times New Roman"/>
          <w:sz w:val="21"/>
          <w:szCs w:val="21"/>
          <w:color w:val="auto"/>
        </w:rPr>
        <w:t>Suite 1000</w:t>
      </w:r>
    </w:p>
    <w:p>
      <w:pPr>
        <w:ind w:left="3180"/>
        <w:spacing w:after="0" w:line="237" w:lineRule="auto"/>
        <w:rPr>
          <w:sz w:val="20"/>
          <w:szCs w:val="20"/>
          <w:color w:val="auto"/>
        </w:rPr>
      </w:pPr>
      <w:r>
        <w:rPr>
          <w:rFonts w:ascii="Times New Roman" w:cs="Times New Roman" w:eastAsia="Times New Roman" w:hAnsi="Times New Roman"/>
          <w:sz w:val="21"/>
          <w:szCs w:val="21"/>
          <w:color w:val="auto"/>
        </w:rPr>
        <w:t>Broomfield, Colorado 80021</w:t>
      </w:r>
    </w:p>
    <w:p>
      <w:pPr>
        <w:ind w:left="318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you: At your most recent address shown on the Company’s</w:t>
      </w:r>
    </w:p>
    <w:p>
      <w:pPr>
        <w:spacing w:after="0" w:line="21" w:lineRule="exact"/>
        <w:rPr>
          <w:sz w:val="20"/>
          <w:szCs w:val="20"/>
          <w:color w:val="auto"/>
        </w:rPr>
      </w:pPr>
    </w:p>
    <w:p>
      <w:pPr>
        <w:ind w:left="3180"/>
        <w:spacing w:after="0" w:line="237" w:lineRule="auto"/>
        <w:rPr>
          <w:sz w:val="20"/>
          <w:szCs w:val="20"/>
          <w:color w:val="auto"/>
        </w:rPr>
      </w:pPr>
      <w:r>
        <w:rPr>
          <w:rFonts w:ascii="Times New Roman" w:cs="Times New Roman" w:eastAsia="Times New Roman" w:hAnsi="Times New Roman"/>
          <w:sz w:val="21"/>
          <w:szCs w:val="21"/>
          <w:color w:val="auto"/>
        </w:rPr>
        <w:t>corporate records, or at any other address which you may specify in a notice delivered to the Company in the manner set forth herein.</w:t>
      </w:r>
    </w:p>
    <w:p>
      <w:pPr>
        <w:spacing w:after="0" w:line="202" w:lineRule="exact"/>
        <w:rPr>
          <w:sz w:val="20"/>
          <w:szCs w:val="20"/>
          <w:color w:val="auto"/>
        </w:rPr>
      </w:pPr>
    </w:p>
    <w:p>
      <w:pPr>
        <w:ind w:left="640" w:hanging="316"/>
        <w:spacing w:after="0" w:line="259" w:lineRule="auto"/>
        <w:tabs>
          <w:tab w:leader="none" w:pos="6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Delaware without reference to the principles of conflict of laws.</w:t>
      </w:r>
    </w:p>
    <w:p>
      <w:pPr>
        <w:spacing w:after="0" w:line="181" w:lineRule="exact"/>
        <w:rPr>
          <w:rFonts w:ascii="Times New Roman" w:cs="Times New Roman" w:eastAsia="Times New Roman" w:hAnsi="Times New Roman"/>
          <w:sz w:val="21"/>
          <w:szCs w:val="21"/>
          <w:color w:val="auto"/>
        </w:rPr>
      </w:pPr>
    </w:p>
    <w:p>
      <w:pPr>
        <w:jc w:val="both"/>
        <w:ind w:left="640" w:hanging="316"/>
        <w:spacing w:after="0" w:line="237" w:lineRule="auto"/>
        <w:tabs>
          <w:tab w:leader="none" w:pos="63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exercise of the Share Appreciation Rights shall be subject to compliance by the Company and you with all applicable laws, including the requirements of any stock exchange on which the SAR Shares may be listed. You may not exercise the Share Appreciation Rights if such exercise would violate any applicable federal or state securities laws or other laws or regulations. You understand that the Company is under no obligation to register the SAR Shares with the Securities and Exchange Commission, any state securities commission or any stock exchange to effect such compliance.</w:t>
      </w:r>
    </w:p>
    <w:p>
      <w:pPr>
        <w:spacing w:after="0" w:line="200" w:lineRule="exact"/>
        <w:rPr>
          <w:rFonts w:ascii="Times New Roman" w:cs="Times New Roman" w:eastAsia="Times New Roman" w:hAnsi="Times New Roman"/>
          <w:sz w:val="21"/>
          <w:szCs w:val="21"/>
          <w:color w:val="auto"/>
        </w:rPr>
      </w:pPr>
    </w:p>
    <w:p>
      <w:pPr>
        <w:jc w:val="both"/>
        <w:ind w:left="640" w:hanging="316"/>
        <w:spacing w:after="0" w:line="248" w:lineRule="auto"/>
        <w:tabs>
          <w:tab w:leader="none" w:pos="6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you and your beneficiaries, executors,</w:t>
      </w:r>
    </w:p>
    <w:p>
      <w:pPr>
        <w:sectPr>
          <w:pgSz w:w="11900" w:h="16838" w:orient="portrait"/>
          <w:cols w:equalWidth="0" w:num="1">
            <w:col w:w="11240"/>
          </w:cols>
          <w:pgMar w:left="320" w:top="1386" w:right="339" w:bottom="1440" w:gutter="0" w:footer="0" w:header="0"/>
        </w:sectPr>
      </w:pPr>
    </w:p>
    <w:bookmarkStart w:id="68" w:name="page69"/>
    <w:bookmarkEnd w:id="68"/>
    <w:p>
      <w:pPr>
        <w:ind w:left="316"/>
        <w:spacing w:after="0" w:line="259" w:lineRule="auto"/>
        <w:rPr>
          <w:sz w:val="20"/>
          <w:szCs w:val="20"/>
          <w:color w:val="auto"/>
        </w:rPr>
      </w:pPr>
      <w:r>
        <w:rPr>
          <w:rFonts w:ascii="Times New Roman" w:cs="Times New Roman" w:eastAsia="Times New Roman" w:hAnsi="Times New Roman"/>
          <w:sz w:val="21"/>
          <w:szCs w:val="21"/>
          <w:color w:val="auto"/>
        </w:rPr>
        <w:t>administrators and the person(s) to whom the Share Appreciation Rights may be transferred by will or the laws of descent or distribution.</w:t>
      </w:r>
    </w:p>
    <w:p>
      <w:pPr>
        <w:spacing w:after="0" w:line="182" w:lineRule="exact"/>
        <w:rPr>
          <w:sz w:val="20"/>
          <w:szCs w:val="20"/>
          <w:color w:val="auto"/>
        </w:rPr>
      </w:pPr>
    </w:p>
    <w:p>
      <w:pPr>
        <w:jc w:val="both"/>
        <w:ind w:left="316" w:hanging="316"/>
        <w:spacing w:after="0" w:line="248" w:lineRule="auto"/>
        <w:tabs>
          <w:tab w:leader="none" w:pos="31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79" w:lineRule="exact"/>
        <w:rPr>
          <w:rFonts w:ascii="Times New Roman" w:cs="Times New Roman" w:eastAsia="Times New Roman" w:hAnsi="Times New Roman"/>
          <w:sz w:val="21"/>
          <w:szCs w:val="21"/>
          <w:color w:val="auto"/>
        </w:rPr>
      </w:pPr>
    </w:p>
    <w:p>
      <w:pPr>
        <w:jc w:val="both"/>
        <w:ind w:left="316" w:hanging="316"/>
        <w:spacing w:after="0" w:line="237" w:lineRule="auto"/>
        <w:tabs>
          <w:tab w:leader="none" w:pos="31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you on account of non- compliance with Section 409A of the Code.</w:t>
      </w:r>
    </w:p>
    <w:p>
      <w:pPr>
        <w:spacing w:after="0" w:line="200" w:lineRule="exact"/>
        <w:rPr>
          <w:rFonts w:ascii="Times New Roman" w:cs="Times New Roman" w:eastAsia="Times New Roman" w:hAnsi="Times New Roman"/>
          <w:sz w:val="21"/>
          <w:szCs w:val="21"/>
          <w:color w:val="auto"/>
        </w:rPr>
      </w:pPr>
    </w:p>
    <w:p>
      <w:pPr>
        <w:ind w:left="316" w:hanging="316"/>
        <w:spacing w:after="0"/>
        <w:tabs>
          <w:tab w:leader="none" w:pos="31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By accepting the award of Share Appreciation Rights, you agree to be bound by this Agreement.</w:t>
      </w:r>
    </w:p>
    <w:p>
      <w:pPr>
        <w:spacing w:after="0" w:line="222" w:lineRule="exact"/>
        <w:rPr>
          <w:rFonts w:ascii="Times New Roman" w:cs="Times New Roman" w:eastAsia="Times New Roman" w:hAnsi="Times New Roman"/>
          <w:sz w:val="21"/>
          <w:szCs w:val="21"/>
          <w:color w:val="auto"/>
        </w:rPr>
      </w:pPr>
    </w:p>
    <w:p>
      <w:pPr>
        <w:jc w:val="both"/>
        <w:ind w:left="316" w:hanging="316"/>
        <w:spacing w:after="0" w:line="237" w:lineRule="auto"/>
        <w:tabs>
          <w:tab w:leader="none" w:pos="31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As part of your responsibilities with the Company, you may have access to or become familiar with information concerning the business of the Company that is of a confidential nature. By accepting this Award, you agree that you will not discuss or disclose any confidential information to any outside individual or institution or to use it for your own benefit except on the direct written authorization of a member of the Executive Committee. Please refer to the Confidential Information section in the Employee Guide for additional information, including a description of the information considered confidential. The Company will pursue legal remedies for unauthorized use or disclosure of sensitive, confidential information.</w:t>
      </w:r>
    </w:p>
    <w:p>
      <w:pPr>
        <w:sectPr>
          <w:pgSz w:w="11900" w:h="16838" w:orient="portrait"/>
          <w:cols w:equalWidth="0" w:num="1">
            <w:col w:w="10916"/>
          </w:cols>
          <w:pgMar w:left="644" w:top="1386"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1"/>
          <w:szCs w:val="21"/>
          <w:b w:val="1"/>
          <w:bCs w:val="1"/>
          <w:color w:val="auto"/>
        </w:rPr>
        <w:t>VAIL RESORTS,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SHARE APPRECIATION RIGHTS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AUSTRALIA</w:t>
      </w:r>
    </w:p>
    <w:p>
      <w:pPr>
        <w:spacing w:after="0" w:line="199" w:lineRule="exact"/>
        <w:rPr>
          <w:sz w:val="20"/>
          <w:szCs w:val="20"/>
          <w:color w:val="auto"/>
        </w:rPr>
      </w:pPr>
    </w:p>
    <w:p>
      <w:pPr>
        <w:jc w:val="both"/>
        <w:ind w:firstLine="637"/>
        <w:spacing w:after="0" w:line="244" w:lineRule="auto"/>
        <w:rPr>
          <w:sz w:val="20"/>
          <w:szCs w:val="20"/>
          <w:color w:val="auto"/>
        </w:rPr>
      </w:pPr>
      <w:r>
        <w:rPr>
          <w:rFonts w:ascii="Times New Roman" w:cs="Times New Roman" w:eastAsia="Times New Roman" w:hAnsi="Times New Roman"/>
          <w:sz w:val="21"/>
          <w:szCs w:val="21"/>
          <w:color w:val="auto"/>
        </w:rPr>
        <w:t>THIS AGREEMENT is between Vail Resorts, Inc., a Delaware corporation (the “Company”), and the employee who receives this Agreement in connection with an award of Share Appreciation Rights under the Company’s 2024 Omnibus Incentive Plan (the “Plan”), the terms of which are incorporated herein by reference. Capitalized terms used and not defined herein have the meanings set forth in the Plan.</w:t>
      </w:r>
    </w:p>
    <w:p>
      <w:pPr>
        <w:spacing w:after="0" w:line="185" w:lineRule="exact"/>
        <w:rPr>
          <w:sz w:val="20"/>
          <w:szCs w:val="20"/>
          <w:color w:val="auto"/>
        </w:rPr>
      </w:pPr>
    </w:p>
    <w:p>
      <w:pPr>
        <w:jc w:val="both"/>
        <w:ind w:firstLine="637"/>
        <w:spacing w:after="0" w:line="272" w:lineRule="auto"/>
        <w:rPr>
          <w:sz w:val="20"/>
          <w:szCs w:val="20"/>
          <w:color w:val="auto"/>
        </w:rPr>
      </w:pPr>
      <w:r>
        <w:rPr>
          <w:rFonts w:ascii="Times New Roman" w:cs="Times New Roman" w:eastAsia="Times New Roman" w:hAnsi="Times New Roman"/>
          <w:sz w:val="21"/>
          <w:szCs w:val="21"/>
          <w:color w:val="auto"/>
        </w:rPr>
        <w:t>NOW, THEREFORE, in consideration of the premises and mutual covenants contained herein, and for other good and valuable consideration, the parties hereto agree as follows.</w:t>
      </w:r>
    </w:p>
    <w:p>
      <w:pPr>
        <w:spacing w:after="0" w:line="156" w:lineRule="exact"/>
        <w:rPr>
          <w:sz w:val="20"/>
          <w:szCs w:val="20"/>
          <w:color w:val="auto"/>
        </w:rPr>
      </w:pPr>
    </w:p>
    <w:p>
      <w:pPr>
        <w:ind w:left="640" w:hanging="316"/>
        <w:spacing w:after="0"/>
        <w:tabs>
          <w:tab w:leader="none" w:pos="6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Appreciation Rights Terms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left="1280" w:hanging="319"/>
        <w:spacing w:after="0" w:line="237" w:lineRule="auto"/>
        <w:tabs>
          <w:tab w:leader="none" w:pos="1268"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You may, from time to time, be awarded Share Appreciation Rights, subject to the terms and conditions of the Plan and those herein set forth. An award of Share Appreciation Rights is granted as of the date set forth in the notification to you of such award (the “Date of Grant”) with respect to the number of Shares indicated in your award notification (the “SAR Shares”), at an exercise price per Share Appreciation Right as provided in your award notification (the “Exercise Price”). Your Share Appreciation Rights will expire at the close of business on the tenth anniversary of the Date of Grant (the “Expiration Date”), subject to earlier expiration in connection with the termination of your employment as provided below.</w:t>
      </w:r>
    </w:p>
    <w:p>
      <w:pPr>
        <w:spacing w:after="0" w:line="187" w:lineRule="exact"/>
        <w:rPr>
          <w:rFonts w:ascii="Times New Roman" w:cs="Times New Roman" w:eastAsia="Times New Roman" w:hAnsi="Times New Roman"/>
          <w:sz w:val="21"/>
          <w:szCs w:val="21"/>
          <w:color w:val="auto"/>
        </w:rPr>
      </w:pPr>
    </w:p>
    <w:p>
      <w:pPr>
        <w:jc w:val="both"/>
        <w:ind w:left="1280" w:hanging="319"/>
        <w:spacing w:after="0" w:line="237" w:lineRule="auto"/>
        <w:tabs>
          <w:tab w:leader="none" w:pos="128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Exercisability/Vesting</w:t>
      </w:r>
      <w:r>
        <w:rPr>
          <w:rFonts w:ascii="Times New Roman" w:cs="Times New Roman" w:eastAsia="Times New Roman" w:hAnsi="Times New Roman"/>
          <w:sz w:val="21"/>
          <w:szCs w:val="21"/>
          <w:color w:val="auto"/>
        </w:rPr>
        <w:t>. Your Share Appreciation Rights will be exercisable only to the extent they have vested. Your Share Appreciation Rights will become vested as provided in your award notification, if and only if you have been continuously employed by the Company and/or its Subsidiaries from the date of this Agreement through such dates. Upon the termination of your employment for any reason, by you or by the Company and/or its Subsidiaries, with or without Cause, all of your unvested Share Appreciation Rights shall expire and be of no further force or effect. Any such termination shall not affect your vested Share Appreciation Rights, which shall remain exercisable pursuant to paragraph 1(d) below.</w:t>
      </w:r>
    </w:p>
    <w:p>
      <w:pPr>
        <w:spacing w:after="0" w:line="201" w:lineRule="exact"/>
        <w:rPr>
          <w:rFonts w:ascii="Times New Roman" w:cs="Times New Roman" w:eastAsia="Times New Roman" w:hAnsi="Times New Roman"/>
          <w:sz w:val="21"/>
          <w:szCs w:val="21"/>
          <w:color w:val="auto"/>
        </w:rPr>
      </w:pPr>
    </w:p>
    <w:p>
      <w:pPr>
        <w:jc w:val="both"/>
        <w:ind w:left="1280" w:hanging="319"/>
        <w:spacing w:after="0" w:line="234" w:lineRule="auto"/>
        <w:tabs>
          <w:tab w:leader="none" w:pos="1268"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Notwithstanding any provision of this Agreement to the contrary, in the event that the successor corporation in a Change in Control does not assume or substitute for the Share Appreciation Rights (“Award” or “SAR”) (or portion thereof), the Committee will (i) cause any or all of such Award (or portion thereof) to terminate in exchange for cash, rights or other property having a value (as determined by the Committee acting in good faith) equal to the product of the number of SAR Shares multiplied by the amount, if any, by which the formula or fixed price per share paid to holders of Shares pursuant to such transaction exceeds the Exercise Price applicable to the Award, or (ii) cause the Participant to fully vest in and have the right to exercise all of his or her outstanding Share Appreciation Rights, including Shares as to which such Awards would not otherwise be vested or exercisable, in each case, to the extent the</w:t>
      </w:r>
    </w:p>
    <w:p>
      <w:pPr>
        <w:sectPr>
          <w:pgSz w:w="11900" w:h="16838" w:orient="portrait"/>
          <w:cols w:equalWidth="0" w:num="1">
            <w:col w:w="11240"/>
          </w:cols>
          <w:pgMar w:left="320" w:top="1382" w:right="339" w:bottom="1440" w:gutter="0" w:footer="0" w:header="0"/>
        </w:sectPr>
      </w:pPr>
    </w:p>
    <w:bookmarkStart w:id="70" w:name="page71"/>
    <w:bookmarkEnd w:id="70"/>
    <w:p>
      <w:pPr>
        <w:jc w:val="both"/>
        <w:ind w:left="956"/>
        <w:spacing w:after="0"/>
        <w:rPr>
          <w:sz w:val="20"/>
          <w:szCs w:val="20"/>
          <w:color w:val="auto"/>
        </w:rPr>
      </w:pPr>
      <w:r>
        <w:rPr>
          <w:rFonts w:ascii="Times New Roman" w:cs="Times New Roman" w:eastAsia="Times New Roman" w:hAnsi="Times New Roman"/>
          <w:sz w:val="21"/>
          <w:szCs w:val="21"/>
          <w:color w:val="auto"/>
        </w:rPr>
        <w:t>Award otherwise remains outstanding and has not otherwise been exercised or forfeited as of any such Change in Control. For the avoidance of doubt, if the formula or fixed price per share paid to holders of Shares pursuant to such transaction is equal to or less than the SAR Price applicable to the SAR, then the SAR may be cancelled without payment therefore.</w:t>
      </w:r>
    </w:p>
    <w:p>
      <w:pPr>
        <w:spacing w:after="0" w:line="201" w:lineRule="exact"/>
        <w:rPr>
          <w:sz w:val="20"/>
          <w:szCs w:val="20"/>
          <w:color w:val="auto"/>
        </w:rPr>
      </w:pPr>
    </w:p>
    <w:p>
      <w:pPr>
        <w:jc w:val="both"/>
        <w:ind w:left="956"/>
        <w:spacing w:after="0" w:line="234" w:lineRule="auto"/>
        <w:rPr>
          <w:sz w:val="20"/>
          <w:szCs w:val="20"/>
          <w:color w:val="auto"/>
        </w:rPr>
      </w:pPr>
      <w:r>
        <w:rPr>
          <w:rFonts w:ascii="Times New Roman" w:cs="Times New Roman" w:eastAsia="Times New Roman" w:hAnsi="Times New Roman"/>
          <w:sz w:val="21"/>
          <w:szCs w:val="21"/>
          <w:color w:val="auto"/>
        </w:rPr>
        <w:t>Notwithstanding anything herein to the contrary, in the event that the Award is assumed or substituted or otherwise continued by a successor in a Change in Control, the following terms shall apply. In the event of your termination of continuous employment without Cause by the successor or its affiliates in a Change in Control during the 12-month period following a Change in Control, the outstanding Stock Appreciation Rights shall become immediately exercisable with respect to 100% of the shares subject thereto as of the date of your termination of employment. The good faith determination by the Company of whether your employment was terminated by the Company for Cause shall be final and binding for all purposes hereunder. For the avoidance of doubt, the foregoing shall apply to the extent and in a manner consistent with the requirements of Section 409A of the Internal Revenue Code. The obligations of the Company hereunder shall be binding upon any successor of the Company.</w:t>
      </w:r>
    </w:p>
    <w:p>
      <w:pPr>
        <w:spacing w:after="0" w:line="202" w:lineRule="exact"/>
        <w:rPr>
          <w:sz w:val="20"/>
          <w:szCs w:val="20"/>
          <w:color w:val="auto"/>
        </w:rPr>
      </w:pPr>
    </w:p>
    <w:p>
      <w:pPr>
        <w:jc w:val="both"/>
        <w:ind w:left="956" w:hanging="319"/>
        <w:spacing w:after="0" w:line="237" w:lineRule="auto"/>
        <w:tabs>
          <w:tab w:leader="none" w:pos="95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Share Appreciation Rights</w:t>
      </w:r>
      <w:r>
        <w:rPr>
          <w:rFonts w:ascii="Times New Roman" w:cs="Times New Roman" w:eastAsia="Times New Roman" w:hAnsi="Times New Roman"/>
          <w:sz w:val="21"/>
          <w:szCs w:val="21"/>
          <w:color w:val="auto"/>
        </w:rPr>
        <w:t>. In no event shall any part of your Share Appreciation Rights be exercisable after the Expiration Date set forth in paragraph 1(a) If your employment with the Company and/or its Subsidiaries terminates for any reason, that portion of your Share Appreciation Rights that is not vested and exercisable on the date of termination of your employment shall expire and be forfeited. The portion of your Share Appreciation Rights that is vested and exercisable on the date of such termination shall, to the extent not theretofore exercised, expire on the 90th day after such date of termination.</w:t>
      </w:r>
    </w:p>
    <w:p>
      <w:pPr>
        <w:spacing w:after="0" w:line="187" w:lineRule="exact"/>
        <w:rPr>
          <w:rFonts w:ascii="Times New Roman" w:cs="Times New Roman" w:eastAsia="Times New Roman" w:hAnsi="Times New Roman"/>
          <w:sz w:val="21"/>
          <w:szCs w:val="21"/>
          <w:color w:val="auto"/>
        </w:rPr>
      </w:pPr>
    </w:p>
    <w:p>
      <w:pPr>
        <w:jc w:val="both"/>
        <w:ind w:left="956" w:hanging="319"/>
        <w:spacing w:after="0" w:line="235" w:lineRule="auto"/>
        <w:tabs>
          <w:tab w:leader="none" w:pos="944"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Exercisability/Vesting in Event of Death or Disability</w:t>
      </w:r>
      <w:r>
        <w:rPr>
          <w:rFonts w:ascii="Times New Roman" w:cs="Times New Roman" w:eastAsia="Times New Roman" w:hAnsi="Times New Roman"/>
          <w:sz w:val="21"/>
          <w:szCs w:val="21"/>
          <w:color w:val="auto"/>
        </w:rPr>
        <w:t>. Notwithstanding any provision of this Agreement to the contrary, if your employment with the Company and/or its Subsidiaries terminates as a result of your death or Disability, then your Share Appreciation Rights, if not already vested under Sections 1(b) or 1(c) above, will vest in full as of the date of death or separation from employment due to Disability and may be exercised by the persons described in Section 4 below, but only within the period ending on the earlier of (1) the date twelve (12) months following the date of death or separation from employment due to Disability, or (2) the Expiration Date set forth in paragraph 1(a). If, after death or separation from employment due to Disability, the Share Appreciation Rights are not exercised within the time specified herein, the Share Appreciation Rights shall expire and be forfeited.</w:t>
      </w:r>
    </w:p>
    <w:p>
      <w:pPr>
        <w:spacing w:after="0" w:line="204"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 for Share Appreciation Rights Exercise</w:t>
      </w:r>
      <w:r>
        <w:rPr>
          <w:rFonts w:ascii="Times New Roman" w:cs="Times New Roman" w:eastAsia="Times New Roman" w:hAnsi="Times New Roman"/>
          <w:sz w:val="21"/>
          <w:szCs w:val="21"/>
          <w:color w:val="auto"/>
        </w:rPr>
        <w:t>. You may, at any time or from time to time, to the extent permitted hereby, exercise all or any portion of your vested portion of your Share Appreciation Rights by delivering, to the attention of the Company’s General Counsel at the address set forth in paragraph 9 below, written notice to the Company of the number of Share Appreciation Rights to be exercised.</w:t>
      </w:r>
    </w:p>
    <w:p>
      <w:pPr>
        <w:sectPr>
          <w:pgSz w:w="11900" w:h="16838" w:orient="portrait"/>
          <w:cols w:equalWidth="0" w:num="1">
            <w:col w:w="10916"/>
          </w:cols>
          <w:pgMar w:left="644" w:top="1385" w:right="339" w:bottom="1440" w:gutter="0" w:footer="0" w:header="0"/>
        </w:sectPr>
      </w:pPr>
    </w:p>
    <w:bookmarkStart w:id="71" w:name="page72"/>
    <w:bookmarkEnd w:id="71"/>
    <w:p>
      <w:pPr>
        <w:jc w:val="both"/>
        <w:ind w:left="316" w:hanging="316"/>
        <w:spacing w:after="0" w:line="239" w:lineRule="auto"/>
        <w:tabs>
          <w:tab w:leader="none" w:pos="31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for Share Appreciation Rights</w:t>
      </w:r>
      <w:r>
        <w:rPr>
          <w:rFonts w:ascii="Times New Roman" w:cs="Times New Roman" w:eastAsia="Times New Roman" w:hAnsi="Times New Roman"/>
          <w:sz w:val="21"/>
          <w:szCs w:val="21"/>
          <w:color w:val="auto"/>
        </w:rPr>
        <w:t>. Upon your exercise of the Share Appreciation Rights, the Company shall pay you in SAR Shares an amount equal to the quotient of (i) the product of (x) the positive difference (if any) between the Fair Market Value of a SAR Share on the exercise date and the Exercise Price, multiplied by (y) the number of Share Appreciation Rights being exercised, divided by (ii) the Fair Market Value of a SAR Share on the exercise date, rounded down to the nearest whole share. Any fractional SAR Shares shall be forfeited.</w:t>
      </w:r>
    </w:p>
    <w:p>
      <w:pPr>
        <w:spacing w:after="0" w:line="190"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1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Appreciation Rights Not Transferable</w:t>
      </w:r>
      <w:r>
        <w:rPr>
          <w:rFonts w:ascii="Times New Roman" w:cs="Times New Roman" w:eastAsia="Times New Roman" w:hAnsi="Times New Roman"/>
          <w:sz w:val="21"/>
          <w:szCs w:val="21"/>
          <w:color w:val="auto"/>
        </w:rPr>
        <w:t>. Your Share Appreciation Rights are personal to you and are not transferable by you, other than by will or by the laws of descent and distribution. During your lifetime, only you (or your guardian or legal representative) may exercise your Share Appreciation Rights. In the event of your death, your Share Appreciation Rights may be exercised only by the executor or administrator of your estate or the person or persons to whom your rights under the Share Appreciation Rights shall pass by will or by the laws of intestate succession.</w:t>
      </w:r>
    </w:p>
    <w:p>
      <w:pPr>
        <w:spacing w:after="0" w:line="190" w:lineRule="exact"/>
        <w:rPr>
          <w:rFonts w:ascii="Times New Roman" w:cs="Times New Roman" w:eastAsia="Times New Roman" w:hAnsi="Times New Roman"/>
          <w:sz w:val="21"/>
          <w:szCs w:val="21"/>
          <w:color w:val="auto"/>
        </w:rPr>
      </w:pPr>
    </w:p>
    <w:p>
      <w:pPr>
        <w:jc w:val="both"/>
        <w:ind w:left="316" w:hanging="316"/>
        <w:spacing w:after="0" w:line="248" w:lineRule="auto"/>
        <w:tabs>
          <w:tab w:leader="none" w:pos="31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Conformity with the Plan</w:t>
      </w:r>
      <w:r>
        <w:rPr>
          <w:rFonts w:ascii="Times New Roman" w:cs="Times New Roman" w:eastAsia="Times New Roman" w:hAnsi="Times New Roman"/>
          <w:sz w:val="21"/>
          <w:szCs w:val="21"/>
          <w:color w:val="auto"/>
        </w:rPr>
        <w:t>. Your Share Appreciation Rights are intended to conform in all respects with, and are subject to, all applicable provisions of the Plan, the terms and conditions of which are incorporated herein by reference. Any inconsistencies between this Agreement and the Plan shall be resolved in accordance with the Plan.</w:t>
      </w:r>
    </w:p>
    <w:p>
      <w:pPr>
        <w:spacing w:after="0" w:line="193" w:lineRule="exact"/>
        <w:rPr>
          <w:rFonts w:ascii="Times New Roman" w:cs="Times New Roman" w:eastAsia="Times New Roman" w:hAnsi="Times New Roman"/>
          <w:sz w:val="21"/>
          <w:szCs w:val="21"/>
          <w:color w:val="auto"/>
        </w:rPr>
      </w:pPr>
    </w:p>
    <w:p>
      <w:pPr>
        <w:jc w:val="both"/>
        <w:ind w:left="316" w:hanging="316"/>
        <w:spacing w:after="0" w:line="237" w:lineRule="auto"/>
        <w:tabs>
          <w:tab w:leader="none" w:pos="31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of Participants</w:t>
      </w:r>
      <w:r>
        <w:rPr>
          <w:rFonts w:ascii="Times New Roman" w:cs="Times New Roman" w:eastAsia="Times New Roman" w:hAnsi="Times New Roman"/>
          <w:sz w:val="21"/>
          <w:szCs w:val="21"/>
          <w:color w:val="auto"/>
        </w:rPr>
        <w:t>. Nothing in this Agreement shall interfere with or limit in any way the right of the Company and/or its Subsidiaries to terminate your employment at any time (with or without Cause), or confer upon you any right to continue in the employ of the Company and/or its Subsidiaries for any period of time or to continue to receive your current (or other) rate of compensation. Nothing in this Agreement shall confer upon you any right to be selected to receive additional awards under the Plan or otherwise.</w:t>
      </w:r>
    </w:p>
    <w:p>
      <w:pPr>
        <w:spacing w:after="0" w:line="200"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The Company may, if necessary or desirable, withhold from any amounts due and payable to you by the Company or a Subsidiary (or secure payment from you in lieu of withholding) the amount of any withholding or other tax due from the Company or Subsidiary with respect to the issuance or exercise of your Share Appreciation Rights, and the Company may defer such issuance or exercise unless indemnified by you to its satisfaction against the payment of any such amount. Notwithstanding the foregoing, the maximum number of SAR Shares that may be withheld upon the issuance or exercise of your Share Appreciation Rights to satisfy any federal, state, or local tax withholding requirements may not exceed such number of SAR Shares having a Fair Market Value equal to the minimum statutory amount required by the Company to be withheld and paid to any such federal, state, or local taxing authority with respect to such issuance or exercise of your Share Appreciation Rights, or such greater amount as may be permitted under applicable accounting standards.</w:t>
      </w:r>
    </w:p>
    <w:p>
      <w:pPr>
        <w:spacing w:after="0" w:line="373" w:lineRule="exact"/>
        <w:rPr>
          <w:rFonts w:ascii="Times New Roman" w:cs="Times New Roman" w:eastAsia="Times New Roman" w:hAnsi="Times New Roman"/>
          <w:sz w:val="21"/>
          <w:szCs w:val="21"/>
          <w:color w:val="auto"/>
        </w:rPr>
      </w:pPr>
    </w:p>
    <w:p>
      <w:pPr>
        <w:jc w:val="both"/>
        <w:ind w:left="316" w:hanging="316"/>
        <w:spacing w:after="0" w:line="237" w:lineRule="auto"/>
        <w:tabs>
          <w:tab w:leader="none" w:pos="31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the Committee shall determine that any dividend in Shares, recapitalization, Share split, reverse split, reorganization, merger, consolidation, spin-off, combination, repurchase, share exchange, or other similar corporate transaction or event affects the Shares such that an adjustment is appropriate in order to prevent dilution or enlargement of your rights under this Share Appreciation Rights Agreement, then the Committee shall make such equitable changes or adjustments as it deems appropriate and adjust, in such manner as it deems equitable, any or all of: (i) the number and kinds of</w:t>
      </w:r>
    </w:p>
    <w:p>
      <w:pPr>
        <w:sectPr>
          <w:pgSz w:w="11900" w:h="16838" w:orient="portrait"/>
          <w:cols w:equalWidth="0" w:num="1">
            <w:col w:w="10916"/>
          </w:cols>
          <w:pgMar w:left="644" w:top="1386" w:right="339" w:bottom="1440" w:gutter="0" w:footer="0" w:header="0"/>
        </w:sectPr>
      </w:pPr>
    </w:p>
    <w:bookmarkStart w:id="72" w:name="page73"/>
    <w:bookmarkEnd w:id="72"/>
    <w:p>
      <w:pPr>
        <w:jc w:val="both"/>
        <w:ind w:left="640"/>
        <w:spacing w:after="0"/>
        <w:rPr>
          <w:sz w:val="20"/>
          <w:szCs w:val="20"/>
          <w:color w:val="auto"/>
        </w:rPr>
      </w:pPr>
      <w:r>
        <w:rPr>
          <w:rFonts w:ascii="Times New Roman" w:cs="Times New Roman" w:eastAsia="Times New Roman" w:hAnsi="Times New Roman"/>
          <w:sz w:val="21"/>
          <w:szCs w:val="21"/>
          <w:color w:val="auto"/>
        </w:rPr>
        <w:t>SAR Shares, other securities or other consideration subject to the Share Appreciation Rights; and (ii) the Exercise Price of the Share Appreciation Rights. In the event that the Company shall declare an extraordinary cash dividend, then the Committee shall in its discretion either (i) pay you cash on the payment date of such dividend in an amount equal to the number of SAR Shares represented by the vested portion of your Share Appreciation Rights multiplied by the per share amount of such extraordinary cash dividend and to the extent these Share Appreciation Rights are not then fully vested make similar additional payments in the future when and as the remaining portion of these Share Appreciation Rights vest; or (ii) reduce the Exercise Price of your Share Appreciation Rights by an amount equal to the per share extraordinary dividend; or (iii) make such other adjustment as the Committee determines would provide you with a substantially similar benefit.</w:t>
      </w:r>
    </w:p>
    <w:p>
      <w:pPr>
        <w:spacing w:after="0" w:line="390" w:lineRule="exact"/>
        <w:rPr>
          <w:sz w:val="20"/>
          <w:szCs w:val="20"/>
          <w:color w:val="auto"/>
        </w:rPr>
      </w:pPr>
    </w:p>
    <w:p>
      <w:pPr>
        <w:jc w:val="both"/>
        <w:ind w:left="640" w:hanging="316"/>
        <w:spacing w:after="0" w:line="239" w:lineRule="auto"/>
        <w:tabs>
          <w:tab w:leader="none" w:pos="64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or permitted to be given under this 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 or by email or other electronic means using a system maintained by the Company when transmitted without a notice of failed delivery:</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to the Company: Vail Resorts, Inc.</w:t>
      </w:r>
    </w:p>
    <w:p>
      <w:pPr>
        <w:spacing w:after="0" w:line="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390 Interlocken Crescent</w:t>
      </w:r>
    </w:p>
    <w:p>
      <w:pPr>
        <w:ind w:left="3180"/>
        <w:spacing w:after="0" w:line="224" w:lineRule="auto"/>
        <w:rPr>
          <w:sz w:val="20"/>
          <w:szCs w:val="20"/>
          <w:color w:val="auto"/>
        </w:rPr>
      </w:pPr>
      <w:r>
        <w:rPr>
          <w:rFonts w:ascii="Times New Roman" w:cs="Times New Roman" w:eastAsia="Times New Roman" w:hAnsi="Times New Roman"/>
          <w:sz w:val="21"/>
          <w:szCs w:val="21"/>
          <w:color w:val="auto"/>
        </w:rPr>
        <w:t>Suite 1000</w:t>
      </w:r>
    </w:p>
    <w:p>
      <w:pPr>
        <w:ind w:left="3180"/>
        <w:spacing w:after="0" w:line="237" w:lineRule="auto"/>
        <w:rPr>
          <w:sz w:val="20"/>
          <w:szCs w:val="20"/>
          <w:color w:val="auto"/>
        </w:rPr>
      </w:pPr>
      <w:r>
        <w:rPr>
          <w:rFonts w:ascii="Times New Roman" w:cs="Times New Roman" w:eastAsia="Times New Roman" w:hAnsi="Times New Roman"/>
          <w:sz w:val="21"/>
          <w:szCs w:val="21"/>
          <w:color w:val="auto"/>
        </w:rPr>
        <w:t>Broomfield, Colorado 80021</w:t>
      </w:r>
    </w:p>
    <w:p>
      <w:pPr>
        <w:ind w:left="318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you: At your most recent address shown on the Company’s</w:t>
      </w:r>
    </w:p>
    <w:p>
      <w:pPr>
        <w:spacing w:after="0" w:line="21" w:lineRule="exact"/>
        <w:rPr>
          <w:sz w:val="20"/>
          <w:szCs w:val="20"/>
          <w:color w:val="auto"/>
        </w:rPr>
      </w:pPr>
    </w:p>
    <w:p>
      <w:pPr>
        <w:ind w:left="3180"/>
        <w:spacing w:after="0" w:line="237" w:lineRule="auto"/>
        <w:rPr>
          <w:sz w:val="20"/>
          <w:szCs w:val="20"/>
          <w:color w:val="auto"/>
        </w:rPr>
      </w:pPr>
      <w:r>
        <w:rPr>
          <w:rFonts w:ascii="Times New Roman" w:cs="Times New Roman" w:eastAsia="Times New Roman" w:hAnsi="Times New Roman"/>
          <w:sz w:val="21"/>
          <w:szCs w:val="21"/>
          <w:color w:val="auto"/>
        </w:rPr>
        <w:t>corporate records, or at any other address which you may specify in a notice delivered to the Company in the manner set forth herein.</w:t>
      </w:r>
    </w:p>
    <w:p>
      <w:pPr>
        <w:spacing w:after="0" w:line="202" w:lineRule="exact"/>
        <w:rPr>
          <w:sz w:val="20"/>
          <w:szCs w:val="20"/>
          <w:color w:val="auto"/>
        </w:rPr>
      </w:pPr>
    </w:p>
    <w:p>
      <w:pPr>
        <w:ind w:left="640" w:hanging="316"/>
        <w:spacing w:after="0" w:line="259" w:lineRule="auto"/>
        <w:tabs>
          <w:tab w:leader="none" w:pos="6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Delaware without reference to the principles of conflict of laws.</w:t>
      </w:r>
    </w:p>
    <w:p>
      <w:pPr>
        <w:spacing w:after="0" w:line="181" w:lineRule="exact"/>
        <w:rPr>
          <w:rFonts w:ascii="Times New Roman" w:cs="Times New Roman" w:eastAsia="Times New Roman" w:hAnsi="Times New Roman"/>
          <w:sz w:val="21"/>
          <w:szCs w:val="21"/>
          <w:color w:val="auto"/>
        </w:rPr>
      </w:pPr>
    </w:p>
    <w:p>
      <w:pPr>
        <w:jc w:val="both"/>
        <w:ind w:left="640" w:hanging="316"/>
        <w:spacing w:after="0" w:line="237" w:lineRule="auto"/>
        <w:tabs>
          <w:tab w:leader="none" w:pos="63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exercise of the Share Appreciation Rights shall be subject to compliance by the Company and you with all applicable laws, including the requirements of any stock exchange on which the SAR Shares may be listed. You may not exercise the Share Appreciation Rights if such exercise would violate any applicable federal or state securities laws or other laws or regulations. You understand that the Company is under no obligation to register the SAR Shares with the Securities and Exchange Commission, any state securities commission or any stock exchange to effect such compliance.</w:t>
      </w:r>
    </w:p>
    <w:p>
      <w:pPr>
        <w:spacing w:after="0" w:line="200" w:lineRule="exact"/>
        <w:rPr>
          <w:rFonts w:ascii="Times New Roman" w:cs="Times New Roman" w:eastAsia="Times New Roman" w:hAnsi="Times New Roman"/>
          <w:sz w:val="21"/>
          <w:szCs w:val="21"/>
          <w:color w:val="auto"/>
        </w:rPr>
      </w:pPr>
    </w:p>
    <w:p>
      <w:pPr>
        <w:jc w:val="both"/>
        <w:ind w:left="640" w:hanging="316"/>
        <w:spacing w:after="0"/>
        <w:tabs>
          <w:tab w:leader="none" w:pos="6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you and your beneficiaries, executors, administrators and the person(s) to whom the Share Appreciation Rights may be transferred by will or the laws of descent or distribution.</w:t>
      </w:r>
    </w:p>
    <w:p>
      <w:pPr>
        <w:sectPr>
          <w:pgSz w:w="11900" w:h="16838" w:orient="portrait"/>
          <w:cols w:equalWidth="0" w:num="1">
            <w:col w:w="11240"/>
          </w:cols>
          <w:pgMar w:left="320" w:top="1385" w:right="339" w:bottom="1440" w:gutter="0" w:footer="0" w:header="0"/>
        </w:sectPr>
      </w:pPr>
    </w:p>
    <w:bookmarkStart w:id="73" w:name="page74"/>
    <w:bookmarkEnd w:id="73"/>
    <w:p>
      <w:pPr>
        <w:spacing w:after="0" w:line="185" w:lineRule="exact"/>
        <w:rPr>
          <w:sz w:val="20"/>
          <w:szCs w:val="20"/>
          <w:color w:val="auto"/>
        </w:rPr>
      </w:pPr>
    </w:p>
    <w:p>
      <w:pPr>
        <w:jc w:val="both"/>
        <w:ind w:left="316" w:hanging="316"/>
        <w:spacing w:after="0" w:line="248" w:lineRule="auto"/>
        <w:tabs>
          <w:tab w:leader="none" w:pos="31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79"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1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you on account of non- compliance with Section 409A of the Code.</w:t>
      </w:r>
    </w:p>
    <w:p>
      <w:pPr>
        <w:spacing w:after="0" w:line="188" w:lineRule="exact"/>
        <w:rPr>
          <w:rFonts w:ascii="Times New Roman" w:cs="Times New Roman" w:eastAsia="Times New Roman" w:hAnsi="Times New Roman"/>
          <w:sz w:val="21"/>
          <w:szCs w:val="21"/>
          <w:color w:val="auto"/>
        </w:rPr>
      </w:pPr>
    </w:p>
    <w:p>
      <w:pPr>
        <w:ind w:left="316" w:hanging="316"/>
        <w:spacing w:after="0"/>
        <w:tabs>
          <w:tab w:leader="none" w:pos="31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By accepting the award of Share Appreciation Rights, you agree to be bound by this Agreement.</w:t>
      </w:r>
    </w:p>
    <w:p>
      <w:pPr>
        <w:spacing w:after="0" w:line="222" w:lineRule="exact"/>
        <w:rPr>
          <w:rFonts w:ascii="Times New Roman" w:cs="Times New Roman" w:eastAsia="Times New Roman" w:hAnsi="Times New Roman"/>
          <w:sz w:val="21"/>
          <w:szCs w:val="21"/>
          <w:color w:val="auto"/>
        </w:rPr>
      </w:pPr>
    </w:p>
    <w:p>
      <w:pPr>
        <w:jc w:val="both"/>
        <w:ind w:left="316" w:hanging="316"/>
        <w:spacing w:after="0" w:line="237" w:lineRule="auto"/>
        <w:tabs>
          <w:tab w:leader="none" w:pos="31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As part of your responsibilities with the Company, you may have access to or become familiar with information concerning the business of the Company that is of a confidential nature. By accepting this Award, you agree that you will not discuss or disclose any confidential information to any outside individual or institution or to use it for your own benefit except on the direct written authorization of a member of the Executive Committee. Please refer to the Confidential Information section in the Employee Guide for additional information, including a description of the information considered confidential. The Company will pursue legal remedies for unauthorized use or disclosure of sensitive, confidential information.</w:t>
      </w:r>
    </w:p>
    <w:p>
      <w:pPr>
        <w:spacing w:after="0" w:line="187" w:lineRule="exact"/>
        <w:rPr>
          <w:rFonts w:ascii="Times New Roman" w:cs="Times New Roman" w:eastAsia="Times New Roman" w:hAnsi="Times New Roman"/>
          <w:sz w:val="21"/>
          <w:szCs w:val="21"/>
          <w:color w:val="auto"/>
        </w:rPr>
      </w:pPr>
    </w:p>
    <w:p>
      <w:pPr>
        <w:jc w:val="both"/>
        <w:ind w:left="316" w:hanging="316"/>
        <w:spacing w:after="0" w:line="237" w:lineRule="auto"/>
        <w:tabs>
          <w:tab w:leader="none" w:pos="31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Disclosure Under the Australian Corporations Act</w:t>
      </w:r>
      <w:r>
        <w:rPr>
          <w:rFonts w:ascii="Times New Roman" w:cs="Times New Roman" w:eastAsia="Times New Roman" w:hAnsi="Times New Roman"/>
          <w:sz w:val="21"/>
          <w:szCs w:val="21"/>
          <w:color w:val="auto"/>
        </w:rPr>
        <w:t>. The issue of any Award to any Australian Eligible Person pursuant to the 2024 Omnibus Incentive Plan is made without any disclosure under Part 6D of the Australian Corporations Act on the basis that the issue of the Award to the Eligible Person is an offer that does not require disclosure under section 708 of the Australian Corporations Act. This also means that the Australian Eligible Person who is issued an Award pursuant to the 2024 Omnibus Incentive Plan may not transfer that Award within 12 months of issue without that Eligible Person themselves making applicable disclosure under Part 6D of the Corporations Act (which, in practice, may mean that such Awards cannot be legally transferred by the Eligible Persons within 12 months of issue) – this is the case regardless of whether or not the relevant Award has vested at that time.</w:t>
      </w:r>
    </w:p>
    <w:p>
      <w:pPr>
        <w:sectPr>
          <w:pgSz w:w="11900" w:h="16838" w:orient="portrait"/>
          <w:cols w:equalWidth="0" w:num="1">
            <w:col w:w="10916"/>
          </w:cols>
          <w:pgMar w:left="644" w:top="144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1"/>
          <w:szCs w:val="21"/>
          <w:b w:val="1"/>
          <w:bCs w:val="1"/>
          <w:color w:val="auto"/>
        </w:rPr>
        <w:t>VAIL RESORTS,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SHARE APPRECIATION RIGHTS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CANADA</w:t>
      </w:r>
    </w:p>
    <w:p>
      <w:pPr>
        <w:spacing w:after="0" w:line="199" w:lineRule="exact"/>
        <w:rPr>
          <w:sz w:val="20"/>
          <w:szCs w:val="20"/>
          <w:color w:val="auto"/>
        </w:rPr>
      </w:pPr>
    </w:p>
    <w:p>
      <w:pPr>
        <w:jc w:val="both"/>
        <w:ind w:firstLine="637"/>
        <w:spacing w:after="0" w:line="244" w:lineRule="auto"/>
        <w:rPr>
          <w:sz w:val="20"/>
          <w:szCs w:val="20"/>
          <w:color w:val="auto"/>
        </w:rPr>
      </w:pPr>
      <w:r>
        <w:rPr>
          <w:rFonts w:ascii="Times New Roman" w:cs="Times New Roman" w:eastAsia="Times New Roman" w:hAnsi="Times New Roman"/>
          <w:sz w:val="21"/>
          <w:szCs w:val="21"/>
          <w:color w:val="auto"/>
        </w:rPr>
        <w:t>THIS AGREEMENT is between Vail Resorts, Inc., a Delaware corporation (the “Company”), and the Participant who receives this Agreement in connection with an award of Share Appreciation Rights under the Company’s 2024 Omnibus Incentive Plan (the “Plan”), the terms of which are incorporated herein by reference. Capitalized terms used and not defined herein have the meanings set forth in the Plan.</w:t>
      </w:r>
    </w:p>
    <w:p>
      <w:pPr>
        <w:spacing w:after="0" w:line="185" w:lineRule="exact"/>
        <w:rPr>
          <w:sz w:val="20"/>
          <w:szCs w:val="20"/>
          <w:color w:val="auto"/>
        </w:rPr>
      </w:pPr>
    </w:p>
    <w:p>
      <w:pPr>
        <w:jc w:val="both"/>
        <w:ind w:firstLine="637"/>
        <w:spacing w:after="0" w:line="272" w:lineRule="auto"/>
        <w:rPr>
          <w:sz w:val="20"/>
          <w:szCs w:val="20"/>
          <w:color w:val="auto"/>
        </w:rPr>
      </w:pPr>
      <w:r>
        <w:rPr>
          <w:rFonts w:ascii="Times New Roman" w:cs="Times New Roman" w:eastAsia="Times New Roman" w:hAnsi="Times New Roman"/>
          <w:sz w:val="21"/>
          <w:szCs w:val="21"/>
          <w:color w:val="auto"/>
        </w:rPr>
        <w:t>NOW, THEREFORE, in consideration of the premises and mutual covenants contained herein, and for other good and valuable consideration, the parties hereto agree as follows.</w:t>
      </w:r>
    </w:p>
    <w:p>
      <w:pPr>
        <w:spacing w:after="0" w:line="156" w:lineRule="exact"/>
        <w:rPr>
          <w:sz w:val="20"/>
          <w:szCs w:val="20"/>
          <w:color w:val="auto"/>
        </w:rPr>
      </w:pPr>
    </w:p>
    <w:p>
      <w:pPr>
        <w:ind w:left="640" w:hanging="316"/>
        <w:spacing w:after="0"/>
        <w:tabs>
          <w:tab w:leader="none" w:pos="64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Appreciation Rights Terms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left="1280" w:hanging="319"/>
        <w:spacing w:after="0" w:line="239" w:lineRule="auto"/>
        <w:tabs>
          <w:tab w:leader="none" w:pos="1268"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You may, from time to time, be awarded Share Appreciation Rights (“Award” or “SAR”), subject to the terms and conditions of the Plan and those herein set forth. A SAR is granted as of the date set forth in the notification to you of such award (the “Date of Grant”) with respect to the number of Shares indicated in your award notification (the “SAR Shares”), at an exercise price per SAR as provided in your award notification (the “Exercise Price”). Your SAR will expire at the close of business on the tenth anniversary of the Date of Grant (the “Expiration Date”), subject to earlier expiration in connection with your Termination of Service as provided below.</w:t>
      </w:r>
    </w:p>
    <w:p>
      <w:pPr>
        <w:spacing w:after="0" w:line="188" w:lineRule="exact"/>
        <w:rPr>
          <w:rFonts w:ascii="Times New Roman" w:cs="Times New Roman" w:eastAsia="Times New Roman" w:hAnsi="Times New Roman"/>
          <w:sz w:val="21"/>
          <w:szCs w:val="21"/>
          <w:color w:val="auto"/>
        </w:rPr>
      </w:pPr>
    </w:p>
    <w:p>
      <w:pPr>
        <w:jc w:val="both"/>
        <w:ind w:left="1280" w:hanging="319"/>
        <w:spacing w:after="0" w:line="237" w:lineRule="auto"/>
        <w:tabs>
          <w:tab w:leader="none" w:pos="128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Exercisability/Vesting</w:t>
      </w:r>
      <w:r>
        <w:rPr>
          <w:rFonts w:ascii="Times New Roman" w:cs="Times New Roman" w:eastAsia="Times New Roman" w:hAnsi="Times New Roman"/>
          <w:sz w:val="21"/>
          <w:szCs w:val="21"/>
          <w:color w:val="auto"/>
        </w:rPr>
        <w:t>. Your SAR will be exercisable only to the extent they have vested. Your SAR will become vested as provided in your award notification, if and only if you have not had a Termination of Service from the Company and/or its Subsidiaries as of the applicable vesting date. Upon your Termination of Service for any reason, by you or by the Company and/or its Subsidiaries, with or without Cause, all of your unvested SAR shall expire effective as of the Termination Date and be of no further force or effect. Any such Termination of Service shall not affect your vested SAR, which shall remain exercisable pursuant to paragraph 1(d) below.</w:t>
      </w:r>
    </w:p>
    <w:p>
      <w:pPr>
        <w:spacing w:after="0" w:line="200" w:lineRule="exact"/>
        <w:rPr>
          <w:rFonts w:ascii="Times New Roman" w:cs="Times New Roman" w:eastAsia="Times New Roman" w:hAnsi="Times New Roman"/>
          <w:sz w:val="21"/>
          <w:szCs w:val="21"/>
          <w:color w:val="auto"/>
        </w:rPr>
      </w:pPr>
    </w:p>
    <w:p>
      <w:pPr>
        <w:ind w:left="1260" w:hanging="299"/>
        <w:spacing w:after="0"/>
        <w:tabs>
          <w:tab w:leader="none" w:pos="126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of this Agreement:</w:t>
      </w:r>
    </w:p>
    <w:p>
      <w:pPr>
        <w:spacing w:after="0" w:line="222" w:lineRule="exact"/>
        <w:rPr>
          <w:rFonts w:ascii="Times New Roman" w:cs="Times New Roman" w:eastAsia="Times New Roman" w:hAnsi="Times New Roman"/>
          <w:sz w:val="21"/>
          <w:szCs w:val="21"/>
          <w:color w:val="auto"/>
        </w:rPr>
      </w:pPr>
    </w:p>
    <w:p>
      <w:pPr>
        <w:jc w:val="both"/>
        <w:ind w:left="1920" w:hanging="434"/>
        <w:spacing w:after="0" w:line="236" w:lineRule="auto"/>
        <w:tabs>
          <w:tab w:leader="none" w:pos="1920"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shall have the equivalent meaning or the same meaning as “cause” or “for cause” set forth in any employment, consulting, or other agreement for the performance of services between you and the Company or an Affiliate or, in the absence of any such agreement or any such definition in such agreement, such term shall mean (A) the failure by you to perform, in a reasonable manner, your duties, (B) any violation or breach</w:t>
      </w:r>
    </w:p>
    <w:p>
      <w:pPr>
        <w:ind w:left="1920"/>
        <w:spacing w:after="0" w:line="226" w:lineRule="auto"/>
        <w:rPr>
          <w:sz w:val="20"/>
          <w:szCs w:val="20"/>
          <w:color w:val="auto"/>
        </w:rPr>
      </w:pPr>
      <w:r>
        <w:rPr>
          <w:rFonts w:ascii="Times New Roman" w:cs="Times New Roman" w:eastAsia="Times New Roman" w:hAnsi="Times New Roman"/>
          <w:sz w:val="21"/>
          <w:szCs w:val="21"/>
          <w:color w:val="auto"/>
        </w:rPr>
        <w:t>by you of your employment, consulting or other similar agreement with the Company or an Affiliate, if any,</w:t>
      </w:r>
    </w:p>
    <w:p>
      <w:pPr>
        <w:spacing w:after="0" w:line="1" w:lineRule="exact"/>
        <w:rPr>
          <w:sz w:val="20"/>
          <w:szCs w:val="20"/>
          <w:color w:val="auto"/>
        </w:rPr>
      </w:pPr>
    </w:p>
    <w:p>
      <w:pPr>
        <w:jc w:val="both"/>
        <w:ind w:left="1920" w:hanging="4"/>
        <w:spacing w:after="0" w:line="237" w:lineRule="auto"/>
        <w:tabs>
          <w:tab w:leader="none" w:pos="2292"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violation or breach by you of any non-competition, non-solicitation, non-disclosure and/or other similar agreement with the Company or an Affiliate, (D) any act by you of dishonesty or bad faith with respect to the Company or an Affiliate, or (v)</w:t>
      </w:r>
    </w:p>
    <w:p>
      <w:pPr>
        <w:sectPr>
          <w:pgSz w:w="11900" w:h="16838" w:orient="portrait"/>
          <w:cols w:equalWidth="0" w:num="1">
            <w:col w:w="11240"/>
          </w:cols>
          <w:pgMar w:left="320" w:top="1382" w:right="339" w:bottom="1440" w:gutter="0" w:footer="0" w:header="0"/>
        </w:sectPr>
      </w:pPr>
    </w:p>
    <w:bookmarkStart w:id="75" w:name="page76"/>
    <w:bookmarkEnd w:id="75"/>
    <w:p>
      <w:pPr>
        <w:ind w:left="959"/>
        <w:spacing w:after="0"/>
        <w:rPr>
          <w:sz w:val="20"/>
          <w:szCs w:val="20"/>
          <w:color w:val="auto"/>
        </w:rPr>
      </w:pPr>
      <w:r>
        <w:rPr>
          <w:rFonts w:ascii="Times New Roman" w:cs="Times New Roman" w:eastAsia="Times New Roman" w:hAnsi="Times New Roman"/>
          <w:sz w:val="21"/>
          <w:szCs w:val="21"/>
          <w:color w:val="auto"/>
        </w:rPr>
        <w:t>the commission by you of any act, or crime reflecting unfavorably upon you or the Company or any Affiliate.</w:t>
      </w:r>
    </w:p>
    <w:p>
      <w:pPr>
        <w:spacing w:after="0" w:line="223" w:lineRule="exact"/>
        <w:rPr>
          <w:sz w:val="20"/>
          <w:szCs w:val="20"/>
          <w:color w:val="auto"/>
        </w:rPr>
      </w:pPr>
    </w:p>
    <w:p>
      <w:pPr>
        <w:ind w:left="959" w:hanging="493"/>
        <w:spacing w:after="0" w:line="272" w:lineRule="auto"/>
        <w:tabs>
          <w:tab w:leader="none" w:pos="959"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of Service” means the termination of your employment or consulting relationship with the Company or a Subsidiary for any reason.</w:t>
      </w:r>
    </w:p>
    <w:p>
      <w:pPr>
        <w:spacing w:after="0" w:line="155" w:lineRule="exact"/>
        <w:rPr>
          <w:rFonts w:ascii="Times New Roman" w:cs="Times New Roman" w:eastAsia="Times New Roman" w:hAnsi="Times New Roman"/>
          <w:sz w:val="21"/>
          <w:szCs w:val="21"/>
          <w:color w:val="auto"/>
        </w:rPr>
      </w:pPr>
    </w:p>
    <w:p>
      <w:pPr>
        <w:jc w:val="both"/>
        <w:ind w:left="959" w:hanging="552"/>
        <w:spacing w:after="0" w:line="239" w:lineRule="auto"/>
        <w:tabs>
          <w:tab w:leader="none" w:pos="959"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Date” means your last day of actual and active service with the Company or a Subsidiary due to a Termination of Service and, except as required by applicable employment standards legislation, no period of notice or pay in lieu of notice that is given or that ought to have been given and which follows or is in respect of a period after your last day of actual and active service shall be considered as extending your service for the purposes of determining the entitlement to any SAR or any other entitlement under the Plan.</w:t>
      </w:r>
    </w:p>
    <w:p>
      <w:pPr>
        <w:spacing w:after="0" w:line="203" w:lineRule="exact"/>
        <w:rPr>
          <w:rFonts w:ascii="Times New Roman" w:cs="Times New Roman" w:eastAsia="Times New Roman" w:hAnsi="Times New Roman"/>
          <w:sz w:val="21"/>
          <w:szCs w:val="21"/>
          <w:color w:val="auto"/>
        </w:rPr>
      </w:pPr>
    </w:p>
    <w:p>
      <w:pPr>
        <w:jc w:val="both"/>
        <w:ind w:left="319" w:hanging="319"/>
        <w:spacing w:after="0" w:line="233" w:lineRule="auto"/>
        <w:tabs>
          <w:tab w:leader="none" w:pos="31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Notwithstanding any provision of this Agreement to the contrary, in the event that the successor corporation in a Change in Control does not assume or substitute for the SAR (or portion thereof), the Committee will (i) cause any or all of such Award (or portion thereof) to terminate in exchange for cash, rights or other property having a value (as determined by the Committee acting in good faith) equal to the product of the number of SAR Shares multiplied by the amount, if any, by which the formula or fixed price per share paid to holders of Shares pursuant to such transaction exceeds the Exercise Price applicable to the Award, or (ii) cause the Participant to fully vest in and have the right to exercise all of his or her outstanding SAR, including Shares as to which such Awards would not otherwise be vested or exercisable, in each case, to the extent the Award otherwise remains outstanding and has not otherwise been exercised or forfeited as of any such Change in Control. For the avoidance of doubt, if the formula or fixed price per share paid to holders of Shares pursuant to such transaction is equal to or less than the SAR Price applicable to the SAR, then the SAR may be cancelled without payment therefore.</w:t>
      </w:r>
    </w:p>
    <w:p>
      <w:pPr>
        <w:spacing w:after="0" w:line="193" w:lineRule="exact"/>
        <w:rPr>
          <w:rFonts w:ascii="Times New Roman" w:cs="Times New Roman" w:eastAsia="Times New Roman" w:hAnsi="Times New Roman"/>
          <w:sz w:val="21"/>
          <w:szCs w:val="21"/>
          <w:color w:val="auto"/>
        </w:rPr>
      </w:pPr>
    </w:p>
    <w:p>
      <w:pPr>
        <w:jc w:val="both"/>
        <w:ind w:left="319"/>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in the event that the Award is assumed or substituted or otherwise continued by a successor in a Change in Control, the following terms shall apply. In the event of your Termination of Service without Cause by the successor or its affiliates in a Change in Control during the 12-month period following a Change in Control, the outstanding SAR shall become immediately exercisable with respect to 100% of the shares subject thereto as of the Termination Date. The good faith determination by the Company of whether your Termination of Service was for Cause shall be final and binding for all purposes hereunder. For the avoidance of doubt, the foregoing shall apply to the extent and in a manner consistent with the requirements of Section 409A of the Internal Revenue Code. The obligations of the Company hereunder shall be binding upon any successor of the Company.</w:t>
      </w:r>
    </w:p>
    <w:p>
      <w:pPr>
        <w:spacing w:after="0" w:line="193" w:lineRule="exact"/>
        <w:rPr>
          <w:rFonts w:ascii="Times New Roman" w:cs="Times New Roman" w:eastAsia="Times New Roman" w:hAnsi="Times New Roman"/>
          <w:sz w:val="21"/>
          <w:szCs w:val="21"/>
          <w:color w:val="auto"/>
        </w:rPr>
      </w:pPr>
    </w:p>
    <w:p>
      <w:pPr>
        <w:jc w:val="both"/>
        <w:ind w:left="319" w:hanging="319"/>
        <w:spacing w:after="0" w:line="248" w:lineRule="auto"/>
        <w:tabs>
          <w:tab w:leader="none" w:pos="307"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Share Appreciation Rights</w:t>
      </w:r>
      <w:r>
        <w:rPr>
          <w:rFonts w:ascii="Times New Roman" w:cs="Times New Roman" w:eastAsia="Times New Roman" w:hAnsi="Times New Roman"/>
          <w:sz w:val="21"/>
          <w:szCs w:val="21"/>
          <w:color w:val="auto"/>
        </w:rPr>
        <w:t>. In no event shall any part of your Award be exercisable after the Expiration Date set forth in paragraph 1(a). In the event of your Termination of Service with the Company and/or its Subsidiaries for any reason, that portion of your Award that is not vested and exercisable on</w:t>
      </w:r>
    </w:p>
    <w:p>
      <w:pPr>
        <w:sectPr>
          <w:pgSz w:w="11900" w:h="16838" w:orient="portrait"/>
          <w:cols w:equalWidth="0" w:num="1">
            <w:col w:w="10279"/>
          </w:cols>
          <w:pgMar w:left="1281" w:top="1386" w:right="339" w:bottom="1440" w:gutter="0" w:footer="0" w:header="0"/>
        </w:sectPr>
      </w:pPr>
    </w:p>
    <w:bookmarkStart w:id="76" w:name="page77"/>
    <w:bookmarkEnd w:id="76"/>
    <w:p>
      <w:pPr>
        <w:ind w:left="956" w:right="20"/>
        <w:spacing w:after="0" w:line="259" w:lineRule="auto"/>
        <w:rPr>
          <w:sz w:val="20"/>
          <w:szCs w:val="20"/>
          <w:color w:val="auto"/>
        </w:rPr>
      </w:pPr>
      <w:r>
        <w:rPr>
          <w:rFonts w:ascii="Times New Roman" w:cs="Times New Roman" w:eastAsia="Times New Roman" w:hAnsi="Times New Roman"/>
          <w:sz w:val="21"/>
          <w:szCs w:val="21"/>
          <w:color w:val="auto"/>
        </w:rPr>
        <w:t>Termination Date shall expire and be forfeited. The portion of your Award that is vested and exercisable on Termination Date shall, to the extent not theretofore exercised, expire on the 90th day after the Termination Date.</w:t>
      </w:r>
    </w:p>
    <w:p>
      <w:pPr>
        <w:spacing w:after="0" w:line="182" w:lineRule="exact"/>
        <w:rPr>
          <w:sz w:val="20"/>
          <w:szCs w:val="20"/>
          <w:color w:val="auto"/>
        </w:rPr>
      </w:pPr>
    </w:p>
    <w:p>
      <w:pPr>
        <w:jc w:val="both"/>
        <w:ind w:left="956" w:hanging="319"/>
        <w:spacing w:after="0" w:line="237" w:lineRule="auto"/>
        <w:tabs>
          <w:tab w:leader="none" w:pos="947"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Exercisability/Vesting in Event of Death or Disability</w:t>
      </w:r>
      <w:r>
        <w:rPr>
          <w:rFonts w:ascii="Times New Roman" w:cs="Times New Roman" w:eastAsia="Times New Roman" w:hAnsi="Times New Roman"/>
          <w:sz w:val="21"/>
          <w:szCs w:val="21"/>
          <w:color w:val="auto"/>
        </w:rPr>
        <w:t>. Notwithstanding any provision of this Agreement to the contrary, in the event of your Termination of Service with the Company and/or its Subsidiaries as a result of your death or Disability, then your SAR, if not already vested under Sections 1(b) or 1(c) above, will vest in full as of the Termination Date and may be exercised by the persons described in Section 4 below, but only within the period ending on the earlier of (1) the date twelve (12) months following the Termination Date, or (2) the Expiration Date set forth in paragraph 1(a). If, after a Termination of Service due to death or Disability, the SAR are not exercised within the time specified herein, the SAR shall expire and be forfeited.</w:t>
      </w:r>
    </w:p>
    <w:p>
      <w:pPr>
        <w:spacing w:after="0" w:line="187"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 for Share Appreciation Rights Exercise</w:t>
      </w:r>
      <w:r>
        <w:rPr>
          <w:rFonts w:ascii="Times New Roman" w:cs="Times New Roman" w:eastAsia="Times New Roman" w:hAnsi="Times New Roman"/>
          <w:sz w:val="21"/>
          <w:szCs w:val="21"/>
          <w:color w:val="auto"/>
        </w:rPr>
        <w:t>. You may, at any time or from time to time, to the extent permitted hereby, exercise all or any portion of the vested portion of your SAR by delivering, to the attention of the Company’s General Counsel at the address set forth in paragraph 9 below, written notice to the Company of the number of Share Appreciation Rights to be exercised.</w:t>
      </w:r>
    </w:p>
    <w:p>
      <w:pPr>
        <w:spacing w:after="0" w:line="201" w:lineRule="exact"/>
        <w:rPr>
          <w:rFonts w:ascii="Times New Roman" w:cs="Times New Roman" w:eastAsia="Times New Roman" w:hAnsi="Times New Roman"/>
          <w:sz w:val="21"/>
          <w:szCs w:val="21"/>
          <w:color w:val="auto"/>
        </w:rPr>
      </w:pPr>
    </w:p>
    <w:p>
      <w:pPr>
        <w:jc w:val="both"/>
        <w:ind w:left="316" w:hanging="316"/>
        <w:spacing w:after="0" w:line="237" w:lineRule="auto"/>
        <w:tabs>
          <w:tab w:leader="none" w:pos="31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for Share Appreciation Rights</w:t>
      </w:r>
      <w:r>
        <w:rPr>
          <w:rFonts w:ascii="Times New Roman" w:cs="Times New Roman" w:eastAsia="Times New Roman" w:hAnsi="Times New Roman"/>
          <w:sz w:val="21"/>
          <w:szCs w:val="21"/>
          <w:color w:val="auto"/>
        </w:rPr>
        <w:t>. Upon your exercise of the Share Appreciation Rights, the Company shall pay you in SAR Shares an amount equal to the quotient of (i) the product of (x) the positive difference (if any) between the Fair Market Value of a SAR Share on the exercise date and the Exercise Price, multiplied by (y) the number of Share Appreciation Rights being exercised, divided by (ii) the Fair Market Value of a SAR Share on the exercise date, rounded down to the nearest whole share. Any fractional SAR Shares shall be forfeited.</w:t>
      </w:r>
    </w:p>
    <w:p>
      <w:pPr>
        <w:spacing w:after="0" w:line="200"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1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Appreciation Rights Not Transferable</w:t>
      </w:r>
      <w:r>
        <w:rPr>
          <w:rFonts w:ascii="Times New Roman" w:cs="Times New Roman" w:eastAsia="Times New Roman" w:hAnsi="Times New Roman"/>
          <w:sz w:val="21"/>
          <w:szCs w:val="21"/>
          <w:color w:val="auto"/>
        </w:rPr>
        <w:t>. Your Share Appreciation Rights are personal to you and are not transferable by you, other than by will or by the laws of descent and distribution. During your lifetime, only you (or your guardian or legal representative) may exercise your Share Appreciation Rights. In the event of your death, your Share Appreciation Rights may be exercised only by the executor or administrator of your estate or the person or persons to whom your rights under the Share Appreciation Rights shall pass by will or by the laws of intestate succession.</w:t>
      </w:r>
    </w:p>
    <w:p>
      <w:pPr>
        <w:spacing w:after="0" w:line="190" w:lineRule="exact"/>
        <w:rPr>
          <w:rFonts w:ascii="Times New Roman" w:cs="Times New Roman" w:eastAsia="Times New Roman" w:hAnsi="Times New Roman"/>
          <w:sz w:val="21"/>
          <w:szCs w:val="21"/>
          <w:color w:val="auto"/>
        </w:rPr>
      </w:pPr>
    </w:p>
    <w:p>
      <w:pPr>
        <w:jc w:val="both"/>
        <w:ind w:left="316" w:hanging="316"/>
        <w:spacing w:after="0" w:line="248" w:lineRule="auto"/>
        <w:tabs>
          <w:tab w:leader="none" w:pos="31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Conformity with the Plan</w:t>
      </w:r>
      <w:r>
        <w:rPr>
          <w:rFonts w:ascii="Times New Roman" w:cs="Times New Roman" w:eastAsia="Times New Roman" w:hAnsi="Times New Roman"/>
          <w:sz w:val="21"/>
          <w:szCs w:val="21"/>
          <w:color w:val="auto"/>
        </w:rPr>
        <w:t>. Your Share Appreciation Rights are intended to conform in all respects with, and are subject to, all applicable provisions of the Plan, the terms and conditions of which are incorporated herein by reference. Any inconsistencies between this Agreement and the Plan shall be resolved in accordance with the Plan.</w:t>
      </w:r>
    </w:p>
    <w:p>
      <w:pPr>
        <w:spacing w:after="0" w:line="179"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of Participants</w:t>
      </w:r>
      <w:r>
        <w:rPr>
          <w:rFonts w:ascii="Times New Roman" w:cs="Times New Roman" w:eastAsia="Times New Roman" w:hAnsi="Times New Roman"/>
          <w:sz w:val="21"/>
          <w:szCs w:val="21"/>
          <w:color w:val="auto"/>
        </w:rPr>
        <w:t>. Nothing in this Agreement nor any Award shall confer upon you any right with respect to continuance of service by the Company nor shall this Agreement or any Award interfere with the right of the Company to terminate your service at any time. You acknowledge and agree that the granting of this SAR, or any other Award under the Plan will not: (i) impose any obligation on the Company to grant any Award to you in the future; (ii) entitle you to receive any further Award; or (iii) confer upon you any claim to be granted any Award under the Plan. You further acknowledge and agree</w:t>
      </w:r>
    </w:p>
    <w:p>
      <w:pPr>
        <w:sectPr>
          <w:pgSz w:w="11900" w:h="16838" w:orient="portrait"/>
          <w:cols w:equalWidth="0" w:num="1">
            <w:col w:w="10916"/>
          </w:cols>
          <w:pgMar w:left="644" w:top="1385" w:right="339" w:bottom="1440" w:gutter="0" w:footer="0" w:header="0"/>
        </w:sectPr>
      </w:pPr>
    </w:p>
    <w:bookmarkStart w:id="77" w:name="page78"/>
    <w:bookmarkEnd w:id="77"/>
    <w:p>
      <w:pPr>
        <w:jc w:val="both"/>
        <w:ind w:left="316"/>
        <w:spacing w:after="0" w:line="236" w:lineRule="auto"/>
        <w:rPr>
          <w:sz w:val="20"/>
          <w:szCs w:val="20"/>
          <w:color w:val="auto"/>
        </w:rPr>
      </w:pPr>
      <w:r>
        <w:rPr>
          <w:rFonts w:ascii="Times New Roman" w:cs="Times New Roman" w:eastAsia="Times New Roman" w:hAnsi="Times New Roman"/>
          <w:sz w:val="21"/>
          <w:szCs w:val="21"/>
          <w:color w:val="auto"/>
        </w:rPr>
        <w:t>that there is no entitlement to damages or other compensation arising from or related to not receiving, or the forfeiture of, any SAR under the Plan, including with respect to any entitlements which may have been awarded, vested or paid, after your last day of actual and active service with the Company or any Subsidiary, or if working notice of termination had been given, including but not limited to damages in lieu of notice at common law.</w:t>
      </w:r>
    </w:p>
    <w:p>
      <w:pPr>
        <w:spacing w:after="0" w:line="191" w:lineRule="exact"/>
        <w:rPr>
          <w:sz w:val="20"/>
          <w:szCs w:val="20"/>
          <w:color w:val="auto"/>
        </w:rPr>
      </w:pPr>
    </w:p>
    <w:p>
      <w:pPr>
        <w:jc w:val="both"/>
        <w:ind w:left="316" w:hanging="316"/>
        <w:spacing w:after="0"/>
        <w:tabs>
          <w:tab w:leader="none" w:pos="31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The Company may, if necessary or desirable, withhold from any amounts due and payable to you by the Company or a Subsidiary (or secure payment from you in lieu of withholding) the amount of any withholding or other tax due from the Company or Subsidiary with respect to the issuance or exercise of your Share Appreciation Rights, and the Company may defer such issuance or exercise unless indemnified by you to its satisfaction against the payment of any such amount. Notwithstanding the foregoing, the maximum number of SAR Shares that may be withheld upon the issuance or exercise of your Share Appreciation Rights to satisfy any federal, state, or local tax withholding requirements may not exceed such number of SAR Shares having a Fair Market Value equal to the minimum statutory amount required by the Company to be withheld and paid to any such federal, state, or local taxing authority with respect to such issuance or exercise of your Share Appreciation Rights, or such greater amount as may be permitted under applicable accounting standards.</w:t>
      </w:r>
    </w:p>
    <w:p>
      <w:pPr>
        <w:spacing w:after="0" w:line="386"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the Committee shall determine that any dividend in Shares, recapitalization, Share split, reverse split, reorganization, merger, consolidation, spin-off, combination, repurchase, share exchange, or other similar corporate transaction or event affects the Shares such that an adjustment is appropriate in order to prevent dilution or enlargement of your rights under this Share Appreciation Rights Agreement, then the Committee shall make such equitable changes or adjustments as it deems appropriate and adjust, in such manner as it deems equitable, any or all of: (i) the number and kinds of SAR Shares, other securities or other consideration subject to the Share Appreciation Rights; and (ii) the Exercise Price of the Share Appreciation Rights. In the event that the Company shall declare an extraordinary cash dividend, then the Committee shall in its discretion either (i) pay you cash on the payment date of such dividend in an amount equal to the number of SAR Shares represented by the vested portion of your Share Appreciation Rights multiplied by the per share amount of such extraordinary cash dividend and to the extent these Share Appreciation Rights are not then fully vested make similar additional payments in the future when and as the remaining portion of these Share Appreciation Rights vest; or (ii) reduce the Exercise Price of your Share Appreciation Rights by an amount equal to the per share extraordinary dividend; or (iii) make such other adjustment as the Committee determines would provide you with a substantially similar benefit.</w:t>
      </w:r>
    </w:p>
    <w:p>
      <w:pPr>
        <w:spacing w:after="0" w:line="336"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1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or permitted to be given under this 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 or by email or other electronic means using a system maintained by the Company when transmitted without a notice of failed delivery:</w:t>
      </w:r>
    </w:p>
    <w:p>
      <w:pPr>
        <w:sectPr>
          <w:pgSz w:w="11900" w:h="16838" w:orient="portrait"/>
          <w:cols w:equalWidth="0" w:num="1">
            <w:col w:w="10916"/>
          </w:cols>
          <w:pgMar w:left="644" w:top="1386" w:right="339" w:bottom="1440" w:gutter="0" w:footer="0" w:header="0"/>
        </w:sectPr>
      </w:pPr>
    </w:p>
    <w:bookmarkStart w:id="78" w:name="page79"/>
    <w:bookmarkEnd w:id="78"/>
    <w:p>
      <w:pPr>
        <w:ind w:left="640"/>
        <w:spacing w:after="0"/>
        <w:rPr>
          <w:sz w:val="20"/>
          <w:szCs w:val="20"/>
          <w:color w:val="auto"/>
        </w:rPr>
      </w:pPr>
      <w:r>
        <w:rPr>
          <w:rFonts w:ascii="Times New Roman" w:cs="Times New Roman" w:eastAsia="Times New Roman" w:hAnsi="Times New Roman"/>
          <w:sz w:val="21"/>
          <w:szCs w:val="21"/>
          <w:color w:val="auto"/>
        </w:rPr>
        <w:t>If to the Company: Vail Resorts, Inc.</w:t>
      </w:r>
    </w:p>
    <w:p>
      <w:pPr>
        <w:spacing w:after="0" w:line="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390 Interlocken Crescent</w:t>
      </w:r>
    </w:p>
    <w:p>
      <w:pPr>
        <w:ind w:left="3180"/>
        <w:spacing w:after="0" w:line="224" w:lineRule="auto"/>
        <w:rPr>
          <w:sz w:val="20"/>
          <w:szCs w:val="20"/>
          <w:color w:val="auto"/>
        </w:rPr>
      </w:pPr>
      <w:r>
        <w:rPr>
          <w:rFonts w:ascii="Times New Roman" w:cs="Times New Roman" w:eastAsia="Times New Roman" w:hAnsi="Times New Roman"/>
          <w:sz w:val="21"/>
          <w:szCs w:val="21"/>
          <w:color w:val="auto"/>
        </w:rPr>
        <w:t>Suite 1000</w:t>
      </w:r>
    </w:p>
    <w:p>
      <w:pPr>
        <w:ind w:left="3180"/>
        <w:spacing w:after="0" w:line="237" w:lineRule="auto"/>
        <w:rPr>
          <w:sz w:val="20"/>
          <w:szCs w:val="20"/>
          <w:color w:val="auto"/>
        </w:rPr>
      </w:pPr>
      <w:r>
        <w:rPr>
          <w:rFonts w:ascii="Times New Roman" w:cs="Times New Roman" w:eastAsia="Times New Roman" w:hAnsi="Times New Roman"/>
          <w:sz w:val="21"/>
          <w:szCs w:val="21"/>
          <w:color w:val="auto"/>
        </w:rPr>
        <w:t>Broomfield, Colorado 80021</w:t>
      </w:r>
    </w:p>
    <w:p>
      <w:pPr>
        <w:ind w:left="318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you: At your most recent address shown on the Company’s</w:t>
      </w:r>
    </w:p>
    <w:p>
      <w:pPr>
        <w:spacing w:after="0" w:line="21" w:lineRule="exact"/>
        <w:rPr>
          <w:sz w:val="20"/>
          <w:szCs w:val="20"/>
          <w:color w:val="auto"/>
        </w:rPr>
      </w:pPr>
    </w:p>
    <w:p>
      <w:pPr>
        <w:ind w:left="3180"/>
        <w:spacing w:after="0" w:line="237" w:lineRule="auto"/>
        <w:rPr>
          <w:sz w:val="20"/>
          <w:szCs w:val="20"/>
          <w:color w:val="auto"/>
        </w:rPr>
      </w:pPr>
      <w:r>
        <w:rPr>
          <w:rFonts w:ascii="Times New Roman" w:cs="Times New Roman" w:eastAsia="Times New Roman" w:hAnsi="Times New Roman"/>
          <w:sz w:val="21"/>
          <w:szCs w:val="21"/>
          <w:color w:val="auto"/>
        </w:rPr>
        <w:t>corporate records, or at any other address which you may specify in a notice delivered to the Company in the manner set forth herein.</w:t>
      </w:r>
    </w:p>
    <w:p>
      <w:pPr>
        <w:spacing w:after="0" w:line="202" w:lineRule="exact"/>
        <w:rPr>
          <w:sz w:val="20"/>
          <w:szCs w:val="20"/>
          <w:color w:val="auto"/>
        </w:rPr>
      </w:pPr>
    </w:p>
    <w:p>
      <w:pPr>
        <w:ind w:left="640" w:hanging="316"/>
        <w:spacing w:after="0" w:line="259" w:lineRule="auto"/>
        <w:tabs>
          <w:tab w:leader="none" w:pos="6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Delaware without reference to the principles of conflict of laws.</w:t>
      </w:r>
    </w:p>
    <w:p>
      <w:pPr>
        <w:spacing w:after="0" w:line="168" w:lineRule="exact"/>
        <w:rPr>
          <w:rFonts w:ascii="Times New Roman" w:cs="Times New Roman" w:eastAsia="Times New Roman" w:hAnsi="Times New Roman"/>
          <w:sz w:val="21"/>
          <w:szCs w:val="21"/>
          <w:color w:val="auto"/>
        </w:rPr>
      </w:pPr>
    </w:p>
    <w:p>
      <w:pPr>
        <w:jc w:val="both"/>
        <w:ind w:left="640" w:hanging="316"/>
        <w:spacing w:after="0" w:line="239" w:lineRule="auto"/>
        <w:tabs>
          <w:tab w:leader="none" w:pos="63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exercise of the Share Appreciation Rights shall be subject to compliance by the Company and you with all applicable laws, including the requirements of any stock exchange on which the SAR Shares may be listed. You may not exercise the Share Appreciation Rights if such exercise would violate any applicable federal or state securities laws or other laws or regulations. You understand that the Company is under no obligation to register the SAR Shares with the Securities and Exchange Commission, any state securities commission or any stock exchange to effect such compliance.</w:t>
      </w:r>
    </w:p>
    <w:p>
      <w:pPr>
        <w:spacing w:after="0" w:line="203" w:lineRule="exact"/>
        <w:rPr>
          <w:rFonts w:ascii="Times New Roman" w:cs="Times New Roman" w:eastAsia="Times New Roman" w:hAnsi="Times New Roman"/>
          <w:sz w:val="21"/>
          <w:szCs w:val="21"/>
          <w:color w:val="auto"/>
        </w:rPr>
      </w:pPr>
    </w:p>
    <w:p>
      <w:pPr>
        <w:jc w:val="both"/>
        <w:ind w:left="640" w:hanging="316"/>
        <w:spacing w:after="0"/>
        <w:tabs>
          <w:tab w:leader="none" w:pos="6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you and your beneficiaries, executors, administrators and the person(s) to whom the Share Appreciation Rights may be transferred by will or the laws of descent or distribution.</w:t>
      </w:r>
    </w:p>
    <w:p>
      <w:pPr>
        <w:spacing w:after="0" w:line="188" w:lineRule="exact"/>
        <w:rPr>
          <w:rFonts w:ascii="Times New Roman" w:cs="Times New Roman" w:eastAsia="Times New Roman" w:hAnsi="Times New Roman"/>
          <w:sz w:val="21"/>
          <w:szCs w:val="21"/>
          <w:color w:val="auto"/>
        </w:rPr>
      </w:pPr>
    </w:p>
    <w:p>
      <w:pPr>
        <w:jc w:val="both"/>
        <w:ind w:left="640" w:hanging="316"/>
        <w:spacing w:after="0" w:line="248" w:lineRule="auto"/>
        <w:tabs>
          <w:tab w:leader="none" w:pos="6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93" w:lineRule="exact"/>
        <w:rPr>
          <w:rFonts w:ascii="Times New Roman" w:cs="Times New Roman" w:eastAsia="Times New Roman" w:hAnsi="Times New Roman"/>
          <w:sz w:val="21"/>
          <w:szCs w:val="21"/>
          <w:color w:val="auto"/>
        </w:rPr>
      </w:pPr>
    </w:p>
    <w:p>
      <w:pPr>
        <w:jc w:val="both"/>
        <w:ind w:left="640" w:hanging="316"/>
        <w:spacing w:after="0" w:line="237" w:lineRule="auto"/>
        <w:tabs>
          <w:tab w:leader="none" w:pos="6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you on account of non- compliance with Section 409A of the Code.</w:t>
      </w:r>
    </w:p>
    <w:p>
      <w:pPr>
        <w:spacing w:after="0" w:line="187"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By accepting the award of Share Appreciation Rights, you agree to be bound by this Agreement.</w:t>
      </w:r>
    </w:p>
    <w:p>
      <w:pPr>
        <w:spacing w:after="0" w:line="236" w:lineRule="exact"/>
        <w:rPr>
          <w:rFonts w:ascii="Times New Roman" w:cs="Times New Roman" w:eastAsia="Times New Roman" w:hAnsi="Times New Roman"/>
          <w:sz w:val="21"/>
          <w:szCs w:val="21"/>
          <w:color w:val="auto"/>
        </w:rPr>
      </w:pPr>
    </w:p>
    <w:p>
      <w:pPr>
        <w:jc w:val="both"/>
        <w:ind w:left="640" w:hanging="316"/>
        <w:spacing w:after="0" w:line="248" w:lineRule="auto"/>
        <w:tabs>
          <w:tab w:leader="none" w:pos="6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As part of your responsibilities with the Company, you may have access to or become familiar with information concerning the business of the Company that is of a confidential nature. By accepting this Award, you agree that you will not discuss or</w:t>
      </w:r>
    </w:p>
    <w:p>
      <w:pPr>
        <w:sectPr>
          <w:pgSz w:w="11900" w:h="16838" w:orient="portrait"/>
          <w:cols w:equalWidth="0" w:num="1">
            <w:col w:w="11240"/>
          </w:cols>
          <w:pgMar w:left="320" w:top="1386" w:right="339" w:bottom="1440" w:gutter="0" w:footer="0" w:header="0"/>
        </w:sectPr>
      </w:pPr>
    </w:p>
    <w:bookmarkStart w:id="79" w:name="page80"/>
    <w:bookmarkEnd w:id="79"/>
    <w:p>
      <w:pPr>
        <w:jc w:val="both"/>
        <w:spacing w:after="0"/>
        <w:rPr>
          <w:sz w:val="20"/>
          <w:szCs w:val="20"/>
          <w:color w:val="auto"/>
        </w:rPr>
      </w:pPr>
      <w:r>
        <w:rPr>
          <w:rFonts w:ascii="Times New Roman" w:cs="Times New Roman" w:eastAsia="Times New Roman" w:hAnsi="Times New Roman"/>
          <w:sz w:val="21"/>
          <w:szCs w:val="21"/>
          <w:color w:val="auto"/>
        </w:rPr>
        <w:t>disclose any confidential information to any outside individual or institution or to use it for your own benefit except on the direct written authorization of a member of the Executive Committee. Please refer to the Confidential Information section in the Employee Guide for additional information, including a description of the information considered confidential. The Company will pursue legal remedies for unauthorized use or disclosure of sensitive, confidential information.</w:t>
      </w:r>
    </w:p>
    <w:p>
      <w:pPr>
        <w:sectPr>
          <w:pgSz w:w="11900" w:h="16838" w:orient="portrait"/>
          <w:cols w:equalWidth="0" w:num="1">
            <w:col w:w="10600"/>
          </w:cols>
          <w:pgMar w:left="960" w:top="1385"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1"/>
          <w:szCs w:val="21"/>
          <w:b w:val="1"/>
          <w:bCs w:val="1"/>
          <w:color w:val="auto"/>
        </w:rPr>
        <w:t>VAIL RESORTS,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SHARE APPRECIATION RIGHTS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SWITZERLAND</w:t>
      </w:r>
    </w:p>
    <w:p>
      <w:pPr>
        <w:spacing w:after="0" w:line="199" w:lineRule="exact"/>
        <w:rPr>
          <w:sz w:val="20"/>
          <w:szCs w:val="20"/>
          <w:color w:val="auto"/>
        </w:rPr>
      </w:pPr>
    </w:p>
    <w:p>
      <w:pPr>
        <w:jc w:val="both"/>
        <w:ind w:firstLine="637"/>
        <w:spacing w:after="0" w:line="244" w:lineRule="auto"/>
        <w:rPr>
          <w:sz w:val="20"/>
          <w:szCs w:val="20"/>
          <w:color w:val="auto"/>
        </w:rPr>
      </w:pPr>
      <w:r>
        <w:rPr>
          <w:rFonts w:ascii="Times New Roman" w:cs="Times New Roman" w:eastAsia="Times New Roman" w:hAnsi="Times New Roman"/>
          <w:sz w:val="21"/>
          <w:szCs w:val="21"/>
          <w:color w:val="auto"/>
        </w:rPr>
        <w:t>THIS AGREEMENT is between Vail Resorts, Inc., a Delaware corporation (the “Company”), and the employee who receives this Agreement in connection with an award of Share Appreciation Rights under the Company’s 2024 Omnibus Incentive Plan (the “Plan”), the terms of which are incorporated herein by reference. Capitalized terms used and not defined herein have the meanings set forth in the Plan.</w:t>
      </w:r>
    </w:p>
    <w:p>
      <w:pPr>
        <w:spacing w:after="0" w:line="185" w:lineRule="exact"/>
        <w:rPr>
          <w:sz w:val="20"/>
          <w:szCs w:val="20"/>
          <w:color w:val="auto"/>
        </w:rPr>
      </w:pPr>
    </w:p>
    <w:p>
      <w:pPr>
        <w:jc w:val="both"/>
        <w:ind w:firstLine="637"/>
        <w:spacing w:after="0" w:line="272" w:lineRule="auto"/>
        <w:rPr>
          <w:sz w:val="20"/>
          <w:szCs w:val="20"/>
          <w:color w:val="auto"/>
        </w:rPr>
      </w:pPr>
      <w:r>
        <w:rPr>
          <w:rFonts w:ascii="Times New Roman" w:cs="Times New Roman" w:eastAsia="Times New Roman" w:hAnsi="Times New Roman"/>
          <w:sz w:val="21"/>
          <w:szCs w:val="21"/>
          <w:color w:val="auto"/>
        </w:rPr>
        <w:t>NOW, THEREFORE, in consideration of the premises and mutual covenants contained herein, and for other good and valuable consideration, the parties hereto agree as follows.</w:t>
      </w:r>
    </w:p>
    <w:p>
      <w:pPr>
        <w:spacing w:after="0" w:line="156" w:lineRule="exact"/>
        <w:rPr>
          <w:sz w:val="20"/>
          <w:szCs w:val="20"/>
          <w:color w:val="auto"/>
        </w:rPr>
      </w:pPr>
    </w:p>
    <w:p>
      <w:pPr>
        <w:ind w:left="640" w:hanging="316"/>
        <w:spacing w:after="0"/>
        <w:tabs>
          <w:tab w:leader="none" w:pos="64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Appreciation Rights Terms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left="1280" w:hanging="319"/>
        <w:spacing w:after="0" w:line="237" w:lineRule="auto"/>
        <w:tabs>
          <w:tab w:leader="none" w:pos="1268"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You may, from time to time, be awarded Share Appreciation Rights, subject to the terms and conditions of the Plan and those herein set forth. An award of Share Appreciation Rights is granted as of the date set forth in the notification to you of such award (the “Date of Grant”) with respect to the number of Shares indicated in your award notification (the “SAR Shares”), at an exercise price per Share Appreciation Right as provided in your award notification (the “Exercise Price”). Your Share Appreciation Rights will expire at the close of business on the tenth anniversary of the Date of Grant (the “Expiration Date”), subject to earlier expiration in connection with the termination of your employment as provided below.</w:t>
      </w:r>
    </w:p>
    <w:p>
      <w:pPr>
        <w:spacing w:after="0" w:line="187" w:lineRule="exact"/>
        <w:rPr>
          <w:rFonts w:ascii="Times New Roman" w:cs="Times New Roman" w:eastAsia="Times New Roman" w:hAnsi="Times New Roman"/>
          <w:sz w:val="21"/>
          <w:szCs w:val="21"/>
          <w:color w:val="auto"/>
        </w:rPr>
      </w:pPr>
    </w:p>
    <w:p>
      <w:pPr>
        <w:jc w:val="both"/>
        <w:ind w:left="1280" w:hanging="319"/>
        <w:spacing w:after="0" w:line="237" w:lineRule="auto"/>
        <w:tabs>
          <w:tab w:leader="none" w:pos="128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Exercisability/Vesting</w:t>
      </w:r>
      <w:r>
        <w:rPr>
          <w:rFonts w:ascii="Times New Roman" w:cs="Times New Roman" w:eastAsia="Times New Roman" w:hAnsi="Times New Roman"/>
          <w:sz w:val="21"/>
          <w:szCs w:val="21"/>
          <w:color w:val="auto"/>
        </w:rPr>
        <w:t>. Your Share Appreciation Rights will be exercisable only to the extent they have vested. Your Share Appreciation Rights will become vested as provided in your award notification, if and only if you have been continuously employed by the Company and/or its Subsidiaries from the date of this Agreement through such dates. Upon the termination of your employment for any reason, by you or by the Company and/or its Subsidiaries, with or without Cause, all of your unvested Share Appreciation Rights shall expire and be of no further force or effect. Any such termination shall not affect your vested Share Appreciation Rights, which shall remain exercisable pursuant to paragraph 1(d) below.</w:t>
      </w:r>
    </w:p>
    <w:p>
      <w:pPr>
        <w:spacing w:after="0" w:line="201" w:lineRule="exact"/>
        <w:rPr>
          <w:rFonts w:ascii="Times New Roman" w:cs="Times New Roman" w:eastAsia="Times New Roman" w:hAnsi="Times New Roman"/>
          <w:sz w:val="21"/>
          <w:szCs w:val="21"/>
          <w:color w:val="auto"/>
        </w:rPr>
      </w:pPr>
    </w:p>
    <w:p>
      <w:pPr>
        <w:jc w:val="both"/>
        <w:ind w:left="1280" w:hanging="319"/>
        <w:spacing w:after="0" w:line="234" w:lineRule="auto"/>
        <w:tabs>
          <w:tab w:leader="none" w:pos="1268"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Notwithstanding any provision of this Agreement to the contrary, in the event that the successor corporation in a Change in Control does not assume or substitute for the Share Appreciation Rights (“Award” or “SAR”) (or portion thereof), the Committee will (i) cause any or all of such Award (or portion thereof) to terminate in exchange for cash, rights or other property having a value (as determined by the Committee acting in good faith) equal to the product of the number of SAR Shares multiplied by the amount, if any, by which the formula or fixed price per share paid to holders of Shares pursuant to such transaction exceeds the Exercise Price applicable to the Award, or (ii) cause the Participant to fully vest in and have the right to exercise all of his or her outstanding Share Appreciation Rights, including Shares as to which such Awards would not otherwise be vested or exercisable, in each case, to the extent the</w:t>
      </w:r>
    </w:p>
    <w:p>
      <w:pPr>
        <w:sectPr>
          <w:pgSz w:w="11900" w:h="16838" w:orient="portrait"/>
          <w:cols w:equalWidth="0" w:num="1">
            <w:col w:w="11240"/>
          </w:cols>
          <w:pgMar w:left="320" w:top="1381" w:right="339" w:bottom="1440" w:gutter="0" w:footer="0" w:header="0"/>
        </w:sectPr>
      </w:pPr>
    </w:p>
    <w:bookmarkStart w:id="81" w:name="page82"/>
    <w:bookmarkEnd w:id="81"/>
    <w:p>
      <w:pPr>
        <w:jc w:val="both"/>
        <w:ind w:left="956"/>
        <w:spacing w:after="0"/>
        <w:rPr>
          <w:sz w:val="20"/>
          <w:szCs w:val="20"/>
          <w:color w:val="auto"/>
        </w:rPr>
      </w:pPr>
      <w:r>
        <w:rPr>
          <w:rFonts w:ascii="Times New Roman" w:cs="Times New Roman" w:eastAsia="Times New Roman" w:hAnsi="Times New Roman"/>
          <w:sz w:val="21"/>
          <w:szCs w:val="21"/>
          <w:color w:val="auto"/>
        </w:rPr>
        <w:t>Award otherwise remains outstanding and has not otherwise been exercised or forfeited as of any such Change in Control. For the avoidance of doubt, if the formula or fixed price per share paid to holders of Shares pursuant to such transaction is equal to or less than the SAR Price applicable to the SAR, then the SAR may be cancelled without payment therefore.</w:t>
      </w:r>
    </w:p>
    <w:p>
      <w:pPr>
        <w:spacing w:after="0" w:line="201" w:lineRule="exact"/>
        <w:rPr>
          <w:sz w:val="20"/>
          <w:szCs w:val="20"/>
          <w:color w:val="auto"/>
        </w:rPr>
      </w:pPr>
    </w:p>
    <w:p>
      <w:pPr>
        <w:jc w:val="both"/>
        <w:ind w:left="956"/>
        <w:spacing w:after="0" w:line="234" w:lineRule="auto"/>
        <w:rPr>
          <w:sz w:val="20"/>
          <w:szCs w:val="20"/>
          <w:color w:val="auto"/>
        </w:rPr>
      </w:pPr>
      <w:r>
        <w:rPr>
          <w:rFonts w:ascii="Times New Roman" w:cs="Times New Roman" w:eastAsia="Times New Roman" w:hAnsi="Times New Roman"/>
          <w:sz w:val="21"/>
          <w:szCs w:val="21"/>
          <w:color w:val="auto"/>
        </w:rPr>
        <w:t>Notwithstanding anything herein to the contrary, in the event that the Award is assumed or substituted or otherwise continued by a successor in a Change in Control, the following terms shall apply. In the event of your termination of continuous employment without Cause by the successor or its affiliates in a Change in Control during the 12-month period following a Change in Control, the outstanding Stock Appreciation Rights shall become immediately exercisable with respect to 100% of the shares subject thereto as of the date of your termination of employment. The good faith determination by the Company of whether your employment was terminated by the Company for Cause shall be final and binding for all purposes hereunder. For the avoidance of doubt, the foregoing shall apply to the extent and in a manner consistent with the requirements of Section 409A of the Internal Revenue Code. The obligations of the Company hereunder shall be binding upon any successor of the Company.</w:t>
      </w:r>
    </w:p>
    <w:p>
      <w:pPr>
        <w:spacing w:after="0" w:line="202" w:lineRule="exact"/>
        <w:rPr>
          <w:sz w:val="20"/>
          <w:szCs w:val="20"/>
          <w:color w:val="auto"/>
        </w:rPr>
      </w:pPr>
    </w:p>
    <w:p>
      <w:pPr>
        <w:jc w:val="both"/>
        <w:ind w:left="956" w:hanging="319"/>
        <w:spacing w:after="0" w:line="237" w:lineRule="auto"/>
        <w:tabs>
          <w:tab w:leader="none" w:pos="95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Share Appreciation Rights</w:t>
      </w:r>
      <w:r>
        <w:rPr>
          <w:rFonts w:ascii="Times New Roman" w:cs="Times New Roman" w:eastAsia="Times New Roman" w:hAnsi="Times New Roman"/>
          <w:sz w:val="21"/>
          <w:szCs w:val="21"/>
          <w:color w:val="auto"/>
        </w:rPr>
        <w:t>. In no event shall any part of your Share Appreciation Rights be exercisable after the Expiration Date set forth in paragraph 1(a) If your employment with the Company and/or its Subsidiaries terminates for any reason, that portion of your Share Appreciation Rights that is not vested and exercisable on the date of termination of your employment shall expire and be forfeited. The portion of your Share Appreciation Rights that is vested and exercisable on the date of such termination shall, to the extent not theretofore exercised, expire on the 90th day after such date of termination.</w:t>
      </w:r>
    </w:p>
    <w:p>
      <w:pPr>
        <w:spacing w:after="0" w:line="187" w:lineRule="exact"/>
        <w:rPr>
          <w:rFonts w:ascii="Times New Roman" w:cs="Times New Roman" w:eastAsia="Times New Roman" w:hAnsi="Times New Roman"/>
          <w:sz w:val="21"/>
          <w:szCs w:val="21"/>
          <w:color w:val="auto"/>
        </w:rPr>
      </w:pPr>
    </w:p>
    <w:p>
      <w:pPr>
        <w:jc w:val="both"/>
        <w:ind w:left="956" w:hanging="319"/>
        <w:spacing w:after="0" w:line="235" w:lineRule="auto"/>
        <w:tabs>
          <w:tab w:leader="none" w:pos="944"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Exercisability/Vesting in Event of Death or Disability</w:t>
      </w:r>
      <w:r>
        <w:rPr>
          <w:rFonts w:ascii="Times New Roman" w:cs="Times New Roman" w:eastAsia="Times New Roman" w:hAnsi="Times New Roman"/>
          <w:sz w:val="21"/>
          <w:szCs w:val="21"/>
          <w:color w:val="auto"/>
        </w:rPr>
        <w:t>. Notwithstanding any provision of this Agreement to the contrary, if your employment with the Company and/or its Subsidiaries terminates as a result of your death or Disability, then your Share Appreciation Rights, if not already vested under Sections 1(b) or 1(c) above, will vest in full as of the date of death or separation from employment due to Disability and may be exercised by the persons described in Section 4 below, but only within the period ending on the earlier of (1) the date twelve (12) months following the date of death or separation from employment due to Disability, or (2) the Expiration Date set forth in paragraph 1(a). If, after death or separation from employment due to Disability, the Share Appreciation Rights are not exercised within the time specified herein, the Share Appreciation Rights shall expire and be forfeited.</w:t>
      </w:r>
    </w:p>
    <w:p>
      <w:pPr>
        <w:spacing w:after="0" w:line="204"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 for Share Appreciation Rights Exercise</w:t>
      </w:r>
      <w:r>
        <w:rPr>
          <w:rFonts w:ascii="Times New Roman" w:cs="Times New Roman" w:eastAsia="Times New Roman" w:hAnsi="Times New Roman"/>
          <w:sz w:val="21"/>
          <w:szCs w:val="21"/>
          <w:color w:val="auto"/>
        </w:rPr>
        <w:t>. You may, at any time or from time to time, to the extent permitted hereby, exercise all or any portion of your vested portion of your Share Appreciation Rights by delivering, to the attention of the Company’s General Counsel at the address set forth in paragraph 9 below, written notice to the Company of the number of Share Appreciation Rights to be exercised.</w:t>
      </w:r>
    </w:p>
    <w:p>
      <w:pPr>
        <w:sectPr>
          <w:pgSz w:w="11900" w:h="16838" w:orient="portrait"/>
          <w:cols w:equalWidth="0" w:num="1">
            <w:col w:w="10916"/>
          </w:cols>
          <w:pgMar w:left="644" w:top="1385" w:right="339" w:bottom="1440" w:gutter="0" w:footer="0" w:header="0"/>
        </w:sectPr>
      </w:pPr>
    </w:p>
    <w:bookmarkStart w:id="82" w:name="page83"/>
    <w:bookmarkEnd w:id="82"/>
    <w:p>
      <w:pPr>
        <w:jc w:val="both"/>
        <w:ind w:left="316" w:hanging="316"/>
        <w:spacing w:after="0" w:line="239" w:lineRule="auto"/>
        <w:tabs>
          <w:tab w:leader="none" w:pos="31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for Share Appreciation Rights</w:t>
      </w:r>
      <w:r>
        <w:rPr>
          <w:rFonts w:ascii="Times New Roman" w:cs="Times New Roman" w:eastAsia="Times New Roman" w:hAnsi="Times New Roman"/>
          <w:sz w:val="21"/>
          <w:szCs w:val="21"/>
          <w:color w:val="auto"/>
        </w:rPr>
        <w:t>. Upon your exercise of the Share Appreciation Rights, the Company shall pay you in SAR Shares an amount equal to the quotient of (i) the product of (x) the positive difference (if any) between the Fair Market Value of a SAR Share on the exercise date and the Exercise Price, multiplied by (y) the number of Share Appreciation Rights being exercised, divided by (ii) the Fair Market Value of a SAR Share on the exercise date, rounded down to the nearest whole share. Any fractional SAR Shares shall be forfeited.</w:t>
      </w:r>
    </w:p>
    <w:p>
      <w:pPr>
        <w:spacing w:after="0" w:line="190"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1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Appreciation Rights Not Transferable</w:t>
      </w:r>
      <w:r>
        <w:rPr>
          <w:rFonts w:ascii="Times New Roman" w:cs="Times New Roman" w:eastAsia="Times New Roman" w:hAnsi="Times New Roman"/>
          <w:sz w:val="21"/>
          <w:szCs w:val="21"/>
          <w:color w:val="auto"/>
        </w:rPr>
        <w:t>. Your Share Appreciation Rights are personal to you and are not transferable by you, other than by will or by the laws of descent and distribution. During your lifetime, only you (or your guardian or legal representative) may exercise your Share Appreciation Rights. In the event of your death, your Share Appreciation Rights may be exercised only by the executor or administrator of your estate or the person or persons to whom your rights under the Share Appreciation Rights shall pass by will or by the laws of intestate succession.</w:t>
      </w:r>
    </w:p>
    <w:p>
      <w:pPr>
        <w:spacing w:after="0" w:line="190" w:lineRule="exact"/>
        <w:rPr>
          <w:rFonts w:ascii="Times New Roman" w:cs="Times New Roman" w:eastAsia="Times New Roman" w:hAnsi="Times New Roman"/>
          <w:sz w:val="21"/>
          <w:szCs w:val="21"/>
          <w:color w:val="auto"/>
        </w:rPr>
      </w:pPr>
    </w:p>
    <w:p>
      <w:pPr>
        <w:jc w:val="both"/>
        <w:ind w:left="316" w:hanging="316"/>
        <w:spacing w:after="0" w:line="248" w:lineRule="auto"/>
        <w:tabs>
          <w:tab w:leader="none" w:pos="31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Conformity with the Plan</w:t>
      </w:r>
      <w:r>
        <w:rPr>
          <w:rFonts w:ascii="Times New Roman" w:cs="Times New Roman" w:eastAsia="Times New Roman" w:hAnsi="Times New Roman"/>
          <w:sz w:val="21"/>
          <w:szCs w:val="21"/>
          <w:color w:val="auto"/>
        </w:rPr>
        <w:t>. Your Share Appreciation Rights are intended to conform in all respects with, and are subject to, all applicable provisions of the Plan, the terms and conditions of which are incorporated herein by reference. Any inconsistencies between this Agreement and the Plan shall be resolved in accordance with the Plan.</w:t>
      </w:r>
    </w:p>
    <w:p>
      <w:pPr>
        <w:spacing w:after="0" w:line="193" w:lineRule="exact"/>
        <w:rPr>
          <w:rFonts w:ascii="Times New Roman" w:cs="Times New Roman" w:eastAsia="Times New Roman" w:hAnsi="Times New Roman"/>
          <w:sz w:val="21"/>
          <w:szCs w:val="21"/>
          <w:color w:val="auto"/>
        </w:rPr>
      </w:pPr>
    </w:p>
    <w:p>
      <w:pPr>
        <w:jc w:val="both"/>
        <w:ind w:left="316" w:hanging="316"/>
        <w:spacing w:after="0" w:line="237" w:lineRule="auto"/>
        <w:tabs>
          <w:tab w:leader="none" w:pos="31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of Participants</w:t>
      </w:r>
      <w:r>
        <w:rPr>
          <w:rFonts w:ascii="Times New Roman" w:cs="Times New Roman" w:eastAsia="Times New Roman" w:hAnsi="Times New Roman"/>
          <w:sz w:val="21"/>
          <w:szCs w:val="21"/>
          <w:color w:val="auto"/>
        </w:rPr>
        <w:t>. Nothing in this Agreement shall interfere with or limit in any way the right of the Company and/or its Subsidiaries to terminate your employment at any time (with or without Cause), or confer upon you any right to continue in the employ of the Company and/or its Subsidiaries for any period of time or to continue to receive your current (or other) rate of compensation. Nothing in this Agreement shall confer upon you any right to be selected to receive additional awards under the Plan or otherwise.</w:t>
      </w:r>
    </w:p>
    <w:p>
      <w:pPr>
        <w:spacing w:after="0" w:line="200"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The Company may, if necessary or desirable, withhold from any amounts due and payable to you by the Company or a Subsidiary (or secure payment from you in lieu of withholding) the amount of any withholding or other tax due from the Company or Subsidiary with respect to the issuance or exercise of your Share Appreciation Rights, and the Company may defer such issuance or exercise unless indemnified by you to its satisfaction against the payment of any such amount. Notwithstanding the foregoing, the maximum number of SAR Shares that may be withheld upon the issuance or exercise of your Share Appreciation Rights to satisfy any federal, state, or local tax withholding requirements may not exceed such number of SAR Shares having a Fair Market Value equal to the minimum statutory amount required by the Company to be withheld and paid to any such federal, state, or local taxing authority with respect to such issuance or exercise of your Share Appreciation Rights, or such greater amount as may be permitted under applicable accounting standards.</w:t>
      </w:r>
    </w:p>
    <w:p>
      <w:pPr>
        <w:spacing w:after="0" w:line="373" w:lineRule="exact"/>
        <w:rPr>
          <w:rFonts w:ascii="Times New Roman" w:cs="Times New Roman" w:eastAsia="Times New Roman" w:hAnsi="Times New Roman"/>
          <w:sz w:val="21"/>
          <w:szCs w:val="21"/>
          <w:color w:val="auto"/>
        </w:rPr>
      </w:pPr>
    </w:p>
    <w:p>
      <w:pPr>
        <w:jc w:val="both"/>
        <w:ind w:left="316" w:hanging="316"/>
        <w:spacing w:after="0" w:line="237" w:lineRule="auto"/>
        <w:tabs>
          <w:tab w:leader="none" w:pos="31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the Committee shall determine that any dividend in Shares, recapitalization, Share split, reverse split, reorganization, merger, consolidation, spin-off, combination, repurchase, share exchange, or other similar corporate transaction or event affects the Shares such that an adjustment is appropriate in order to prevent dilution or enlargement of your rights under this Share Appreciation Rights Agreement, then the Committee shall make such equitable changes or adjustments as it deems appropriate and adjust, in such manner as it deems equitable, any or all of: (i) the number and kinds of</w:t>
      </w:r>
    </w:p>
    <w:p>
      <w:pPr>
        <w:sectPr>
          <w:pgSz w:w="11900" w:h="16838" w:orient="portrait"/>
          <w:cols w:equalWidth="0" w:num="1">
            <w:col w:w="10916"/>
          </w:cols>
          <w:pgMar w:left="644" w:top="1386" w:right="339" w:bottom="1440" w:gutter="0" w:footer="0" w:header="0"/>
        </w:sectPr>
      </w:pPr>
    </w:p>
    <w:bookmarkStart w:id="83" w:name="page84"/>
    <w:bookmarkEnd w:id="83"/>
    <w:p>
      <w:pPr>
        <w:jc w:val="both"/>
        <w:ind w:left="640"/>
        <w:spacing w:after="0"/>
        <w:rPr>
          <w:sz w:val="20"/>
          <w:szCs w:val="20"/>
          <w:color w:val="auto"/>
        </w:rPr>
      </w:pPr>
      <w:r>
        <w:rPr>
          <w:rFonts w:ascii="Times New Roman" w:cs="Times New Roman" w:eastAsia="Times New Roman" w:hAnsi="Times New Roman"/>
          <w:sz w:val="21"/>
          <w:szCs w:val="21"/>
          <w:color w:val="auto"/>
        </w:rPr>
        <w:t>SAR Shares, other securities or other consideration subject to the Share Appreciation Rights; and (ii) the Exercise Price of the Share Appreciation Rights. In the event that the Company shall declare an extraordinary cash dividend, then the Committee shall in its discretion either (i) pay you cash on the payment date of such dividend in an amount equal to the number of SAR Shares represented by the vested portion of your Share Appreciation Rights multiplied by the per share amount of such extraordinary cash dividend and to the extent these Share Appreciation Rights are not then fully vested make similar additional payments in the future when and as the remaining portion of these Share Appreciation Rights vest; or (ii) reduce the Exercise Price of your Share Appreciation Rights by an amount equal to the per share extraordinary dividend; or (iii) make such other adjustment as the Committee determines would provide you with a substantially similar benefit.</w:t>
      </w:r>
    </w:p>
    <w:p>
      <w:pPr>
        <w:spacing w:after="0" w:line="390" w:lineRule="exact"/>
        <w:rPr>
          <w:sz w:val="20"/>
          <w:szCs w:val="20"/>
          <w:color w:val="auto"/>
        </w:rPr>
      </w:pPr>
    </w:p>
    <w:p>
      <w:pPr>
        <w:jc w:val="both"/>
        <w:ind w:left="640" w:hanging="316"/>
        <w:spacing w:after="0" w:line="239" w:lineRule="auto"/>
        <w:tabs>
          <w:tab w:leader="none" w:pos="64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or permitted to be given under this 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 or by email or other electronic means using a system maintained by the Company when transmitted without a notice of failed delivery:</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to the Company: Vail Resorts, Inc.</w:t>
      </w:r>
    </w:p>
    <w:p>
      <w:pPr>
        <w:spacing w:after="0" w:line="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390 Interlocken Crescent</w:t>
      </w:r>
    </w:p>
    <w:p>
      <w:pPr>
        <w:ind w:left="3180"/>
        <w:spacing w:after="0" w:line="224" w:lineRule="auto"/>
        <w:rPr>
          <w:sz w:val="20"/>
          <w:szCs w:val="20"/>
          <w:color w:val="auto"/>
        </w:rPr>
      </w:pPr>
      <w:r>
        <w:rPr>
          <w:rFonts w:ascii="Times New Roman" w:cs="Times New Roman" w:eastAsia="Times New Roman" w:hAnsi="Times New Roman"/>
          <w:sz w:val="21"/>
          <w:szCs w:val="21"/>
          <w:color w:val="auto"/>
        </w:rPr>
        <w:t>Suite 1000</w:t>
      </w:r>
    </w:p>
    <w:p>
      <w:pPr>
        <w:ind w:left="3180"/>
        <w:spacing w:after="0" w:line="237" w:lineRule="auto"/>
        <w:rPr>
          <w:sz w:val="20"/>
          <w:szCs w:val="20"/>
          <w:color w:val="auto"/>
        </w:rPr>
      </w:pPr>
      <w:r>
        <w:rPr>
          <w:rFonts w:ascii="Times New Roman" w:cs="Times New Roman" w:eastAsia="Times New Roman" w:hAnsi="Times New Roman"/>
          <w:sz w:val="21"/>
          <w:szCs w:val="21"/>
          <w:color w:val="auto"/>
        </w:rPr>
        <w:t>Broomfield, Colorado 80021</w:t>
      </w:r>
    </w:p>
    <w:p>
      <w:pPr>
        <w:ind w:left="318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you: At your most recent address shown on the Company’s</w:t>
      </w:r>
    </w:p>
    <w:p>
      <w:pPr>
        <w:spacing w:after="0" w:line="21" w:lineRule="exact"/>
        <w:rPr>
          <w:sz w:val="20"/>
          <w:szCs w:val="20"/>
          <w:color w:val="auto"/>
        </w:rPr>
      </w:pPr>
    </w:p>
    <w:p>
      <w:pPr>
        <w:ind w:left="3180"/>
        <w:spacing w:after="0" w:line="237" w:lineRule="auto"/>
        <w:rPr>
          <w:sz w:val="20"/>
          <w:szCs w:val="20"/>
          <w:color w:val="auto"/>
        </w:rPr>
      </w:pPr>
      <w:r>
        <w:rPr>
          <w:rFonts w:ascii="Times New Roman" w:cs="Times New Roman" w:eastAsia="Times New Roman" w:hAnsi="Times New Roman"/>
          <w:sz w:val="21"/>
          <w:szCs w:val="21"/>
          <w:color w:val="auto"/>
        </w:rPr>
        <w:t>corporate records, or at any other address which you may specify in a notice delivered to the Company in the manner set forth herein.</w:t>
      </w:r>
    </w:p>
    <w:p>
      <w:pPr>
        <w:spacing w:after="0" w:line="202" w:lineRule="exact"/>
        <w:rPr>
          <w:sz w:val="20"/>
          <w:szCs w:val="20"/>
          <w:color w:val="auto"/>
        </w:rPr>
      </w:pPr>
    </w:p>
    <w:p>
      <w:pPr>
        <w:ind w:left="640" w:hanging="316"/>
        <w:spacing w:after="0" w:line="259" w:lineRule="auto"/>
        <w:tabs>
          <w:tab w:leader="none" w:pos="64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Delaware without reference to the principles of conflict of laws.</w:t>
      </w:r>
    </w:p>
    <w:p>
      <w:pPr>
        <w:spacing w:after="0" w:line="181" w:lineRule="exact"/>
        <w:rPr>
          <w:rFonts w:ascii="Times New Roman" w:cs="Times New Roman" w:eastAsia="Times New Roman" w:hAnsi="Times New Roman"/>
          <w:sz w:val="21"/>
          <w:szCs w:val="21"/>
          <w:color w:val="auto"/>
        </w:rPr>
      </w:pPr>
    </w:p>
    <w:p>
      <w:pPr>
        <w:jc w:val="both"/>
        <w:ind w:left="640" w:hanging="316"/>
        <w:spacing w:after="0" w:line="237" w:lineRule="auto"/>
        <w:tabs>
          <w:tab w:leader="none" w:pos="632"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exercise of the Share Appreciation Rights shall be subject to compliance by the Company and you with all applicable laws, including the requirements of any stock exchange on which the SAR Shares may be listed. You may not exercise the Share Appreciation Rights if such exercise would violate any applicable federal or state securities laws or other laws or regulations. You understand that the Company is under no obligation to register the SAR Shares with the Securities and Exchange Commission, any state securities commission or any stock exchange to effect such compliance.</w:t>
      </w:r>
    </w:p>
    <w:p>
      <w:pPr>
        <w:spacing w:after="0" w:line="200" w:lineRule="exact"/>
        <w:rPr>
          <w:rFonts w:ascii="Times New Roman" w:cs="Times New Roman" w:eastAsia="Times New Roman" w:hAnsi="Times New Roman"/>
          <w:sz w:val="21"/>
          <w:szCs w:val="21"/>
          <w:color w:val="auto"/>
        </w:rPr>
      </w:pPr>
    </w:p>
    <w:p>
      <w:pPr>
        <w:jc w:val="both"/>
        <w:ind w:left="640" w:hanging="316"/>
        <w:spacing w:after="0"/>
        <w:tabs>
          <w:tab w:leader="none" w:pos="64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you and your beneficiaries, executors, administrators and the person(s) to whom the Share Appreciation Rights may be transferred by will or the laws of descent or distribution.</w:t>
      </w:r>
    </w:p>
    <w:p>
      <w:pPr>
        <w:sectPr>
          <w:pgSz w:w="11900" w:h="16838" w:orient="portrait"/>
          <w:cols w:equalWidth="0" w:num="1">
            <w:col w:w="11240"/>
          </w:cols>
          <w:pgMar w:left="320" w:top="1385" w:right="339" w:bottom="1440" w:gutter="0" w:footer="0" w:header="0"/>
        </w:sectPr>
      </w:pPr>
    </w:p>
    <w:bookmarkStart w:id="84" w:name="page85"/>
    <w:bookmarkEnd w:id="84"/>
    <w:p>
      <w:pPr>
        <w:spacing w:after="0" w:line="185" w:lineRule="exact"/>
        <w:rPr>
          <w:sz w:val="20"/>
          <w:szCs w:val="20"/>
          <w:color w:val="auto"/>
        </w:rPr>
      </w:pPr>
    </w:p>
    <w:p>
      <w:pPr>
        <w:jc w:val="both"/>
        <w:ind w:left="316" w:hanging="316"/>
        <w:spacing w:after="0" w:line="248" w:lineRule="auto"/>
        <w:tabs>
          <w:tab w:leader="none" w:pos="31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79"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This paragraph applies only to the extent that you are a U.S. taxpayer.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you on account of non- compliance with Section 409A of the Code.</w:t>
      </w:r>
    </w:p>
    <w:p>
      <w:pPr>
        <w:spacing w:after="0" w:line="200" w:lineRule="exact"/>
        <w:rPr>
          <w:rFonts w:ascii="Times New Roman" w:cs="Times New Roman" w:eastAsia="Times New Roman" w:hAnsi="Times New Roman"/>
          <w:sz w:val="21"/>
          <w:szCs w:val="21"/>
          <w:color w:val="auto"/>
        </w:rPr>
      </w:pPr>
    </w:p>
    <w:p>
      <w:pPr>
        <w:spacing w:after="0" w:line="208" w:lineRule="exact"/>
        <w:rPr>
          <w:rFonts w:ascii="Times New Roman" w:cs="Times New Roman" w:eastAsia="Times New Roman" w:hAnsi="Times New Roman"/>
          <w:sz w:val="21"/>
          <w:szCs w:val="21"/>
          <w:color w:val="auto"/>
        </w:rPr>
      </w:pPr>
    </w:p>
    <w:p>
      <w:pPr>
        <w:ind w:left="316" w:hanging="316"/>
        <w:spacing w:after="0"/>
        <w:tabs>
          <w:tab w:leader="none" w:pos="31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By accepting the award of Share Appreciation Rights, you agree to be bound by this Agreement.</w:t>
      </w:r>
    </w:p>
    <w:p>
      <w:pPr>
        <w:spacing w:after="0" w:line="236" w:lineRule="exact"/>
        <w:rPr>
          <w:rFonts w:ascii="Times New Roman" w:cs="Times New Roman" w:eastAsia="Times New Roman" w:hAnsi="Times New Roman"/>
          <w:sz w:val="21"/>
          <w:szCs w:val="21"/>
          <w:color w:val="auto"/>
        </w:rPr>
      </w:pPr>
    </w:p>
    <w:p>
      <w:pPr>
        <w:jc w:val="both"/>
        <w:ind w:left="316" w:hanging="316"/>
        <w:spacing w:after="0" w:line="235" w:lineRule="auto"/>
        <w:tabs>
          <w:tab w:leader="none" w:pos="31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As part of your responsibilities with the Company, you may have access to or become familiar with information concerning the business of the Company that is of a confidential nature. By accepting this Award, you agree that you will not discuss or disclose any confidential information to any outside individual or institution or to use it for your own benefit except on the direct written authorization of a member of the Executive Committee. Please refer to the Confidential Information section in the Employee Guide for additional information, including a description of the information considered confidential. The Company will pursue legal remedies for unauthorized use or disclosure of sensitive, confidential information.</w:t>
      </w:r>
    </w:p>
    <w:p>
      <w:pPr>
        <w:spacing w:after="0" w:line="201" w:lineRule="exact"/>
        <w:rPr>
          <w:rFonts w:ascii="Times New Roman" w:cs="Times New Roman" w:eastAsia="Times New Roman" w:hAnsi="Times New Roman"/>
          <w:sz w:val="21"/>
          <w:szCs w:val="21"/>
          <w:color w:val="auto"/>
        </w:rPr>
      </w:pPr>
    </w:p>
    <w:p>
      <w:pPr>
        <w:jc w:val="both"/>
        <w:ind w:left="316" w:hanging="316"/>
        <w:spacing w:after="0" w:line="239" w:lineRule="auto"/>
        <w:tabs>
          <w:tab w:leader="none" w:pos="31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Language</w:t>
      </w:r>
      <w:r>
        <w:rPr>
          <w:rFonts w:ascii="Times New Roman" w:cs="Times New Roman" w:eastAsia="Times New Roman" w:hAnsi="Times New Roman"/>
          <w:sz w:val="21"/>
          <w:szCs w:val="21"/>
          <w:color w:val="auto"/>
        </w:rPr>
        <w:t>. You acknowledge that you are sufficiently proficient in the English language, or have consulted with an advisor who is sufficiently proficient in English, so as to allow you to understand the terms and conditions of this Agreement. If you have received this Agreement, or any other document related to your Award and/or the Plan translated into a language other than English and if the meaning of the translated version is different than the English version, the English version will control.</w:t>
      </w:r>
    </w:p>
    <w:p>
      <w:pPr>
        <w:spacing w:after="0" w:line="190" w:lineRule="exact"/>
        <w:rPr>
          <w:rFonts w:ascii="Times New Roman" w:cs="Times New Roman" w:eastAsia="Times New Roman" w:hAnsi="Times New Roman"/>
          <w:sz w:val="21"/>
          <w:szCs w:val="21"/>
          <w:color w:val="auto"/>
        </w:rPr>
      </w:pPr>
    </w:p>
    <w:p>
      <w:pPr>
        <w:jc w:val="both"/>
        <w:ind w:left="316" w:hanging="316"/>
        <w:spacing w:after="0"/>
        <w:tabs>
          <w:tab w:leader="none" w:pos="31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Appendix</w:t>
      </w:r>
      <w:r>
        <w:rPr>
          <w:rFonts w:ascii="Times New Roman" w:cs="Times New Roman" w:eastAsia="Times New Roman" w:hAnsi="Times New Roman"/>
          <w:sz w:val="21"/>
          <w:szCs w:val="21"/>
          <w:color w:val="auto"/>
        </w:rPr>
        <w:t>. Notwithstanding any provisions in this Agreement, your Award shall be subject to the special terms and conditions for your country of residence and/or work set forth in the Appendix attached to this Agreement which, where applicable, shall prevail in the event of conflict between such terms and conditions and the terms of this Agreement, the notification, and/or the Plan.</w:t>
      </w:r>
    </w:p>
    <w:p>
      <w:pPr>
        <w:sectPr>
          <w:pgSz w:w="11900" w:h="16838" w:orient="portrait"/>
          <w:cols w:equalWidth="0" w:num="1">
            <w:col w:w="10916"/>
          </w:cols>
          <w:pgMar w:left="644" w:top="144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1"/>
          <w:szCs w:val="21"/>
          <w:b w:val="1"/>
          <w:bCs w:val="1"/>
          <w:color w:val="auto"/>
        </w:rPr>
        <w:t>APPENDIX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SWITZERLAND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This appendix is applicable for employees with residence or work place in Switzerland.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Termination of your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following supplements Section 1(b) and (d) of the Agreement: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you are employed by a Swiss employer, termination of your employment is deemed to occur:</w:t>
      </w:r>
    </w:p>
    <w:p>
      <w:pPr>
        <w:spacing w:after="0" w:line="236" w:lineRule="exact"/>
        <w:rPr>
          <w:sz w:val="20"/>
          <w:szCs w:val="20"/>
          <w:color w:val="auto"/>
        </w:rPr>
      </w:pPr>
    </w:p>
    <w:p>
      <w:pPr>
        <w:ind w:left="260" w:hanging="254"/>
        <w:spacing w:after="0"/>
        <w:tabs>
          <w:tab w:leader="none" w:pos="26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effective date of termination of your employment; or</w:t>
      </w:r>
    </w:p>
    <w:p>
      <w:pPr>
        <w:spacing w:after="0" w:line="222" w:lineRule="exact"/>
        <w:rPr>
          <w:rFonts w:ascii="Times New Roman" w:cs="Times New Roman" w:eastAsia="Times New Roman" w:hAnsi="Times New Roman"/>
          <w:sz w:val="21"/>
          <w:szCs w:val="21"/>
          <w:color w:val="auto"/>
        </w:rPr>
      </w:pPr>
    </w:p>
    <w:p>
      <w:pPr>
        <w:jc w:val="both"/>
        <w:ind w:firstLine="6"/>
        <w:spacing w:after="0" w:line="255" w:lineRule="auto"/>
        <w:tabs>
          <w:tab w:leader="none" w:pos="36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date when notice of termination of employment is given, if the employment agreement is terminated for Cause, irrespective of whether such reason would justify a termination of the employment relationship for cause according to art. 337 of the Swiss Code of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Withholding of Taxes. </w:t>
      </w:r>
      <w:r>
        <w:rPr>
          <w:rFonts w:ascii="Times New Roman" w:cs="Times New Roman" w:eastAsia="Times New Roman" w:hAnsi="Times New Roman"/>
          <w:sz w:val="21"/>
          <w:szCs w:val="21"/>
          <w:color w:val="auto"/>
        </w:rPr>
        <w:t>The following supplements Section 7 of the Agreement: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 condition of the exercise of your Share Appreciation Rights, you unconditionally and irrevocably agree:</w:t>
      </w:r>
    </w:p>
    <w:p>
      <w:pPr>
        <w:spacing w:after="0" w:line="212" w:lineRule="exact"/>
        <w:rPr>
          <w:sz w:val="20"/>
          <w:szCs w:val="20"/>
          <w:color w:val="auto"/>
        </w:rPr>
      </w:pPr>
    </w:p>
    <w:p>
      <w:pPr>
        <w:jc w:val="both"/>
        <w:ind w:firstLine="6"/>
        <w:spacing w:after="0" w:line="255" w:lineRule="auto"/>
        <w:tabs>
          <w:tab w:leader="none" w:pos="25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pay upon request of the Company to your employer in cash (1) all Swiss income tax which your employer is liable to account for on your behalf directly to the Swiss tax administration; and (2) all liability to employee’s social contributions which the employer is liable to account for on your behalf to the Swiss social security administration (together the “</w:t>
      </w:r>
      <w:r>
        <w:rPr>
          <w:rFonts w:ascii="Times New Roman" w:cs="Times New Roman" w:eastAsia="Times New Roman" w:hAnsi="Times New Roman"/>
          <w:sz w:val="21"/>
          <w:szCs w:val="21"/>
          <w:b w:val="1"/>
          <w:bCs w:val="1"/>
          <w:i w:val="1"/>
          <w:iCs w:val="1"/>
          <w:color w:val="auto"/>
        </w:rPr>
        <w:t>Swiss Tax Liability</w:t>
      </w:r>
      <w:r>
        <w:rPr>
          <w:rFonts w:ascii="Times New Roman" w:cs="Times New Roman" w:eastAsia="Times New Roman" w:hAnsi="Times New Roman"/>
          <w:sz w:val="21"/>
          <w:szCs w:val="21"/>
          <w:color w:val="auto"/>
        </w:rPr>
        <w:t>”); or</w:t>
      </w:r>
    </w:p>
    <w:p>
      <w:pPr>
        <w:spacing w:after="0" w:line="185" w:lineRule="exact"/>
        <w:rPr>
          <w:rFonts w:ascii="Times New Roman" w:cs="Times New Roman" w:eastAsia="Times New Roman" w:hAnsi="Times New Roman"/>
          <w:sz w:val="21"/>
          <w:szCs w:val="21"/>
          <w:color w:val="auto"/>
        </w:rPr>
      </w:pPr>
    </w:p>
    <w:p>
      <w:pPr>
        <w:jc w:val="both"/>
        <w:ind w:firstLine="6"/>
        <w:spacing w:after="0" w:line="255" w:lineRule="auto"/>
        <w:tabs>
          <w:tab w:leader="none" w:pos="321"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permit the Company to sell at the best price which it can reasonably obtain such number of Shares allotted to you following exercise as will provide the Company with an amount equal to the Swiss Tax Liability; and to permit your employer to withhold an amount not exceeding the Swiss Tax Liability from any payment made to you (including, but not limited to salary).</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Legal Nature of Award. </w:t>
      </w:r>
      <w:r>
        <w:rPr>
          <w:rFonts w:ascii="Times New Roman" w:cs="Times New Roman" w:eastAsia="Times New Roman" w:hAnsi="Times New Roman"/>
          <w:sz w:val="21"/>
          <w:szCs w:val="21"/>
          <w:color w:val="auto"/>
        </w:rPr>
        <w:t>If you have your residence or work place in Switzerland, the grant of your Award shall always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 gratuity or special reward </w:t>
      </w:r>
      <w:r>
        <w:rPr>
          <w:rFonts w:ascii="Times New Roman" w:cs="Times New Roman" w:eastAsia="Times New Roman" w:hAnsi="Times New Roman"/>
          <w:sz w:val="21"/>
          <w:szCs w:val="21"/>
          <w:i w:val="1"/>
          <w:iCs w:val="1"/>
          <w:color w:val="auto"/>
        </w:rPr>
        <w:t>(Gratifikation/Sondervergütung)</w:t>
      </w:r>
      <w:r>
        <w:rPr>
          <w:rFonts w:ascii="Times New Roman" w:cs="Times New Roman" w:eastAsia="Times New Roman" w:hAnsi="Times New Roman"/>
          <w:sz w:val="21"/>
          <w:szCs w:val="21"/>
          <w:color w:val="auto"/>
        </w:rPr>
        <w:t xml:space="preserve"> within the meaning of art. 332d of the Swiss Code of Obligations and not an element of salary.</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b w:val="1"/>
          <w:bCs w:val="1"/>
          <w:color w:val="auto"/>
        </w:rPr>
        <w:t>Data Privacy</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For the purposes of operating the Plan in Switzerland, the Company will collect and process information relating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you in accordance with the privacy notice from time to time in force.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Tax Reporting Obligations:</w:t>
      </w:r>
    </w:p>
    <w:p>
      <w:pPr>
        <w:spacing w:after="0" w:line="2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b w:val="1"/>
          <w:bCs w:val="1"/>
          <w:color w:val="auto"/>
        </w:rPr>
        <w:t>At grant</w:t>
      </w:r>
      <w:r>
        <w:rPr>
          <w:rFonts w:ascii="Times New Roman" w:cs="Times New Roman" w:eastAsia="Times New Roman" w:hAnsi="Times New Roman"/>
          <w:sz w:val="21"/>
          <w:szCs w:val="21"/>
          <w:color w:val="auto"/>
        </w:rPr>
        <w:t>: You will receive an addendum to your annual salary statement, reporting the details of your Award. You are required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file such document with your tax return. Furthermore, you are required to declare the Award granted to you in the securities statement (</w:t>
      </w:r>
      <w:r>
        <w:rPr>
          <w:rFonts w:ascii="Times New Roman" w:cs="Times New Roman" w:eastAsia="Times New Roman" w:hAnsi="Times New Roman"/>
          <w:sz w:val="21"/>
          <w:szCs w:val="21"/>
          <w:i w:val="1"/>
          <w:iCs w:val="1"/>
          <w:color w:val="auto"/>
        </w:rPr>
        <w:t>Wertschriftenverzeichnis</w:t>
      </w:r>
      <w:r>
        <w:rPr>
          <w:rFonts w:ascii="Times New Roman" w:cs="Times New Roman" w:eastAsia="Times New Roman" w:hAnsi="Times New Roman"/>
          <w:sz w:val="21"/>
          <w:szCs w:val="21"/>
          <w:color w:val="auto"/>
        </w:rPr>
        <w:t>) of your tax return on a "pro memoria" basis with nil value.</w:t>
      </w:r>
    </w:p>
    <w:p>
      <w:pPr>
        <w:spacing w:after="0" w:line="18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b w:val="1"/>
          <w:bCs w:val="1"/>
          <w:color w:val="auto"/>
        </w:rPr>
        <w:t>At exercise</w:t>
      </w:r>
      <w:r>
        <w:rPr>
          <w:rFonts w:ascii="Times New Roman" w:cs="Times New Roman" w:eastAsia="Times New Roman" w:hAnsi="Times New Roman"/>
          <w:sz w:val="21"/>
          <w:szCs w:val="21"/>
          <w:color w:val="auto"/>
        </w:rPr>
        <w:t>: You will receive an addendum to the annual salary statement, reporting the taxable income realized upon exercise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Share Appreciation Rights. You are required to declare such income in and to file this document with your tax return. Any Shares acquired upon vesting will be subject to net wealth tax and must be reported in the securities statement (</w:t>
      </w:r>
      <w:r>
        <w:rPr>
          <w:rFonts w:ascii="Times New Roman" w:cs="Times New Roman" w:eastAsia="Times New Roman" w:hAnsi="Times New Roman"/>
          <w:sz w:val="21"/>
          <w:szCs w:val="21"/>
          <w:i w:val="1"/>
          <w:iCs w:val="1"/>
          <w:color w:val="auto"/>
        </w:rPr>
        <w:t>Wertschriftenverzeichnis</w:t>
      </w:r>
      <w:r>
        <w:rPr>
          <w:rFonts w:ascii="Times New Roman" w:cs="Times New Roman" w:eastAsia="Times New Roman" w:hAnsi="Times New Roman"/>
          <w:sz w:val="21"/>
          <w:szCs w:val="21"/>
          <w:color w:val="auto"/>
        </w:rPr>
        <w:t>) of your tax return.</w:t>
      </w:r>
    </w:p>
    <w:p>
      <w:pPr>
        <w:sectPr>
          <w:pgSz w:w="11900" w:h="16838" w:orient="portrait"/>
          <w:cols w:equalWidth="0" w:num="1">
            <w:col w:w="11240"/>
          </w:cols>
          <w:pgMar w:left="320" w:top="1381" w:right="339" w:bottom="1440" w:gutter="0" w:footer="0" w:header="0"/>
        </w:sectPr>
      </w:pPr>
    </w:p>
    <w:bookmarkStart w:id="86" w:name="page87"/>
    <w:bookmarkEnd w:id="86"/>
    <w:p>
      <w:pPr>
        <w:jc w:val="both"/>
        <w:spacing w:after="0" w:line="241" w:lineRule="auto"/>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ind w:left="10320"/>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FIRST AMENDMENT TO</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NINTH AMENDED AND RESTATED CREDIT AGREEMENT</w:t>
      </w:r>
    </w:p>
    <w:p>
      <w:pPr>
        <w:spacing w:after="0" w:line="227"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color w:val="auto"/>
        </w:rPr>
        <w:t xml:space="preserve">This FIRST AMENDMENT TO NINTH AMENDED AND RESTATED CREDIT AGREEMENT (this </w:t>
      </w:r>
      <w:r>
        <w:rPr>
          <w:rFonts w:ascii="Times New Roman" w:cs="Times New Roman" w:eastAsia="Times New Roman" w:hAnsi="Times New Roman"/>
          <w:sz w:val="19"/>
          <w:szCs w:val="19"/>
          <w:b w:val="1"/>
          <w:bCs w:val="1"/>
          <w:i w:val="1"/>
          <w:iCs w:val="1"/>
          <w:color w:val="auto"/>
        </w:rPr>
        <w:t>“Amendment”</w:t>
      </w:r>
      <w:r>
        <w:rPr>
          <w:rFonts w:ascii="Times New Roman" w:cs="Times New Roman" w:eastAsia="Times New Roman" w:hAnsi="Times New Roman"/>
          <w:sz w:val="19"/>
          <w:szCs w:val="19"/>
          <w:color w:val="auto"/>
        </w:rPr>
        <w:t xml:space="preserve">) is dated as of January 27, 2025, but effective as of the Effective Date (hereinafter defined), among </w:t>
      </w:r>
      <w:r>
        <w:rPr>
          <w:rFonts w:ascii="Times New Roman" w:cs="Times New Roman" w:eastAsia="Times New Roman" w:hAnsi="Times New Roman"/>
          <w:sz w:val="19"/>
          <w:szCs w:val="19"/>
          <w:b w:val="1"/>
          <w:bCs w:val="1"/>
          <w:color w:val="auto"/>
        </w:rPr>
        <w:t>VAIL HOLDINGS, INC.</w:t>
      </w:r>
      <w:r>
        <w:rPr>
          <w:rFonts w:ascii="Times New Roman" w:cs="Times New Roman" w:eastAsia="Times New Roman" w:hAnsi="Times New Roman"/>
          <w:sz w:val="19"/>
          <w:szCs w:val="19"/>
          <w:color w:val="auto"/>
        </w:rPr>
        <w:t xml:space="preserve">, a Colorado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 defined in the Credit Agreement referenced below) party hereto,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b w:val="1"/>
          <w:bCs w:val="1"/>
          <w:color w:val="auto"/>
        </w:rPr>
        <w:t>BANK OF AMERICA, N.A.</w:t>
      </w:r>
      <w:r>
        <w:rPr>
          <w:rFonts w:ascii="Times New Roman" w:cs="Times New Roman" w:eastAsia="Times New Roman" w:hAnsi="Times New Roman"/>
          <w:sz w:val="19"/>
          <w:szCs w:val="19"/>
          <w:color w:val="auto"/>
        </w:rPr>
        <w:t>,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Administrative Agent (hereinafter defined).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R E C I T A L S</w:t>
      </w:r>
    </w:p>
    <w:p>
      <w:pPr>
        <w:spacing w:after="0" w:line="250" w:lineRule="exact"/>
        <w:rPr>
          <w:sz w:val="20"/>
          <w:szCs w:val="20"/>
          <w:color w:val="auto"/>
        </w:rPr>
      </w:pPr>
    </w:p>
    <w:p>
      <w:pPr>
        <w:jc w:val="both"/>
        <w:ind w:firstLine="643"/>
        <w:spacing w:after="0" w:line="270" w:lineRule="auto"/>
        <w:tabs>
          <w:tab w:leader="none" w:pos="1039"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has entered into that certain Ninth Amended and Restated Credit Agreement dated as of April 24, 2024, with Bank of America, N.A., as Administrative Agent (in such capacity, </w:t>
      </w:r>
      <w:r>
        <w:rPr>
          <w:rFonts w:ascii="Times New Roman" w:cs="Times New Roman" w:eastAsia="Times New Roman" w:hAnsi="Times New Roman"/>
          <w:sz w:val="19"/>
          <w:szCs w:val="19"/>
          <w:b w:val="1"/>
          <w:bCs w:val="1"/>
          <w:i w:val="1"/>
          <w:iCs w:val="1"/>
          <w:color w:val="auto"/>
        </w:rPr>
        <w:t>“Administrative Agent”</w:t>
      </w:r>
      <w:r>
        <w:rPr>
          <w:rFonts w:ascii="Times New Roman" w:cs="Times New Roman" w:eastAsia="Times New Roman" w:hAnsi="Times New Roman"/>
          <w:sz w:val="19"/>
          <w:szCs w:val="19"/>
          <w:color w:val="auto"/>
        </w:rPr>
        <w:t xml:space="preserve">), and certain other agents and lenders party thereto (as amended, restated, or otherwise modified from time to time, the </w:t>
      </w:r>
      <w:r>
        <w:rPr>
          <w:rFonts w:ascii="Times New Roman" w:cs="Times New Roman" w:eastAsia="Times New Roman" w:hAnsi="Times New Roman"/>
          <w:sz w:val="19"/>
          <w:szCs w:val="19"/>
          <w:b w:val="1"/>
          <w:bCs w:val="1"/>
          <w:i w:val="1"/>
          <w:iCs w:val="1"/>
          <w:color w:val="auto"/>
        </w:rPr>
        <w:t>“Credit Agreement”</w:t>
      </w:r>
      <w:r>
        <w:rPr>
          <w:rFonts w:ascii="Times New Roman" w:cs="Times New Roman" w:eastAsia="Times New Roman" w:hAnsi="Times New Roman"/>
          <w:sz w:val="19"/>
          <w:szCs w:val="19"/>
          <w:color w:val="auto"/>
        </w:rPr>
        <w:t>; capitalized terms used but not defined herein have the meanings set forth in the Credit Agreement), providing for a term loan, revolving credit loans and letters of credit.</w:t>
      </w:r>
    </w:p>
    <w:p>
      <w:pPr>
        <w:spacing w:after="0" w:line="195" w:lineRule="exact"/>
        <w:rPr>
          <w:rFonts w:ascii="Times New Roman" w:cs="Times New Roman" w:eastAsia="Times New Roman" w:hAnsi="Times New Roman"/>
          <w:sz w:val="19"/>
          <w:szCs w:val="19"/>
          <w:color w:val="auto"/>
        </w:rPr>
      </w:pPr>
    </w:p>
    <w:p>
      <w:pPr>
        <w:ind w:firstLine="643"/>
        <w:spacing w:after="0" w:line="288" w:lineRule="auto"/>
        <w:tabs>
          <w:tab w:leader="none" w:pos="1071"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i w:val="1"/>
          <w:iCs w:val="1"/>
          <w:color w:val="auto"/>
        </w:rPr>
        <w:t>Section 2.5</w:t>
      </w:r>
      <w:r>
        <w:rPr>
          <w:rFonts w:ascii="Times New Roman" w:cs="Times New Roman" w:eastAsia="Times New Roman" w:hAnsi="Times New Roman"/>
          <w:sz w:val="19"/>
          <w:szCs w:val="19"/>
          <w:color w:val="auto"/>
        </w:rPr>
        <w:t xml:space="preserve"> of the Credit Agreement, the Company has requested an increase in the Revolver Commitments and an Incremental Term Loan Facility in the form of delayed draw term loans (collectively, the </w:t>
      </w:r>
      <w:r>
        <w:rPr>
          <w:rFonts w:ascii="Times New Roman" w:cs="Times New Roman" w:eastAsia="Times New Roman" w:hAnsi="Times New Roman"/>
          <w:sz w:val="19"/>
          <w:szCs w:val="19"/>
          <w:b w:val="1"/>
          <w:bCs w:val="1"/>
          <w:i w:val="1"/>
          <w:iCs w:val="1"/>
          <w:color w:val="auto"/>
        </w:rPr>
        <w:t>“Facility Increase”</w:t>
      </w:r>
      <w:r>
        <w:rPr>
          <w:rFonts w:ascii="Times New Roman" w:cs="Times New Roman" w:eastAsia="Times New Roman" w:hAnsi="Times New Roman"/>
          <w:sz w:val="19"/>
          <w:szCs w:val="19"/>
          <w:color w:val="auto"/>
        </w:rPr>
        <w:t>).</w:t>
      </w:r>
    </w:p>
    <w:p>
      <w:pPr>
        <w:spacing w:after="0" w:line="180" w:lineRule="exact"/>
        <w:rPr>
          <w:rFonts w:ascii="Times New Roman" w:cs="Times New Roman" w:eastAsia="Times New Roman" w:hAnsi="Times New Roman"/>
          <w:sz w:val="19"/>
          <w:szCs w:val="19"/>
          <w:color w:val="auto"/>
        </w:rPr>
      </w:pPr>
    </w:p>
    <w:p>
      <w:pPr>
        <w:ind w:firstLine="643"/>
        <w:spacing w:after="0" w:line="285" w:lineRule="auto"/>
        <w:tabs>
          <w:tab w:leader="none" w:pos="1058"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Certain amendments to the Credit Agreement are necessary to effect the Facility Increase. Each Lender increasing its Commitment shall be referred to as an </w:t>
      </w:r>
      <w:r>
        <w:rPr>
          <w:rFonts w:ascii="Times New Roman" w:cs="Times New Roman" w:eastAsia="Times New Roman" w:hAnsi="Times New Roman"/>
          <w:sz w:val="19"/>
          <w:szCs w:val="19"/>
          <w:b w:val="1"/>
          <w:bCs w:val="1"/>
          <w:i w:val="1"/>
          <w:iCs w:val="1"/>
          <w:color w:val="auto"/>
        </w:rPr>
        <w:t>“Increasing Lender”</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firstLine="637"/>
        <w:spacing w:after="0" w:line="300" w:lineRule="auto"/>
        <w:rPr>
          <w:sz w:val="20"/>
          <w:szCs w:val="20"/>
          <w:color w:val="auto"/>
        </w:rPr>
      </w:pPr>
      <w:r>
        <w:rPr>
          <w:rFonts w:ascii="Times New Roman" w:cs="Times New Roman" w:eastAsia="Times New Roman" w:hAnsi="Times New Roman"/>
          <w:sz w:val="19"/>
          <w:szCs w:val="19"/>
          <w:color w:val="auto"/>
        </w:rPr>
        <w:t>Subject to the terms and conditions set forth herein, the Company, the Lenders party hereto, the Guarantors (by execution of the attached Guarantors’ Consent and Agreement), and Administrative Agent agree as follows:</w:t>
      </w:r>
    </w:p>
    <w:p>
      <w:pPr>
        <w:spacing w:after="0" w:line="153" w:lineRule="exact"/>
        <w:rPr>
          <w:sz w:val="20"/>
          <w:szCs w:val="20"/>
          <w:color w:val="auto"/>
        </w:rPr>
      </w:pPr>
    </w:p>
    <w:p>
      <w:pPr>
        <w:ind w:left="340" w:hanging="334"/>
        <w:spacing w:after="0"/>
        <w:tabs>
          <w:tab w:leader="none" w:pos="340" w:val="left"/>
        </w:tabs>
        <w:numPr>
          <w:ilvl w:val="0"/>
          <w:numId w:val="6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Amendments of the Credit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 the Effective Date:</w:t>
      </w:r>
    </w:p>
    <w:p>
      <w:pPr>
        <w:spacing w:after="0" w:line="263" w:lineRule="exact"/>
        <w:rPr>
          <w:rFonts w:ascii="Times New Roman" w:cs="Times New Roman" w:eastAsia="Times New Roman" w:hAnsi="Times New Roman"/>
          <w:sz w:val="19"/>
          <w:szCs w:val="19"/>
          <w:b w:val="1"/>
          <w:bCs w:val="1"/>
          <w:color w:val="auto"/>
        </w:rPr>
      </w:pPr>
    </w:p>
    <w:p>
      <w:pPr>
        <w:jc w:val="both"/>
        <w:ind w:firstLine="643"/>
        <w:spacing w:after="0" w:line="274" w:lineRule="auto"/>
        <w:tabs>
          <w:tab w:leader="none" w:pos="885"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Credit Agreement is hereby amended to delete the red stricken text (indicated in the same manner as the following example: </w:t>
      </w:r>
      <w:r>
        <w:rPr>
          <w:rFonts w:ascii="Times New Roman" w:cs="Times New Roman" w:eastAsia="Times New Roman" w:hAnsi="Times New Roman"/>
          <w:sz w:val="19"/>
          <w:szCs w:val="19"/>
          <w:color w:val="EE2724"/>
          <w:strike w:val="1"/>
        </w:rPr>
        <w:t>stricken text</w:t>
      </w:r>
      <w:r>
        <w:rPr>
          <w:rFonts w:ascii="Times New Roman" w:cs="Times New Roman" w:eastAsia="Times New Roman" w:hAnsi="Times New Roman"/>
          <w:sz w:val="19"/>
          <w:szCs w:val="19"/>
          <w:color w:val="000000"/>
        </w:rPr>
        <w:t>) and to add the blue double underlined text (indicated in the same manner as the following example:</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u w:val="single" w:color="auto"/>
          <w:color w:val="3051F2"/>
        </w:rPr>
        <w:t>underlined text</w:t>
      </w:r>
      <w:r>
        <w:rPr>
          <w:rFonts w:ascii="Times New Roman" w:cs="Times New Roman" w:eastAsia="Times New Roman" w:hAnsi="Times New Roman"/>
          <w:sz w:val="19"/>
          <w:szCs w:val="19"/>
          <w:color w:val="000000"/>
        </w:rPr>
        <w:t>) as and where</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 xml:space="preserve">indicated in </w:t>
      </w:r>
      <w:r>
        <w:rPr>
          <w:rFonts w:ascii="Times New Roman" w:cs="Times New Roman" w:eastAsia="Times New Roman" w:hAnsi="Times New Roman"/>
          <w:sz w:val="19"/>
          <w:szCs w:val="19"/>
          <w:b w:val="1"/>
          <w:bCs w:val="1"/>
          <w:i w:val="1"/>
          <w:iCs w:val="1"/>
          <w:color w:val="000000"/>
        </w:rPr>
        <w:t>Annex A</w:t>
      </w:r>
      <w:r>
        <w:rPr>
          <w:rFonts w:ascii="Times New Roman" w:cs="Times New Roman" w:eastAsia="Times New Roman" w:hAnsi="Times New Roman"/>
          <w:sz w:val="19"/>
          <w:szCs w:val="19"/>
          <w:color w:val="000000"/>
        </w:rPr>
        <w:t xml:space="preserve"> attached hereto.</w:t>
      </w:r>
    </w:p>
    <w:p>
      <w:pPr>
        <w:spacing w:after="0" w:line="178" w:lineRule="exact"/>
        <w:rPr>
          <w:rFonts w:ascii="Times New Roman" w:cs="Times New Roman" w:eastAsia="Times New Roman" w:hAnsi="Times New Roman"/>
          <w:sz w:val="19"/>
          <w:szCs w:val="19"/>
          <w:color w:val="auto"/>
        </w:rPr>
      </w:pPr>
    </w:p>
    <w:p>
      <w:pPr>
        <w:ind w:firstLine="643"/>
        <w:spacing w:after="0" w:line="302" w:lineRule="auto"/>
        <w:tabs>
          <w:tab w:leader="none" w:pos="929"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i w:val="1"/>
          <w:iCs w:val="1"/>
          <w:color w:val="auto"/>
        </w:rPr>
        <w:t>“Lenders and Commitment”</w:t>
      </w:r>
      <w:r>
        <w:rPr>
          <w:rFonts w:ascii="Times New Roman" w:cs="Times New Roman" w:eastAsia="Times New Roman" w:hAnsi="Times New Roman"/>
          <w:sz w:val="19"/>
          <w:szCs w:val="19"/>
          <w:color w:val="auto"/>
        </w:rPr>
        <w:t xml:space="preserve"> table set forth on </w:t>
      </w:r>
      <w:r>
        <w:rPr>
          <w:rFonts w:ascii="Times New Roman" w:cs="Times New Roman" w:eastAsia="Times New Roman" w:hAnsi="Times New Roman"/>
          <w:sz w:val="19"/>
          <w:szCs w:val="19"/>
          <w:i w:val="1"/>
          <w:iCs w:val="1"/>
          <w:color w:val="auto"/>
        </w:rPr>
        <w:t>Schedule 1</w:t>
      </w:r>
      <w:r>
        <w:rPr>
          <w:rFonts w:ascii="Times New Roman" w:cs="Times New Roman" w:eastAsia="Times New Roman" w:hAnsi="Times New Roman"/>
          <w:sz w:val="19"/>
          <w:szCs w:val="19"/>
          <w:color w:val="auto"/>
        </w:rPr>
        <w:t xml:space="preserve"> to the Credit Agreement is hereby amended and restated as set forth on </w:t>
      </w:r>
      <w:r>
        <w:rPr>
          <w:rFonts w:ascii="Times New Roman" w:cs="Times New Roman" w:eastAsia="Times New Roman" w:hAnsi="Times New Roman"/>
          <w:sz w:val="19"/>
          <w:szCs w:val="19"/>
          <w:b w:val="1"/>
          <w:bCs w:val="1"/>
          <w:i w:val="1"/>
          <w:iCs w:val="1"/>
          <w:color w:val="auto"/>
        </w:rPr>
        <w:t>Schedule 1</w:t>
      </w:r>
      <w:r>
        <w:rPr>
          <w:rFonts w:ascii="Times New Roman" w:cs="Times New Roman" w:eastAsia="Times New Roman" w:hAnsi="Times New Roman"/>
          <w:sz w:val="19"/>
          <w:szCs w:val="19"/>
          <w:color w:val="auto"/>
        </w:rPr>
        <w:t xml:space="preserve"> attached hereto.</w:t>
      </w:r>
    </w:p>
    <w:p>
      <w:pPr>
        <w:spacing w:after="0" w:line="164" w:lineRule="exact"/>
        <w:rPr>
          <w:rFonts w:ascii="Times New Roman" w:cs="Times New Roman" w:eastAsia="Times New Roman" w:hAnsi="Times New Roman"/>
          <w:sz w:val="19"/>
          <w:szCs w:val="19"/>
          <w:color w:val="auto"/>
        </w:rPr>
      </w:pPr>
    </w:p>
    <w:p>
      <w:pPr>
        <w:ind w:left="980" w:hanging="337"/>
        <w:spacing w:after="0"/>
        <w:tabs>
          <w:tab w:leader="none" w:pos="980"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Credit Agreement is hereby amended to add a new </w:t>
      </w:r>
      <w:r>
        <w:rPr>
          <w:rFonts w:ascii="Times New Roman" w:cs="Times New Roman" w:eastAsia="Times New Roman" w:hAnsi="Times New Roman"/>
          <w:sz w:val="19"/>
          <w:szCs w:val="19"/>
          <w:i w:val="1"/>
          <w:iCs w:val="1"/>
          <w:color w:val="auto"/>
        </w:rPr>
        <w:t>Exhibit A-3</w:t>
      </w:r>
      <w:r>
        <w:rPr>
          <w:rFonts w:ascii="Times New Roman" w:cs="Times New Roman" w:eastAsia="Times New Roman" w:hAnsi="Times New Roman"/>
          <w:sz w:val="19"/>
          <w:szCs w:val="19"/>
          <w:color w:val="auto"/>
        </w:rPr>
        <w:t xml:space="preserve"> thereto as set forth on </w:t>
      </w:r>
      <w:r>
        <w:rPr>
          <w:rFonts w:ascii="Times New Roman" w:cs="Times New Roman" w:eastAsia="Times New Roman" w:hAnsi="Times New Roman"/>
          <w:sz w:val="19"/>
          <w:szCs w:val="19"/>
          <w:b w:val="1"/>
          <w:bCs w:val="1"/>
          <w:i w:val="1"/>
          <w:iCs w:val="1"/>
          <w:color w:val="auto"/>
        </w:rPr>
        <w:t>Exhibit A-3</w:t>
      </w:r>
      <w:r>
        <w:rPr>
          <w:rFonts w:ascii="Times New Roman" w:cs="Times New Roman" w:eastAsia="Times New Roman" w:hAnsi="Times New Roman"/>
          <w:sz w:val="19"/>
          <w:szCs w:val="19"/>
          <w:color w:val="auto"/>
        </w:rPr>
        <w:t xml:space="preserve"> attached hereto.</w:t>
      </w:r>
    </w:p>
    <w:p>
      <w:pPr>
        <w:spacing w:after="0" w:line="245" w:lineRule="exact"/>
        <w:rPr>
          <w:rFonts w:ascii="Times New Roman" w:cs="Times New Roman" w:eastAsia="Times New Roman" w:hAnsi="Times New Roman"/>
          <w:sz w:val="19"/>
          <w:szCs w:val="19"/>
          <w:color w:val="auto"/>
        </w:rPr>
      </w:pPr>
    </w:p>
    <w:p>
      <w:pPr>
        <w:ind w:left="980" w:hanging="337"/>
        <w:spacing w:after="0"/>
        <w:tabs>
          <w:tab w:leader="none" w:pos="980"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Exhibit C </w:t>
      </w:r>
      <w:r>
        <w:rPr>
          <w:rFonts w:ascii="Times New Roman" w:cs="Times New Roman" w:eastAsia="Times New Roman" w:hAnsi="Times New Roman"/>
          <w:sz w:val="19"/>
          <w:szCs w:val="19"/>
          <w:color w:val="auto"/>
        </w:rPr>
        <w:t>to the Credit Agreement is hereby amended and restated as set forth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Exhibit 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attached hereto.</w:t>
      </w:r>
    </w:p>
    <w:p>
      <w:pPr>
        <w:spacing w:after="0" w:line="259" w:lineRule="exact"/>
        <w:rPr>
          <w:rFonts w:ascii="Times New Roman" w:cs="Times New Roman" w:eastAsia="Times New Roman" w:hAnsi="Times New Roman"/>
          <w:sz w:val="19"/>
          <w:szCs w:val="19"/>
          <w:color w:val="auto"/>
        </w:rPr>
      </w:pPr>
    </w:p>
    <w:p>
      <w:pPr>
        <w:jc w:val="both"/>
        <w:ind w:firstLine="6"/>
        <w:spacing w:after="0" w:line="276" w:lineRule="auto"/>
        <w:tabs>
          <w:tab w:leader="none" w:pos="486" w:val="left"/>
        </w:tabs>
        <w:numPr>
          <w:ilvl w:val="0"/>
          <w:numId w:val="6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Representations and Warranties.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a material inducement to the Lenders and Administrative Agent to execute and deliver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Amendment, the Company represents and warrants to the Lenders and Administrative Agent (with the knowledge and intent that Administrative Agent and the Lenders party hereto are relying upon the same in entering into this Amendment) that: (a) the Company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596" w:right="339" w:bottom="1440" w:gutter="0" w:footer="0" w:header="0"/>
        </w:sectPr>
      </w:pPr>
    </w:p>
    <w:bookmarkStart w:id="88" w:name="page89"/>
    <w:bookmarkEnd w:id="88"/>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Guarantors have all requisite authority and power to execute, deliver, and perform their respective obligations under this Amendment and the Guarantors’ Consent and Agreement, as the case may be, which execution, delivery, and performance have been duly authorized by all necessary action, require no Governmental Approvals, and do not violate the respective certificates of incorporation or organization, bylaws, or operating agreement, or other organizational or formation documents of such entities; (b) upon execution and delivery by the Company, the Guarantors, Administrative Agent, and the Lenders party hereto, this Amendment will constitute the legal and binding obligation of each of the Company, and the Guarantors, enforceable against such entities in accordance with the terms of this Amendment,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as that enforceability may be limited by general principles of equity or by bankruptcy or insolvency laws or similar laws affecting creditors’ rights generally; (c) before and after giving effect to this Amendment, all representations and warranties in the Loan Papers are true and correct as though made on the date hereof,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to the extent that any of them speak to a specific date (in which case such representations and warranties are true and correct as of such specific date) or the facts on which any of them are based have been changed by transactions contemplated or permitted by the Credit Agreement; and (d) after giving effect to this Amendment, no Default or Potential Default has occurred and is continuing.</w:t>
      </w:r>
    </w:p>
    <w:p>
      <w:pPr>
        <w:spacing w:after="0" w:line="205" w:lineRule="exact"/>
        <w:rPr>
          <w:sz w:val="20"/>
          <w:szCs w:val="20"/>
          <w:color w:val="auto"/>
        </w:rPr>
      </w:pPr>
    </w:p>
    <w:p>
      <w:pPr>
        <w:ind w:firstLine="6"/>
        <w:spacing w:after="0" w:line="290" w:lineRule="auto"/>
        <w:tabs>
          <w:tab w:leader="none" w:pos="566" w:val="left"/>
        </w:tabs>
        <w:numPr>
          <w:ilvl w:val="0"/>
          <w:numId w:val="7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Conditions Precedent to Effective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Amendment shall be effective on the date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upon which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Administrative Agent receives each of the following items:</w:t>
      </w:r>
    </w:p>
    <w:p>
      <w:pPr>
        <w:spacing w:after="0" w:line="179" w:lineRule="exact"/>
        <w:rPr>
          <w:rFonts w:ascii="Times New Roman" w:cs="Times New Roman" w:eastAsia="Times New Roman" w:hAnsi="Times New Roman"/>
          <w:sz w:val="19"/>
          <w:szCs w:val="19"/>
          <w:b w:val="1"/>
          <w:bCs w:val="1"/>
          <w:color w:val="auto"/>
        </w:rPr>
      </w:pPr>
    </w:p>
    <w:p>
      <w:pPr>
        <w:ind w:left="1100" w:hanging="457"/>
        <w:spacing w:after="0"/>
        <w:tabs>
          <w:tab w:leader="none" w:pos="110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counterparts of this Amendment executed by the Company, Administrative Agent and the Increasing Lenders;</w:t>
      </w:r>
    </w:p>
    <w:p>
      <w:pPr>
        <w:spacing w:after="0" w:line="245" w:lineRule="exact"/>
        <w:rPr>
          <w:rFonts w:ascii="Times New Roman" w:cs="Times New Roman" w:eastAsia="Times New Roman" w:hAnsi="Times New Roman"/>
          <w:sz w:val="19"/>
          <w:szCs w:val="19"/>
          <w:color w:val="auto"/>
        </w:rPr>
      </w:pPr>
    </w:p>
    <w:p>
      <w:pPr>
        <w:ind w:left="1120" w:hanging="477"/>
        <w:spacing w:after="0"/>
        <w:tabs>
          <w:tab w:leader="none" w:pos="112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Guarantors’ Consent and Agreement executed by each Guarantor;</w:t>
      </w:r>
    </w:p>
    <w:p>
      <w:pPr>
        <w:spacing w:after="0" w:line="259" w:lineRule="exact"/>
        <w:rPr>
          <w:rFonts w:ascii="Times New Roman" w:cs="Times New Roman" w:eastAsia="Times New Roman" w:hAnsi="Times New Roman"/>
          <w:sz w:val="19"/>
          <w:szCs w:val="19"/>
          <w:color w:val="auto"/>
        </w:rPr>
      </w:pPr>
    </w:p>
    <w:p>
      <w:pPr>
        <w:ind w:firstLine="643"/>
        <w:spacing w:after="0" w:line="300" w:lineRule="auto"/>
        <w:tabs>
          <w:tab w:leader="none" w:pos="1151"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Delayed Draw Term Loan Lender requesting a Delayed Draw Term Loan Note receives a Delayed Draw Term Loan Note made by Borrower, payable to such Delayed Draw Term Loan Lender;</w:t>
      </w:r>
    </w:p>
    <w:p>
      <w:pPr>
        <w:spacing w:after="0" w:line="156" w:lineRule="exact"/>
        <w:rPr>
          <w:rFonts w:ascii="Times New Roman" w:cs="Times New Roman" w:eastAsia="Times New Roman" w:hAnsi="Times New Roman"/>
          <w:sz w:val="19"/>
          <w:szCs w:val="19"/>
          <w:color w:val="auto"/>
        </w:rPr>
      </w:pPr>
    </w:p>
    <w:p>
      <w:pPr>
        <w:ind w:firstLine="643"/>
        <w:spacing w:after="0" w:line="300" w:lineRule="auto"/>
        <w:tabs>
          <w:tab w:leader="none" w:pos="1109"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of all fees payable on or prior to the Effective Date pursuant to the Credit Agreement and Fee Letter (as amended by that certain Fee Letter Amendment dated of even date hereof);</w:t>
      </w:r>
    </w:p>
    <w:p>
      <w:pPr>
        <w:spacing w:after="0" w:line="156" w:lineRule="exact"/>
        <w:rPr>
          <w:rFonts w:ascii="Times New Roman" w:cs="Times New Roman" w:eastAsia="Times New Roman" w:hAnsi="Times New Roman"/>
          <w:sz w:val="19"/>
          <w:szCs w:val="19"/>
          <w:color w:val="auto"/>
        </w:rPr>
      </w:pPr>
    </w:p>
    <w:p>
      <w:pPr>
        <w:ind w:firstLine="643"/>
        <w:spacing w:after="0" w:line="300" w:lineRule="auto"/>
        <w:tabs>
          <w:tab w:leader="none" w:pos="1154"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legal opinion of Gibson, Dunn &amp; Crutcher, LLP, special New York counsel to the Company and each Guarantor, in form and substance satisfactory to Administrative Agent; and</w:t>
      </w:r>
    </w:p>
    <w:p>
      <w:pPr>
        <w:spacing w:after="0" w:line="156" w:lineRule="exact"/>
        <w:rPr>
          <w:rFonts w:ascii="Times New Roman" w:cs="Times New Roman" w:eastAsia="Times New Roman" w:hAnsi="Times New Roman"/>
          <w:sz w:val="19"/>
          <w:szCs w:val="19"/>
          <w:color w:val="auto"/>
        </w:rPr>
      </w:pPr>
    </w:p>
    <w:p>
      <w:pPr>
        <w:ind w:left="1100" w:hanging="457"/>
        <w:spacing w:after="0"/>
        <w:tabs>
          <w:tab w:leader="none" w:pos="110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each Company dated as of the Effective Date signed by a Responsible Officer of the Company and each Guarantor</w:t>
      </w:r>
    </w:p>
    <w:p>
      <w:pPr>
        <w:spacing w:after="0" w:line="34" w:lineRule="exact"/>
        <w:rPr>
          <w:rFonts w:ascii="Times New Roman" w:cs="Times New Roman" w:eastAsia="Times New Roman" w:hAnsi="Times New Roman"/>
          <w:sz w:val="19"/>
          <w:szCs w:val="19"/>
          <w:color w:val="auto"/>
        </w:rPr>
      </w:pPr>
    </w:p>
    <w:p>
      <w:pPr>
        <w:jc w:val="both"/>
        <w:spacing w:after="0" w:line="26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certifying and attaching the resolutions adopted by each such entity approving or consenting to this Amendment, and (B) in the case of the Company, certifying that, before and after giving effect to this Amendment, (1) the representations and warranties contained in </w:t>
      </w:r>
      <w:r>
        <w:rPr>
          <w:rFonts w:ascii="Times New Roman" w:cs="Times New Roman" w:eastAsia="Times New Roman" w:hAnsi="Times New Roman"/>
          <w:sz w:val="19"/>
          <w:szCs w:val="19"/>
          <w:i w:val="1"/>
          <w:iCs w:val="1"/>
          <w:color w:val="auto"/>
        </w:rPr>
        <w:t>Section 8</w:t>
      </w:r>
      <w:r>
        <w:rPr>
          <w:rFonts w:ascii="Times New Roman" w:cs="Times New Roman" w:eastAsia="Times New Roman" w:hAnsi="Times New Roman"/>
          <w:sz w:val="19"/>
          <w:szCs w:val="19"/>
          <w:color w:val="auto"/>
        </w:rPr>
        <w:t xml:space="preserve"> of the Credit Agreement and the other Loan Papers are true and correct on and as of the Effective Date, except to the extent that such representations and warranties specifically refer to an earlier date, in which case they are true and correct as of such earlier date, and (2) no Default or Potential Default exists or would result from this Amendment.</w:t>
      </w:r>
    </w:p>
    <w:p>
      <w:pPr>
        <w:spacing w:after="0" w:line="204" w:lineRule="exact"/>
        <w:rPr>
          <w:rFonts w:ascii="Times New Roman" w:cs="Times New Roman" w:eastAsia="Times New Roman" w:hAnsi="Times New Roman"/>
          <w:sz w:val="19"/>
          <w:szCs w:val="19"/>
          <w:color w:val="auto"/>
        </w:rPr>
      </w:pPr>
    </w:p>
    <w:p>
      <w:pPr>
        <w:jc w:val="both"/>
        <w:ind w:firstLine="6"/>
        <w:spacing w:after="0" w:line="265" w:lineRule="auto"/>
        <w:tabs>
          <w:tab w:leader="none" w:pos="353" w:val="left"/>
        </w:tabs>
        <w:numPr>
          <w:ilvl w:val="0"/>
          <w:numId w:val="7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Increasing Revolver Lenders; Delayed Draw Term Loan Lenders.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the terms and conditions set forth herein, (a) each Lender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set forth on the signature pages hereto as an </w:t>
      </w:r>
      <w:r>
        <w:rPr>
          <w:rFonts w:ascii="Times New Roman" w:cs="Times New Roman" w:eastAsia="Times New Roman" w:hAnsi="Times New Roman"/>
          <w:sz w:val="19"/>
          <w:szCs w:val="19"/>
          <w:i w:val="1"/>
          <w:iCs w:val="1"/>
          <w:color w:val="auto"/>
        </w:rPr>
        <w:t>“Increasing Revolver Lender”</w:t>
      </w:r>
      <w:r>
        <w:rPr>
          <w:rFonts w:ascii="Times New Roman" w:cs="Times New Roman" w:eastAsia="Times New Roman" w:hAnsi="Times New Roman"/>
          <w:sz w:val="19"/>
          <w:szCs w:val="19"/>
          <w:color w:val="auto"/>
        </w:rPr>
        <w:t xml:space="preserve"> hereby agrees to increase its Revolver Commitment under the Credit Agreement on the date hereof to equal the amount set forth opposite such Increasing Revolver Lender’s name on </w:t>
      </w:r>
      <w:r>
        <w:rPr>
          <w:rFonts w:ascii="Times New Roman" w:cs="Times New Roman" w:eastAsia="Times New Roman" w:hAnsi="Times New Roman"/>
          <w:sz w:val="19"/>
          <w:szCs w:val="19"/>
          <w:b w:val="1"/>
          <w:bCs w:val="1"/>
          <w:i w:val="1"/>
          <w:iCs w:val="1"/>
          <w:color w:val="auto"/>
        </w:rPr>
        <w:t>Schedule 1</w:t>
      </w:r>
      <w:r>
        <w:rPr>
          <w:rFonts w:ascii="Times New Roman" w:cs="Times New Roman" w:eastAsia="Times New Roman" w:hAnsi="Times New Roman"/>
          <w:sz w:val="19"/>
          <w:szCs w:val="19"/>
          <w:color w:val="auto"/>
        </w:rPr>
        <w:t xml:space="preserve"> attached hereto and (b) each Lender set forth on the signature pages hereto as a </w:t>
      </w:r>
      <w:r>
        <w:rPr>
          <w:rFonts w:ascii="Times New Roman" w:cs="Times New Roman" w:eastAsia="Times New Roman" w:hAnsi="Times New Roman"/>
          <w:sz w:val="19"/>
          <w:szCs w:val="19"/>
          <w:i w:val="1"/>
          <w:iCs w:val="1"/>
          <w:color w:val="auto"/>
        </w:rPr>
        <w:t>“Delayed Draw Term Loan Lender”</w:t>
      </w:r>
      <w:r>
        <w:rPr>
          <w:rFonts w:ascii="Times New Roman" w:cs="Times New Roman" w:eastAsia="Times New Roman" w:hAnsi="Times New Roman"/>
          <w:sz w:val="19"/>
          <w:szCs w:val="19"/>
          <w:color w:val="auto"/>
        </w:rPr>
        <w:t xml:space="preserve"> hereby (i) agrees to become a </w:t>
      </w:r>
      <w:r>
        <w:rPr>
          <w:rFonts w:ascii="Times New Roman" w:cs="Times New Roman" w:eastAsia="Times New Roman" w:hAnsi="Times New Roman"/>
          <w:sz w:val="19"/>
          <w:szCs w:val="19"/>
          <w:i w:val="1"/>
          <w:iCs w:val="1"/>
          <w:color w:val="auto"/>
        </w:rPr>
        <w:t>“Delayed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Draw Term Loan Lender” </w:t>
      </w:r>
      <w:r>
        <w:rPr>
          <w:rFonts w:ascii="Times New Roman" w:cs="Times New Roman" w:eastAsia="Times New Roman" w:hAnsi="Times New Roman"/>
          <w:sz w:val="19"/>
          <w:szCs w:val="19"/>
          <w:color w:val="auto"/>
        </w:rPr>
        <w:t>under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90" w:right="339" w:bottom="1440" w:gutter="0" w:footer="0" w:header="0"/>
        </w:sectPr>
      </w:pPr>
    </w:p>
    <w:bookmarkStart w:id="89" w:name="page90"/>
    <w:bookmarkEnd w:id="89"/>
    <w:p>
      <w:pPr>
        <w:spacing w:after="0" w:line="300" w:lineRule="auto"/>
        <w:rPr>
          <w:sz w:val="20"/>
          <w:szCs w:val="20"/>
          <w:color w:val="auto"/>
        </w:rPr>
      </w:pPr>
      <w:r>
        <w:rPr>
          <w:rFonts w:ascii="Times New Roman" w:cs="Times New Roman" w:eastAsia="Times New Roman" w:hAnsi="Times New Roman"/>
          <w:sz w:val="19"/>
          <w:szCs w:val="19"/>
          <w:color w:val="auto"/>
        </w:rPr>
        <w:t xml:space="preserve">Agreement, and (ii) agrees to provide a Delayed Draw Term Loan Commitment under the Credit Agreement on the date hereof in the amount set forth opposite such Delayed Draw Term Loan Lender’s name on </w:t>
      </w:r>
      <w:r>
        <w:rPr>
          <w:rFonts w:ascii="Times New Roman" w:cs="Times New Roman" w:eastAsia="Times New Roman" w:hAnsi="Times New Roman"/>
          <w:sz w:val="19"/>
          <w:szCs w:val="19"/>
          <w:b w:val="1"/>
          <w:bCs w:val="1"/>
          <w:i w:val="1"/>
          <w:iCs w:val="1"/>
          <w:color w:val="auto"/>
        </w:rPr>
        <w:t>Schedule 1</w:t>
      </w:r>
      <w:r>
        <w:rPr>
          <w:rFonts w:ascii="Times New Roman" w:cs="Times New Roman" w:eastAsia="Times New Roman" w:hAnsi="Times New Roman"/>
          <w:sz w:val="19"/>
          <w:szCs w:val="19"/>
          <w:color w:val="auto"/>
        </w:rPr>
        <w:t xml:space="preserve"> attached hereto.</w:t>
      </w:r>
    </w:p>
    <w:p>
      <w:pPr>
        <w:spacing w:after="0" w:line="153" w:lineRule="exact"/>
        <w:rPr>
          <w:sz w:val="20"/>
          <w:szCs w:val="20"/>
          <w:color w:val="auto"/>
        </w:rPr>
      </w:pPr>
    </w:p>
    <w:p>
      <w:pPr>
        <w:ind w:left="340" w:hanging="334"/>
        <w:spacing w:after="0"/>
        <w:tabs>
          <w:tab w:leader="none" w:pos="340" w:val="left"/>
        </w:tabs>
        <w:numPr>
          <w:ilvl w:val="0"/>
          <w:numId w:val="7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New Lenders; Commitment Schedule; Reallocations.</w:t>
      </w:r>
    </w:p>
    <w:p>
      <w:pPr>
        <w:spacing w:after="0" w:line="263" w:lineRule="exact"/>
        <w:rPr>
          <w:rFonts w:ascii="Times New Roman" w:cs="Times New Roman" w:eastAsia="Times New Roman" w:hAnsi="Times New Roman"/>
          <w:sz w:val="19"/>
          <w:szCs w:val="19"/>
          <w:b w:val="1"/>
          <w:bCs w:val="1"/>
          <w:color w:val="auto"/>
        </w:rPr>
      </w:pPr>
    </w:p>
    <w:p>
      <w:pPr>
        <w:jc w:val="both"/>
        <w:ind w:firstLine="643"/>
        <w:spacing w:after="0" w:line="259" w:lineRule="auto"/>
        <w:tabs>
          <w:tab w:leader="none" w:pos="1119"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 the Effective Date, each of the banks and financial institutions party to this Amendment and identified on the signature pages hereto as New Lenders (each a </w:t>
      </w:r>
      <w:r>
        <w:rPr>
          <w:rFonts w:ascii="Times New Roman" w:cs="Times New Roman" w:eastAsia="Times New Roman" w:hAnsi="Times New Roman"/>
          <w:sz w:val="19"/>
          <w:szCs w:val="19"/>
          <w:b w:val="1"/>
          <w:bCs w:val="1"/>
          <w:i w:val="1"/>
          <w:iCs w:val="1"/>
          <w:color w:val="auto"/>
        </w:rPr>
        <w:t>“New Lender”</w:t>
      </w:r>
      <w:r>
        <w:rPr>
          <w:rFonts w:ascii="Times New Roman" w:cs="Times New Roman" w:eastAsia="Times New Roman" w:hAnsi="Times New Roman"/>
          <w:sz w:val="19"/>
          <w:szCs w:val="19"/>
          <w:color w:val="auto"/>
        </w:rPr>
        <w:t xml:space="preserve">): (i) shall be deemed automatically to have become a party to the Credit Agreement and have all the rights and obligations of a </w:t>
      </w:r>
      <w:r>
        <w:rPr>
          <w:rFonts w:ascii="Times New Roman" w:cs="Times New Roman" w:eastAsia="Times New Roman" w:hAnsi="Times New Roman"/>
          <w:sz w:val="19"/>
          <w:szCs w:val="19"/>
          <w:i w:val="1"/>
          <w:iCs w:val="1"/>
          <w:color w:val="auto"/>
        </w:rPr>
        <w:t>“Lender”</w:t>
      </w:r>
      <w:r>
        <w:rPr>
          <w:rFonts w:ascii="Times New Roman" w:cs="Times New Roman" w:eastAsia="Times New Roman" w:hAnsi="Times New Roman"/>
          <w:sz w:val="19"/>
          <w:szCs w:val="19"/>
          <w:color w:val="auto"/>
        </w:rPr>
        <w:t xml:space="preserve"> under the Credit Agreement as if it were an original signatory thereto and (ii) agrees to be bound by the terms and conditions set forth in the Credit Agreement as if it were an original signatory thereto. Each New Lender hereby confirms that it has received a copy of the Loan Papers and the exhibits related thereto, together with copies of the documents which were required to be delivered under the Credit Agreement as a condition to the making of the Loans and other extensions of credit thereunder. Each New Lender acknowledges and agrees that it has made and will continue to make, independently and without reliance upon Administrative Agent or any other Lender and based on such documents and information as it has deemed appropriate, its own credit analysis and decisions relating to the Credit Agreement. Each New Lender further acknowledges and agrees that Administrative Agent has not made any representations or warranties about the credit worthiness of Borrower or any of its Subsidiaries or any other party to the Credit Agreement or any other Loan Paper or with respect to the legality, validity, sufficiency or enforceability of the Credit Agreement or any other Loan Paper or the value of any security therefor.</w:t>
      </w:r>
    </w:p>
    <w:p>
      <w:pPr>
        <w:spacing w:after="0" w:line="200" w:lineRule="exact"/>
        <w:rPr>
          <w:rFonts w:ascii="Times New Roman" w:cs="Times New Roman" w:eastAsia="Times New Roman" w:hAnsi="Times New Roman"/>
          <w:sz w:val="19"/>
          <w:szCs w:val="19"/>
          <w:color w:val="auto"/>
        </w:rPr>
      </w:pPr>
    </w:p>
    <w:p>
      <w:pPr>
        <w:spacing w:after="0" w:line="242" w:lineRule="exact"/>
        <w:rPr>
          <w:rFonts w:ascii="Times New Roman" w:cs="Times New Roman" w:eastAsia="Times New Roman" w:hAnsi="Times New Roman"/>
          <w:sz w:val="19"/>
          <w:szCs w:val="19"/>
          <w:color w:val="auto"/>
        </w:rPr>
      </w:pPr>
    </w:p>
    <w:p>
      <w:pPr>
        <w:jc w:val="both"/>
        <w:ind w:firstLine="643"/>
        <w:spacing w:after="0" w:line="261" w:lineRule="auto"/>
        <w:tabs>
          <w:tab w:leader="none" w:pos="1144"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set forth herein, upon the effectiveness of this Amendment, the </w:t>
      </w:r>
      <w:r>
        <w:rPr>
          <w:rFonts w:ascii="Times New Roman" w:cs="Times New Roman" w:eastAsia="Times New Roman" w:hAnsi="Times New Roman"/>
          <w:sz w:val="19"/>
          <w:szCs w:val="19"/>
          <w:i w:val="1"/>
          <w:iCs w:val="1"/>
          <w:color w:val="auto"/>
        </w:rPr>
        <w:t>“Lenders and Commitment”</w:t>
      </w:r>
      <w:r>
        <w:rPr>
          <w:rFonts w:ascii="Times New Roman" w:cs="Times New Roman" w:eastAsia="Times New Roman" w:hAnsi="Times New Roman"/>
          <w:sz w:val="19"/>
          <w:szCs w:val="19"/>
          <w:color w:val="auto"/>
        </w:rPr>
        <w:t xml:space="preserve"> table set forth on </w:t>
      </w:r>
      <w:r>
        <w:rPr>
          <w:rFonts w:ascii="Times New Roman" w:cs="Times New Roman" w:eastAsia="Times New Roman" w:hAnsi="Times New Roman"/>
          <w:sz w:val="19"/>
          <w:szCs w:val="19"/>
          <w:i w:val="1"/>
          <w:iCs w:val="1"/>
          <w:color w:val="auto"/>
        </w:rPr>
        <w:t>Schedule 1</w:t>
      </w:r>
      <w:r>
        <w:rPr>
          <w:rFonts w:ascii="Times New Roman" w:cs="Times New Roman" w:eastAsia="Times New Roman" w:hAnsi="Times New Roman"/>
          <w:sz w:val="19"/>
          <w:szCs w:val="19"/>
          <w:color w:val="auto"/>
        </w:rPr>
        <w:t xml:space="preserve"> to the Credit Agreement is hereby replaced with </w:t>
      </w:r>
      <w:r>
        <w:rPr>
          <w:rFonts w:ascii="Times New Roman" w:cs="Times New Roman" w:eastAsia="Times New Roman" w:hAnsi="Times New Roman"/>
          <w:sz w:val="19"/>
          <w:szCs w:val="19"/>
          <w:b w:val="1"/>
          <w:bCs w:val="1"/>
          <w:i w:val="1"/>
          <w:iCs w:val="1"/>
          <w:color w:val="auto"/>
        </w:rPr>
        <w:t>Schedule 1</w:t>
      </w:r>
      <w:r>
        <w:rPr>
          <w:rFonts w:ascii="Times New Roman" w:cs="Times New Roman" w:eastAsia="Times New Roman" w:hAnsi="Times New Roman"/>
          <w:sz w:val="19"/>
          <w:szCs w:val="19"/>
          <w:color w:val="auto"/>
        </w:rPr>
        <w:t xml:space="preserve"> attached hereto. Upon the effectiveness of this Agreement, the Company, Administrative Agent and Lenders (including each New Lender) shall make such reallocations, sales, assignments and other relevant actions in respect of each Lender’s Revolver Loans as are necessary in order that such Lender’s Revolver Loans reflect such Lender’s Commitment Percentage of the aggregate Revolver Commitments on the date hereof. The Company agrees to compensate each Lender for any loss, cost or expense incurred by such Lender in connection with the reallocation described above, in each case on the terms and in the manner set forth in </w:t>
      </w:r>
      <w:r>
        <w:rPr>
          <w:rFonts w:ascii="Times New Roman" w:cs="Times New Roman" w:eastAsia="Times New Roman" w:hAnsi="Times New Roman"/>
          <w:sz w:val="19"/>
          <w:szCs w:val="19"/>
          <w:i w:val="1"/>
          <w:iCs w:val="1"/>
          <w:color w:val="auto"/>
        </w:rPr>
        <w:t>Section 4.5</w:t>
      </w:r>
      <w:r>
        <w:rPr>
          <w:rFonts w:ascii="Times New Roman" w:cs="Times New Roman" w:eastAsia="Times New Roman" w:hAnsi="Times New Roman"/>
          <w:sz w:val="19"/>
          <w:szCs w:val="19"/>
          <w:color w:val="auto"/>
        </w:rPr>
        <w:t xml:space="preserve"> of the Credit Agreement.</w:t>
      </w:r>
    </w:p>
    <w:p>
      <w:pPr>
        <w:spacing w:after="0" w:line="205" w:lineRule="exact"/>
        <w:rPr>
          <w:rFonts w:ascii="Times New Roman" w:cs="Times New Roman" w:eastAsia="Times New Roman" w:hAnsi="Times New Roman"/>
          <w:sz w:val="19"/>
          <w:szCs w:val="19"/>
          <w:color w:val="auto"/>
        </w:rPr>
      </w:pPr>
    </w:p>
    <w:p>
      <w:pPr>
        <w:jc w:val="both"/>
        <w:ind w:firstLine="6"/>
        <w:spacing w:after="0" w:line="276" w:lineRule="auto"/>
        <w:tabs>
          <w:tab w:leader="none" w:pos="367" w:val="left"/>
        </w:tabs>
        <w:numPr>
          <w:ilvl w:val="0"/>
          <w:numId w:val="7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Designation of Unrestricted Subsidiaries.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Section 9.11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Credit Agreement, the Company hereby designates the entities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listed on </w:t>
      </w:r>
      <w:r>
        <w:rPr>
          <w:rFonts w:ascii="Times New Roman" w:cs="Times New Roman" w:eastAsia="Times New Roman" w:hAnsi="Times New Roman"/>
          <w:sz w:val="19"/>
          <w:szCs w:val="19"/>
          <w:b w:val="1"/>
          <w:bCs w:val="1"/>
          <w:i w:val="1"/>
          <w:iCs w:val="1"/>
          <w:color w:val="auto"/>
        </w:rPr>
        <w:t>Annex B</w:t>
      </w:r>
      <w:r>
        <w:rPr>
          <w:rFonts w:ascii="Times New Roman" w:cs="Times New Roman" w:eastAsia="Times New Roman" w:hAnsi="Times New Roman"/>
          <w:sz w:val="19"/>
          <w:szCs w:val="19"/>
          <w:color w:val="auto"/>
        </w:rPr>
        <w:t xml:space="preserve"> attached hereto as Unrestricted Subsidiaries and hereby confirms that such designation satisfies the requirements set forth in </w:t>
      </w:r>
      <w:r>
        <w:rPr>
          <w:rFonts w:ascii="Times New Roman" w:cs="Times New Roman" w:eastAsia="Times New Roman" w:hAnsi="Times New Roman"/>
          <w:sz w:val="19"/>
          <w:szCs w:val="19"/>
          <w:i w:val="1"/>
          <w:iCs w:val="1"/>
          <w:color w:val="auto"/>
        </w:rPr>
        <w:t xml:space="preserve">Section 9.11 </w:t>
      </w:r>
      <w:r>
        <w:rPr>
          <w:rFonts w:ascii="Times New Roman" w:cs="Times New Roman" w:eastAsia="Times New Roman" w:hAnsi="Times New Roman"/>
          <w:sz w:val="19"/>
          <w:szCs w:val="19"/>
          <w:color w:val="auto"/>
        </w:rPr>
        <w:t>of the Credit Agreement, except as provided in</w:t>
      </w:r>
      <w:r>
        <w:rPr>
          <w:rFonts w:ascii="Times New Roman" w:cs="Times New Roman" w:eastAsia="Times New Roman" w:hAnsi="Times New Roman"/>
          <w:sz w:val="19"/>
          <w:szCs w:val="19"/>
          <w:i w:val="1"/>
          <w:iCs w:val="1"/>
          <w:color w:val="auto"/>
        </w:rPr>
        <w:t xml:space="preserve"> Section 1.8 </w:t>
      </w:r>
      <w:r>
        <w:rPr>
          <w:rFonts w:ascii="Times New Roman" w:cs="Times New Roman" w:eastAsia="Times New Roman" w:hAnsi="Times New Roman"/>
          <w:sz w:val="19"/>
          <w:szCs w:val="19"/>
          <w:color w:val="auto"/>
        </w:rPr>
        <w:t>of the Credit Agreement.</w:t>
      </w:r>
    </w:p>
    <w:p>
      <w:pPr>
        <w:spacing w:after="0" w:line="188" w:lineRule="exact"/>
        <w:rPr>
          <w:rFonts w:ascii="Times New Roman" w:cs="Times New Roman" w:eastAsia="Times New Roman" w:hAnsi="Times New Roman"/>
          <w:sz w:val="19"/>
          <w:szCs w:val="19"/>
          <w:b w:val="1"/>
          <w:bCs w:val="1"/>
          <w:color w:val="auto"/>
        </w:rPr>
      </w:pPr>
    </w:p>
    <w:p>
      <w:pPr>
        <w:jc w:val="both"/>
        <w:ind w:firstLine="6"/>
        <w:spacing w:after="0" w:line="276" w:lineRule="auto"/>
        <w:tabs>
          <w:tab w:leader="none" w:pos="340" w:val="left"/>
        </w:tabs>
        <w:numPr>
          <w:ilvl w:val="0"/>
          <w:numId w:val="7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Expenses.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shall pay all reasonable out-of-pocket fees and expenses paid or incurred by Administrative Agent incident to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Amendment, including, without limitation, the reasonable fees and expenses of Administrative Agent’s counsel in connection with the negotiation, preparation, delivery, and execution of this Amendment and any related documents.</w:t>
      </w:r>
    </w:p>
    <w:p>
      <w:pPr>
        <w:spacing w:after="0" w:line="188" w:lineRule="exact"/>
        <w:rPr>
          <w:rFonts w:ascii="Times New Roman" w:cs="Times New Roman" w:eastAsia="Times New Roman" w:hAnsi="Times New Roman"/>
          <w:sz w:val="19"/>
          <w:szCs w:val="19"/>
          <w:b w:val="1"/>
          <w:bCs w:val="1"/>
          <w:color w:val="auto"/>
        </w:rPr>
      </w:pPr>
    </w:p>
    <w:p>
      <w:pPr>
        <w:jc w:val="both"/>
        <w:ind w:firstLine="6"/>
        <w:spacing w:after="0" w:line="265" w:lineRule="auto"/>
        <w:tabs>
          <w:tab w:leader="none" w:pos="393" w:val="left"/>
        </w:tabs>
        <w:numPr>
          <w:ilvl w:val="0"/>
          <w:numId w:val="7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Ratifications.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and each Guarantor (by executing the Guarantors’ Consent and Agreement attached hereto) (a) ratifies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confirms all provisions of the Loan Papers; (b) ratifies and confirms that all Guaranties, assurances, and Liens granted, conveyed, or assigned to Administrative Agent, for the benefit of the Lenders, under the Loan Papers are not released, reduced, or otherwise adversely affected by this Amendment and continue to guarantee, assure, and secure full payment and performance of Company’s present and future Obligations to Administrative Agent and the Lenders;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90" w:right="339" w:bottom="1440" w:gutter="0" w:footer="0" w:header="0"/>
        </w:sectPr>
      </w:pPr>
    </w:p>
    <w:bookmarkStart w:id="90" w:name="page91"/>
    <w:bookmarkEnd w:id="90"/>
    <w:p>
      <w:pPr>
        <w:ind w:firstLine="6"/>
        <w:spacing w:after="0" w:line="300" w:lineRule="auto"/>
        <w:tabs>
          <w:tab w:leader="none" w:pos="265"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to perform such acts and duly authorize, execute, acknowledge, deliver, file, and record such additional documents, and certificates as Administrative Agent may reasonably request in order to create, perfect, preserve, and protect those guaranties, assurances, and liens.</w:t>
      </w:r>
    </w:p>
    <w:p>
      <w:pPr>
        <w:spacing w:after="0" w:line="153" w:lineRule="exact"/>
        <w:rPr>
          <w:sz w:val="20"/>
          <w:szCs w:val="20"/>
          <w:color w:val="auto"/>
        </w:rPr>
      </w:pPr>
    </w:p>
    <w:p>
      <w:pPr>
        <w:jc w:val="both"/>
        <w:ind w:firstLine="6"/>
        <w:spacing w:after="0" w:line="269" w:lineRule="auto"/>
        <w:tabs>
          <w:tab w:leader="none" w:pos="340" w:val="left"/>
        </w:tabs>
        <w:numPr>
          <w:ilvl w:val="0"/>
          <w:numId w:val="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Unless stated otherwise herein, (a) the singular number includes the plural,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vice versa</w:t>
      </w:r>
      <w:r>
        <w:rPr>
          <w:rFonts w:ascii="Times New Roman" w:cs="Times New Roman" w:eastAsia="Times New Roman" w:hAnsi="Times New Roman"/>
          <w:sz w:val="19"/>
          <w:szCs w:val="19"/>
          <w:color w:val="auto"/>
        </w:rPr>
        <w:t>, and words of any gender include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other gender, in each case, as appropriate, (b) headings and captions shall not be construed in interpreting provisions of this Amendment,</w:t>
      </w:r>
    </w:p>
    <w:p>
      <w:pPr>
        <w:jc w:val="both"/>
        <w:spacing w:after="0" w:line="258"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(c) this Amendment shall be governed by and construed in accordance with the laws of the State of New York, (d) if any part of this Amendment is for any reason found to be unenforceable, all other portions of it shall nevertheless remain enforceable, (e) this Amendment may be executed in any number of counterparts with the same effect as if all signatories had signed the same document, and all of those counterparts shall be construed together to constitute the same document and facsimile and electronic (e.g. pdf) signatures shall constitute originals for all intents and purposes hereof, (f) this Amendment is a </w:t>
      </w:r>
      <w:r>
        <w:rPr>
          <w:rFonts w:ascii="Times New Roman" w:cs="Times New Roman" w:eastAsia="Times New Roman" w:hAnsi="Times New Roman"/>
          <w:sz w:val="19"/>
          <w:szCs w:val="19"/>
          <w:i w:val="1"/>
          <w:iCs w:val="1"/>
          <w:color w:val="auto"/>
        </w:rPr>
        <w:t>“Loan Paper”</w:t>
      </w:r>
      <w:r>
        <w:rPr>
          <w:rFonts w:ascii="Times New Roman" w:cs="Times New Roman" w:eastAsia="Times New Roman" w:hAnsi="Times New Roman"/>
          <w:sz w:val="19"/>
          <w:szCs w:val="19"/>
          <w:color w:val="auto"/>
        </w:rPr>
        <w:t xml:space="preserve"> referred to in the Credit Agreement, and the provisions relating to Loan Papers in </w:t>
      </w:r>
      <w:r>
        <w:rPr>
          <w:rFonts w:ascii="Times New Roman" w:cs="Times New Roman" w:eastAsia="Times New Roman" w:hAnsi="Times New Roman"/>
          <w:sz w:val="19"/>
          <w:szCs w:val="19"/>
          <w:i w:val="1"/>
          <w:iCs w:val="1"/>
          <w:color w:val="auto"/>
        </w:rPr>
        <w:t>Section 15</w:t>
      </w:r>
      <w:r>
        <w:rPr>
          <w:rFonts w:ascii="Times New Roman" w:cs="Times New Roman" w:eastAsia="Times New Roman" w:hAnsi="Times New Roman"/>
          <w:sz w:val="19"/>
          <w:szCs w:val="19"/>
          <w:color w:val="auto"/>
        </w:rPr>
        <w:t xml:space="preserve"> of the Credit Agreement are incorporated herein by reference, (g) this Amendment, the Credit Agreement, as amended by this Amendment, and the other Loan Papers constitute the entire agreement and understanding among the parties hereto and supersede any and all prior agreements and understandings, oral or written, relating to the subject matter hereof, and (h) except as provided in this Amendment, the Credit Agreement, the Notes, and the other Loan Papers are unchanged and are ratified and confirmed.</w:t>
      </w:r>
    </w:p>
    <w:p>
      <w:pPr>
        <w:spacing w:after="0" w:line="208" w:lineRule="exact"/>
        <w:rPr>
          <w:rFonts w:ascii="Times New Roman" w:cs="Times New Roman" w:eastAsia="Times New Roman" w:hAnsi="Times New Roman"/>
          <w:sz w:val="19"/>
          <w:szCs w:val="19"/>
          <w:b w:val="1"/>
          <w:bCs w:val="1"/>
          <w:color w:val="auto"/>
        </w:rPr>
      </w:pPr>
    </w:p>
    <w:p>
      <w:pPr>
        <w:ind w:firstLine="6"/>
        <w:spacing w:after="0" w:line="290" w:lineRule="auto"/>
        <w:tabs>
          <w:tab w:leader="none" w:pos="477" w:val="left"/>
        </w:tabs>
        <w:numPr>
          <w:ilvl w:val="0"/>
          <w:numId w:val="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Parties.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Amendment binds and inures to the benefit of the Company, the Guarantors, Administrative Agent, the Lenders, and their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respective successors and assigns.</w:t>
      </w:r>
    </w:p>
    <w:p>
      <w:pPr>
        <w:spacing w:after="0" w:line="175" w:lineRule="exact"/>
        <w:rPr>
          <w:rFonts w:ascii="Times New Roman" w:cs="Times New Roman" w:eastAsia="Times New Roman" w:hAnsi="Times New Roman"/>
          <w:sz w:val="19"/>
          <w:szCs w:val="19"/>
          <w:b w:val="1"/>
          <w:bCs w:val="1"/>
          <w:color w:val="auto"/>
        </w:rPr>
      </w:pPr>
    </w:p>
    <w:p>
      <w:pPr>
        <w:jc w:val="both"/>
        <w:ind w:firstLine="6"/>
        <w:spacing w:after="0" w:line="259" w:lineRule="auto"/>
        <w:tabs>
          <w:tab w:leader="none" w:pos="533" w:val="left"/>
        </w:tabs>
        <w:numPr>
          <w:ilvl w:val="0"/>
          <w:numId w:val="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Electronic Signatures.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Amendment and any document, amendment, approval, consent, information, notice, certificate, request,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statement, disclosure or authorization related to this Amendment (each a </w:t>
      </w:r>
      <w:r>
        <w:rPr>
          <w:rFonts w:ascii="Times New Roman" w:cs="Times New Roman" w:eastAsia="Times New Roman" w:hAnsi="Times New Roman"/>
          <w:sz w:val="19"/>
          <w:szCs w:val="19"/>
          <w:b w:val="1"/>
          <w:bCs w:val="1"/>
          <w:i w:val="1"/>
          <w:iCs w:val="1"/>
          <w:color w:val="auto"/>
        </w:rPr>
        <w:t>“Communication”</w:t>
      </w:r>
      <w:r>
        <w:rPr>
          <w:rFonts w:ascii="Times New Roman" w:cs="Times New Roman" w:eastAsia="Times New Roman" w:hAnsi="Times New Roman"/>
          <w:sz w:val="19"/>
          <w:szCs w:val="19"/>
          <w:color w:val="auto"/>
        </w:rPr>
        <w:t>), including Communications required to be in writing, may, if agreed by Administrative Agent, be in the form of an Electronic Record and may be executed using Electronic Signatures, including, without limitation, facsimile and/or .pdf. The Company agrees that any Electronic Signature (including, without limitation, facsimile or .pdf) on or associated with any Communication shall be valid and binding on the Company to the same extent as a manual, original signature, and that any Communication entered into by Electronic Signature, will constitute the legal, valid and binding obligation of the Company enforceable against the Company in accordance with the terms thereof to the same extent as if a manually executed original signature was delivered to Administrative Agent.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Administrative Agent of a manually signed paper Communication which has been converted into electronic form (such as scanned into PDF format), or an electronically signed Communication converted into another format, for transmission, delivery and/or retention. Administrative Agent may, at its option, create one or more copies of any Communication in the form of an imaged Electronic Record (</w:t>
      </w:r>
      <w:r>
        <w:rPr>
          <w:rFonts w:ascii="Times New Roman" w:cs="Times New Roman" w:eastAsia="Times New Roman" w:hAnsi="Times New Roman"/>
          <w:sz w:val="19"/>
          <w:szCs w:val="19"/>
          <w:b w:val="1"/>
          <w:bCs w:val="1"/>
          <w:i w:val="1"/>
          <w:iCs w:val="1"/>
          <w:color w:val="auto"/>
        </w:rPr>
        <w:t>“Electronic Copy”</w:t>
      </w:r>
      <w:r>
        <w:rPr>
          <w:rFonts w:ascii="Times New Roman" w:cs="Times New Roman" w:eastAsia="Times New Roman" w:hAnsi="Times New Roman"/>
          <w:sz w:val="19"/>
          <w:szCs w:val="19"/>
          <w:color w:val="auto"/>
        </w:rPr>
        <w:t xml:space="preserve">), which shall be deemed created in the ordinary course of Administrative Agent’s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Administrative Agent is under no obligation to accept an Electronic Signature in any form or in any format unless expressly agreed to by Administrative Agent pursuant to procedures approved by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without limiting the foregoing, (a) to the extent Administrative Agent has agreed to accept such Electronic Signature, Administrative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Agent shall be entitled to rely on any such Electronic Signature purportedly given by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90" w:right="339" w:bottom="1440" w:gutter="0" w:footer="0" w:header="0"/>
        </w:sectPr>
      </w:pPr>
    </w:p>
    <w:bookmarkStart w:id="91" w:name="page92"/>
    <w:bookmarkEnd w:id="91"/>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behalf of the Company without further verification and (b) upon the request of Administrative Agent any Electronic Signature shall be promptly followed by a manually executed, original counterpart. For purposes hereof, </w:t>
      </w:r>
      <w:r>
        <w:rPr>
          <w:rFonts w:ascii="Times New Roman" w:cs="Times New Roman" w:eastAsia="Times New Roman" w:hAnsi="Times New Roman"/>
          <w:sz w:val="19"/>
          <w:szCs w:val="19"/>
          <w:b w:val="1"/>
          <w:bCs w:val="1"/>
          <w:i w:val="1"/>
          <w:iCs w:val="1"/>
          <w:color w:val="auto"/>
        </w:rPr>
        <w:t>“Electronic Record”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“Electronic Signature”</w:t>
      </w:r>
      <w:r>
        <w:rPr>
          <w:rFonts w:ascii="Times New Roman" w:cs="Times New Roman" w:eastAsia="Times New Roman" w:hAnsi="Times New Roman"/>
          <w:sz w:val="19"/>
          <w:szCs w:val="19"/>
          <w:color w:val="auto"/>
        </w:rPr>
        <w:t xml:space="preserve"> shall have the meanings assigned to them, respectively, by 15 USC §7006, as it may be amended from time to time.</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parties hereto have executed this Amendment in multiple counterparts as of the date first above written.</w:t>
      </w:r>
    </w:p>
    <w:p>
      <w:pPr>
        <w:spacing w:after="0" w:line="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9"/>
          <w:szCs w:val="19"/>
          <w:b w:val="1"/>
          <w:bCs w:val="1"/>
          <w:i w:val="1"/>
          <w:iCs w:val="1"/>
          <w:color w:val="auto"/>
        </w:rPr>
        <w:t>Remainder of Page Intentionally Blank.</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90" w:right="339" w:bottom="1440" w:gutter="0" w:footer="0" w:header="0"/>
        </w:sectPr>
      </w:pPr>
    </w:p>
    <w:bookmarkStart w:id="92" w:name="page93"/>
    <w:bookmarkEnd w:id="92"/>
    <w:p>
      <w:pPr>
        <w:spacing w:after="0" w:line="79"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19"/>
          <w:szCs w:val="19"/>
          <w:b w:val="1"/>
          <w:bCs w:val="1"/>
          <w:color w:val="auto"/>
        </w:rPr>
        <w:t>VAIL HOLDINGS, INC.</w:t>
      </w:r>
      <w:r>
        <w:rPr>
          <w:rFonts w:ascii="Times New Roman" w:cs="Times New Roman" w:eastAsia="Times New Roman" w:hAnsi="Times New Roman"/>
          <w:sz w:val="19"/>
          <w:szCs w:val="19"/>
          <w:color w:val="auto"/>
        </w:rPr>
        <w:t>, as the Company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9"/>
          <w:szCs w:val="19"/>
          <w:color w:val="auto"/>
        </w:rPr>
        <w:t>By:</w:t>
        <w:tab/>
        <w:t>/s/ Angela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27305</wp:posOffset>
            </wp:positionV>
            <wp:extent cx="28638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863850" cy="8255"/>
                    </a:xfrm>
                    <a:prstGeom prst="rect">
                      <a:avLst/>
                    </a:prstGeom>
                    <a:noFill/>
                  </pic:spPr>
                </pic:pic>
              </a:graphicData>
            </a:graphic>
          </wp:anchor>
        </w:drawing>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Name: Angela Korch</w:t>
      </w:r>
    </w:p>
    <w:p>
      <w:pPr>
        <w:spacing w:after="0" w:line="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Title: Executive Vice President and</w:t>
      </w:r>
    </w:p>
    <w:p>
      <w:pPr>
        <w:spacing w:after="0" w:line="34"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ectPr>
          <w:pgSz w:w="11900" w:h="16838" w:orient="portrait"/>
          <w:cols w:equalWidth="0" w:num="1">
            <w:col w:w="9019"/>
          </w:cols>
          <w:pgMar w:left="1440" w:top="1440" w:right="1440" w:bottom="1440" w:gutter="0" w:footer="0" w:header="0"/>
        </w:sectPr>
      </w:pPr>
    </w:p>
    <w:bookmarkStart w:id="93" w:name="page94"/>
    <w:bookmarkEnd w:id="93"/>
    <w:p>
      <w:pPr>
        <w:spacing w:after="0" w:line="7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b w:val="1"/>
          <w:bCs w:val="1"/>
          <w:color w:val="auto"/>
        </w:rPr>
        <w:t>BANK OF AMERICA, N.A.</w:t>
      </w:r>
      <w:r>
        <w:rPr>
          <w:rFonts w:ascii="Times New Roman" w:cs="Times New Roman" w:eastAsia="Times New Roman" w:hAnsi="Times New Roman"/>
          <w:sz w:val="19"/>
          <w:szCs w:val="19"/>
          <w:color w:val="auto"/>
        </w:rPr>
        <w:t>,</w:t>
      </w:r>
    </w:p>
    <w:p>
      <w:pPr>
        <w:ind w:left="512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9"/>
          <w:szCs w:val="19"/>
          <w:color w:val="auto"/>
        </w:rPr>
        <w:t>By:</w:t>
        <w:tab/>
        <w:t>/s/ Roger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27305</wp:posOffset>
            </wp:positionV>
            <wp:extent cx="28638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863850" cy="8255"/>
                    </a:xfrm>
                    <a:prstGeom prst="rect">
                      <a:avLst/>
                    </a:prstGeom>
                    <a:noFill/>
                  </pic:spPr>
                </pic:pic>
              </a:graphicData>
            </a:graphic>
          </wp:anchor>
        </w:drawing>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Name: Roger C. Davis</w:t>
      </w:r>
    </w:p>
    <w:p>
      <w:pPr>
        <w:spacing w:after="0" w:line="35"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ectPr>
          <w:pgSz w:w="11900" w:h="16838" w:orient="portrait"/>
          <w:cols w:equalWidth="0" w:num="1">
            <w:col w:w="9019"/>
          </w:cols>
          <w:pgMar w:left="1440" w:top="1440" w:right="1440" w:bottom="1440" w:gutter="0" w:footer="0" w:header="0"/>
        </w:sectPr>
      </w:pPr>
    </w:p>
    <w:bookmarkStart w:id="94" w:name="page95"/>
    <w:bookmarkEnd w:id="94"/>
    <w:p>
      <w:pPr>
        <w:spacing w:after="0" w:line="7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b w:val="1"/>
          <w:bCs w:val="1"/>
          <w:color w:val="auto"/>
        </w:rPr>
        <w:t>BANK OF AMERICA, N.A.</w:t>
      </w:r>
      <w:r>
        <w:rPr>
          <w:rFonts w:ascii="Times New Roman" w:cs="Times New Roman" w:eastAsia="Times New Roman" w:hAnsi="Times New Roman"/>
          <w:sz w:val="19"/>
          <w:szCs w:val="19"/>
          <w:color w:val="auto"/>
        </w:rPr>
        <w:t>,</w:t>
      </w:r>
    </w:p>
    <w:p>
      <w:pPr>
        <w:ind w:left="5120"/>
        <w:spacing w:after="0" w:line="218" w:lineRule="auto"/>
        <w:rPr>
          <w:sz w:val="20"/>
          <w:szCs w:val="20"/>
          <w:color w:val="auto"/>
        </w:rPr>
      </w:pPr>
      <w:r>
        <w:rPr>
          <w:rFonts w:ascii="Times New Roman" w:cs="Times New Roman" w:eastAsia="Times New Roman" w:hAnsi="Times New Roman"/>
          <w:sz w:val="19"/>
          <w:szCs w:val="19"/>
          <w:color w:val="auto"/>
        </w:rPr>
        <w:t>as an Increasing Revolver Lender and a</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color w:val="auto"/>
        </w:rPr>
        <w:t>Delayed Draw Term Loan Lender</w:t>
      </w:r>
    </w:p>
    <w:p>
      <w:pPr>
        <w:spacing w:after="0" w:line="200" w:lineRule="exact"/>
        <w:rPr>
          <w:sz w:val="20"/>
          <w:szCs w:val="20"/>
          <w:color w:val="auto"/>
        </w:rPr>
      </w:pPr>
    </w:p>
    <w:p>
      <w:pPr>
        <w:spacing w:after="0" w:line="342"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9"/>
          <w:szCs w:val="19"/>
          <w:color w:val="auto"/>
        </w:rPr>
        <w:t>By:</w:t>
        <w:tab/>
        <w:t>/s/ Roger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27305</wp:posOffset>
            </wp:positionV>
            <wp:extent cx="28638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863850" cy="8255"/>
                    </a:xfrm>
                    <a:prstGeom prst="rect">
                      <a:avLst/>
                    </a:prstGeom>
                    <a:noFill/>
                  </pic:spPr>
                </pic:pic>
              </a:graphicData>
            </a:graphic>
          </wp:anchor>
        </w:drawing>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Name: Roger C. Davis</w:t>
      </w:r>
    </w:p>
    <w:p>
      <w:pPr>
        <w:spacing w:after="0" w:line="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ectPr>
          <w:pgSz w:w="11900" w:h="16838" w:orient="portrait"/>
          <w:cols w:equalWidth="0" w:num="1">
            <w:col w:w="9019"/>
          </w:cols>
          <w:pgMar w:left="1440" w:top="1440" w:right="1440" w:bottom="1440" w:gutter="0" w:footer="0" w:header="0"/>
        </w:sectPr>
      </w:pPr>
    </w:p>
    <w:bookmarkStart w:id="95" w:name="page96"/>
    <w:bookmarkEnd w:id="95"/>
    <w:p>
      <w:pPr>
        <w:spacing w:after="0" w:line="7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b w:val="1"/>
          <w:bCs w:val="1"/>
          <w:color w:val="auto"/>
        </w:rPr>
        <w:t>U.S. BANK NATIONAL ASSOCIATION</w:t>
      </w:r>
      <w:r>
        <w:rPr>
          <w:rFonts w:ascii="Times New Roman" w:cs="Times New Roman" w:eastAsia="Times New Roman" w:hAnsi="Times New Roman"/>
          <w:sz w:val="19"/>
          <w:szCs w:val="19"/>
          <w:color w:val="auto"/>
        </w:rPr>
        <w:t>,</w:t>
      </w:r>
    </w:p>
    <w:p>
      <w:pPr>
        <w:ind w:left="5120"/>
        <w:spacing w:after="0" w:line="218" w:lineRule="auto"/>
        <w:rPr>
          <w:sz w:val="20"/>
          <w:szCs w:val="20"/>
          <w:color w:val="auto"/>
        </w:rPr>
      </w:pPr>
      <w:r>
        <w:rPr>
          <w:rFonts w:ascii="Times New Roman" w:cs="Times New Roman" w:eastAsia="Times New Roman" w:hAnsi="Times New Roman"/>
          <w:sz w:val="19"/>
          <w:szCs w:val="19"/>
          <w:color w:val="auto"/>
        </w:rPr>
        <w:t>as an Increasing Revolver Lender and a</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color w:val="auto"/>
        </w:rPr>
        <w:t>Delayed Draw Term Loan Lender</w:t>
      </w:r>
    </w:p>
    <w:p>
      <w:pPr>
        <w:spacing w:after="0" w:line="277"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9"/>
          <w:szCs w:val="19"/>
          <w:color w:val="auto"/>
        </w:rPr>
        <w:t>By:</w:t>
        <w:tab/>
        <w:t>/s/ Noble Harrison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27305</wp:posOffset>
            </wp:positionV>
            <wp:extent cx="28638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863850" cy="8255"/>
                    </a:xfrm>
                    <a:prstGeom prst="rect">
                      <a:avLst/>
                    </a:prstGeom>
                    <a:noFill/>
                  </pic:spPr>
                </pic:pic>
              </a:graphicData>
            </a:graphic>
          </wp:anchor>
        </w:drawing>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Name: Noble Harrison III</w:t>
      </w:r>
    </w:p>
    <w:p>
      <w:pPr>
        <w:spacing w:after="0" w:line="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ectPr>
          <w:pgSz w:w="11900" w:h="16838" w:orient="portrait"/>
          <w:cols w:equalWidth="0" w:num="1">
            <w:col w:w="9019"/>
          </w:cols>
          <w:pgMar w:left="1440" w:top="1440" w:right="1440" w:bottom="1440" w:gutter="0" w:footer="0" w:header="0"/>
        </w:sectPr>
      </w:pPr>
    </w:p>
    <w:bookmarkStart w:id="96" w:name="page97"/>
    <w:bookmarkEnd w:id="96"/>
    <w:p>
      <w:pPr>
        <w:spacing w:after="0" w:line="7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b w:val="1"/>
          <w:bCs w:val="1"/>
          <w:color w:val="auto"/>
        </w:rPr>
        <w:t>WELLS FARGO BANK, NATIONAL ASSOCIATION</w:t>
      </w:r>
      <w:r>
        <w:rPr>
          <w:rFonts w:ascii="Times New Roman" w:cs="Times New Roman" w:eastAsia="Times New Roman" w:hAnsi="Times New Roman"/>
          <w:sz w:val="19"/>
          <w:szCs w:val="19"/>
          <w:color w:val="auto"/>
        </w:rPr>
        <w:t>,</w:t>
      </w:r>
    </w:p>
    <w:p>
      <w:pPr>
        <w:ind w:left="5120"/>
        <w:spacing w:after="0" w:line="218" w:lineRule="auto"/>
        <w:rPr>
          <w:sz w:val="20"/>
          <w:szCs w:val="20"/>
          <w:color w:val="auto"/>
        </w:rPr>
      </w:pPr>
      <w:r>
        <w:rPr>
          <w:rFonts w:ascii="Times New Roman" w:cs="Times New Roman" w:eastAsia="Times New Roman" w:hAnsi="Times New Roman"/>
          <w:sz w:val="19"/>
          <w:szCs w:val="19"/>
          <w:color w:val="auto"/>
        </w:rPr>
        <w:t>as an Increasing Revolver Lender and a Delayed Draw Term</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color w:val="auto"/>
        </w:rPr>
        <w:t>Loan Lender</w:t>
      </w:r>
    </w:p>
    <w:p>
      <w:pPr>
        <w:spacing w:after="0" w:line="200" w:lineRule="exact"/>
        <w:rPr>
          <w:sz w:val="20"/>
          <w:szCs w:val="20"/>
          <w:color w:val="auto"/>
        </w:rPr>
      </w:pPr>
    </w:p>
    <w:p>
      <w:pPr>
        <w:spacing w:after="0" w:line="316"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9"/>
          <w:szCs w:val="19"/>
          <w:color w:val="auto"/>
        </w:rPr>
        <w:t>By:</w:t>
        <w:tab/>
        <w:t>/s/ Faraj Elmagbari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27305</wp:posOffset>
            </wp:positionV>
            <wp:extent cx="28638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863850" cy="8255"/>
                    </a:xfrm>
                    <a:prstGeom prst="rect">
                      <a:avLst/>
                    </a:prstGeom>
                    <a:noFill/>
                  </pic:spPr>
                </pic:pic>
              </a:graphicData>
            </a:graphic>
          </wp:anchor>
        </w:drawing>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Name: Faraj Elmagbari</w:t>
      </w:r>
    </w:p>
    <w:p>
      <w:pPr>
        <w:spacing w:after="0" w:line="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ectPr>
          <w:pgSz w:w="11900" w:h="16838" w:orient="portrait"/>
          <w:cols w:equalWidth="0" w:num="1">
            <w:col w:w="9820"/>
          </w:cols>
          <w:pgMar w:left="1440" w:top="1440" w:right="639" w:bottom="1440" w:gutter="0" w:footer="0" w:header="0"/>
        </w:sectPr>
      </w:pPr>
    </w:p>
    <w:bookmarkStart w:id="97" w:name="page98"/>
    <w:bookmarkEnd w:id="97"/>
    <w:p>
      <w:pPr>
        <w:spacing w:after="0" w:line="7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b w:val="1"/>
          <w:bCs w:val="1"/>
          <w:color w:val="auto"/>
        </w:rPr>
        <w:t>TRUIST BANK</w:t>
      </w:r>
      <w:r>
        <w:rPr>
          <w:rFonts w:ascii="Times New Roman" w:cs="Times New Roman" w:eastAsia="Times New Roman" w:hAnsi="Times New Roman"/>
          <w:sz w:val="19"/>
          <w:szCs w:val="19"/>
          <w:color w:val="auto"/>
        </w:rPr>
        <w:t>,</w:t>
      </w:r>
    </w:p>
    <w:p>
      <w:pPr>
        <w:ind w:left="5120"/>
        <w:spacing w:after="0" w:line="218" w:lineRule="auto"/>
        <w:rPr>
          <w:sz w:val="20"/>
          <w:szCs w:val="20"/>
          <w:color w:val="auto"/>
        </w:rPr>
      </w:pPr>
      <w:r>
        <w:rPr>
          <w:rFonts w:ascii="Times New Roman" w:cs="Times New Roman" w:eastAsia="Times New Roman" w:hAnsi="Times New Roman"/>
          <w:sz w:val="19"/>
          <w:szCs w:val="19"/>
          <w:color w:val="auto"/>
        </w:rPr>
        <w:t>as an Increasing Revolver Lender and a Delayed Draw Term</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color w:val="auto"/>
        </w:rPr>
        <w:t>Loan Lender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9"/>
          <w:szCs w:val="19"/>
          <w:color w:val="auto"/>
        </w:rPr>
        <w:t>By:</w:t>
        <w:tab/>
        <w:t>/s/ Jim C.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27305</wp:posOffset>
            </wp:positionV>
            <wp:extent cx="28638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863850" cy="8255"/>
                    </a:xfrm>
                    <a:prstGeom prst="rect">
                      <a:avLst/>
                    </a:prstGeom>
                    <a:noFill/>
                  </pic:spPr>
                </pic:pic>
              </a:graphicData>
            </a:graphic>
          </wp:anchor>
        </w:drawing>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Name: Jim C. Wright</w:t>
      </w:r>
    </w:p>
    <w:p>
      <w:pPr>
        <w:spacing w:after="0" w:line="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ectPr>
          <w:pgSz w:w="11900" w:h="16838" w:orient="portrait"/>
          <w:cols w:equalWidth="0" w:num="1">
            <w:col w:w="9820"/>
          </w:cols>
          <w:pgMar w:left="1440" w:top="1440" w:right="639" w:bottom="1440" w:gutter="0" w:footer="0" w:header="0"/>
        </w:sectPr>
      </w:pPr>
    </w:p>
    <w:bookmarkStart w:id="98" w:name="page99"/>
    <w:bookmarkEnd w:id="98"/>
    <w:p>
      <w:pPr>
        <w:spacing w:after="0" w:line="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b w:val="1"/>
          <w:bCs w:val="1"/>
          <w:color w:val="auto"/>
        </w:rPr>
        <w:t>PNC BANK, NATIONAL ASSOCIATION</w:t>
      </w:r>
      <w:r>
        <w:rPr>
          <w:rFonts w:ascii="Times New Roman" w:cs="Times New Roman" w:eastAsia="Times New Roman" w:hAnsi="Times New Roman"/>
          <w:sz w:val="19"/>
          <w:szCs w:val="19"/>
          <w:color w:val="auto"/>
        </w:rPr>
        <w:t>,</w:t>
      </w:r>
    </w:p>
    <w:p>
      <w:pPr>
        <w:ind w:left="4780"/>
        <w:spacing w:after="0" w:line="218" w:lineRule="auto"/>
        <w:rPr>
          <w:sz w:val="20"/>
          <w:szCs w:val="20"/>
          <w:color w:val="auto"/>
        </w:rPr>
      </w:pPr>
      <w:r>
        <w:rPr>
          <w:rFonts w:ascii="Times New Roman" w:cs="Times New Roman" w:eastAsia="Times New Roman" w:hAnsi="Times New Roman"/>
          <w:sz w:val="19"/>
          <w:szCs w:val="19"/>
          <w:color w:val="auto"/>
        </w:rPr>
        <w:t>as an Increasing Revolver Lender and a Delayed Draw Term Loan</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780"/>
        <w:spacing w:after="0"/>
        <w:tabs>
          <w:tab w:leader="none" w:pos="54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Danielle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27305</wp:posOffset>
            </wp:positionV>
            <wp:extent cx="29400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Name: Danielle Marek</w:t>
      </w:r>
    </w:p>
    <w:p>
      <w:pPr>
        <w:spacing w:after="0" w:line="3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ectPr>
          <w:pgSz w:w="11900" w:h="16838" w:orient="portrait"/>
          <w:cols w:equalWidth="0" w:num="1">
            <w:col w:w="9940"/>
          </w:cols>
          <w:pgMar w:left="1440" w:top="1440" w:right="519" w:bottom="1440" w:gutter="0" w:footer="0" w:header="0"/>
        </w:sectPr>
      </w:pPr>
    </w:p>
    <w:bookmarkStart w:id="99" w:name="page100"/>
    <w:bookmarkEnd w:id="99"/>
    <w:p>
      <w:pPr>
        <w:spacing w:after="0" w:line="7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b w:val="1"/>
          <w:bCs w:val="1"/>
          <w:color w:val="auto"/>
        </w:rPr>
        <w:t>BOKF, NA DBA BOK FINANCIAL</w:t>
      </w:r>
      <w:r>
        <w:rPr>
          <w:rFonts w:ascii="Times New Roman" w:cs="Times New Roman" w:eastAsia="Times New Roman" w:hAnsi="Times New Roman"/>
          <w:sz w:val="19"/>
          <w:szCs w:val="19"/>
          <w:color w:val="auto"/>
        </w:rPr>
        <w:t>,</w:t>
      </w:r>
    </w:p>
    <w:p>
      <w:pPr>
        <w:ind w:left="5120"/>
        <w:spacing w:after="0" w:line="218" w:lineRule="auto"/>
        <w:rPr>
          <w:sz w:val="20"/>
          <w:szCs w:val="20"/>
          <w:color w:val="auto"/>
        </w:rPr>
      </w:pPr>
      <w:r>
        <w:rPr>
          <w:rFonts w:ascii="Times New Roman" w:cs="Times New Roman" w:eastAsia="Times New Roman" w:hAnsi="Times New Roman"/>
          <w:sz w:val="19"/>
          <w:szCs w:val="19"/>
          <w:color w:val="auto"/>
        </w:rPr>
        <w:t>as an Increasing Revolver Lender and a Delayed Draw Term</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color w:val="auto"/>
        </w:rPr>
        <w:t>Loan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9"/>
          <w:szCs w:val="19"/>
          <w:color w:val="auto"/>
        </w:rPr>
        <w:t>By:</w:t>
        <w:tab/>
        <w:t>/s/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27305</wp:posOffset>
            </wp:positionV>
            <wp:extent cx="28638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863850" cy="8255"/>
                    </a:xfrm>
                    <a:prstGeom prst="rect">
                      <a:avLst/>
                    </a:prstGeom>
                    <a:noFill/>
                  </pic:spPr>
                </pic:pic>
              </a:graphicData>
            </a:graphic>
          </wp:anchor>
        </w:drawing>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Name: David J. Anderson</w:t>
      </w:r>
    </w:p>
    <w:p>
      <w:pPr>
        <w:spacing w:after="0" w:line="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ectPr>
          <w:pgSz w:w="11900" w:h="16838" w:orient="portrait"/>
          <w:cols w:equalWidth="0" w:num="1">
            <w:col w:w="9820"/>
          </w:cols>
          <w:pgMar w:left="1440" w:top="1440" w:right="639" w:bottom="1440" w:gutter="0" w:footer="0" w:header="0"/>
        </w:sectPr>
      </w:pPr>
    </w:p>
    <w:bookmarkStart w:id="100" w:name="page101"/>
    <w:bookmarkEnd w:id="100"/>
    <w:p>
      <w:pPr>
        <w:spacing w:after="0" w:line="7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b w:val="1"/>
          <w:bCs w:val="1"/>
          <w:color w:val="auto"/>
        </w:rPr>
        <w:t>HTLF BANK</w:t>
      </w:r>
      <w:r>
        <w:rPr>
          <w:rFonts w:ascii="Times New Roman" w:cs="Times New Roman" w:eastAsia="Times New Roman" w:hAnsi="Times New Roman"/>
          <w:sz w:val="19"/>
          <w:szCs w:val="19"/>
          <w:color w:val="auto"/>
        </w:rPr>
        <w:t>,</w:t>
      </w:r>
    </w:p>
    <w:p>
      <w:pPr>
        <w:ind w:left="5120"/>
        <w:spacing w:after="0"/>
        <w:rPr>
          <w:sz w:val="20"/>
          <w:szCs w:val="20"/>
          <w:color w:val="auto"/>
        </w:rPr>
      </w:pPr>
      <w:r>
        <w:rPr>
          <w:rFonts w:ascii="Times New Roman" w:cs="Times New Roman" w:eastAsia="Times New Roman" w:hAnsi="Times New Roman"/>
          <w:sz w:val="19"/>
          <w:szCs w:val="19"/>
          <w:color w:val="auto"/>
        </w:rPr>
        <w:t>as a New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9"/>
          <w:szCs w:val="19"/>
          <w:color w:val="auto"/>
        </w:rPr>
        <w:t>By:</w:t>
        <w:tab/>
        <w:t>/s/ Nicholas 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27305</wp:posOffset>
            </wp:positionV>
            <wp:extent cx="28638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863850" cy="8255"/>
                    </a:xfrm>
                    <a:prstGeom prst="rect">
                      <a:avLst/>
                    </a:prstGeom>
                    <a:noFill/>
                  </pic:spPr>
                </pic:pic>
              </a:graphicData>
            </a:graphic>
          </wp:anchor>
        </w:drawing>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Name: Nicholas Orr</w:t>
      </w:r>
    </w:p>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Title: Sr Vice President, Middle Market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ectPr>
          <w:pgSz w:w="11900" w:h="16838" w:orient="portrait"/>
          <w:cols w:equalWidth="0" w:num="1">
            <w:col w:w="9260"/>
          </w:cols>
          <w:pgMar w:left="1440" w:top="1440" w:right="119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9"/>
          <w:szCs w:val="19"/>
          <w:b w:val="1"/>
          <w:bCs w:val="1"/>
          <w:color w:val="auto"/>
        </w:rPr>
        <w:t>GUARANTORS’ CONSENT AND AGREEMENT</w:t>
      </w:r>
    </w:p>
    <w:p>
      <w:pPr>
        <w:spacing w:after="0" w:line="263"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color w:val="auto"/>
        </w:rPr>
        <w:t>As an inducement to Administrative Agent and Lenders to execute, and in consideration of and as a condition to Administrative Agent’s and Lenders’ execution of the foregoing First Amendment to Ninth Amended and Restated Credit Agreement (the “</w:t>
      </w:r>
      <w:r>
        <w:rPr>
          <w:rFonts w:ascii="Times New Roman" w:cs="Times New Roman" w:eastAsia="Times New Roman" w:hAnsi="Times New Roman"/>
          <w:sz w:val="19"/>
          <w:szCs w:val="19"/>
          <w:b w:val="1"/>
          <w:bCs w:val="1"/>
          <w:i w:val="1"/>
          <w:iCs w:val="1"/>
          <w:color w:val="auto"/>
        </w:rPr>
        <w:t>First Amendment</w:t>
      </w:r>
      <w:r>
        <w:rPr>
          <w:rFonts w:ascii="Times New Roman" w:cs="Times New Roman" w:eastAsia="Times New Roman" w:hAnsi="Times New Roman"/>
          <w:sz w:val="19"/>
          <w:szCs w:val="19"/>
          <w:color w:val="auto"/>
        </w:rPr>
        <w:t>”), the undersigned hereby consent to the First Amendment, and agree that (a) the First Amendment shall in no way release, diminish, impair, reduce or otherwise adversely affect the respective obligations and liabilities of each of the undersigned under each Guaranty described in the Credit Agreement, or any agreements, documents or instruments executed by any of the undersigned to create liens, security interests or charges to secure any of the indebtedness under the Loan Papers, all of which obligations and liabilities are, and shall continue to be, in full force and effect, and (b) the Guaranty executed by each Guarantor is ratified, and the “</w:t>
      </w:r>
      <w:r>
        <w:rPr>
          <w:rFonts w:ascii="Times New Roman" w:cs="Times New Roman" w:eastAsia="Times New Roman" w:hAnsi="Times New Roman"/>
          <w:sz w:val="19"/>
          <w:szCs w:val="19"/>
          <w:i w:val="1"/>
          <w:iCs w:val="1"/>
          <w:color w:val="auto"/>
        </w:rPr>
        <w:t>Guaranteed Debt</w:t>
      </w:r>
      <w:r>
        <w:rPr>
          <w:rFonts w:ascii="Times New Roman" w:cs="Times New Roman" w:eastAsia="Times New Roman" w:hAnsi="Times New Roman"/>
          <w:sz w:val="19"/>
          <w:szCs w:val="19"/>
          <w:color w:val="auto"/>
        </w:rPr>
        <w:t>” (as defined in each Guaranty) includes, without limitation, the “</w:t>
      </w:r>
      <w:r>
        <w:rPr>
          <w:rFonts w:ascii="Times New Roman" w:cs="Times New Roman" w:eastAsia="Times New Roman" w:hAnsi="Times New Roman"/>
          <w:sz w:val="19"/>
          <w:szCs w:val="19"/>
          <w:i w:val="1"/>
          <w:iCs w:val="1"/>
          <w:color w:val="auto"/>
        </w:rPr>
        <w:t>Obligations</w:t>
      </w:r>
      <w:r>
        <w:rPr>
          <w:rFonts w:ascii="Times New Roman" w:cs="Times New Roman" w:eastAsia="Times New Roman" w:hAnsi="Times New Roman"/>
          <w:sz w:val="19"/>
          <w:szCs w:val="19"/>
          <w:color w:val="auto"/>
        </w:rPr>
        <w:t>” (as defined in the Credit Agreement). This consent and agreement shall be binding upon the undersigned, and the respective successors and assigns of each, shall inure to the benefit of Administrative Agent and Lenders, and the respective successors and assigns of each, and shall be governed by and construed in accordance with the laws of the State of New York.</w:t>
      </w:r>
    </w:p>
    <w:p>
      <w:pPr>
        <w:spacing w:after="0" w:line="24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2006 Cimarron, LLC</w:t>
      </w:r>
    </w:p>
    <w:p>
      <w:pPr>
        <w:spacing w:after="0" w:line="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9"/>
          <w:szCs w:val="19"/>
          <w:color w:val="auto"/>
        </w:rPr>
        <w:t>By: Crested Butte, LLC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Vail Resorts, Inc.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All Media Associates, Inc.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All Media Holdings, Inc.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Arrabelle at Vail Square, LLC</w:t>
      </w:r>
    </w:p>
    <w:p>
      <w:pPr>
        <w:spacing w:after="0" w:line="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9"/>
          <w:szCs w:val="19"/>
          <w:color w:val="auto"/>
        </w:rPr>
        <w:t>By: Vail Resorts Development Company</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Beaver Creek Associates, Inc.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Beaver Creek Food Services, Inc.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Booth Creek Ski Holdings, Inc.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BCRP Inc.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Breckenridge Resort Properties, Inc.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CB Commercial Properties '07, LLC</w:t>
      </w:r>
    </w:p>
    <w:p>
      <w:pPr>
        <w:spacing w:after="0" w:line="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9"/>
          <w:szCs w:val="19"/>
          <w:color w:val="auto"/>
        </w:rPr>
        <w:t>By: Crested Butte, LLC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Colorado Mountain Express, Inc.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Colter Bay Convenience Store, LLC</w:t>
      </w:r>
    </w:p>
    <w:p>
      <w:pPr>
        <w:spacing w:after="0" w:line="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9"/>
          <w:szCs w:val="19"/>
          <w:color w:val="auto"/>
        </w:rPr>
        <w:t>By: Grand Teton Lodge Company</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Colter Bay General Store, LLC</w:t>
      </w:r>
    </w:p>
    <w:p>
      <w:pPr>
        <w:spacing w:after="0" w:line="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9"/>
          <w:szCs w:val="19"/>
          <w:color w:val="auto"/>
        </w:rPr>
        <w:t>By: Grand Teton Lodge Company</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Crested Butte, LLC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Crystal Peak Lodge of Breckenridge, Inc.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DTPC, LLC</w:t>
      </w:r>
    </w:p>
    <w:p>
      <w:pPr>
        <w:spacing w:after="0" w:line="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9"/>
          <w:szCs w:val="19"/>
          <w:color w:val="auto"/>
        </w:rPr>
        <w:t>By: Rockresorts International, LLC</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9"/>
          <w:szCs w:val="19"/>
          <w:color w:val="auto"/>
        </w:rPr>
        <w:t>By: Vail RR, Inc.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Flagg Ranch Company</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Gillett Broadcasting, Inc.</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Grand Teton Lodge Company</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Heavenly Valley, Limited Partnership</w:t>
      </w:r>
    </w:p>
    <w:p>
      <w:pPr>
        <w:spacing w:after="0" w:line="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9"/>
          <w:szCs w:val="19"/>
          <w:color w:val="auto"/>
        </w:rPr>
        <w:t>By: VR Heavenly I,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Guarantor’s Consent and Agreement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Amendment to Ninth Amended and Restated Credit Agreement</w:t>
      </w:r>
    </w:p>
    <w:p>
      <w:pPr>
        <w:sectPr>
          <w:pgSz w:w="11900" w:h="16838" w:orient="portrait"/>
          <w:cols w:equalWidth="0" w:num="1">
            <w:col w:w="11240"/>
          </w:cols>
          <w:pgMar w:left="320" w:top="1386" w:right="339" w:bottom="1440" w:gutter="0" w:footer="0" w:header="0"/>
        </w:sectPr>
      </w:pPr>
    </w:p>
    <w:bookmarkStart w:id="102" w:name="page103"/>
    <w:bookmarkEnd w:id="102"/>
    <w:p>
      <w:pPr>
        <w:ind w:left="3940"/>
        <w:spacing w:after="0"/>
        <w:rPr>
          <w:sz w:val="20"/>
          <w:szCs w:val="20"/>
          <w:color w:val="auto"/>
        </w:rPr>
      </w:pPr>
      <w:r>
        <w:rPr>
          <w:rFonts w:ascii="Times New Roman" w:cs="Times New Roman" w:eastAsia="Times New Roman" w:hAnsi="Times New Roman"/>
          <w:sz w:val="19"/>
          <w:szCs w:val="19"/>
          <w:color w:val="auto"/>
        </w:rPr>
        <w:t>HVLP Kirkwood Services, LLC</w:t>
      </w:r>
    </w:p>
    <w:p>
      <w:pPr>
        <w:spacing w:after="0" w:line="35"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9"/>
          <w:szCs w:val="19"/>
          <w:color w:val="auto"/>
        </w:rPr>
        <w:t>By: Heavenly Valley, Limited Partnership</w:t>
      </w:r>
    </w:p>
    <w:p>
      <w:pPr>
        <w:spacing w:after="0" w:line="3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By: VR Heavenly I,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Jackson Hole Golf and Tennis Club,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Jackson Lake Lodge Corporation</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Jenny Lake Lodge,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Jenny Lake Store,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Grand Teton Lodge Company</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Keystone Conference Services,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Keystone Development Sales,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Keystone Food &amp; Beverage Company</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Keystone Resort Property Management Company</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Lake Tahoe Lodging Company</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Lodge Properties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Mt. CB Real Estate,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Crested Butte, LLC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National Park Hospitality Company</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Northstar Group Commercial Properties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VR Acquisition,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Northstar Group Restaurant Properties,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VR Acquisition,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One Ski Hill Place,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Vail Resorts Development Company</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Okemo Limited Liability Company</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Triple Peaks LLC</w:t>
      </w:r>
    </w:p>
    <w:p>
      <w:pPr>
        <w:spacing w:after="0" w:line="3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By: VR NE Holdings, LLC</w:t>
      </w:r>
    </w:p>
    <w:p>
      <w:pPr>
        <w:spacing w:after="0" w:line="3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9"/>
          <w:szCs w:val="19"/>
          <w:color w:val="auto"/>
        </w:rPr>
        <w:t>By: VR US Holdings, LLC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Okemo Mountain Food and Beverage,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Property Management Acquisition Corp.,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RCR Vail,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Vail Resorts Development Company</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Rockresorts Arrabelle,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Rockresorts International, LLC</w:t>
      </w:r>
    </w:p>
    <w:p>
      <w:pPr>
        <w:spacing w:after="0" w:line="3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color w:val="auto"/>
        </w:rPr>
        <w:t>By: Vail RR,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Rockresorts DR,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Rockresorts International, LLC</w:t>
      </w:r>
    </w:p>
    <w:p>
      <w:pPr>
        <w:spacing w:after="0" w:line="3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color w:val="auto"/>
        </w:rPr>
        <w:t>By: Vail RR,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Rockresorts International,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Vail RR,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Rockresorts,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Rockresorts International, LLC</w:t>
      </w:r>
    </w:p>
    <w:p>
      <w:pPr>
        <w:spacing w:after="0" w:line="3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By: Vail RR,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Rockresorts International Management Company</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Rockresorts International, LLC</w:t>
      </w:r>
    </w:p>
    <w:p>
      <w:pPr>
        <w:spacing w:after="0" w:line="3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By: Vail RR, Inc.</w:t>
      </w:r>
    </w:p>
    <w:p>
      <w:pPr>
        <w:sectPr>
          <w:pgSz w:w="11900" w:h="16838" w:orient="portrait"/>
          <w:cols w:equalWidth="0" w:num="1">
            <w:col w:w="9019"/>
          </w:cols>
          <w:pgMar w:left="1440" w:top="14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Guarantor’s Consent and Agreement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ectPr>
          <w:pgSz w:w="11900" w:h="16838" w:orient="portrait"/>
          <w:cols w:equalWidth="0" w:num="1">
            <w:col w:w="9019"/>
          </w:cols>
          <w:pgMar w:left="1440" w:top="1430" w:right="1440" w:bottom="1440" w:gutter="0" w:footer="0" w:header="0"/>
          <w:type w:val="continuous"/>
        </w:sectPr>
      </w:pPr>
    </w:p>
    <w:bookmarkStart w:id="103" w:name="page104"/>
    <w:bookmarkEnd w:id="103"/>
    <w:p>
      <w:pPr>
        <w:ind w:left="3940"/>
        <w:spacing w:after="0"/>
        <w:rPr>
          <w:sz w:val="20"/>
          <w:szCs w:val="20"/>
          <w:color w:val="auto"/>
        </w:rPr>
      </w:pPr>
      <w:r>
        <w:rPr>
          <w:rFonts w:ascii="Times New Roman" w:cs="Times New Roman" w:eastAsia="Times New Roman" w:hAnsi="Times New Roman"/>
          <w:sz w:val="19"/>
          <w:szCs w:val="19"/>
          <w:color w:val="auto"/>
        </w:rPr>
        <w:t>Rockresorts Ski Tip, LLC</w:t>
      </w:r>
    </w:p>
    <w:p>
      <w:pPr>
        <w:spacing w:after="0" w:line="3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Rockresorts International, LLC</w:t>
      </w:r>
    </w:p>
    <w:p>
      <w:pPr>
        <w:spacing w:after="0" w:line="3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By: Vail RR,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Soho Development,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Vail Associates Holdings, Ltd.</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SSI Venture,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SSV Online Holdings,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SSV Online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SSV Holdings,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SSV Holdings,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Stampede Canteen,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Grand Teton Lodge Company</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The Sunapee Difference,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Triple Peaks, LLC</w:t>
      </w:r>
    </w:p>
    <w:p>
      <w:pPr>
        <w:spacing w:after="0" w:line="3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By: VR NE Holdings, LLC</w:t>
      </w:r>
    </w:p>
    <w:p>
      <w:pPr>
        <w:spacing w:after="0" w:line="3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9"/>
          <w:szCs w:val="19"/>
          <w:color w:val="auto"/>
        </w:rPr>
        <w:t>By: VR US Holdings,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The Chalets at the Lodge at Vail,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Vail Resorts Development Company</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The Vail Corporation</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The Village at Breckenridge Acquisition Corp.,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Trimont Land Company</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Triple Peaks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VR NE Holdings, LLC</w:t>
      </w:r>
    </w:p>
    <w:p>
      <w:pPr>
        <w:spacing w:after="0" w:line="3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color w:val="auto"/>
        </w:rPr>
        <w:t>By: VR US Holdings,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Vail/Arrowhead,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Vail Associates Holdings, Ltd.</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Vail Associates Investments,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Vail Associates Real Estate,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Vail/Beaver Creek Resort Properties,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Vail Food Services,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Vail Hotel Management Company,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Rockresorts International, LLC</w:t>
      </w:r>
    </w:p>
    <w:p>
      <w:pPr>
        <w:spacing w:after="0" w:line="3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By: Vail RR,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Vail Resorts Development Company</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Vail Resorts Lodging Company</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Vail RR,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Vail Summit Resorts,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Vail Trademarks,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VAMHC,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VR Acquisition,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VR CPC Holdings,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VR CPC Services,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VR CPC Holdings,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VR Heavenly Concessions,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VR Heavenly I, Inc.</w:t>
      </w:r>
    </w:p>
    <w:p>
      <w:pPr>
        <w:sectPr>
          <w:pgSz w:w="11900" w:h="16838" w:orient="portrait"/>
          <w:cols w:equalWidth="0" w:num="1">
            <w:col w:w="9019"/>
          </w:cols>
          <w:pgMar w:left="1440" w:top="14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Guarantor’s Consent and Agreement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ectPr>
          <w:pgSz w:w="11900" w:h="16838" w:orient="portrait"/>
          <w:cols w:equalWidth="0" w:num="1">
            <w:col w:w="9019"/>
          </w:cols>
          <w:pgMar w:left="1440" w:top="1430" w:right="1440" w:bottom="1440" w:gutter="0" w:footer="0" w:header="0"/>
          <w:type w:val="continuous"/>
        </w:sectPr>
      </w:pPr>
    </w:p>
    <w:bookmarkStart w:id="104" w:name="page105"/>
    <w:bookmarkEnd w:id="104"/>
    <w:p>
      <w:pPr>
        <w:ind w:left="3940"/>
        <w:spacing w:after="0"/>
        <w:rPr>
          <w:sz w:val="20"/>
          <w:szCs w:val="20"/>
          <w:color w:val="auto"/>
        </w:rPr>
      </w:pPr>
      <w:r>
        <w:rPr>
          <w:rFonts w:ascii="Times New Roman" w:cs="Times New Roman" w:eastAsia="Times New Roman" w:hAnsi="Times New Roman"/>
          <w:sz w:val="19"/>
          <w:szCs w:val="19"/>
          <w:color w:val="auto"/>
        </w:rPr>
        <w:t>VR Heavenly II, Inc.</w:t>
      </w:r>
    </w:p>
    <w:p>
      <w:pPr>
        <w:spacing w:after="0" w:line="3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VR Holdings,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VR US Holdings,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VR US Holdings II,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VR US Holdings,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VR WM Holdings,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VR US Holdings,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VR NE Holdings,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VR US Holdings,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VR NW Holdings,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VR PA Holdings, Inc.</w:t>
      </w:r>
    </w:p>
    <w:p>
      <w:pPr>
        <w:spacing w:after="0" w:line="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VRSS Holdings, LLC</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By: VR PA Holdings, Inc.</w:t>
      </w:r>
    </w:p>
    <w:p>
      <w:pPr>
        <w:spacing w:after="0" w:line="200" w:lineRule="exact"/>
        <w:rPr>
          <w:sz w:val="20"/>
          <w:szCs w:val="20"/>
          <w:color w:val="auto"/>
        </w:rPr>
      </w:pPr>
    </w:p>
    <w:p>
      <w:pPr>
        <w:spacing w:after="0" w:line="297" w:lineRule="exact"/>
        <w:rPr>
          <w:sz w:val="20"/>
          <w:szCs w:val="20"/>
          <w:color w:val="auto"/>
        </w:rPr>
      </w:pPr>
    </w:p>
    <w:p>
      <w:pPr>
        <w:ind w:left="4800"/>
        <w:spacing w:after="0"/>
        <w:tabs>
          <w:tab w:leader="none" w:pos="5300" w:val="left"/>
        </w:tabs>
        <w:rPr>
          <w:sz w:val="20"/>
          <w:szCs w:val="20"/>
          <w:color w:val="auto"/>
        </w:rPr>
      </w:pPr>
      <w:r>
        <w:rPr>
          <w:rFonts w:ascii="Times New Roman" w:cs="Times New Roman" w:eastAsia="Times New Roman" w:hAnsi="Times New Roman"/>
          <w:sz w:val="19"/>
          <w:szCs w:val="19"/>
          <w:color w:val="auto"/>
        </w:rPr>
        <w:t>By:</w:t>
        <w:tab/>
        <w:t>/s/ Nathan Gronberg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27305</wp:posOffset>
            </wp:positionV>
            <wp:extent cx="3057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057525" cy="8255"/>
                    </a:xfrm>
                    <a:prstGeom prst="rect">
                      <a:avLst/>
                    </a:prstGeom>
                    <a:noFill/>
                  </pic:spPr>
                </pic:pic>
              </a:graphicData>
            </a:graphic>
          </wp:anchor>
        </w:drawing>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9"/>
          <w:szCs w:val="19"/>
          <w:color w:val="auto"/>
        </w:rPr>
        <w:t>Name: Nathan Gronberg</w:t>
      </w:r>
    </w:p>
    <w:p>
      <w:pPr>
        <w:spacing w:after="0" w:line="3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9"/>
          <w:szCs w:val="19"/>
          <w:color w:val="auto"/>
        </w:rPr>
        <w:t>Title: Vice President, Controller and Chief Accounting</w:t>
      </w:r>
    </w:p>
    <w:p>
      <w:pPr>
        <w:spacing w:after="0" w:line="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9"/>
          <w:szCs w:val="19"/>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Guarantor’s Consent and Agreement to</w:t>
      </w:r>
    </w:p>
    <w:p>
      <w:pPr>
        <w:spacing w:after="0" w:line="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ectPr>
          <w:pgSz w:w="11900" w:h="16838" w:orient="portrait"/>
          <w:cols w:equalWidth="0" w:num="1">
            <w:col w:w="9580"/>
          </w:cols>
          <w:pgMar w:left="1440" w:top="1430" w:right="879" w:bottom="1440" w:gutter="0" w:footer="0" w:header="0"/>
        </w:sectPr>
      </w:pPr>
    </w:p>
    <w:bookmarkStart w:id="105" w:name="page106"/>
    <w:bookmarkEnd w:id="105"/>
    <w:p>
      <w:pPr>
        <w:spacing w:after="0" w:line="8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Keystone Ranch Water Company</w:t>
      </w:r>
    </w:p>
    <w:p>
      <w:pPr>
        <w:spacing w:after="0" w:line="299" w:lineRule="exact"/>
        <w:rPr>
          <w:sz w:val="20"/>
          <w:szCs w:val="20"/>
          <w:color w:val="auto"/>
        </w:rPr>
      </w:pPr>
    </w:p>
    <w:p>
      <w:pPr>
        <w:ind w:left="4800"/>
        <w:spacing w:after="0"/>
        <w:tabs>
          <w:tab w:leader="none" w:pos="5300" w:val="left"/>
        </w:tabs>
        <w:rPr>
          <w:sz w:val="20"/>
          <w:szCs w:val="20"/>
          <w:color w:val="auto"/>
        </w:rPr>
      </w:pPr>
      <w:r>
        <w:rPr>
          <w:rFonts w:ascii="Times New Roman" w:cs="Times New Roman" w:eastAsia="Times New Roman" w:hAnsi="Times New Roman"/>
          <w:sz w:val="19"/>
          <w:szCs w:val="19"/>
          <w:color w:val="auto"/>
        </w:rPr>
        <w:t>By:</w:t>
        <w:tab/>
        <w:t>/s/ Shannon S. Buhler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27305</wp:posOffset>
            </wp:positionV>
            <wp:extent cx="3057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057525" cy="8255"/>
                    </a:xfrm>
                    <a:prstGeom prst="rect">
                      <a:avLst/>
                    </a:prstGeom>
                    <a:noFill/>
                  </pic:spPr>
                </pic:pic>
              </a:graphicData>
            </a:graphic>
          </wp:anchor>
        </w:drawing>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9"/>
          <w:szCs w:val="19"/>
          <w:color w:val="auto"/>
        </w:rPr>
        <w:t>Name: Shannon S. Buhler</w:t>
      </w:r>
    </w:p>
    <w:p>
      <w:pPr>
        <w:spacing w:after="0" w:line="35"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9"/>
          <w:szCs w:val="19"/>
          <w:color w:val="auto"/>
        </w:rPr>
        <w:t>Title: Chairman of the Board &amp;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Guarantor’s Consent and Agreement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ectPr>
          <w:pgSz w:w="11900" w:h="16838" w:orient="portrait"/>
          <w:cols w:equalWidth="0" w:num="1">
            <w:col w:w="9019"/>
          </w:cols>
          <w:pgMar w:left="1440" w:top="1440" w:right="1440"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ANNEX A</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Guarantor’s Consent and Agreement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ectPr>
          <w:pgSz w:w="11900" w:h="16838" w:orient="portrait"/>
          <w:cols w:equalWidth="0" w:num="1">
            <w:col w:w="9019"/>
          </w:cols>
          <w:pgMar w:left="1440" w:top="1386" w:right="1440" w:bottom="1440" w:gutter="0" w:footer="0" w:header="0"/>
        </w:sectPr>
      </w:pPr>
    </w:p>
    <w:bookmarkStart w:id="107" w:name="page108"/>
    <w:bookmarkEnd w:id="107"/>
    <w:p>
      <w:pPr>
        <w:ind w:left="6340"/>
        <w:spacing w:after="0"/>
        <w:rPr>
          <w:sz w:val="20"/>
          <w:szCs w:val="20"/>
          <w:color w:val="auto"/>
        </w:rPr>
      </w:pPr>
      <w:r>
        <w:rPr>
          <w:rFonts w:ascii="Times New Roman" w:cs="Times New Roman" w:eastAsia="Times New Roman" w:hAnsi="Times New Roman"/>
          <w:sz w:val="19"/>
          <w:szCs w:val="19"/>
          <w:i w:val="1"/>
          <w:iCs w:val="1"/>
          <w:color w:val="EE2724"/>
          <w:strike w:val="1"/>
        </w:rPr>
        <w:t xml:space="preserve">Execution Version </w:t>
      </w:r>
      <w:r>
        <w:rPr>
          <w:rFonts w:ascii="Times New Roman" w:cs="Times New Roman" w:eastAsia="Times New Roman" w:hAnsi="Times New Roman"/>
          <w:sz w:val="19"/>
          <w:szCs w:val="19"/>
          <w:i w:val="1"/>
          <w:iCs w:val="1"/>
          <w:u w:val="single" w:color="auto"/>
          <w:color w:val="3051F2"/>
          <w:strike w:val="1"/>
        </w:rPr>
        <w:t>Exhibit A to First Amendment</w:t>
      </w:r>
    </w:p>
    <w:p>
      <w:pPr>
        <w:spacing w:after="0" w:line="264" w:lineRule="exact"/>
        <w:rPr>
          <w:sz w:val="20"/>
          <w:szCs w:val="20"/>
          <w:color w:val="auto"/>
        </w:rPr>
      </w:pPr>
    </w:p>
    <w:p>
      <w:pPr>
        <w:ind w:left="6560"/>
        <w:spacing w:after="0"/>
        <w:tabs>
          <w:tab w:leader="none" w:pos="8520" w:val="left"/>
        </w:tabs>
        <w:rPr>
          <w:sz w:val="20"/>
          <w:szCs w:val="20"/>
          <w:color w:val="auto"/>
        </w:rPr>
      </w:pPr>
      <w:r>
        <w:rPr>
          <w:rFonts w:ascii="Times New Roman" w:cs="Times New Roman" w:eastAsia="Times New Roman" w:hAnsi="Times New Roman"/>
          <w:sz w:val="18"/>
          <w:szCs w:val="18"/>
          <w:b w:val="1"/>
          <w:bCs w:val="1"/>
          <w:color w:val="auto"/>
        </w:rPr>
        <w:t>FCUSIP NUMBERS:</w:t>
      </w:r>
      <w:r>
        <w:rPr>
          <w:sz w:val="20"/>
          <w:szCs w:val="20"/>
          <w:color w:val="auto"/>
        </w:rPr>
        <w:tab/>
      </w:r>
      <w:r>
        <w:rPr>
          <w:rFonts w:ascii="Times New Roman" w:cs="Times New Roman" w:eastAsia="Times New Roman" w:hAnsi="Times New Roman"/>
          <w:sz w:val="17"/>
          <w:szCs w:val="17"/>
          <w:b w:val="1"/>
          <w:bCs w:val="1"/>
          <w:color w:val="auto"/>
        </w:rPr>
        <w:t>91879UAH3 (DEAL)</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7"/>
          <w:szCs w:val="17"/>
          <w:b w:val="1"/>
          <w:bCs w:val="1"/>
          <w:color w:val="auto"/>
        </w:rPr>
        <w:t>91879UAJ9 (REVOLVER)</w:t>
      </w:r>
    </w:p>
    <w:p>
      <w:pPr>
        <w:spacing w:after="0" w:line="1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7"/>
          <w:szCs w:val="17"/>
          <w:b w:val="1"/>
          <w:bCs w:val="1"/>
          <w:color w:val="auto"/>
        </w:rPr>
        <w:t>91879UAK6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313055</wp:posOffset>
            </wp:positionV>
            <wp:extent cx="7134860"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4860" cy="336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389255</wp:posOffset>
            </wp:positionV>
            <wp:extent cx="7134860" cy="3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NINTH AMENDED AND RESTATED CREDIT AGREEMENT</w:t>
      </w:r>
    </w:p>
    <w:p>
      <w:pPr>
        <w:spacing w:after="0" w:line="30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 xml:space="preserve">Dated as of April 24, 2024, </w:t>
      </w:r>
      <w:r>
        <w:rPr>
          <w:rFonts w:ascii="Times New Roman" w:cs="Times New Roman" w:eastAsia="Times New Roman" w:hAnsi="Times New Roman"/>
          <w:sz w:val="19"/>
          <w:szCs w:val="19"/>
          <w:u w:val="single" w:color="auto"/>
          <w:color w:val="3051F2"/>
        </w:rPr>
        <w:t>as amended by:</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u w:val="single" w:color="auto"/>
          <w:color w:val="3051F2"/>
        </w:rPr>
        <w:t>First Amendment dated January 27, 2025</w:t>
      </w:r>
    </w:p>
    <w:p>
      <w:pPr>
        <w:spacing w:after="0" w:line="2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among</w:t>
      </w:r>
    </w:p>
    <w:p>
      <w:pPr>
        <w:spacing w:after="0" w:line="2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VAIL HOLDINGS, INC.</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Borrower</w:t>
      </w: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BANK OF AMERICA, N.A.</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U.S. BANK NATIONAL ASSOCIATION</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and</w:t>
      </w:r>
    </w:p>
    <w:p>
      <w:pPr>
        <w:spacing w:after="0" w:line="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WELLS FARGO BANK, NATIONAL ASSOCIATION</w:t>
      </w:r>
    </w:p>
    <w:p>
      <w:pPr>
        <w:spacing w:after="0" w:line="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Co-Syndication Agents</w:t>
      </w: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b w:val="1"/>
          <w:bCs w:val="1"/>
          <w:u w:val="single" w:color="auto"/>
          <w:color w:val="3051F2"/>
        </w:rPr>
        <w:t>TRUIST BANK</w:t>
      </w:r>
    </w:p>
    <w:p>
      <w:pPr>
        <w:spacing w:after="0" w:line="3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u w:val="single" w:color="auto"/>
          <w:color w:val="3051F2"/>
        </w:rPr>
        <w:t>as Documentation Agent</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and</w:t>
      </w:r>
    </w:p>
    <w:p>
      <w:pPr>
        <w:spacing w:after="0" w:line="23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321945</wp:posOffset>
            </wp:positionV>
            <wp:extent cx="7134860" cy="3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4860" cy="336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398145</wp:posOffset>
            </wp:positionV>
            <wp:extent cx="7134860" cy="3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BOFA SECURITIES, INC.</w:t>
      </w:r>
      <w:r>
        <w:rPr>
          <w:rFonts w:ascii="Times New Roman" w:cs="Times New Roman" w:eastAsia="Times New Roman" w:hAnsi="Times New Roman"/>
          <w:sz w:val="21"/>
          <w:szCs w:val="21"/>
          <w:color w:val="auto"/>
        </w:rPr>
        <w:t>,</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U.S. BANK NATIONAL ASSOCIATION,</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EE2724"/>
          <w:strike w:val="1"/>
        </w:rPr>
        <w:t>and</w:t>
      </w:r>
    </w:p>
    <w:p>
      <w:pPr>
        <w:spacing w:after="0" w:line="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WELLS FARGO SECURITIES, LLC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u w:val="single" w:color="auto"/>
          <w:color w:val="3051F2"/>
        </w:rPr>
        <w:t>and</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3051F2"/>
        </w:rPr>
        <w:t>TRUIST SECURITIES, INC.</w:t>
      </w:r>
    </w:p>
    <w:p>
      <w:pPr>
        <w:ind w:left="3420"/>
        <w:spacing w:after="0"/>
        <w:rPr>
          <w:sz w:val="20"/>
          <w:szCs w:val="20"/>
          <w:color w:val="auto"/>
        </w:rPr>
      </w:pPr>
      <w:r>
        <w:rPr>
          <w:rFonts w:ascii="Times New Roman" w:cs="Times New Roman" w:eastAsia="Times New Roman" w:hAnsi="Times New Roman"/>
          <w:sz w:val="19"/>
          <w:szCs w:val="19"/>
          <w:color w:val="auto"/>
        </w:rPr>
        <w:t xml:space="preserve">as Joint Lead Arrangers </w:t>
      </w:r>
      <w:r>
        <w:rPr>
          <w:rFonts w:ascii="Times New Roman" w:cs="Times New Roman" w:eastAsia="Times New Roman" w:hAnsi="Times New Roman"/>
          <w:sz w:val="19"/>
          <w:szCs w:val="19"/>
          <w:color w:val="EE2724"/>
          <w:strike w:val="1"/>
        </w:rPr>
        <w:t>and</w:t>
      </w:r>
    </w:p>
    <w:p>
      <w:pPr>
        <w:spacing w:after="0" w:line="2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3051F2"/>
        </w:rPr>
        <w:t>BOFA SECURITIES, INC.,</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3051F2"/>
        </w:rPr>
        <w:t>U.S. BANK NATIONAL ASSOCIATION,</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u w:val="single" w:color="auto"/>
          <w:color w:val="3051F2"/>
        </w:rPr>
        <w:t>and</w:t>
      </w:r>
    </w:p>
    <w:p>
      <w:pPr>
        <w:spacing w:after="0" w:line="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3051F2"/>
        </w:rPr>
        <w:t>WELLS FARGO SECURITIES, LLC</w:t>
      </w:r>
    </w:p>
    <w:p>
      <w:pPr>
        <w:spacing w:after="0" w:line="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1"/>
          <w:szCs w:val="21"/>
          <w:u w:val="single" w:color="auto"/>
          <w:color w:val="3051F2"/>
        </w:rPr>
        <w:t>as</w:t>
      </w:r>
      <w:r>
        <w:rPr>
          <w:rFonts w:ascii="Times New Roman" w:cs="Times New Roman" w:eastAsia="Times New Roman" w:hAnsi="Times New Roman"/>
          <w:sz w:val="21"/>
          <w:szCs w:val="21"/>
          <w:color w:val="3051F2"/>
        </w:rPr>
        <w:t xml:space="preserve"> </w:t>
      </w:r>
      <w:r>
        <w:rPr>
          <w:rFonts w:ascii="Times New Roman" w:cs="Times New Roman" w:eastAsia="Times New Roman" w:hAnsi="Times New Roman"/>
          <w:sz w:val="19"/>
          <w:szCs w:val="19"/>
          <w:color w:val="000000"/>
        </w:rPr>
        <w:t>Joint Bookrunners</w:t>
      </w:r>
    </w:p>
    <w:p>
      <w:pPr>
        <w:sectPr>
          <w:pgSz w:w="11900" w:h="16838" w:orient="portrait"/>
          <w:cols w:equalWidth="0" w:num="1">
            <w:col w:w="10120"/>
          </w:cols>
          <w:pgMar w:left="1440" w:top="1388"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TABLE OF CONTENTS</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Page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60" w:type="dxa"/>
            <w:vAlign w:val="bottom"/>
            <w:gridSpan w:val="5"/>
          </w:tcPr>
          <w:p>
            <w:pPr>
              <w:jc w:val="right"/>
              <w:spacing w:after="0"/>
              <w:rPr>
                <w:sz w:val="20"/>
                <w:szCs w:val="20"/>
                <w:color w:val="auto"/>
              </w:rPr>
            </w:pPr>
            <w:r>
              <w:rPr>
                <w:rFonts w:ascii="Times New Roman" w:cs="Times New Roman" w:eastAsia="Times New Roman" w:hAnsi="Times New Roman"/>
                <w:sz w:val="19"/>
                <w:szCs w:val="19"/>
                <w:b w:val="1"/>
                <w:bCs w:val="1"/>
                <w:color w:val="auto"/>
                <w:w w:val="98"/>
              </w:rPr>
              <w:t>SECTION 1 DEFINITIONS AND TERMS</w:t>
            </w:r>
            <w:r>
              <w:rPr>
                <w:rFonts w:ascii="Times New Roman" w:cs="Times New Roman" w:eastAsia="Times New Roman" w:hAnsi="Times New Roman"/>
                <w:sz w:val="19"/>
                <w:szCs w:val="19"/>
                <w:color w:val="auto"/>
                <w:w w:val="98"/>
              </w:rPr>
              <w:t>........................................................................................</w:t>
            </w: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1</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6"/>
        </w:trPr>
        <w:tc>
          <w:tcPr>
            <w:tcW w:w="2280" w:type="dxa"/>
            <w:vAlign w:val="bottom"/>
            <w:gridSpan w:val="2"/>
          </w:tcPr>
          <w:p>
            <w:pPr>
              <w:jc w:val="center"/>
              <w:ind w:left="1743"/>
              <w:spacing w:after="0"/>
              <w:rPr>
                <w:sz w:val="20"/>
                <w:szCs w:val="20"/>
                <w:color w:val="auto"/>
              </w:rPr>
            </w:pPr>
            <w:r>
              <w:rPr>
                <w:rFonts w:ascii="Times New Roman" w:cs="Times New Roman" w:eastAsia="Times New Roman" w:hAnsi="Times New Roman"/>
                <w:sz w:val="19"/>
                <w:szCs w:val="19"/>
                <w:color w:val="auto"/>
              </w:rPr>
              <w:t>1.1</w:t>
            </w: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78"/>
              </w:rPr>
              <w:t>Definitions...........................................................................................................................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gridSpan w:val="8"/>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756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19"/>
                <w:szCs w:val="19"/>
                <w:color w:val="auto"/>
              </w:rPr>
              <w:t>1.2  Number and Gender of Words......................................................................................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gridSpan w:val="4"/>
          </w:tcPr>
          <w:p>
            <w:pPr>
              <w:ind w:left="20"/>
              <w:spacing w:after="0" w:line="209" w:lineRule="exact"/>
              <w:rPr>
                <w:sz w:val="20"/>
                <w:szCs w:val="20"/>
                <w:color w:val="auto"/>
              </w:rPr>
            </w:pPr>
            <w:r>
              <w:rPr>
                <w:rFonts w:ascii="Times New Roman" w:cs="Times New Roman" w:eastAsia="Times New Roman" w:hAnsi="Times New Roman"/>
                <w:sz w:val="19"/>
                <w:szCs w:val="19"/>
                <w:color w:val="EE2724"/>
                <w:strike w:val="1"/>
              </w:rPr>
              <w:t>35</w:t>
            </w:r>
          </w:p>
        </w:tc>
        <w:tc>
          <w:tcPr>
            <w:tcW w:w="160" w:type="dxa"/>
            <w:vAlign w:val="bottom"/>
            <w:tcBorders>
              <w:bottom w:val="single" w:sz="8" w:color="0E32E1"/>
            </w:tcBorders>
            <w:gridSpan w:val="4"/>
          </w:tcPr>
          <w:p>
            <w:pPr>
              <w:spacing w:after="0" w:line="209" w:lineRule="exact"/>
              <w:rPr>
                <w:sz w:val="20"/>
                <w:szCs w:val="20"/>
                <w:color w:val="auto"/>
              </w:rPr>
            </w:pPr>
            <w:r>
              <w:rPr>
                <w:rFonts w:ascii="Times New Roman" w:cs="Times New Roman" w:eastAsia="Times New Roman" w:hAnsi="Times New Roman"/>
                <w:sz w:val="19"/>
                <w:szCs w:val="19"/>
                <w:color w:val="0E32E1"/>
                <w:w w:val="73"/>
              </w:rPr>
              <w:t>36</w:t>
            </w:r>
          </w:p>
        </w:tc>
        <w:tc>
          <w:tcPr>
            <w:tcW w:w="20" w:type="dxa"/>
            <w:vAlign w:val="bottom"/>
            <w:tcBorders>
              <w:bottom w:val="single" w:sz="8" w:color="0E32E1"/>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26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1.3</w:t>
            </w:r>
          </w:p>
        </w:tc>
        <w:tc>
          <w:tcPr>
            <w:tcW w:w="20" w:type="dxa"/>
            <w:vAlign w:val="bottom"/>
          </w:tcPr>
          <w:p>
            <w:pPr>
              <w:spacing w:after="0"/>
              <w:rPr>
                <w:sz w:val="19"/>
                <w:szCs w:val="19"/>
                <w:color w:val="auto"/>
              </w:rPr>
            </w:pP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Accounting Principles.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gridSpan w:val="5"/>
          </w:tcPr>
          <w:p>
            <w:pPr>
              <w:ind w:left="20"/>
              <w:spacing w:after="0"/>
              <w:rPr>
                <w:sz w:val="20"/>
                <w:szCs w:val="20"/>
                <w:color w:val="auto"/>
              </w:rPr>
            </w:pPr>
            <w:r>
              <w:rPr>
                <w:rFonts w:ascii="Times New Roman" w:cs="Times New Roman" w:eastAsia="Times New Roman" w:hAnsi="Times New Roman"/>
                <w:sz w:val="19"/>
                <w:szCs w:val="19"/>
                <w:color w:val="EE2724"/>
                <w:strike w:val="1"/>
              </w:rPr>
              <w:t>35</w:t>
            </w:r>
          </w:p>
        </w:tc>
        <w:tc>
          <w:tcPr>
            <w:tcW w:w="14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7"/>
                <w:szCs w:val="17"/>
                <w:color w:val="0E32E1"/>
                <w:w w:val="70"/>
              </w:rPr>
              <w:t>37</w:t>
            </w:r>
          </w:p>
        </w:tc>
        <w:tc>
          <w:tcPr>
            <w:tcW w:w="20" w:type="dxa"/>
            <w:vAlign w:val="bottom"/>
            <w:tcBorders>
              <w:bottom w:val="single" w:sz="8" w:color="0E32E1"/>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260" w:type="dxa"/>
            <w:vAlign w:val="bottom"/>
          </w:tcPr>
          <w:p>
            <w:pPr>
              <w:jc w:val="center"/>
              <w:ind w:left="1723"/>
              <w:spacing w:after="0"/>
              <w:rPr>
                <w:sz w:val="20"/>
                <w:szCs w:val="20"/>
                <w:color w:val="auto"/>
              </w:rPr>
            </w:pPr>
            <w:r>
              <w:rPr>
                <w:rFonts w:ascii="Times New Roman" w:cs="Times New Roman" w:eastAsia="Times New Roman" w:hAnsi="Times New Roman"/>
                <w:sz w:val="19"/>
                <w:szCs w:val="19"/>
                <w:color w:val="auto"/>
              </w:rPr>
              <w:t>1.4</w:t>
            </w:r>
          </w:p>
        </w:tc>
        <w:tc>
          <w:tcPr>
            <w:tcW w:w="20" w:type="dxa"/>
            <w:vAlign w:val="bottom"/>
          </w:tcPr>
          <w:p>
            <w:pPr>
              <w:spacing w:after="0"/>
              <w:rPr>
                <w:sz w:val="19"/>
                <w:szCs w:val="19"/>
                <w:color w:val="auto"/>
              </w:rPr>
            </w:pP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Rounding.......................................................................................................................</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9"/>
                <w:szCs w:val="19"/>
                <w:color w:val="EE2724"/>
                <w:strike w:val="1"/>
              </w:rPr>
              <w:t>36</w:t>
            </w:r>
          </w:p>
        </w:tc>
        <w:tc>
          <w:tcPr>
            <w:tcW w:w="16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9"/>
                <w:szCs w:val="19"/>
                <w:color w:val="0E32E1"/>
                <w:w w:val="73"/>
              </w:rPr>
              <w:t>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2260" w:type="dxa"/>
            <w:vAlign w:val="bottom"/>
          </w:tcPr>
          <w:p>
            <w:pPr>
              <w:ind w:left="1920"/>
              <w:spacing w:after="0" w:line="205" w:lineRule="exact"/>
              <w:rPr>
                <w:sz w:val="20"/>
                <w:szCs w:val="20"/>
                <w:color w:val="auto"/>
              </w:rPr>
            </w:pPr>
            <w:r>
              <w:rPr>
                <w:rFonts w:ascii="Times New Roman" w:cs="Times New Roman" w:eastAsia="Times New Roman" w:hAnsi="Times New Roman"/>
                <w:sz w:val="19"/>
                <w:szCs w:val="19"/>
                <w:color w:val="auto"/>
              </w:rPr>
              <w:t>1.5</w:t>
            </w:r>
          </w:p>
        </w:tc>
        <w:tc>
          <w:tcPr>
            <w:tcW w:w="530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auto"/>
                <w:w w:val="82"/>
              </w:rPr>
              <w:t>References to Agreements and Laws.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4"/>
          </w:tcPr>
          <w:p>
            <w:pPr>
              <w:spacing w:after="0" w:line="205" w:lineRule="exact"/>
              <w:rPr>
                <w:sz w:val="20"/>
                <w:szCs w:val="20"/>
                <w:color w:val="auto"/>
              </w:rPr>
            </w:pPr>
            <w:r>
              <w:rPr>
                <w:rFonts w:ascii="Times New Roman" w:cs="Times New Roman" w:eastAsia="Times New Roman" w:hAnsi="Times New Roman"/>
                <w:sz w:val="19"/>
                <w:szCs w:val="19"/>
                <w:color w:val="EE2724"/>
                <w:strike w:val="1"/>
              </w:rPr>
              <w:t>36</w:t>
            </w:r>
          </w:p>
        </w:tc>
        <w:tc>
          <w:tcPr>
            <w:tcW w:w="160" w:type="dxa"/>
            <w:vAlign w:val="bottom"/>
            <w:tcBorders>
              <w:bottom w:val="single" w:sz="8" w:color="0E32E1"/>
            </w:tcBorders>
            <w:gridSpan w:val="4"/>
          </w:tcPr>
          <w:p>
            <w:pPr>
              <w:spacing w:after="0" w:line="205" w:lineRule="exact"/>
              <w:rPr>
                <w:sz w:val="20"/>
                <w:szCs w:val="20"/>
                <w:color w:val="auto"/>
              </w:rPr>
            </w:pPr>
            <w:r>
              <w:rPr>
                <w:rFonts w:ascii="Times New Roman" w:cs="Times New Roman" w:eastAsia="Times New Roman" w:hAnsi="Times New Roman"/>
                <w:sz w:val="19"/>
                <w:szCs w:val="19"/>
                <w:color w:val="0E32E1"/>
                <w:w w:val="73"/>
              </w:rPr>
              <w:t>38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226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1.6</w:t>
            </w:r>
          </w:p>
        </w:tc>
        <w:tc>
          <w:tcPr>
            <w:tcW w:w="20" w:type="dxa"/>
            <w:vAlign w:val="bottom"/>
          </w:tcPr>
          <w:p>
            <w:pPr>
              <w:spacing w:after="0"/>
              <w:rPr>
                <w:sz w:val="19"/>
                <w:szCs w:val="19"/>
                <w:color w:val="auto"/>
              </w:rPr>
            </w:pP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Times of Day.................................................................................................................</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9"/>
                <w:szCs w:val="19"/>
                <w:color w:val="EE2724"/>
                <w:strike w:val="1"/>
              </w:rPr>
              <w:t>36</w:t>
            </w:r>
          </w:p>
        </w:tc>
        <w:tc>
          <w:tcPr>
            <w:tcW w:w="16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9"/>
                <w:szCs w:val="19"/>
                <w:color w:val="0E32E1"/>
                <w:w w:val="73"/>
              </w:rPr>
              <w:t>38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2260" w:type="dxa"/>
            <w:vAlign w:val="bottom"/>
          </w:tcPr>
          <w:p>
            <w:pPr>
              <w:jc w:val="center"/>
              <w:ind w:left="1703"/>
              <w:spacing w:after="0" w:line="205" w:lineRule="exact"/>
              <w:rPr>
                <w:sz w:val="20"/>
                <w:szCs w:val="20"/>
                <w:color w:val="auto"/>
              </w:rPr>
            </w:pPr>
            <w:r>
              <w:rPr>
                <w:rFonts w:ascii="Times New Roman" w:cs="Times New Roman" w:eastAsia="Times New Roman" w:hAnsi="Times New Roman"/>
                <w:sz w:val="19"/>
                <w:szCs w:val="19"/>
                <w:color w:val="auto"/>
              </w:rPr>
              <w:t>1.7</w:t>
            </w:r>
          </w:p>
        </w:tc>
        <w:tc>
          <w:tcPr>
            <w:tcW w:w="20" w:type="dxa"/>
            <w:vAlign w:val="bottom"/>
          </w:tcPr>
          <w:p>
            <w:pPr>
              <w:spacing w:after="0"/>
              <w:rPr>
                <w:sz w:val="17"/>
                <w:szCs w:val="17"/>
                <w:color w:val="auto"/>
              </w:rPr>
            </w:pPr>
          </w:p>
        </w:tc>
        <w:tc>
          <w:tcPr>
            <w:tcW w:w="5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auto"/>
                <w:w w:val="82"/>
              </w:rPr>
              <w:t>L/C Amounts.................................................................................................................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4"/>
          </w:tcPr>
          <w:p>
            <w:pPr>
              <w:ind w:left="20"/>
              <w:spacing w:after="0" w:line="205" w:lineRule="exact"/>
              <w:rPr>
                <w:sz w:val="20"/>
                <w:szCs w:val="20"/>
                <w:color w:val="auto"/>
              </w:rPr>
            </w:pPr>
            <w:r>
              <w:rPr>
                <w:rFonts w:ascii="Times New Roman" w:cs="Times New Roman" w:eastAsia="Times New Roman" w:hAnsi="Times New Roman"/>
                <w:sz w:val="19"/>
                <w:szCs w:val="19"/>
                <w:color w:val="EE2724"/>
                <w:strike w:val="1"/>
              </w:rPr>
              <w:t>36</w:t>
            </w:r>
          </w:p>
        </w:tc>
        <w:tc>
          <w:tcPr>
            <w:tcW w:w="160" w:type="dxa"/>
            <w:vAlign w:val="bottom"/>
            <w:tcBorders>
              <w:bottom w:val="single" w:sz="8" w:color="0E32E1"/>
            </w:tcBorders>
            <w:gridSpan w:val="4"/>
          </w:tcPr>
          <w:p>
            <w:pPr>
              <w:spacing w:after="0" w:line="205" w:lineRule="exact"/>
              <w:rPr>
                <w:sz w:val="20"/>
                <w:szCs w:val="20"/>
                <w:color w:val="auto"/>
              </w:rPr>
            </w:pPr>
            <w:r>
              <w:rPr>
                <w:rFonts w:ascii="Times New Roman" w:cs="Times New Roman" w:eastAsia="Times New Roman" w:hAnsi="Times New Roman"/>
                <w:sz w:val="19"/>
                <w:szCs w:val="19"/>
                <w:color w:val="0E32E1"/>
                <w:w w:val="73"/>
              </w:rPr>
              <w:t>38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226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1.8</w:t>
            </w:r>
          </w:p>
        </w:tc>
        <w:tc>
          <w:tcPr>
            <w:tcW w:w="6660" w:type="dxa"/>
            <w:vAlign w:val="bottom"/>
            <w:gridSpan w:val="9"/>
          </w:tcPr>
          <w:p>
            <w:pPr>
              <w:jc w:val="right"/>
              <w:ind w:right="20"/>
              <w:spacing w:after="0"/>
              <w:rPr>
                <w:sz w:val="20"/>
                <w:szCs w:val="20"/>
                <w:color w:val="auto"/>
              </w:rPr>
            </w:pPr>
            <w:r>
              <w:rPr>
                <w:rFonts w:ascii="Times New Roman" w:cs="Times New Roman" w:eastAsia="Times New Roman" w:hAnsi="Times New Roman"/>
                <w:sz w:val="19"/>
                <w:szCs w:val="19"/>
                <w:color w:val="auto"/>
              </w:rPr>
              <w:t>Whistler Acquisition Subsidiaries and Peak Acquisition Subsidiaries.........................</w:t>
            </w:r>
          </w:p>
        </w:tc>
        <w:tc>
          <w:tcPr>
            <w:tcW w:w="20" w:type="dxa"/>
            <w:vAlign w:val="bottom"/>
          </w:tcPr>
          <w:p>
            <w:pPr>
              <w:spacing w:after="0"/>
              <w:rPr>
                <w:sz w:val="19"/>
                <w:szCs w:val="19"/>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9"/>
                <w:szCs w:val="19"/>
                <w:color w:val="EE2724"/>
                <w:strike w:val="1"/>
              </w:rPr>
              <w:t>37</w:t>
            </w:r>
          </w:p>
        </w:tc>
        <w:tc>
          <w:tcPr>
            <w:tcW w:w="16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9"/>
                <w:szCs w:val="19"/>
                <w:color w:val="0E32E1"/>
                <w:w w:val="73"/>
              </w:rPr>
              <w:t>38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260" w:type="dxa"/>
            <w:vAlign w:val="bottom"/>
          </w:tcPr>
          <w:p>
            <w:pPr>
              <w:jc w:val="center"/>
              <w:ind w:left="1723"/>
              <w:spacing w:after="0"/>
              <w:rPr>
                <w:sz w:val="20"/>
                <w:szCs w:val="20"/>
                <w:color w:val="auto"/>
              </w:rPr>
            </w:pPr>
            <w:r>
              <w:rPr>
                <w:rFonts w:ascii="Times New Roman" w:cs="Times New Roman" w:eastAsia="Times New Roman" w:hAnsi="Times New Roman"/>
                <w:sz w:val="19"/>
                <w:szCs w:val="19"/>
                <w:color w:val="auto"/>
              </w:rPr>
              <w:t>1.9</w:t>
            </w:r>
          </w:p>
        </w:tc>
        <w:tc>
          <w:tcPr>
            <w:tcW w:w="20" w:type="dxa"/>
            <w:vAlign w:val="bottom"/>
          </w:tcPr>
          <w:p>
            <w:pPr>
              <w:spacing w:after="0"/>
              <w:rPr>
                <w:sz w:val="19"/>
                <w:szCs w:val="19"/>
                <w:color w:val="auto"/>
              </w:rPr>
            </w:pP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Rates; Currency Equivalents.........................................................................................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9"/>
                <w:szCs w:val="19"/>
                <w:color w:val="EE2724"/>
                <w:strike w:val="1"/>
              </w:rPr>
              <w:t>37</w:t>
            </w:r>
          </w:p>
        </w:tc>
        <w:tc>
          <w:tcPr>
            <w:tcW w:w="16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9"/>
                <w:szCs w:val="19"/>
                <w:color w:val="0E32E1"/>
                <w:w w:val="73"/>
              </w:rPr>
              <w:t>38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2280" w:type="dxa"/>
            <w:vAlign w:val="bottom"/>
            <w:gridSpan w:val="2"/>
          </w:tcPr>
          <w:p>
            <w:pPr>
              <w:jc w:val="center"/>
              <w:ind w:left="1683"/>
              <w:spacing w:after="0" w:line="205" w:lineRule="exact"/>
              <w:rPr>
                <w:sz w:val="20"/>
                <w:szCs w:val="20"/>
                <w:color w:val="auto"/>
              </w:rPr>
            </w:pPr>
            <w:r>
              <w:rPr>
                <w:rFonts w:ascii="Times New Roman" w:cs="Times New Roman" w:eastAsia="Times New Roman" w:hAnsi="Times New Roman"/>
                <w:sz w:val="19"/>
                <w:szCs w:val="19"/>
                <w:color w:val="auto"/>
              </w:rPr>
              <w:t>1.10</w:t>
            </w:r>
          </w:p>
        </w:tc>
        <w:tc>
          <w:tcPr>
            <w:tcW w:w="5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auto"/>
                <w:w w:val="82"/>
              </w:rPr>
              <w:t>Interest Rates.................................................................................................................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5"/>
          </w:tcPr>
          <w:p>
            <w:pPr>
              <w:ind w:left="60"/>
              <w:spacing w:after="0" w:line="205" w:lineRule="exact"/>
              <w:rPr>
                <w:sz w:val="20"/>
                <w:szCs w:val="20"/>
                <w:color w:val="auto"/>
              </w:rPr>
            </w:pPr>
            <w:r>
              <w:rPr>
                <w:rFonts w:ascii="Times New Roman" w:cs="Times New Roman" w:eastAsia="Times New Roman" w:hAnsi="Times New Roman"/>
                <w:sz w:val="19"/>
                <w:szCs w:val="19"/>
                <w:color w:val="EE2724"/>
                <w:strike w:val="1"/>
                <w:w w:val="94"/>
              </w:rPr>
              <w:t>37</w:t>
            </w:r>
          </w:p>
        </w:tc>
        <w:tc>
          <w:tcPr>
            <w:tcW w:w="1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83"/>
              </w:rPr>
              <w:t>39</w:t>
            </w:r>
          </w:p>
        </w:tc>
        <w:tc>
          <w:tcPr>
            <w:tcW w:w="20" w:type="dxa"/>
            <w:vAlign w:val="bottom"/>
            <w:tcBorders>
              <w:bottom w:val="single" w:sz="8" w:color="0E32E1"/>
            </w:tcBorders>
          </w:tcPr>
          <w:p>
            <w:pPr>
              <w:spacing w:after="0"/>
              <w:rPr>
                <w:sz w:val="17"/>
                <w:szCs w:val="17"/>
                <w:color w:val="auto"/>
              </w:rPr>
            </w:pPr>
          </w:p>
        </w:tc>
      </w:tr>
      <w:tr>
        <w:trPr>
          <w:trHeight w:val="458"/>
        </w:trPr>
        <w:tc>
          <w:tcPr>
            <w:tcW w:w="75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SECTION2COMMITMENT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rPr>
              <w:t>38</w:t>
            </w:r>
          </w:p>
        </w:tc>
        <w:tc>
          <w:tcPr>
            <w:tcW w:w="1140" w:type="dxa"/>
            <w:vAlign w:val="bottom"/>
            <w:gridSpan w:val="3"/>
          </w:tcPr>
          <w:p>
            <w:pPr>
              <w:jc w:val="right"/>
              <w:ind w:right="960"/>
              <w:spacing w:after="0"/>
              <w:rPr>
                <w:sz w:val="20"/>
                <w:szCs w:val="20"/>
                <w:color w:val="auto"/>
              </w:rPr>
            </w:pPr>
            <w:r>
              <w:rPr>
                <w:rFonts w:ascii="Times New Roman" w:cs="Times New Roman" w:eastAsia="Times New Roman" w:hAnsi="Times New Roman"/>
                <w:sz w:val="19"/>
                <w:szCs w:val="19"/>
                <w:color w:val="0E32E1"/>
                <w:w w:val="83"/>
              </w:rPr>
              <w:t>39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2280" w:type="dxa"/>
            <w:vAlign w:val="bottom"/>
            <w:gridSpan w:val="2"/>
          </w:tcPr>
          <w:p>
            <w:pPr>
              <w:jc w:val="center"/>
              <w:ind w:left="1743"/>
              <w:spacing w:after="0" w:line="205" w:lineRule="exact"/>
              <w:rPr>
                <w:sz w:val="20"/>
                <w:szCs w:val="20"/>
                <w:color w:val="auto"/>
              </w:rPr>
            </w:pPr>
            <w:r>
              <w:rPr>
                <w:rFonts w:ascii="Times New Roman" w:cs="Times New Roman" w:eastAsia="Times New Roman" w:hAnsi="Times New Roman"/>
                <w:sz w:val="19"/>
                <w:szCs w:val="19"/>
                <w:color w:val="auto"/>
              </w:rPr>
              <w:t>2.1</w:t>
            </w:r>
          </w:p>
        </w:tc>
        <w:tc>
          <w:tcPr>
            <w:tcW w:w="5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auto"/>
                <w:w w:val="82"/>
              </w:rPr>
              <w:t>Credit Facility...............................................................................................................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E32E1"/>
            </w:tcBorders>
          </w:tcPr>
          <w:p>
            <w:pPr>
              <w:spacing w:after="0"/>
              <w:rPr>
                <w:sz w:val="17"/>
                <w:szCs w:val="17"/>
                <w:color w:val="auto"/>
              </w:rPr>
            </w:pPr>
          </w:p>
        </w:tc>
        <w:tc>
          <w:tcPr>
            <w:tcW w:w="20" w:type="dxa"/>
            <w:vAlign w:val="bottom"/>
            <w:tcBorders>
              <w:top w:val="single" w:sz="8" w:color="0E32E1"/>
            </w:tcBorders>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gridSpan w:val="2"/>
          </w:tcPr>
          <w:p>
            <w:pPr>
              <w:spacing w:after="0" w:line="205" w:lineRule="exact"/>
              <w:rPr>
                <w:sz w:val="20"/>
                <w:szCs w:val="20"/>
                <w:color w:val="auto"/>
              </w:rPr>
            </w:pPr>
            <w:r>
              <w:rPr>
                <w:rFonts w:ascii="Times New Roman" w:cs="Times New Roman" w:eastAsia="Times New Roman" w:hAnsi="Times New Roman"/>
                <w:sz w:val="19"/>
                <w:szCs w:val="19"/>
                <w:color w:val="EE2724"/>
                <w:strike w:val="1"/>
                <w:w w:val="94"/>
              </w:rPr>
              <w:t>38</w:t>
            </w:r>
          </w:p>
        </w:tc>
        <w:tc>
          <w:tcPr>
            <w:tcW w:w="200" w:type="dxa"/>
            <w:vAlign w:val="bottom"/>
            <w:tcBorders>
              <w:bottom w:val="single" w:sz="8" w:color="0E32E1"/>
            </w:tcBorders>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0E32E1"/>
                <w:w w:val="94"/>
              </w:rPr>
              <w:t>39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226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2.2</w:t>
            </w:r>
          </w:p>
        </w:tc>
        <w:tc>
          <w:tcPr>
            <w:tcW w:w="20" w:type="dxa"/>
            <w:vAlign w:val="bottom"/>
          </w:tcPr>
          <w:p>
            <w:pPr>
              <w:spacing w:after="0"/>
              <w:rPr>
                <w:sz w:val="19"/>
                <w:szCs w:val="19"/>
                <w:color w:val="auto"/>
              </w:rPr>
            </w:pP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Loan Procedure.............................................................................................................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gridSpan w:val="5"/>
          </w:tcPr>
          <w:p>
            <w:pPr>
              <w:ind w:left="20"/>
              <w:spacing w:after="0"/>
              <w:rPr>
                <w:sz w:val="20"/>
                <w:szCs w:val="20"/>
                <w:color w:val="auto"/>
              </w:rPr>
            </w:pPr>
            <w:r>
              <w:rPr>
                <w:rFonts w:ascii="Times New Roman" w:cs="Times New Roman" w:eastAsia="Times New Roman" w:hAnsi="Times New Roman"/>
                <w:sz w:val="19"/>
                <w:szCs w:val="19"/>
                <w:color w:val="EE2724"/>
                <w:strike w:val="1"/>
              </w:rPr>
              <w:t>38</w:t>
            </w:r>
          </w:p>
        </w:tc>
        <w:tc>
          <w:tcPr>
            <w:tcW w:w="14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7"/>
                <w:szCs w:val="17"/>
                <w:color w:val="0E32E1"/>
                <w:w w:val="70"/>
              </w:rPr>
              <w:t>40</w:t>
            </w:r>
          </w:p>
        </w:tc>
        <w:tc>
          <w:tcPr>
            <w:tcW w:w="20" w:type="dxa"/>
            <w:vAlign w:val="bottom"/>
            <w:tcBorders>
              <w:bottom w:val="single" w:sz="8" w:color="0E32E1"/>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26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2.3</w:t>
            </w:r>
          </w:p>
        </w:tc>
        <w:tc>
          <w:tcPr>
            <w:tcW w:w="20" w:type="dxa"/>
            <w:vAlign w:val="bottom"/>
          </w:tcPr>
          <w:p>
            <w:pPr>
              <w:spacing w:after="0"/>
              <w:rPr>
                <w:sz w:val="19"/>
                <w:szCs w:val="19"/>
                <w:color w:val="auto"/>
              </w:rPr>
            </w:pP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L/C Subfacility..............................................................................................................</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9"/>
                <w:szCs w:val="19"/>
                <w:color w:val="EE2724"/>
                <w:strike w:val="1"/>
              </w:rPr>
              <w:t>41</w:t>
            </w:r>
          </w:p>
        </w:tc>
        <w:tc>
          <w:tcPr>
            <w:tcW w:w="16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9"/>
                <w:szCs w:val="19"/>
                <w:color w:val="0E32E1"/>
                <w:w w:val="73"/>
              </w:rPr>
              <w:t>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2260" w:type="dxa"/>
            <w:vAlign w:val="bottom"/>
          </w:tcPr>
          <w:p>
            <w:pPr>
              <w:ind w:left="1920"/>
              <w:spacing w:after="0" w:line="205" w:lineRule="exact"/>
              <w:rPr>
                <w:sz w:val="20"/>
                <w:szCs w:val="20"/>
                <w:color w:val="auto"/>
              </w:rPr>
            </w:pPr>
            <w:r>
              <w:rPr>
                <w:rFonts w:ascii="Times New Roman" w:cs="Times New Roman" w:eastAsia="Times New Roman" w:hAnsi="Times New Roman"/>
                <w:sz w:val="19"/>
                <w:szCs w:val="19"/>
                <w:color w:val="auto"/>
              </w:rPr>
              <w:t>2.4</w:t>
            </w:r>
          </w:p>
        </w:tc>
        <w:tc>
          <w:tcPr>
            <w:tcW w:w="20" w:type="dxa"/>
            <w:vAlign w:val="bottom"/>
          </w:tcPr>
          <w:p>
            <w:pPr>
              <w:spacing w:after="0"/>
              <w:rPr>
                <w:sz w:val="17"/>
                <w:szCs w:val="17"/>
                <w:color w:val="auto"/>
              </w:rPr>
            </w:pPr>
          </w:p>
        </w:tc>
        <w:tc>
          <w:tcPr>
            <w:tcW w:w="5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auto"/>
                <w:w w:val="82"/>
              </w:rPr>
              <w:t>[Reserved].....................................................................................................................</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4"/>
          </w:tcPr>
          <w:p>
            <w:pPr>
              <w:spacing w:after="0" w:line="205" w:lineRule="exact"/>
              <w:rPr>
                <w:sz w:val="20"/>
                <w:szCs w:val="20"/>
                <w:color w:val="auto"/>
              </w:rPr>
            </w:pPr>
            <w:r>
              <w:rPr>
                <w:rFonts w:ascii="Times New Roman" w:cs="Times New Roman" w:eastAsia="Times New Roman" w:hAnsi="Times New Roman"/>
                <w:sz w:val="19"/>
                <w:szCs w:val="19"/>
                <w:color w:val="EE2724"/>
                <w:strike w:val="1"/>
              </w:rPr>
              <w:t>51</w:t>
            </w:r>
          </w:p>
        </w:tc>
        <w:tc>
          <w:tcPr>
            <w:tcW w:w="160" w:type="dxa"/>
            <w:vAlign w:val="bottom"/>
            <w:tcBorders>
              <w:bottom w:val="single" w:sz="8" w:color="0E32E1"/>
            </w:tcBorders>
            <w:gridSpan w:val="4"/>
          </w:tcPr>
          <w:p>
            <w:pPr>
              <w:spacing w:after="0" w:line="205" w:lineRule="exact"/>
              <w:rPr>
                <w:sz w:val="20"/>
                <w:szCs w:val="20"/>
                <w:color w:val="auto"/>
              </w:rPr>
            </w:pPr>
            <w:r>
              <w:rPr>
                <w:rFonts w:ascii="Times New Roman" w:cs="Times New Roman" w:eastAsia="Times New Roman" w:hAnsi="Times New Roman"/>
                <w:sz w:val="19"/>
                <w:szCs w:val="19"/>
                <w:color w:val="0E32E1"/>
                <w:w w:val="73"/>
              </w:rPr>
              <w:t>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8920" w:type="dxa"/>
            <w:vAlign w:val="bottom"/>
            <w:gridSpan w:val="10"/>
          </w:tcPr>
          <w:p>
            <w:pPr>
              <w:ind w:left="1940"/>
              <w:spacing w:after="0"/>
              <w:rPr>
                <w:sz w:val="20"/>
                <w:szCs w:val="20"/>
                <w:color w:val="auto"/>
              </w:rPr>
            </w:pPr>
            <w:r>
              <w:rPr>
                <w:rFonts w:ascii="Times New Roman" w:cs="Times New Roman" w:eastAsia="Times New Roman" w:hAnsi="Times New Roman"/>
                <w:sz w:val="19"/>
                <w:szCs w:val="19"/>
                <w:color w:val="auto"/>
              </w:rPr>
              <w:t xml:space="preserve">2.5  Increase in Revolver Commitments; Incremental Term Loan Facility........................ </w:t>
            </w:r>
            <w:r>
              <w:rPr>
                <w:rFonts w:ascii="Times New Roman" w:cs="Times New Roman" w:eastAsia="Times New Roman" w:hAnsi="Times New Roman"/>
                <w:sz w:val="19"/>
                <w:szCs w:val="19"/>
                <w:color w:val="EE2724"/>
                <w:strike w:val="1"/>
              </w:rPr>
              <w:t>51</w:t>
            </w:r>
          </w:p>
        </w:tc>
        <w:tc>
          <w:tcPr>
            <w:tcW w:w="200" w:type="dxa"/>
            <w:vAlign w:val="bottom"/>
            <w:gridSpan w:val="2"/>
          </w:tcPr>
          <w:p>
            <w:pPr>
              <w:spacing w:after="0"/>
              <w:rPr>
                <w:sz w:val="19"/>
                <w:szCs w:val="19"/>
                <w:color w:val="auto"/>
              </w:rPr>
            </w:pPr>
          </w:p>
        </w:tc>
        <w:tc>
          <w:tcPr>
            <w:tcW w:w="200" w:type="dxa"/>
            <w:vAlign w:val="bottom"/>
            <w:gridSpan w:val="6"/>
          </w:tcPr>
          <w:p>
            <w:pPr>
              <w:jc w:val="right"/>
              <w:ind w:right="20"/>
              <w:spacing w:after="0"/>
              <w:rPr>
                <w:sz w:val="20"/>
                <w:szCs w:val="20"/>
                <w:color w:val="auto"/>
              </w:rPr>
            </w:pPr>
            <w:r>
              <w:rPr>
                <w:rFonts w:ascii="Times New Roman" w:cs="Times New Roman" w:eastAsia="Times New Roman" w:hAnsi="Times New Roman"/>
                <w:sz w:val="19"/>
                <w:szCs w:val="19"/>
                <w:color w:val="0E32E1"/>
                <w:w w:val="83"/>
              </w:rPr>
              <w:t>53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4"/>
        </w:trPr>
        <w:tc>
          <w:tcPr>
            <w:tcW w:w="75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SECTION3TERMSOFPAYMENT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EE2724"/>
                <w:strike w:val="1"/>
                <w:w w:val="94"/>
              </w:rPr>
              <w:t>53</w:t>
            </w:r>
          </w:p>
        </w:tc>
        <w:tc>
          <w:tcPr>
            <w:tcW w:w="18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9"/>
                <w:szCs w:val="19"/>
                <w:color w:val="0E32E1"/>
                <w:w w:val="83"/>
              </w:rPr>
              <w:t>55</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0E32E1"/>
            </w:tcBorders>
          </w:tcPr>
          <w:p>
            <w:pPr>
              <w:spacing w:after="0"/>
              <w:rPr>
                <w:sz w:val="24"/>
                <w:szCs w:val="24"/>
                <w:color w:val="auto"/>
              </w:rPr>
            </w:pPr>
          </w:p>
        </w:tc>
        <w:tc>
          <w:tcPr>
            <w:tcW w:w="20" w:type="dxa"/>
            <w:vAlign w:val="bottom"/>
            <w:tcBorders>
              <w:top w:val="single" w:sz="8" w:color="0E32E1"/>
            </w:tcBorders>
          </w:tcPr>
          <w:p>
            <w:pPr>
              <w:spacing w:after="0"/>
              <w:rPr>
                <w:sz w:val="24"/>
                <w:szCs w:val="24"/>
                <w:color w:val="auto"/>
              </w:rPr>
            </w:pPr>
          </w:p>
        </w:tc>
        <w:tc>
          <w:tcPr>
            <w:tcW w:w="20" w:type="dxa"/>
            <w:vAlign w:val="bottom"/>
            <w:tcBorders>
              <w:top w:val="single" w:sz="8" w:color="0E32E1"/>
            </w:tcBorders>
          </w:tcPr>
          <w:p>
            <w:pPr>
              <w:spacing w:after="0"/>
              <w:rPr>
                <w:sz w:val="24"/>
                <w:szCs w:val="24"/>
                <w:color w:val="auto"/>
              </w:rPr>
            </w:pPr>
          </w:p>
        </w:tc>
        <w:tc>
          <w:tcPr>
            <w:tcW w:w="2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26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3.1</w:t>
            </w:r>
          </w:p>
        </w:tc>
        <w:tc>
          <w:tcPr>
            <w:tcW w:w="20" w:type="dxa"/>
            <w:vAlign w:val="bottom"/>
          </w:tcPr>
          <w:p>
            <w:pPr>
              <w:spacing w:after="0"/>
              <w:rPr>
                <w:sz w:val="19"/>
                <w:szCs w:val="19"/>
                <w:color w:val="auto"/>
              </w:rPr>
            </w:pP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Notes and Payments.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9"/>
                <w:szCs w:val="19"/>
                <w:color w:val="EE2724"/>
                <w:strike w:val="1"/>
              </w:rPr>
              <w:t>53</w:t>
            </w:r>
          </w:p>
        </w:tc>
        <w:tc>
          <w:tcPr>
            <w:tcW w:w="16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9"/>
                <w:szCs w:val="19"/>
                <w:color w:val="0E32E1"/>
                <w:w w:val="73"/>
              </w:rPr>
              <w:t>55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2260" w:type="dxa"/>
            <w:vAlign w:val="bottom"/>
          </w:tcPr>
          <w:p>
            <w:pPr>
              <w:ind w:left="1920"/>
              <w:spacing w:after="0" w:line="205" w:lineRule="exact"/>
              <w:rPr>
                <w:sz w:val="20"/>
                <w:szCs w:val="20"/>
                <w:color w:val="auto"/>
              </w:rPr>
            </w:pPr>
            <w:r>
              <w:rPr>
                <w:rFonts w:ascii="Times New Roman" w:cs="Times New Roman" w:eastAsia="Times New Roman" w:hAnsi="Times New Roman"/>
                <w:sz w:val="19"/>
                <w:szCs w:val="19"/>
                <w:color w:val="auto"/>
              </w:rPr>
              <w:t>3.2</w:t>
            </w:r>
          </w:p>
        </w:tc>
        <w:tc>
          <w:tcPr>
            <w:tcW w:w="378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9"/>
                <w:szCs w:val="19"/>
                <w:color w:val="auto"/>
              </w:rPr>
              <w:t>Interest and Principal Payments; Prepayments;</w:t>
            </w:r>
          </w:p>
        </w:tc>
        <w:tc>
          <w:tcPr>
            <w:tcW w:w="800" w:type="dxa"/>
            <w:vAlign w:val="bottom"/>
          </w:tcPr>
          <w:p>
            <w:pPr>
              <w:spacing w:after="0" w:line="205" w:lineRule="exact"/>
              <w:rPr>
                <w:sz w:val="20"/>
                <w:szCs w:val="20"/>
                <w:color w:val="auto"/>
              </w:rPr>
            </w:pPr>
            <w:r>
              <w:rPr>
                <w:rFonts w:ascii="Times New Roman" w:cs="Times New Roman" w:eastAsia="Times New Roman" w:hAnsi="Times New Roman"/>
                <w:sz w:val="19"/>
                <w:szCs w:val="19"/>
                <w:color w:val="EE2724"/>
                <w:strike w:val="1"/>
              </w:rPr>
              <w:t>Voluntary</w:t>
            </w:r>
          </w:p>
        </w:tc>
        <w:tc>
          <w:tcPr>
            <w:tcW w:w="2100" w:type="dxa"/>
            <w:vAlign w:val="bottom"/>
            <w:gridSpan w:val="7"/>
          </w:tcPr>
          <w:p>
            <w:pPr>
              <w:jc w:val="right"/>
              <w:spacing w:after="0" w:line="205" w:lineRule="exact"/>
              <w:rPr>
                <w:sz w:val="20"/>
                <w:szCs w:val="20"/>
                <w:color w:val="auto"/>
              </w:rPr>
            </w:pPr>
            <w:r>
              <w:rPr>
                <w:rFonts w:ascii="Times New Roman" w:cs="Times New Roman" w:eastAsia="Times New Roman" w:hAnsi="Times New Roman"/>
                <w:sz w:val="19"/>
                <w:szCs w:val="19"/>
                <w:color w:val="auto"/>
              </w:rPr>
              <w:t>Commitment Reductions..</w:t>
            </w:r>
          </w:p>
        </w:tc>
        <w:tc>
          <w:tcPr>
            <w:tcW w:w="240" w:type="dxa"/>
            <w:vAlign w:val="bottom"/>
            <w:gridSpan w:val="4"/>
          </w:tcPr>
          <w:p>
            <w:pPr>
              <w:spacing w:after="0" w:line="205" w:lineRule="exact"/>
              <w:rPr>
                <w:sz w:val="20"/>
                <w:szCs w:val="20"/>
                <w:color w:val="auto"/>
              </w:rPr>
            </w:pPr>
            <w:r>
              <w:rPr>
                <w:rFonts w:ascii="Times New Roman" w:cs="Times New Roman" w:eastAsia="Times New Roman" w:hAnsi="Times New Roman"/>
                <w:sz w:val="19"/>
                <w:szCs w:val="19"/>
                <w:color w:val="EE2724"/>
                <w:strike w:val="1"/>
              </w:rPr>
              <w:t>54</w:t>
            </w:r>
          </w:p>
        </w:tc>
        <w:tc>
          <w:tcPr>
            <w:tcW w:w="160" w:type="dxa"/>
            <w:vAlign w:val="bottom"/>
            <w:tcBorders>
              <w:bottom w:val="single" w:sz="8" w:color="0E32E1"/>
            </w:tcBorders>
            <w:gridSpan w:val="4"/>
          </w:tcPr>
          <w:p>
            <w:pPr>
              <w:spacing w:after="0" w:line="205" w:lineRule="exact"/>
              <w:rPr>
                <w:sz w:val="20"/>
                <w:szCs w:val="20"/>
                <w:color w:val="auto"/>
              </w:rPr>
            </w:pPr>
            <w:r>
              <w:rPr>
                <w:rFonts w:ascii="Times New Roman" w:cs="Times New Roman" w:eastAsia="Times New Roman" w:hAnsi="Times New Roman"/>
                <w:sz w:val="19"/>
                <w:szCs w:val="19"/>
                <w:color w:val="0E32E1"/>
                <w:w w:val="73"/>
              </w:rPr>
              <w:t>56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226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3.3</w:t>
            </w:r>
          </w:p>
        </w:tc>
        <w:tc>
          <w:tcPr>
            <w:tcW w:w="20" w:type="dxa"/>
            <w:vAlign w:val="bottom"/>
          </w:tcPr>
          <w:p>
            <w:pPr>
              <w:spacing w:after="0"/>
              <w:rPr>
                <w:sz w:val="19"/>
                <w:szCs w:val="19"/>
                <w:color w:val="auto"/>
              </w:rPr>
            </w:pP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Interest Options.............................................................................................................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9"/>
                <w:szCs w:val="19"/>
                <w:color w:val="EE2724"/>
                <w:strike w:val="1"/>
              </w:rPr>
              <w:t>56</w:t>
            </w:r>
          </w:p>
        </w:tc>
        <w:tc>
          <w:tcPr>
            <w:tcW w:w="16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9"/>
                <w:szCs w:val="19"/>
                <w:color w:val="0E32E1"/>
                <w:w w:val="73"/>
              </w:rPr>
              <w:t>58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280" w:type="dxa"/>
            <w:vAlign w:val="bottom"/>
            <w:gridSpan w:val="2"/>
          </w:tcPr>
          <w:p>
            <w:pPr>
              <w:ind w:left="1920"/>
              <w:spacing w:after="0"/>
              <w:rPr>
                <w:sz w:val="20"/>
                <w:szCs w:val="20"/>
                <w:color w:val="auto"/>
              </w:rPr>
            </w:pPr>
            <w:r>
              <w:rPr>
                <w:rFonts w:ascii="Times New Roman" w:cs="Times New Roman" w:eastAsia="Times New Roman" w:hAnsi="Times New Roman"/>
                <w:sz w:val="19"/>
                <w:szCs w:val="19"/>
                <w:color w:val="auto"/>
              </w:rPr>
              <w:t>3.4</w:t>
            </w: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Quotation of Rates.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gridSpan w:val="4"/>
          </w:tcPr>
          <w:p>
            <w:pPr>
              <w:ind w:left="20"/>
              <w:spacing w:after="0"/>
              <w:rPr>
                <w:sz w:val="20"/>
                <w:szCs w:val="20"/>
                <w:color w:val="auto"/>
              </w:rPr>
            </w:pPr>
            <w:r>
              <w:rPr>
                <w:rFonts w:ascii="Times New Roman" w:cs="Times New Roman" w:eastAsia="Times New Roman" w:hAnsi="Times New Roman"/>
                <w:sz w:val="19"/>
                <w:szCs w:val="19"/>
                <w:color w:val="EE2724"/>
                <w:strike w:val="1"/>
              </w:rPr>
              <w:t>56</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58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2260" w:type="dxa"/>
            <w:vAlign w:val="bottom"/>
          </w:tcPr>
          <w:p>
            <w:pPr>
              <w:ind w:left="1920"/>
              <w:spacing w:after="0" w:line="205" w:lineRule="exact"/>
              <w:rPr>
                <w:sz w:val="20"/>
                <w:szCs w:val="20"/>
                <w:color w:val="auto"/>
              </w:rPr>
            </w:pPr>
            <w:r>
              <w:rPr>
                <w:rFonts w:ascii="Times New Roman" w:cs="Times New Roman" w:eastAsia="Times New Roman" w:hAnsi="Times New Roman"/>
                <w:sz w:val="19"/>
                <w:szCs w:val="19"/>
                <w:color w:val="auto"/>
              </w:rPr>
              <w:t>3.5</w:t>
            </w:r>
          </w:p>
        </w:tc>
        <w:tc>
          <w:tcPr>
            <w:tcW w:w="20" w:type="dxa"/>
            <w:vAlign w:val="bottom"/>
          </w:tcPr>
          <w:p>
            <w:pPr>
              <w:spacing w:after="0"/>
              <w:rPr>
                <w:sz w:val="17"/>
                <w:szCs w:val="17"/>
                <w:color w:val="auto"/>
              </w:rPr>
            </w:pPr>
          </w:p>
        </w:tc>
        <w:tc>
          <w:tcPr>
            <w:tcW w:w="5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auto"/>
                <w:w w:val="82"/>
              </w:rPr>
              <w:t>Default Rate.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gridSpan w:val="4"/>
          </w:tcPr>
          <w:p>
            <w:pPr>
              <w:ind w:left="20"/>
              <w:spacing w:after="0" w:line="205" w:lineRule="exact"/>
              <w:rPr>
                <w:sz w:val="20"/>
                <w:szCs w:val="20"/>
                <w:color w:val="auto"/>
              </w:rPr>
            </w:pPr>
            <w:r>
              <w:rPr>
                <w:rFonts w:ascii="Times New Roman" w:cs="Times New Roman" w:eastAsia="Times New Roman" w:hAnsi="Times New Roman"/>
                <w:sz w:val="19"/>
                <w:szCs w:val="19"/>
                <w:color w:val="EE2724"/>
                <w:strike w:val="1"/>
              </w:rPr>
              <w:t>56</w:t>
            </w:r>
          </w:p>
        </w:tc>
        <w:tc>
          <w:tcPr>
            <w:tcW w:w="160" w:type="dxa"/>
            <w:vAlign w:val="bottom"/>
            <w:tcBorders>
              <w:bottom w:val="single" w:sz="8" w:color="0E32E1"/>
            </w:tcBorders>
            <w:gridSpan w:val="4"/>
          </w:tcPr>
          <w:p>
            <w:pPr>
              <w:spacing w:after="0" w:line="205" w:lineRule="exact"/>
              <w:rPr>
                <w:sz w:val="20"/>
                <w:szCs w:val="20"/>
                <w:color w:val="auto"/>
              </w:rPr>
            </w:pPr>
            <w:r>
              <w:rPr>
                <w:rFonts w:ascii="Times New Roman" w:cs="Times New Roman" w:eastAsia="Times New Roman" w:hAnsi="Times New Roman"/>
                <w:sz w:val="19"/>
                <w:szCs w:val="19"/>
                <w:color w:val="0E32E1"/>
                <w:w w:val="73"/>
              </w:rPr>
              <w:t>58</w:t>
            </w:r>
          </w:p>
        </w:tc>
        <w:tc>
          <w:tcPr>
            <w:tcW w:w="20" w:type="dxa"/>
            <w:vAlign w:val="bottom"/>
            <w:tcBorders>
              <w:bottom w:val="single" w:sz="8" w:color="0E32E1"/>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2280" w:type="dxa"/>
            <w:vAlign w:val="bottom"/>
            <w:gridSpan w:val="2"/>
          </w:tcPr>
          <w:p>
            <w:pPr>
              <w:ind w:left="1920"/>
              <w:spacing w:after="0"/>
              <w:rPr>
                <w:sz w:val="20"/>
                <w:szCs w:val="20"/>
                <w:color w:val="auto"/>
              </w:rPr>
            </w:pPr>
            <w:r>
              <w:rPr>
                <w:rFonts w:ascii="Times New Roman" w:cs="Times New Roman" w:eastAsia="Times New Roman" w:hAnsi="Times New Roman"/>
                <w:sz w:val="19"/>
                <w:szCs w:val="19"/>
                <w:color w:val="auto"/>
              </w:rPr>
              <w:t>3.6</w:t>
            </w: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Interest Recapture.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EE2724"/>
                <w:strike w:val="1"/>
                <w:w w:val="94"/>
              </w:rPr>
              <w:t>56</w:t>
            </w:r>
          </w:p>
        </w:tc>
        <w:tc>
          <w:tcPr>
            <w:tcW w:w="1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83"/>
              </w:rPr>
              <w:t>58</w:t>
            </w:r>
          </w:p>
        </w:tc>
        <w:tc>
          <w:tcPr>
            <w:tcW w:w="20" w:type="dxa"/>
            <w:vAlign w:val="bottom"/>
            <w:tcBorders>
              <w:bottom w:val="single" w:sz="8" w:color="0E32E1"/>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8920" w:type="dxa"/>
            <w:vAlign w:val="bottom"/>
            <w:gridSpan w:val="10"/>
          </w:tcPr>
          <w:p>
            <w:pPr>
              <w:ind w:left="1920"/>
              <w:spacing w:after="0" w:line="205" w:lineRule="exact"/>
              <w:rPr>
                <w:sz w:val="20"/>
                <w:szCs w:val="20"/>
                <w:color w:val="auto"/>
              </w:rPr>
            </w:pPr>
            <w:r>
              <w:rPr>
                <w:rFonts w:ascii="Times New Roman" w:cs="Times New Roman" w:eastAsia="Times New Roman" w:hAnsi="Times New Roman"/>
                <w:sz w:val="19"/>
                <w:szCs w:val="19"/>
                <w:color w:val="auto"/>
              </w:rPr>
              <w:t>3.7  Interest Calculations; Retroactive Adjustments of Applicable Margin........................</w:t>
            </w:r>
          </w:p>
        </w:tc>
        <w:tc>
          <w:tcPr>
            <w:tcW w:w="240" w:type="dxa"/>
            <w:vAlign w:val="bottom"/>
            <w:gridSpan w:val="4"/>
          </w:tcPr>
          <w:p>
            <w:pPr>
              <w:ind w:left="20"/>
              <w:spacing w:after="0" w:line="205" w:lineRule="exact"/>
              <w:rPr>
                <w:sz w:val="20"/>
                <w:szCs w:val="20"/>
                <w:color w:val="auto"/>
              </w:rPr>
            </w:pPr>
            <w:r>
              <w:rPr>
                <w:rFonts w:ascii="Times New Roman" w:cs="Times New Roman" w:eastAsia="Times New Roman" w:hAnsi="Times New Roman"/>
                <w:sz w:val="19"/>
                <w:szCs w:val="19"/>
                <w:color w:val="EE2724"/>
                <w:strike w:val="1"/>
              </w:rPr>
              <w:t>56</w:t>
            </w:r>
          </w:p>
        </w:tc>
        <w:tc>
          <w:tcPr>
            <w:tcW w:w="160" w:type="dxa"/>
            <w:vAlign w:val="bottom"/>
            <w:tcBorders>
              <w:bottom w:val="single" w:sz="8" w:color="0E32E1"/>
            </w:tcBorders>
            <w:gridSpan w:val="4"/>
          </w:tcPr>
          <w:p>
            <w:pPr>
              <w:spacing w:after="0" w:line="205" w:lineRule="exact"/>
              <w:rPr>
                <w:sz w:val="20"/>
                <w:szCs w:val="20"/>
                <w:color w:val="auto"/>
              </w:rPr>
            </w:pPr>
            <w:r>
              <w:rPr>
                <w:rFonts w:ascii="Times New Roman" w:cs="Times New Roman" w:eastAsia="Times New Roman" w:hAnsi="Times New Roman"/>
                <w:sz w:val="19"/>
                <w:szCs w:val="19"/>
                <w:color w:val="0E32E1"/>
                <w:w w:val="73"/>
              </w:rPr>
              <w:t>58</w:t>
            </w:r>
          </w:p>
        </w:tc>
        <w:tc>
          <w:tcPr>
            <w:tcW w:w="20" w:type="dxa"/>
            <w:vAlign w:val="bottom"/>
            <w:tcBorders>
              <w:bottom w:val="single" w:sz="8" w:color="0E32E1"/>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2260" w:type="dxa"/>
            <w:vAlign w:val="bottom"/>
          </w:tcPr>
          <w:p>
            <w:pPr>
              <w:jc w:val="center"/>
              <w:ind w:left="1683"/>
              <w:spacing w:after="0"/>
              <w:rPr>
                <w:sz w:val="20"/>
                <w:szCs w:val="20"/>
                <w:color w:val="auto"/>
              </w:rPr>
            </w:pPr>
            <w:r>
              <w:rPr>
                <w:rFonts w:ascii="Times New Roman" w:cs="Times New Roman" w:eastAsia="Times New Roman" w:hAnsi="Times New Roman"/>
                <w:sz w:val="19"/>
                <w:szCs w:val="19"/>
                <w:color w:val="auto"/>
              </w:rPr>
              <w:t>3.8</w:t>
            </w:r>
          </w:p>
        </w:tc>
        <w:tc>
          <w:tcPr>
            <w:tcW w:w="20" w:type="dxa"/>
            <w:vAlign w:val="bottom"/>
          </w:tcPr>
          <w:p>
            <w:pPr>
              <w:spacing w:after="0"/>
              <w:rPr>
                <w:sz w:val="19"/>
                <w:szCs w:val="19"/>
                <w:color w:val="auto"/>
              </w:rPr>
            </w:pP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Maximum Rate..............................................................................................................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4"/>
          </w:tcPr>
          <w:p>
            <w:pPr>
              <w:ind w:left="20"/>
              <w:spacing w:after="0"/>
              <w:rPr>
                <w:sz w:val="20"/>
                <w:szCs w:val="20"/>
                <w:color w:val="auto"/>
              </w:rPr>
            </w:pPr>
            <w:r>
              <w:rPr>
                <w:rFonts w:ascii="Times New Roman" w:cs="Times New Roman" w:eastAsia="Times New Roman" w:hAnsi="Times New Roman"/>
                <w:sz w:val="19"/>
                <w:szCs w:val="19"/>
                <w:color w:val="EE2724"/>
                <w:strike w:val="1"/>
              </w:rPr>
              <w:t>57</w:t>
            </w:r>
          </w:p>
        </w:tc>
        <w:tc>
          <w:tcPr>
            <w:tcW w:w="16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9"/>
                <w:szCs w:val="19"/>
                <w:color w:val="0E32E1"/>
                <w:w w:val="73"/>
              </w:rPr>
              <w:t>59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260" w:type="dxa"/>
            <w:vAlign w:val="bottom"/>
          </w:tcPr>
          <w:p>
            <w:pPr>
              <w:jc w:val="center"/>
              <w:ind w:left="1683"/>
              <w:spacing w:after="0"/>
              <w:rPr>
                <w:sz w:val="20"/>
                <w:szCs w:val="20"/>
                <w:color w:val="auto"/>
              </w:rPr>
            </w:pPr>
            <w:r>
              <w:rPr>
                <w:rFonts w:ascii="Times New Roman" w:cs="Times New Roman" w:eastAsia="Times New Roman" w:hAnsi="Times New Roman"/>
                <w:sz w:val="19"/>
                <w:szCs w:val="19"/>
                <w:color w:val="auto"/>
              </w:rPr>
              <w:t>3.9</w:t>
            </w:r>
          </w:p>
        </w:tc>
        <w:tc>
          <w:tcPr>
            <w:tcW w:w="20" w:type="dxa"/>
            <w:vAlign w:val="bottom"/>
          </w:tcPr>
          <w:p>
            <w:pPr>
              <w:spacing w:after="0"/>
              <w:rPr>
                <w:sz w:val="19"/>
                <w:szCs w:val="19"/>
                <w:color w:val="auto"/>
              </w:rPr>
            </w:pP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Interest Periods..............................................................................................................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4"/>
          </w:tcPr>
          <w:p>
            <w:pPr>
              <w:ind w:left="20"/>
              <w:spacing w:after="0"/>
              <w:rPr>
                <w:sz w:val="20"/>
                <w:szCs w:val="20"/>
                <w:color w:val="auto"/>
              </w:rPr>
            </w:pPr>
            <w:r>
              <w:rPr>
                <w:rFonts w:ascii="Times New Roman" w:cs="Times New Roman" w:eastAsia="Times New Roman" w:hAnsi="Times New Roman"/>
                <w:sz w:val="19"/>
                <w:szCs w:val="19"/>
                <w:color w:val="EE2724"/>
                <w:strike w:val="1"/>
              </w:rPr>
              <w:t>57</w:t>
            </w:r>
          </w:p>
        </w:tc>
        <w:tc>
          <w:tcPr>
            <w:tcW w:w="16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9"/>
                <w:szCs w:val="19"/>
                <w:color w:val="0E32E1"/>
                <w:w w:val="73"/>
              </w:rPr>
              <w:t>59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2280" w:type="dxa"/>
            <w:vAlign w:val="bottom"/>
            <w:gridSpan w:val="2"/>
          </w:tcPr>
          <w:p>
            <w:pPr>
              <w:ind w:left="1860"/>
              <w:spacing w:after="0" w:line="205" w:lineRule="exact"/>
              <w:rPr>
                <w:sz w:val="20"/>
                <w:szCs w:val="20"/>
                <w:color w:val="auto"/>
              </w:rPr>
            </w:pPr>
            <w:r>
              <w:rPr>
                <w:rFonts w:ascii="Times New Roman" w:cs="Times New Roman" w:eastAsia="Times New Roman" w:hAnsi="Times New Roman"/>
                <w:sz w:val="19"/>
                <w:szCs w:val="19"/>
                <w:color w:val="auto"/>
              </w:rPr>
              <w:t>3.10</w:t>
            </w:r>
          </w:p>
        </w:tc>
        <w:tc>
          <w:tcPr>
            <w:tcW w:w="5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auto"/>
                <w:w w:val="82"/>
              </w:rPr>
              <w:t>Order of Application.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4"/>
          </w:tcPr>
          <w:p>
            <w:pPr>
              <w:ind w:left="60"/>
              <w:spacing w:after="0" w:line="205" w:lineRule="exact"/>
              <w:rPr>
                <w:sz w:val="20"/>
                <w:szCs w:val="20"/>
                <w:color w:val="auto"/>
              </w:rPr>
            </w:pPr>
            <w:r>
              <w:rPr>
                <w:rFonts w:ascii="Times New Roman" w:cs="Times New Roman" w:eastAsia="Times New Roman" w:hAnsi="Times New Roman"/>
                <w:sz w:val="19"/>
                <w:szCs w:val="19"/>
                <w:color w:val="EE2724"/>
                <w:strike w:val="1"/>
                <w:w w:val="83"/>
              </w:rPr>
              <w:t>57</w:t>
            </w:r>
          </w:p>
        </w:tc>
        <w:tc>
          <w:tcPr>
            <w:tcW w:w="200" w:type="dxa"/>
            <w:vAlign w:val="bottom"/>
            <w:tcBorders>
              <w:bottom w:val="single" w:sz="8" w:color="0E32E1"/>
            </w:tcBorders>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0E32E1"/>
                <w:w w:val="94"/>
              </w:rPr>
              <w:t>59</w:t>
            </w:r>
          </w:p>
        </w:tc>
        <w:tc>
          <w:tcPr>
            <w:tcW w:w="20" w:type="dxa"/>
            <w:vAlign w:val="bottom"/>
          </w:tcPr>
          <w:p>
            <w:pPr>
              <w:spacing w:after="0"/>
              <w:rPr>
                <w:sz w:val="17"/>
                <w:szCs w:val="17"/>
                <w:color w:val="auto"/>
              </w:rPr>
            </w:pPr>
          </w:p>
        </w:tc>
      </w:tr>
      <w:tr>
        <w:trPr>
          <w:trHeight w:val="219"/>
        </w:trPr>
        <w:tc>
          <w:tcPr>
            <w:tcW w:w="2280" w:type="dxa"/>
            <w:vAlign w:val="bottom"/>
            <w:gridSpan w:val="2"/>
          </w:tcPr>
          <w:p>
            <w:pPr>
              <w:jc w:val="center"/>
              <w:ind w:left="1723"/>
              <w:spacing w:after="0"/>
              <w:rPr>
                <w:sz w:val="20"/>
                <w:szCs w:val="20"/>
                <w:color w:val="auto"/>
              </w:rPr>
            </w:pPr>
            <w:r>
              <w:rPr>
                <w:rFonts w:ascii="Times New Roman" w:cs="Times New Roman" w:eastAsia="Times New Roman" w:hAnsi="Times New Roman"/>
                <w:sz w:val="19"/>
                <w:szCs w:val="19"/>
                <w:color w:val="auto"/>
              </w:rPr>
              <w:t>3.11</w:t>
            </w: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Payments Generally.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EE2724"/>
                <w:strike w:val="1"/>
                <w:w w:val="94"/>
              </w:rPr>
              <w:t>58</w:t>
            </w:r>
          </w:p>
        </w:tc>
        <w:tc>
          <w:tcPr>
            <w:tcW w:w="18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9"/>
                <w:szCs w:val="19"/>
                <w:color w:val="0E32E1"/>
                <w:w w:val="83"/>
              </w:rPr>
              <w:t>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7560" w:type="dxa"/>
            <w:vAlign w:val="bottom"/>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auto"/>
              </w:rPr>
              <w:t>3.12  Sharing of Payments, Etc.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4"/>
          </w:tcPr>
          <w:p>
            <w:pPr>
              <w:ind w:left="60"/>
              <w:spacing w:after="0" w:line="205" w:lineRule="exact"/>
              <w:rPr>
                <w:sz w:val="20"/>
                <w:szCs w:val="20"/>
                <w:color w:val="auto"/>
              </w:rPr>
            </w:pPr>
            <w:r>
              <w:rPr>
                <w:rFonts w:ascii="Times New Roman" w:cs="Times New Roman" w:eastAsia="Times New Roman" w:hAnsi="Times New Roman"/>
                <w:sz w:val="19"/>
                <w:szCs w:val="19"/>
                <w:color w:val="EE2724"/>
                <w:strike w:val="1"/>
                <w:w w:val="83"/>
              </w:rPr>
              <w:t>58</w:t>
            </w:r>
          </w:p>
        </w:tc>
        <w:tc>
          <w:tcPr>
            <w:tcW w:w="200" w:type="dxa"/>
            <w:vAlign w:val="bottom"/>
            <w:tcBorders>
              <w:bottom w:val="single" w:sz="8" w:color="0E32E1"/>
            </w:tcBorders>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0E32E1"/>
                <w:w w:val="94"/>
              </w:rPr>
              <w:t>60</w:t>
            </w:r>
          </w:p>
        </w:tc>
        <w:tc>
          <w:tcPr>
            <w:tcW w:w="20" w:type="dxa"/>
            <w:vAlign w:val="bottom"/>
          </w:tcPr>
          <w:p>
            <w:pPr>
              <w:spacing w:after="0"/>
              <w:rPr>
                <w:sz w:val="17"/>
                <w:szCs w:val="17"/>
                <w:color w:val="auto"/>
              </w:rPr>
            </w:pPr>
          </w:p>
        </w:tc>
      </w:tr>
      <w:tr>
        <w:trPr>
          <w:trHeight w:val="219"/>
        </w:trPr>
        <w:tc>
          <w:tcPr>
            <w:tcW w:w="2280" w:type="dxa"/>
            <w:vAlign w:val="bottom"/>
            <w:gridSpan w:val="2"/>
          </w:tcPr>
          <w:p>
            <w:pPr>
              <w:ind w:left="1860"/>
              <w:spacing w:after="0"/>
              <w:rPr>
                <w:sz w:val="20"/>
                <w:szCs w:val="20"/>
                <w:color w:val="auto"/>
              </w:rPr>
            </w:pPr>
            <w:r>
              <w:rPr>
                <w:rFonts w:ascii="Times New Roman" w:cs="Times New Roman" w:eastAsia="Times New Roman" w:hAnsi="Times New Roman"/>
                <w:sz w:val="19"/>
                <w:szCs w:val="19"/>
                <w:color w:val="auto"/>
              </w:rPr>
              <w:t>3.13</w:t>
            </w: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Booking Loans.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EE2724"/>
                <w:strike w:val="1"/>
                <w:w w:val="83"/>
              </w:rPr>
              <w:t>59</w:t>
            </w:r>
          </w:p>
        </w:tc>
        <w:tc>
          <w:tcPr>
            <w:tcW w:w="200" w:type="dxa"/>
            <w:vAlign w:val="bottom"/>
            <w:tcBorders>
              <w:bottom w:val="single" w:sz="8" w:color="0E32E1"/>
            </w:tcBorders>
            <w:gridSpan w:val="6"/>
          </w:tcPr>
          <w:p>
            <w:pPr>
              <w:jc w:val="right"/>
              <w:spacing w:after="0"/>
              <w:rPr>
                <w:sz w:val="20"/>
                <w:szCs w:val="20"/>
                <w:color w:val="auto"/>
              </w:rPr>
            </w:pPr>
            <w:r>
              <w:rPr>
                <w:rFonts w:ascii="Times New Roman" w:cs="Times New Roman" w:eastAsia="Times New Roman" w:hAnsi="Times New Roman"/>
                <w:sz w:val="19"/>
                <w:szCs w:val="19"/>
                <w:color w:val="0E32E1"/>
                <w:w w:val="94"/>
              </w:rPr>
              <w:t>61</w:t>
            </w:r>
          </w:p>
        </w:tc>
        <w:tc>
          <w:tcPr>
            <w:tcW w:w="20" w:type="dxa"/>
            <w:vAlign w:val="bottom"/>
          </w:tcPr>
          <w:p>
            <w:pPr>
              <w:spacing w:after="0"/>
              <w:rPr>
                <w:sz w:val="19"/>
                <w:szCs w:val="19"/>
                <w:color w:val="auto"/>
              </w:rPr>
            </w:pPr>
          </w:p>
        </w:tc>
      </w:tr>
      <w:tr>
        <w:trPr>
          <w:trHeight w:val="219"/>
        </w:trPr>
        <w:tc>
          <w:tcPr>
            <w:tcW w:w="2280" w:type="dxa"/>
            <w:vAlign w:val="bottom"/>
            <w:gridSpan w:val="2"/>
          </w:tcPr>
          <w:p>
            <w:pPr>
              <w:jc w:val="center"/>
              <w:ind w:left="1683"/>
              <w:spacing w:after="0"/>
              <w:rPr>
                <w:sz w:val="20"/>
                <w:szCs w:val="20"/>
                <w:color w:val="auto"/>
              </w:rPr>
            </w:pPr>
            <w:r>
              <w:rPr>
                <w:rFonts w:ascii="Times New Roman" w:cs="Times New Roman" w:eastAsia="Times New Roman" w:hAnsi="Times New Roman"/>
                <w:sz w:val="19"/>
                <w:szCs w:val="19"/>
                <w:color w:val="auto"/>
              </w:rPr>
              <w:t>3.14</w:t>
            </w: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Cash Collateral..............................................................................................................</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EE2724"/>
                <w:strike w:val="1"/>
                <w:w w:val="94"/>
              </w:rPr>
              <w:t>59</w:t>
            </w:r>
          </w:p>
        </w:tc>
        <w:tc>
          <w:tcPr>
            <w:tcW w:w="1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83"/>
              </w:rPr>
              <w:t>61</w:t>
            </w:r>
          </w:p>
        </w:tc>
        <w:tc>
          <w:tcPr>
            <w:tcW w:w="20" w:type="dxa"/>
            <w:vAlign w:val="bottom"/>
          </w:tcPr>
          <w:p>
            <w:pPr>
              <w:spacing w:after="0"/>
              <w:rPr>
                <w:sz w:val="19"/>
                <w:szCs w:val="19"/>
                <w:color w:val="auto"/>
              </w:rPr>
            </w:pPr>
          </w:p>
        </w:tc>
      </w:tr>
      <w:tr>
        <w:trPr>
          <w:trHeight w:val="206"/>
        </w:trPr>
        <w:tc>
          <w:tcPr>
            <w:tcW w:w="2280" w:type="dxa"/>
            <w:vAlign w:val="bottom"/>
            <w:gridSpan w:val="2"/>
          </w:tcPr>
          <w:p>
            <w:pPr>
              <w:jc w:val="center"/>
              <w:ind w:left="1683"/>
              <w:spacing w:after="0" w:line="205" w:lineRule="exact"/>
              <w:rPr>
                <w:sz w:val="20"/>
                <w:szCs w:val="20"/>
                <w:color w:val="auto"/>
              </w:rPr>
            </w:pPr>
            <w:r>
              <w:rPr>
                <w:rFonts w:ascii="Times New Roman" w:cs="Times New Roman" w:eastAsia="Times New Roman" w:hAnsi="Times New Roman"/>
                <w:sz w:val="19"/>
                <w:szCs w:val="19"/>
                <w:color w:val="auto"/>
              </w:rPr>
              <w:t>3.15</w:t>
            </w:r>
          </w:p>
        </w:tc>
        <w:tc>
          <w:tcPr>
            <w:tcW w:w="5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auto"/>
                <w:w w:val="82"/>
              </w:rPr>
              <w:t>Defaulting Lenders........................................................................................................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5"/>
          </w:tcPr>
          <w:p>
            <w:pPr>
              <w:ind w:left="60"/>
              <w:spacing w:after="0" w:line="205" w:lineRule="exact"/>
              <w:rPr>
                <w:sz w:val="20"/>
                <w:szCs w:val="20"/>
                <w:color w:val="auto"/>
              </w:rPr>
            </w:pPr>
            <w:r>
              <w:rPr>
                <w:rFonts w:ascii="Times New Roman" w:cs="Times New Roman" w:eastAsia="Times New Roman" w:hAnsi="Times New Roman"/>
                <w:sz w:val="19"/>
                <w:szCs w:val="19"/>
                <w:color w:val="EE2724"/>
                <w:strike w:val="1"/>
                <w:w w:val="94"/>
              </w:rPr>
              <w:t>60</w:t>
            </w:r>
          </w:p>
        </w:tc>
        <w:tc>
          <w:tcPr>
            <w:tcW w:w="200" w:type="dxa"/>
            <w:vAlign w:val="bottom"/>
            <w:tcBorders>
              <w:bottom w:val="single" w:sz="8" w:color="0E32E1"/>
            </w:tcBorders>
            <w:gridSpan w:val="6"/>
          </w:tcPr>
          <w:p>
            <w:pPr>
              <w:spacing w:after="0" w:line="205" w:lineRule="exact"/>
              <w:rPr>
                <w:sz w:val="20"/>
                <w:szCs w:val="20"/>
                <w:color w:val="auto"/>
              </w:rPr>
            </w:pPr>
            <w:r>
              <w:rPr>
                <w:rFonts w:ascii="Times New Roman" w:cs="Times New Roman" w:eastAsia="Times New Roman" w:hAnsi="Times New Roman"/>
                <w:sz w:val="19"/>
                <w:szCs w:val="19"/>
                <w:color w:val="0E32E1"/>
                <w:w w:val="94"/>
              </w:rPr>
              <w:t>62</w:t>
            </w:r>
          </w:p>
        </w:tc>
      </w:tr>
      <w:tr>
        <w:trPr>
          <w:trHeight w:val="458"/>
        </w:trPr>
        <w:tc>
          <w:tcPr>
            <w:tcW w:w="75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SECTION4TAXES,YIELDPROTECTION,ANDILLEGALITY</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EE2724"/>
                <w:strike w:val="1"/>
                <w:w w:val="94"/>
              </w:rPr>
              <w:t>62</w:t>
            </w:r>
          </w:p>
        </w:tc>
        <w:tc>
          <w:tcPr>
            <w:tcW w:w="200" w:type="dxa"/>
            <w:vAlign w:val="bottom"/>
            <w:tcBorders>
              <w:bottom w:val="single" w:sz="8" w:color="0E32E1"/>
            </w:tcBorders>
            <w:gridSpan w:val="3"/>
          </w:tcPr>
          <w:p>
            <w:pPr>
              <w:jc w:val="right"/>
              <w:spacing w:after="0"/>
              <w:rPr>
                <w:sz w:val="20"/>
                <w:szCs w:val="20"/>
                <w:color w:val="auto"/>
              </w:rPr>
            </w:pPr>
            <w:r>
              <w:rPr>
                <w:rFonts w:ascii="Times New Roman" w:cs="Times New Roman" w:eastAsia="Times New Roman" w:hAnsi="Times New Roman"/>
                <w:sz w:val="19"/>
                <w:szCs w:val="19"/>
                <w:color w:val="0E32E1"/>
                <w:w w:val="94"/>
              </w:rPr>
              <w:t>64</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2280" w:type="dxa"/>
            <w:vAlign w:val="bottom"/>
            <w:gridSpan w:val="2"/>
          </w:tcPr>
          <w:p>
            <w:pPr>
              <w:ind w:left="1920"/>
              <w:spacing w:after="0" w:line="205" w:lineRule="exact"/>
              <w:rPr>
                <w:sz w:val="20"/>
                <w:szCs w:val="20"/>
                <w:color w:val="auto"/>
              </w:rPr>
            </w:pPr>
            <w:r>
              <w:rPr>
                <w:rFonts w:ascii="Times New Roman" w:cs="Times New Roman" w:eastAsia="Times New Roman" w:hAnsi="Times New Roman"/>
                <w:sz w:val="19"/>
                <w:szCs w:val="19"/>
                <w:color w:val="auto"/>
              </w:rPr>
              <w:t>4.1</w:t>
            </w:r>
          </w:p>
        </w:tc>
        <w:tc>
          <w:tcPr>
            <w:tcW w:w="5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auto"/>
                <w:w w:val="82"/>
              </w:rPr>
              <w:t>Taxes.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9"/>
                <w:szCs w:val="19"/>
                <w:color w:val="EE2724"/>
                <w:strike w:val="1"/>
                <w:w w:val="94"/>
              </w:rPr>
              <w:t>62</w:t>
            </w:r>
          </w:p>
        </w:tc>
        <w:tc>
          <w:tcPr>
            <w:tcW w:w="1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83"/>
              </w:rPr>
              <w:t>64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2280" w:type="dxa"/>
            <w:vAlign w:val="bottom"/>
            <w:gridSpan w:val="2"/>
          </w:tcPr>
          <w:p>
            <w:pPr>
              <w:ind w:left="1920"/>
              <w:spacing w:after="0"/>
              <w:rPr>
                <w:sz w:val="20"/>
                <w:szCs w:val="20"/>
                <w:color w:val="auto"/>
              </w:rPr>
            </w:pPr>
            <w:r>
              <w:rPr>
                <w:rFonts w:ascii="Times New Roman" w:cs="Times New Roman" w:eastAsia="Times New Roman" w:hAnsi="Times New Roman"/>
                <w:sz w:val="19"/>
                <w:szCs w:val="19"/>
                <w:color w:val="auto"/>
              </w:rPr>
              <w:t>4.2</w:t>
            </w: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Illegality.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EE2724"/>
                <w:strike w:val="1"/>
                <w:w w:val="94"/>
              </w:rPr>
              <w:t>67</w:t>
            </w:r>
          </w:p>
        </w:tc>
        <w:tc>
          <w:tcPr>
            <w:tcW w:w="1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83"/>
              </w:rPr>
              <w:t>68</w:t>
            </w:r>
          </w:p>
        </w:tc>
        <w:tc>
          <w:tcPr>
            <w:tcW w:w="20" w:type="dxa"/>
            <w:vAlign w:val="bottom"/>
            <w:tcBorders>
              <w:bottom w:val="single" w:sz="8" w:color="0E32E1"/>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26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4.3</w:t>
            </w:r>
          </w:p>
        </w:tc>
        <w:tc>
          <w:tcPr>
            <w:tcW w:w="53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w w:val="82"/>
              </w:rPr>
              <w:t>Inability to Determine Rates.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gridSpan w:val="5"/>
          </w:tcPr>
          <w:p>
            <w:pPr>
              <w:ind w:left="20"/>
              <w:spacing w:after="0"/>
              <w:rPr>
                <w:sz w:val="20"/>
                <w:szCs w:val="20"/>
                <w:color w:val="auto"/>
              </w:rPr>
            </w:pPr>
            <w:r>
              <w:rPr>
                <w:rFonts w:ascii="Times New Roman" w:cs="Times New Roman" w:eastAsia="Times New Roman" w:hAnsi="Times New Roman"/>
                <w:sz w:val="19"/>
                <w:szCs w:val="19"/>
                <w:color w:val="EE2724"/>
                <w:strike w:val="1"/>
              </w:rPr>
              <w:t>67</w:t>
            </w:r>
          </w:p>
        </w:tc>
        <w:tc>
          <w:tcPr>
            <w:tcW w:w="14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7"/>
                <w:szCs w:val="17"/>
                <w:color w:val="0E32E1"/>
                <w:w w:val="70"/>
              </w:rPr>
              <w:t>69</w:t>
            </w:r>
          </w:p>
        </w:tc>
        <w:tc>
          <w:tcPr>
            <w:tcW w:w="20" w:type="dxa"/>
            <w:vAlign w:val="bottom"/>
            <w:tcBorders>
              <w:bottom w:val="single" w:sz="8" w:color="0E32E1"/>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2280" w:type="dxa"/>
            <w:vAlign w:val="bottom"/>
            <w:gridSpan w:val="2"/>
          </w:tcPr>
          <w:p>
            <w:pPr>
              <w:ind w:left="1920"/>
              <w:spacing w:after="0" w:line="205" w:lineRule="exact"/>
              <w:rPr>
                <w:sz w:val="20"/>
                <w:szCs w:val="20"/>
                <w:color w:val="auto"/>
              </w:rPr>
            </w:pPr>
            <w:r>
              <w:rPr>
                <w:rFonts w:ascii="Times New Roman" w:cs="Times New Roman" w:eastAsia="Times New Roman" w:hAnsi="Times New Roman"/>
                <w:sz w:val="19"/>
                <w:szCs w:val="19"/>
                <w:color w:val="auto"/>
              </w:rPr>
              <w:t>4.4</w:t>
            </w:r>
          </w:p>
        </w:tc>
        <w:tc>
          <w:tcPr>
            <w:tcW w:w="5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auto"/>
                <w:w w:val="82"/>
              </w:rPr>
              <w:t>Increased Costs.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gridSpan w:val="4"/>
          </w:tcPr>
          <w:p>
            <w:pPr>
              <w:ind w:left="20"/>
              <w:spacing w:after="0" w:line="205" w:lineRule="exact"/>
              <w:rPr>
                <w:sz w:val="20"/>
                <w:szCs w:val="20"/>
                <w:color w:val="auto"/>
              </w:rPr>
            </w:pPr>
            <w:r>
              <w:rPr>
                <w:rFonts w:ascii="Times New Roman" w:cs="Times New Roman" w:eastAsia="Times New Roman" w:hAnsi="Times New Roman"/>
                <w:sz w:val="19"/>
                <w:szCs w:val="19"/>
                <w:color w:val="EE2724"/>
                <w:strike w:val="1"/>
              </w:rPr>
              <w:t>70</w:t>
            </w:r>
          </w:p>
        </w:tc>
        <w:tc>
          <w:tcPr>
            <w:tcW w:w="160" w:type="dxa"/>
            <w:vAlign w:val="bottom"/>
            <w:tcBorders>
              <w:bottom w:val="single" w:sz="8" w:color="0E32E1"/>
            </w:tcBorders>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0E32E1"/>
                <w:w w:val="73"/>
              </w:rPr>
              <w:t>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226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4.5</w:t>
            </w:r>
          </w:p>
        </w:tc>
        <w:tc>
          <w:tcPr>
            <w:tcW w:w="20" w:type="dxa"/>
            <w:vAlign w:val="bottom"/>
          </w:tcPr>
          <w:p>
            <w:pPr>
              <w:spacing w:after="0"/>
              <w:rPr>
                <w:sz w:val="19"/>
                <w:szCs w:val="19"/>
                <w:color w:val="auto"/>
              </w:rPr>
            </w:pP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Compensation for Losses.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9"/>
                <w:szCs w:val="19"/>
                <w:color w:val="EE2724"/>
                <w:strike w:val="1"/>
              </w:rPr>
              <w:t>71</w:t>
            </w:r>
          </w:p>
        </w:tc>
        <w:tc>
          <w:tcPr>
            <w:tcW w:w="16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9"/>
                <w:szCs w:val="19"/>
                <w:color w:val="0E32E1"/>
                <w:w w:val="73"/>
              </w:rPr>
              <w:t>73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2260" w:type="dxa"/>
            <w:vAlign w:val="bottom"/>
          </w:tcPr>
          <w:p>
            <w:pPr>
              <w:jc w:val="center"/>
              <w:ind w:left="1723"/>
              <w:spacing w:after="0" w:line="205" w:lineRule="exact"/>
              <w:rPr>
                <w:sz w:val="20"/>
                <w:szCs w:val="20"/>
                <w:color w:val="auto"/>
              </w:rPr>
            </w:pPr>
            <w:r>
              <w:rPr>
                <w:rFonts w:ascii="Times New Roman" w:cs="Times New Roman" w:eastAsia="Times New Roman" w:hAnsi="Times New Roman"/>
                <w:sz w:val="19"/>
                <w:szCs w:val="19"/>
                <w:color w:val="auto"/>
              </w:rPr>
              <w:t>4.6</w:t>
            </w:r>
          </w:p>
        </w:tc>
        <w:tc>
          <w:tcPr>
            <w:tcW w:w="530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auto"/>
                <w:w w:val="82"/>
              </w:rPr>
              <w:t>Mitigation Obligations; Replacement of Lenders.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4"/>
          </w:tcPr>
          <w:p>
            <w:pPr>
              <w:spacing w:after="0" w:line="205" w:lineRule="exact"/>
              <w:rPr>
                <w:sz w:val="20"/>
                <w:szCs w:val="20"/>
                <w:color w:val="auto"/>
              </w:rPr>
            </w:pPr>
            <w:r>
              <w:rPr>
                <w:rFonts w:ascii="Times New Roman" w:cs="Times New Roman" w:eastAsia="Times New Roman" w:hAnsi="Times New Roman"/>
                <w:sz w:val="19"/>
                <w:szCs w:val="19"/>
                <w:color w:val="EE2724"/>
                <w:strike w:val="1"/>
              </w:rPr>
              <w:t>71</w:t>
            </w:r>
          </w:p>
        </w:tc>
        <w:tc>
          <w:tcPr>
            <w:tcW w:w="160" w:type="dxa"/>
            <w:vAlign w:val="bottom"/>
            <w:tcBorders>
              <w:bottom w:val="single" w:sz="8" w:color="0E32E1"/>
            </w:tcBorders>
            <w:gridSpan w:val="4"/>
          </w:tcPr>
          <w:p>
            <w:pPr>
              <w:spacing w:after="0" w:line="205" w:lineRule="exact"/>
              <w:rPr>
                <w:sz w:val="20"/>
                <w:szCs w:val="20"/>
                <w:color w:val="auto"/>
              </w:rPr>
            </w:pPr>
            <w:r>
              <w:rPr>
                <w:rFonts w:ascii="Times New Roman" w:cs="Times New Roman" w:eastAsia="Times New Roman" w:hAnsi="Times New Roman"/>
                <w:sz w:val="19"/>
                <w:szCs w:val="19"/>
                <w:color w:val="0E32E1"/>
                <w:w w:val="73"/>
              </w:rPr>
              <w:t>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226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4.7</w:t>
            </w:r>
          </w:p>
        </w:tc>
        <w:tc>
          <w:tcPr>
            <w:tcW w:w="20" w:type="dxa"/>
            <w:vAlign w:val="bottom"/>
          </w:tcPr>
          <w:p>
            <w:pPr>
              <w:spacing w:after="0"/>
              <w:rPr>
                <w:sz w:val="19"/>
                <w:szCs w:val="19"/>
                <w:color w:val="auto"/>
              </w:rPr>
            </w:pPr>
          </w:p>
        </w:tc>
        <w:tc>
          <w:tcPr>
            <w:tcW w:w="5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Survival.........................................................................................................................</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9"/>
                <w:szCs w:val="19"/>
                <w:color w:val="EE2724"/>
                <w:strike w:val="1"/>
              </w:rPr>
              <w:t>72</w:t>
            </w:r>
          </w:p>
        </w:tc>
        <w:tc>
          <w:tcPr>
            <w:tcW w:w="16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9"/>
                <w:szCs w:val="19"/>
                <w:color w:val="0E32E1"/>
                <w:w w:val="73"/>
              </w:rPr>
              <w:t>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3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1240"/>
          </w:cols>
          <w:pgMar w:left="320" w:top="1386" w:right="3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32"/>
        </w:trPr>
        <w:tc>
          <w:tcPr>
            <w:tcW w:w="2280" w:type="dxa"/>
            <w:vAlign w:val="bottom"/>
            <w:gridSpan w:val="4"/>
            <w:vMerge w:val="restart"/>
          </w:tcPr>
          <w:p>
            <w:pPr>
              <w:spacing w:after="0"/>
              <w:rPr>
                <w:sz w:val="20"/>
                <w:szCs w:val="20"/>
                <w:color w:val="auto"/>
              </w:rPr>
            </w:pPr>
            <w:r>
              <w:rPr>
                <w:rFonts w:ascii="Times New Roman" w:cs="Times New Roman" w:eastAsia="Times New Roman" w:hAnsi="Times New Roman"/>
                <w:sz w:val="8"/>
                <w:szCs w:val="8"/>
                <w:b w:val="1"/>
                <w:bCs w:val="1"/>
                <w:color w:val="auto"/>
                <w:w w:val="72"/>
              </w:rPr>
              <w:t>SECTION 5 FEES</w:t>
            </w:r>
            <w:r>
              <w:rPr>
                <w:rFonts w:ascii="Times New Roman" w:cs="Times New Roman" w:eastAsia="Times New Roman" w:hAnsi="Times New Roman"/>
                <w:sz w:val="8"/>
                <w:szCs w:val="8"/>
                <w:color w:val="auto"/>
                <w:w w:val="72"/>
              </w:rPr>
              <w:t>...........................................................................................................................</w:t>
            </w: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9"/>
                <w:szCs w:val="19"/>
                <w:color w:val="EE2724"/>
                <w:strike w:val="1"/>
              </w:rPr>
              <w:t>72</w:t>
            </w: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0E32E1"/>
                <w:w w:val="83"/>
              </w:rPr>
              <w:t>74</w:t>
            </w:r>
          </w:p>
        </w:tc>
        <w:tc>
          <w:tcPr>
            <w:tcW w:w="94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2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gridSpan w:val="4"/>
            <w:vMerge w:val="continue"/>
          </w:tcPr>
          <w:p>
            <w:pPr>
              <w:spacing w:after="0"/>
              <w:rPr>
                <w:sz w:val="16"/>
                <w:szCs w:val="16"/>
                <w:color w:val="auto"/>
              </w:rPr>
            </w:pPr>
          </w:p>
        </w:tc>
        <w:tc>
          <w:tcPr>
            <w:tcW w:w="180" w:type="dxa"/>
            <w:vAlign w:val="bottom"/>
            <w:tcBorders>
              <w:bottom w:val="single" w:sz="8" w:color="0E32E1"/>
            </w:tcBorders>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180" w:type="dxa"/>
            <w:vAlign w:val="bottom"/>
            <w:gridSpan w:val="2"/>
          </w:tcPr>
          <w:p>
            <w:pPr>
              <w:jc w:val="center"/>
              <w:ind w:left="1844"/>
              <w:spacing w:after="0"/>
              <w:rPr>
                <w:sz w:val="20"/>
                <w:szCs w:val="20"/>
                <w:color w:val="auto"/>
              </w:rPr>
            </w:pPr>
            <w:r>
              <w:rPr>
                <w:rFonts w:ascii="Times New Roman" w:cs="Times New Roman" w:eastAsia="Times New Roman" w:hAnsi="Times New Roman"/>
                <w:sz w:val="19"/>
                <w:szCs w:val="19"/>
                <w:color w:val="auto"/>
              </w:rPr>
              <w:t>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w w:val="80"/>
              </w:rPr>
              <w:t>Treatment of Fees.........................................................................................................</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9"/>
                <w:szCs w:val="19"/>
                <w:color w:val="EE2724"/>
                <w:strike w:val="1"/>
                <w:w w:val="94"/>
              </w:rPr>
              <w:t>72</w:t>
            </w:r>
          </w:p>
        </w:tc>
        <w:tc>
          <w:tcPr>
            <w:tcW w:w="200" w:type="dxa"/>
            <w:vAlign w:val="bottom"/>
            <w:tcBorders>
              <w:bottom w:val="single" w:sz="8" w:color="0E32E1"/>
            </w:tcBorders>
            <w:gridSpan w:val="6"/>
          </w:tcPr>
          <w:p>
            <w:pPr>
              <w:jc w:val="right"/>
              <w:spacing w:after="0"/>
              <w:rPr>
                <w:sz w:val="20"/>
                <w:szCs w:val="20"/>
                <w:color w:val="auto"/>
              </w:rPr>
            </w:pPr>
            <w:r>
              <w:rPr>
                <w:rFonts w:ascii="Times New Roman" w:cs="Times New Roman" w:eastAsia="Times New Roman" w:hAnsi="Times New Roman"/>
                <w:sz w:val="19"/>
                <w:szCs w:val="19"/>
                <w:color w:val="0E32E1"/>
                <w:w w:val="94"/>
              </w:rPr>
              <w:t>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80" w:type="dxa"/>
            <w:vAlign w:val="bottom"/>
            <w:gridSpan w:val="2"/>
          </w:tcPr>
          <w:p>
            <w:pPr>
              <w:jc w:val="center"/>
              <w:ind w:left="1824"/>
              <w:spacing w:after="0" w:line="205" w:lineRule="exact"/>
              <w:rPr>
                <w:sz w:val="20"/>
                <w:szCs w:val="20"/>
                <w:color w:val="auto"/>
              </w:rPr>
            </w:pPr>
            <w:r>
              <w:rPr>
                <w:rFonts w:ascii="Times New Roman" w:cs="Times New Roman" w:eastAsia="Times New Roman" w:hAnsi="Times New Roman"/>
                <w:sz w:val="19"/>
                <w:szCs w:val="19"/>
                <w:color w:val="auto"/>
              </w:rPr>
              <w:t>5.2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3"/>
          </w:tcPr>
          <w:p>
            <w:pPr>
              <w:ind w:left="80"/>
              <w:spacing w:after="0" w:line="205" w:lineRule="exact"/>
              <w:rPr>
                <w:sz w:val="20"/>
                <w:szCs w:val="20"/>
                <w:color w:val="auto"/>
              </w:rPr>
            </w:pPr>
            <w:r>
              <w:rPr>
                <w:rFonts w:ascii="Times New Roman" w:cs="Times New Roman" w:eastAsia="Times New Roman" w:hAnsi="Times New Roman"/>
                <w:sz w:val="19"/>
                <w:szCs w:val="19"/>
                <w:color w:val="auto"/>
                <w:w w:val="80"/>
              </w:rPr>
              <w:t>Fee Letter. ....................................................................................................................</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2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9"/>
                <w:szCs w:val="19"/>
                <w:color w:val="EE2724"/>
                <w:strike w:val="1"/>
                <w:w w:val="94"/>
              </w:rPr>
              <w:t>72</w:t>
            </w:r>
          </w:p>
        </w:tc>
        <w:tc>
          <w:tcPr>
            <w:tcW w:w="1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83"/>
              </w:rPr>
              <w:t>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80" w:type="dxa"/>
            <w:vAlign w:val="bottom"/>
            <w:gridSpan w:val="2"/>
          </w:tcPr>
          <w:p>
            <w:pPr>
              <w:jc w:val="center"/>
              <w:ind w:left="1804"/>
              <w:spacing w:after="0"/>
              <w:rPr>
                <w:sz w:val="20"/>
                <w:szCs w:val="20"/>
                <w:color w:val="auto"/>
              </w:rPr>
            </w:pPr>
            <w:r>
              <w:rPr>
                <w:rFonts w:ascii="Times New Roman" w:cs="Times New Roman" w:eastAsia="Times New Roman" w:hAnsi="Times New Roman"/>
                <w:sz w:val="19"/>
                <w:szCs w:val="19"/>
                <w:color w:val="auto"/>
              </w:rPr>
              <w:t>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w w:val="80"/>
              </w:rPr>
              <w:t>L/C Fees. ......................................................................................................................</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EE2724"/>
                <w:strike w:val="1"/>
              </w:rPr>
              <w:t>72</w:t>
            </w:r>
          </w:p>
        </w:tc>
        <w:tc>
          <w:tcPr>
            <w:tcW w:w="1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83"/>
              </w:rPr>
              <w:t>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80" w:type="dxa"/>
            <w:vAlign w:val="bottom"/>
            <w:gridSpan w:val="2"/>
          </w:tcPr>
          <w:p>
            <w:pPr>
              <w:jc w:val="center"/>
              <w:ind w:left="1804"/>
              <w:spacing w:after="0" w:line="205" w:lineRule="exact"/>
              <w:rPr>
                <w:sz w:val="20"/>
                <w:szCs w:val="20"/>
                <w:color w:val="auto"/>
              </w:rPr>
            </w:pPr>
            <w:r>
              <w:rPr>
                <w:rFonts w:ascii="Times New Roman" w:cs="Times New Roman" w:eastAsia="Times New Roman" w:hAnsi="Times New Roman"/>
                <w:sz w:val="19"/>
                <w:szCs w:val="19"/>
                <w:color w:val="auto"/>
              </w:rPr>
              <w:t>5.4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3"/>
          </w:tcPr>
          <w:p>
            <w:pPr>
              <w:ind w:left="80"/>
              <w:spacing w:after="0" w:line="205" w:lineRule="exact"/>
              <w:rPr>
                <w:sz w:val="20"/>
                <w:szCs w:val="20"/>
                <w:color w:val="auto"/>
              </w:rPr>
            </w:pPr>
            <w:r>
              <w:rPr>
                <w:rFonts w:ascii="Times New Roman" w:cs="Times New Roman" w:eastAsia="Times New Roman" w:hAnsi="Times New Roman"/>
                <w:sz w:val="19"/>
                <w:szCs w:val="19"/>
                <w:color w:val="auto"/>
                <w:w w:val="80"/>
              </w:rPr>
              <w:t>Revolver Commitment Fee. .........................................................................................</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2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9"/>
                <w:szCs w:val="19"/>
                <w:color w:val="EE2724"/>
                <w:strike w:val="1"/>
              </w:rPr>
              <w:t>73</w:t>
            </w:r>
          </w:p>
        </w:tc>
        <w:tc>
          <w:tcPr>
            <w:tcW w:w="1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83"/>
              </w:rPr>
              <w:t>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40" w:type="dxa"/>
            <w:vAlign w:val="bottom"/>
          </w:tcPr>
          <w:p>
            <w:pPr>
              <w:spacing w:after="0"/>
              <w:rPr>
                <w:sz w:val="19"/>
                <w:szCs w:val="19"/>
                <w:color w:val="auto"/>
              </w:rPr>
            </w:pPr>
          </w:p>
        </w:tc>
        <w:tc>
          <w:tcPr>
            <w:tcW w:w="558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0E32E1"/>
                <w:w w:val="80"/>
              </w:rPr>
              <w:t>5.</w:t>
            </w:r>
            <w:r>
              <w:rPr>
                <w:rFonts w:ascii="Times New Roman" w:cs="Times New Roman" w:eastAsia="Times New Roman" w:hAnsi="Times New Roman"/>
                <w:sz w:val="19"/>
                <w:szCs w:val="19"/>
                <w:u w:val="single" w:color="auto"/>
                <w:color w:val="0E32E1"/>
                <w:w w:val="80"/>
              </w:rPr>
              <w:t>5</w:t>
            </w:r>
            <w:r>
              <w:rPr>
                <w:rFonts w:ascii="Times New Roman" w:cs="Times New Roman" w:eastAsia="Times New Roman" w:hAnsi="Times New Roman"/>
                <w:sz w:val="19"/>
                <w:szCs w:val="19"/>
                <w:color w:val="0E32E1"/>
                <w:w w:val="80"/>
              </w:rPr>
              <w:t xml:space="preserve">  Delayed Draw Term Loan Ticking Fee</w:t>
            </w:r>
            <w:r>
              <w:rPr>
                <w:rFonts w:ascii="Times New Roman" w:cs="Times New Roman" w:eastAsia="Times New Roman" w:hAnsi="Times New Roman"/>
                <w:sz w:val="19"/>
                <w:szCs w:val="19"/>
                <w:color w:val="000000"/>
                <w:w w:val="80"/>
              </w:rPr>
              <w:t>............................................................................</w:t>
            </w:r>
          </w:p>
        </w:tc>
        <w:tc>
          <w:tcPr>
            <w:tcW w:w="1800" w:type="dxa"/>
            <w:vAlign w:val="bottom"/>
            <w:gridSpan w:val="15"/>
          </w:tcPr>
          <w:p>
            <w:pPr>
              <w:jc w:val="right"/>
              <w:spacing w:after="0"/>
              <w:rPr>
                <w:sz w:val="20"/>
                <w:szCs w:val="20"/>
                <w:color w:val="auto"/>
              </w:rPr>
            </w:pPr>
            <w:r>
              <w:rPr>
                <w:rFonts w:ascii="Times New Roman" w:cs="Times New Roman" w:eastAsia="Times New Roman" w:hAnsi="Times New Roman"/>
                <w:sz w:val="19"/>
                <w:szCs w:val="19"/>
                <w:color w:val="auto"/>
              </w:rPr>
              <w:t>75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0" w:type="dxa"/>
            <w:vAlign w:val="bottom"/>
            <w:shd w:val="clear" w:color="auto" w:fill="0E32E1"/>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7520" w:type="dxa"/>
            <w:vAlign w:val="bottom"/>
            <w:gridSpan w:val="7"/>
          </w:tcPr>
          <w:p>
            <w:pPr>
              <w:jc w:val="right"/>
              <w:spacing w:after="0"/>
              <w:rPr>
                <w:sz w:val="20"/>
                <w:szCs w:val="20"/>
                <w:color w:val="auto"/>
              </w:rPr>
            </w:pPr>
            <w:r>
              <w:rPr>
                <w:rFonts w:ascii="Times New Roman" w:cs="Times New Roman" w:eastAsia="Times New Roman" w:hAnsi="Times New Roman"/>
                <w:sz w:val="19"/>
                <w:szCs w:val="19"/>
                <w:b w:val="1"/>
                <w:bCs w:val="1"/>
                <w:color w:val="auto"/>
              </w:rPr>
              <w:t>SECTION 6 GUARANTY AND SECURITY</w:t>
            </w:r>
            <w:r>
              <w:rPr>
                <w:rFonts w:ascii="Times New Roman" w:cs="Times New Roman" w:eastAsia="Times New Roman" w:hAnsi="Times New Roman"/>
                <w:sz w:val="19"/>
                <w:szCs w:val="19"/>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rPr>
              <w:t>73</w:t>
            </w:r>
          </w:p>
        </w:tc>
        <w:tc>
          <w:tcPr>
            <w:tcW w:w="20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94"/>
              </w:rPr>
              <w:t>75</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180" w:type="dxa"/>
            <w:vAlign w:val="bottom"/>
            <w:gridSpan w:val="2"/>
          </w:tcPr>
          <w:p>
            <w:pPr>
              <w:jc w:val="center"/>
              <w:ind w:left="1804"/>
              <w:spacing w:after="0" w:line="205" w:lineRule="exact"/>
              <w:rPr>
                <w:sz w:val="20"/>
                <w:szCs w:val="20"/>
                <w:color w:val="auto"/>
              </w:rPr>
            </w:pPr>
            <w:r>
              <w:rPr>
                <w:rFonts w:ascii="Times New Roman" w:cs="Times New Roman" w:eastAsia="Times New Roman" w:hAnsi="Times New Roman"/>
                <w:sz w:val="19"/>
                <w:szCs w:val="19"/>
                <w:color w:val="auto"/>
              </w:rPr>
              <w:t>6.1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3"/>
          </w:tcPr>
          <w:p>
            <w:pPr>
              <w:ind w:left="80"/>
              <w:spacing w:after="0" w:line="205" w:lineRule="exact"/>
              <w:rPr>
                <w:sz w:val="20"/>
                <w:szCs w:val="20"/>
                <w:color w:val="auto"/>
              </w:rPr>
            </w:pPr>
            <w:r>
              <w:rPr>
                <w:rFonts w:ascii="Times New Roman" w:cs="Times New Roman" w:eastAsia="Times New Roman" w:hAnsi="Times New Roman"/>
                <w:sz w:val="19"/>
                <w:szCs w:val="19"/>
                <w:color w:val="auto"/>
                <w:w w:val="80"/>
              </w:rPr>
              <w:t>Guaranty........................................................................................................................</w:t>
            </w:r>
          </w:p>
        </w:tc>
        <w:tc>
          <w:tcPr>
            <w:tcW w:w="20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2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9"/>
                <w:szCs w:val="19"/>
                <w:color w:val="EE2724"/>
                <w:strike w:val="1"/>
              </w:rPr>
              <w:t>73</w:t>
            </w:r>
          </w:p>
        </w:tc>
        <w:tc>
          <w:tcPr>
            <w:tcW w:w="1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83"/>
              </w:rPr>
              <w:t>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80" w:type="dxa"/>
            <w:vAlign w:val="bottom"/>
            <w:gridSpan w:val="2"/>
          </w:tcPr>
          <w:p>
            <w:pPr>
              <w:jc w:val="center"/>
              <w:ind w:left="1804"/>
              <w:spacing w:after="0"/>
              <w:rPr>
                <w:sz w:val="20"/>
                <w:szCs w:val="20"/>
                <w:color w:val="auto"/>
              </w:rPr>
            </w:pPr>
            <w:r>
              <w:rPr>
                <w:rFonts w:ascii="Times New Roman" w:cs="Times New Roman" w:eastAsia="Times New Roman" w:hAnsi="Times New Roman"/>
                <w:sz w:val="19"/>
                <w:szCs w:val="19"/>
                <w:color w:val="auto"/>
              </w:rPr>
              <w:t>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w w:val="80"/>
              </w:rPr>
              <w:t>Collateral.......................................................................................................................</w:t>
            </w:r>
          </w:p>
        </w:tc>
        <w:tc>
          <w:tcPr>
            <w:tcW w:w="20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EE2724"/>
                <w:strike w:val="1"/>
              </w:rPr>
              <w:t>73</w:t>
            </w:r>
          </w:p>
        </w:tc>
        <w:tc>
          <w:tcPr>
            <w:tcW w:w="20" w:type="dxa"/>
            <w:vAlign w:val="bottom"/>
          </w:tcPr>
          <w:p>
            <w:pPr>
              <w:spacing w:after="0"/>
              <w:rPr>
                <w:sz w:val="19"/>
                <w:szCs w:val="19"/>
                <w:color w:val="auto"/>
              </w:rPr>
            </w:pP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75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80" w:type="dxa"/>
            <w:vAlign w:val="bottom"/>
            <w:gridSpan w:val="2"/>
          </w:tcPr>
          <w:p>
            <w:pPr>
              <w:jc w:val="center"/>
              <w:ind w:left="1804"/>
              <w:spacing w:after="0" w:line="205" w:lineRule="exact"/>
              <w:rPr>
                <w:sz w:val="20"/>
                <w:szCs w:val="20"/>
                <w:color w:val="auto"/>
              </w:rPr>
            </w:pPr>
            <w:r>
              <w:rPr>
                <w:rFonts w:ascii="Times New Roman" w:cs="Times New Roman" w:eastAsia="Times New Roman" w:hAnsi="Times New Roman"/>
                <w:sz w:val="19"/>
                <w:szCs w:val="19"/>
                <w:color w:val="auto"/>
              </w:rPr>
              <w:t>6.3</w:t>
            </w:r>
          </w:p>
        </w:tc>
        <w:tc>
          <w:tcPr>
            <w:tcW w:w="80" w:type="dxa"/>
            <w:vAlign w:val="bottom"/>
          </w:tcPr>
          <w:p>
            <w:pPr>
              <w:spacing w:after="0"/>
              <w:rPr>
                <w:sz w:val="17"/>
                <w:szCs w:val="17"/>
                <w:color w:val="auto"/>
              </w:rPr>
            </w:pPr>
          </w:p>
        </w:tc>
        <w:tc>
          <w:tcPr>
            <w:tcW w:w="5260" w:type="dxa"/>
            <w:vAlign w:val="bottom"/>
            <w:gridSpan w:val="4"/>
          </w:tcPr>
          <w:p>
            <w:pPr>
              <w:ind w:left="80"/>
              <w:spacing w:after="0" w:line="205" w:lineRule="exact"/>
              <w:rPr>
                <w:sz w:val="20"/>
                <w:szCs w:val="20"/>
                <w:color w:val="auto"/>
              </w:rPr>
            </w:pPr>
            <w:r>
              <w:rPr>
                <w:rFonts w:ascii="Times New Roman" w:cs="Times New Roman" w:eastAsia="Times New Roman" w:hAnsi="Times New Roman"/>
                <w:sz w:val="19"/>
                <w:szCs w:val="19"/>
                <w:color w:val="auto"/>
                <w:w w:val="80"/>
              </w:rPr>
              <w:t>Additional Collateral and Guaranties............................................................................</w:t>
            </w:r>
          </w:p>
        </w:tc>
        <w:tc>
          <w:tcPr>
            <w:tcW w:w="20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2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9"/>
                <w:szCs w:val="19"/>
                <w:color w:val="EE2724"/>
                <w:strike w:val="1"/>
              </w:rPr>
              <w:t>73</w:t>
            </w:r>
          </w:p>
        </w:tc>
        <w:tc>
          <w:tcPr>
            <w:tcW w:w="1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83"/>
              </w:rPr>
              <w:t>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80" w:type="dxa"/>
            <w:vAlign w:val="bottom"/>
            <w:gridSpan w:val="2"/>
          </w:tcPr>
          <w:p>
            <w:pPr>
              <w:jc w:val="center"/>
              <w:ind w:left="1804"/>
              <w:spacing w:after="0"/>
              <w:rPr>
                <w:sz w:val="20"/>
                <w:szCs w:val="20"/>
                <w:color w:val="auto"/>
              </w:rPr>
            </w:pPr>
            <w:r>
              <w:rPr>
                <w:rFonts w:ascii="Times New Roman" w:cs="Times New Roman" w:eastAsia="Times New Roman" w:hAnsi="Times New Roman"/>
                <w:sz w:val="19"/>
                <w:szCs w:val="19"/>
                <w:color w:val="auto"/>
              </w:rPr>
              <w:t>6.4</w:t>
            </w:r>
          </w:p>
        </w:tc>
        <w:tc>
          <w:tcPr>
            <w:tcW w:w="80" w:type="dxa"/>
            <w:vAlign w:val="bottom"/>
          </w:tcPr>
          <w:p>
            <w:pPr>
              <w:spacing w:after="0"/>
              <w:rPr>
                <w:sz w:val="19"/>
                <w:szCs w:val="19"/>
                <w:color w:val="auto"/>
              </w:rPr>
            </w:pPr>
          </w:p>
        </w:tc>
        <w:tc>
          <w:tcPr>
            <w:tcW w:w="5260" w:type="dxa"/>
            <w:vAlign w:val="bottom"/>
            <w:gridSpan w:val="4"/>
          </w:tcPr>
          <w:p>
            <w:pPr>
              <w:ind w:left="80"/>
              <w:spacing w:after="0"/>
              <w:rPr>
                <w:sz w:val="20"/>
                <w:szCs w:val="20"/>
                <w:color w:val="auto"/>
              </w:rPr>
            </w:pPr>
            <w:r>
              <w:rPr>
                <w:rFonts w:ascii="Times New Roman" w:cs="Times New Roman" w:eastAsia="Times New Roman" w:hAnsi="Times New Roman"/>
                <w:sz w:val="19"/>
                <w:szCs w:val="19"/>
                <w:color w:val="auto"/>
                <w:w w:val="80"/>
              </w:rPr>
              <w:t>Additional Documents or Information. ........................................................................</w:t>
            </w:r>
          </w:p>
        </w:tc>
        <w:tc>
          <w:tcPr>
            <w:tcW w:w="20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EE2724"/>
                <w:strike w:val="1"/>
              </w:rPr>
              <w:t>74</w:t>
            </w:r>
          </w:p>
        </w:tc>
        <w:tc>
          <w:tcPr>
            <w:tcW w:w="1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83"/>
              </w:rPr>
              <w:t>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752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SECTION7CONDITIONSPRECEDENT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EE2724"/>
                <w:strike w:val="1"/>
              </w:rPr>
              <w:t>74</w:t>
            </w:r>
          </w:p>
        </w:tc>
        <w:tc>
          <w:tcPr>
            <w:tcW w:w="180" w:type="dxa"/>
            <w:vAlign w:val="bottom"/>
            <w:tcBorders>
              <w:bottom w:val="single" w:sz="8" w:color="0E32E1"/>
            </w:tcBorders>
            <w:gridSpan w:val="3"/>
          </w:tcPr>
          <w:p>
            <w:pPr>
              <w:jc w:val="right"/>
              <w:spacing w:after="0"/>
              <w:rPr>
                <w:sz w:val="20"/>
                <w:szCs w:val="20"/>
                <w:color w:val="auto"/>
              </w:rPr>
            </w:pPr>
            <w:r>
              <w:rPr>
                <w:rFonts w:ascii="Times New Roman" w:cs="Times New Roman" w:eastAsia="Times New Roman" w:hAnsi="Times New Roman"/>
                <w:sz w:val="19"/>
                <w:szCs w:val="19"/>
                <w:color w:val="0E32E1"/>
                <w:w w:val="83"/>
              </w:rPr>
              <w:t>76</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180" w:type="dxa"/>
            <w:vAlign w:val="bottom"/>
            <w:gridSpan w:val="2"/>
          </w:tcPr>
          <w:p>
            <w:pPr>
              <w:jc w:val="center"/>
              <w:ind w:left="1804"/>
              <w:spacing w:after="0" w:line="205" w:lineRule="exact"/>
              <w:rPr>
                <w:sz w:val="20"/>
                <w:szCs w:val="20"/>
                <w:color w:val="auto"/>
              </w:rPr>
            </w:pPr>
            <w:r>
              <w:rPr>
                <w:rFonts w:ascii="Times New Roman" w:cs="Times New Roman" w:eastAsia="Times New Roman" w:hAnsi="Times New Roman"/>
                <w:sz w:val="19"/>
                <w:szCs w:val="19"/>
                <w:color w:val="auto"/>
              </w:rPr>
              <w:t>7.1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3"/>
          </w:tcPr>
          <w:p>
            <w:pPr>
              <w:ind w:left="60"/>
              <w:spacing w:after="0" w:line="205" w:lineRule="exact"/>
              <w:rPr>
                <w:sz w:val="20"/>
                <w:szCs w:val="20"/>
                <w:color w:val="auto"/>
              </w:rPr>
            </w:pPr>
            <w:r>
              <w:rPr>
                <w:rFonts w:ascii="Times New Roman" w:cs="Times New Roman" w:eastAsia="Times New Roman" w:hAnsi="Times New Roman"/>
                <w:sz w:val="19"/>
                <w:szCs w:val="19"/>
                <w:color w:val="auto"/>
                <w:w w:val="80"/>
              </w:rPr>
              <w:t>Initial Advance..............................................................................................................</w:t>
            </w:r>
          </w:p>
        </w:tc>
        <w:tc>
          <w:tcPr>
            <w:tcW w:w="20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2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9"/>
                <w:szCs w:val="19"/>
                <w:color w:val="EE2724"/>
                <w:strike w:val="1"/>
              </w:rPr>
              <w:t>74</w:t>
            </w:r>
          </w:p>
        </w:tc>
        <w:tc>
          <w:tcPr>
            <w:tcW w:w="1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83"/>
              </w:rPr>
              <w:t>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80" w:type="dxa"/>
            <w:vAlign w:val="bottom"/>
            <w:gridSpan w:val="2"/>
          </w:tcPr>
          <w:p>
            <w:pPr>
              <w:jc w:val="center"/>
              <w:ind w:left="1804"/>
              <w:spacing w:after="0"/>
              <w:rPr>
                <w:sz w:val="20"/>
                <w:szCs w:val="20"/>
                <w:color w:val="auto"/>
              </w:rPr>
            </w:pPr>
            <w:r>
              <w:rPr>
                <w:rFonts w:ascii="Times New Roman" w:cs="Times New Roman" w:eastAsia="Times New Roman" w:hAnsi="Times New Roman"/>
                <w:sz w:val="19"/>
                <w:szCs w:val="19"/>
                <w:color w:val="auto"/>
              </w:rPr>
              <w:t>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w w:val="80"/>
              </w:rPr>
              <w:t>Each Loan. ...................................................................................................................</w:t>
            </w:r>
          </w:p>
        </w:tc>
        <w:tc>
          <w:tcPr>
            <w:tcW w:w="20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EE2724"/>
                <w:strike w:val="1"/>
              </w:rPr>
              <w:t>75</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77</w:t>
            </w:r>
          </w:p>
        </w:tc>
        <w:tc>
          <w:tcPr>
            <w:tcW w:w="20" w:type="dxa"/>
            <w:vAlign w:val="bottom"/>
            <w:tcBorders>
              <w:bottom w:val="single" w:sz="8" w:color="0E32E1"/>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7520" w:type="dxa"/>
            <w:vAlign w:val="bottom"/>
            <w:gridSpan w:val="7"/>
          </w:tcPr>
          <w:p>
            <w:pPr>
              <w:jc w:val="right"/>
              <w:ind w:right="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SECTION8REPRESENTATIONSANDWARRANTIES</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EE2724"/>
                <w:strike w:val="1"/>
                <w:w w:val="94"/>
              </w:rPr>
              <w:t>76</w:t>
            </w:r>
          </w:p>
        </w:tc>
        <w:tc>
          <w:tcPr>
            <w:tcW w:w="18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83"/>
              </w:rPr>
              <w:t>78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180" w:type="dxa"/>
            <w:vAlign w:val="bottom"/>
            <w:gridSpan w:val="2"/>
          </w:tcPr>
          <w:p>
            <w:pPr>
              <w:jc w:val="center"/>
              <w:ind w:left="1804"/>
              <w:spacing w:after="0"/>
              <w:rPr>
                <w:sz w:val="20"/>
                <w:szCs w:val="20"/>
                <w:color w:val="auto"/>
              </w:rPr>
            </w:pPr>
            <w:r>
              <w:rPr>
                <w:rFonts w:ascii="Times New Roman" w:cs="Times New Roman" w:eastAsia="Times New Roman" w:hAnsi="Times New Roman"/>
                <w:sz w:val="19"/>
                <w:szCs w:val="19"/>
                <w:color w:val="auto"/>
              </w:rPr>
              <w:t>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w w:val="80"/>
              </w:rPr>
              <w:t>Regulation U. ...............................................................................................................</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EE2724"/>
                <w:strike w:val="1"/>
              </w:rPr>
              <w:t>76</w:t>
            </w:r>
          </w:p>
        </w:tc>
        <w:tc>
          <w:tcPr>
            <w:tcW w:w="180" w:type="dxa"/>
            <w:vAlign w:val="bottom"/>
            <w:tcBorders>
              <w:bottom w:val="single" w:sz="8" w:color="0E32E1"/>
            </w:tcBorders>
            <w:gridSpan w:val="5"/>
          </w:tcPr>
          <w:p>
            <w:pPr>
              <w:jc w:val="right"/>
              <w:ind w:right="20"/>
              <w:spacing w:after="0"/>
              <w:rPr>
                <w:sz w:val="20"/>
                <w:szCs w:val="20"/>
                <w:color w:val="auto"/>
              </w:rPr>
            </w:pPr>
            <w:r>
              <w:rPr>
                <w:rFonts w:ascii="Times New Roman" w:cs="Times New Roman" w:eastAsia="Times New Roman" w:hAnsi="Times New Roman"/>
                <w:sz w:val="19"/>
                <w:szCs w:val="19"/>
                <w:color w:val="0E32E1"/>
                <w:w w:val="73"/>
              </w:rPr>
              <w:t>78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2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8.2  Corporate Existence, Good Standing, Authority, and Compliance..............................</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9"/>
                <w:szCs w:val="19"/>
                <w:color w:val="EE2724"/>
                <w:strike w:val="1"/>
                <w:w w:val="83"/>
              </w:rPr>
              <w:t>76</w:t>
            </w:r>
          </w:p>
        </w:tc>
        <w:tc>
          <w:tcPr>
            <w:tcW w:w="20" w:type="dxa"/>
            <w:vAlign w:val="bottom"/>
          </w:tcPr>
          <w:p>
            <w:pPr>
              <w:spacing w:after="0"/>
              <w:rPr>
                <w:sz w:val="19"/>
                <w:szCs w:val="19"/>
                <w:color w:val="auto"/>
              </w:rPr>
            </w:pPr>
          </w:p>
        </w:tc>
        <w:tc>
          <w:tcPr>
            <w:tcW w:w="1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83"/>
              </w:rPr>
              <w:t>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80" w:type="dxa"/>
            <w:vAlign w:val="bottom"/>
            <w:gridSpan w:val="2"/>
          </w:tcPr>
          <w:p>
            <w:pPr>
              <w:jc w:val="center"/>
              <w:ind w:left="1804"/>
              <w:spacing w:after="0" w:line="205" w:lineRule="exact"/>
              <w:rPr>
                <w:sz w:val="20"/>
                <w:szCs w:val="20"/>
                <w:color w:val="auto"/>
              </w:rPr>
            </w:pPr>
            <w:r>
              <w:rPr>
                <w:rFonts w:ascii="Times New Roman" w:cs="Times New Roman" w:eastAsia="Times New Roman" w:hAnsi="Times New Roman"/>
                <w:sz w:val="19"/>
                <w:szCs w:val="19"/>
                <w:color w:val="auto"/>
              </w:rPr>
              <w:t>8.3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auto"/>
                <w:w w:val="82"/>
              </w:rPr>
              <w:t>Subsidiaries. .................................................................................................................</w:t>
            </w:r>
          </w:p>
        </w:tc>
        <w:tc>
          <w:tcPr>
            <w:tcW w:w="2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2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9"/>
                <w:szCs w:val="19"/>
                <w:color w:val="EE2724"/>
                <w:strike w:val="1"/>
              </w:rPr>
              <w:t>77</w:t>
            </w:r>
          </w:p>
        </w:tc>
        <w:tc>
          <w:tcPr>
            <w:tcW w:w="1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83"/>
              </w:rPr>
              <w:t>79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80" w:type="dxa"/>
            <w:vAlign w:val="bottom"/>
            <w:gridSpan w:val="2"/>
          </w:tcPr>
          <w:p>
            <w:pPr>
              <w:jc w:val="center"/>
              <w:ind w:left="1804"/>
              <w:spacing w:after="0"/>
              <w:rPr>
                <w:sz w:val="20"/>
                <w:szCs w:val="20"/>
                <w:color w:val="auto"/>
              </w:rPr>
            </w:pPr>
            <w:r>
              <w:rPr>
                <w:rFonts w:ascii="Times New Roman" w:cs="Times New Roman" w:eastAsia="Times New Roman" w:hAnsi="Times New Roman"/>
                <w:sz w:val="19"/>
                <w:szCs w:val="19"/>
                <w:color w:val="auto"/>
              </w:rPr>
              <w:t>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Authorization and Contravention..................................................................................</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EE2724"/>
                <w:strike w:val="1"/>
              </w:rPr>
              <w:t>77</w:t>
            </w:r>
          </w:p>
        </w:tc>
        <w:tc>
          <w:tcPr>
            <w:tcW w:w="1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83"/>
              </w:rPr>
              <w:t>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80" w:type="dxa"/>
            <w:vAlign w:val="bottom"/>
            <w:gridSpan w:val="2"/>
          </w:tcPr>
          <w:p>
            <w:pPr>
              <w:jc w:val="center"/>
              <w:ind w:left="1804"/>
              <w:spacing w:after="0" w:line="205" w:lineRule="exact"/>
              <w:rPr>
                <w:sz w:val="20"/>
                <w:szCs w:val="20"/>
                <w:color w:val="auto"/>
              </w:rPr>
            </w:pPr>
            <w:r>
              <w:rPr>
                <w:rFonts w:ascii="Times New Roman" w:cs="Times New Roman" w:eastAsia="Times New Roman" w:hAnsi="Times New Roman"/>
                <w:sz w:val="19"/>
                <w:szCs w:val="19"/>
                <w:color w:val="auto"/>
              </w:rPr>
              <w:t>8.5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auto"/>
                <w:w w:val="82"/>
              </w:rPr>
              <w:t>Binding Effect...............................................................................................................</w:t>
            </w:r>
          </w:p>
        </w:tc>
        <w:tc>
          <w:tcPr>
            <w:tcW w:w="2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2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9"/>
                <w:szCs w:val="19"/>
                <w:color w:val="EE2724"/>
                <w:strike w:val="1"/>
              </w:rPr>
              <w:t>77</w:t>
            </w:r>
          </w:p>
        </w:tc>
        <w:tc>
          <w:tcPr>
            <w:tcW w:w="1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83"/>
              </w:rPr>
              <w:t>79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80" w:type="dxa"/>
            <w:vAlign w:val="bottom"/>
            <w:gridSpan w:val="2"/>
          </w:tcPr>
          <w:p>
            <w:pPr>
              <w:jc w:val="center"/>
              <w:ind w:left="1804"/>
              <w:spacing w:after="0"/>
              <w:rPr>
                <w:sz w:val="20"/>
                <w:szCs w:val="20"/>
                <w:color w:val="auto"/>
              </w:rPr>
            </w:pPr>
            <w:r>
              <w:rPr>
                <w:rFonts w:ascii="Times New Roman" w:cs="Times New Roman" w:eastAsia="Times New Roman" w:hAnsi="Times New Roman"/>
                <w:sz w:val="19"/>
                <w:szCs w:val="19"/>
                <w:color w:val="auto"/>
              </w:rPr>
              <w:t>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Financial Statements. ...................................................................................................</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EE2724"/>
                <w:strike w:val="1"/>
              </w:rPr>
              <w:t>77</w:t>
            </w:r>
          </w:p>
        </w:tc>
        <w:tc>
          <w:tcPr>
            <w:tcW w:w="180" w:type="dxa"/>
            <w:vAlign w:val="bottom"/>
            <w:tcBorders>
              <w:bottom w:val="single" w:sz="8" w:color="0E32E1"/>
            </w:tcBorders>
            <w:gridSpan w:val="5"/>
          </w:tcPr>
          <w:p>
            <w:pPr>
              <w:jc w:val="right"/>
              <w:ind w:right="20"/>
              <w:spacing w:after="0"/>
              <w:rPr>
                <w:sz w:val="20"/>
                <w:szCs w:val="20"/>
                <w:color w:val="auto"/>
              </w:rPr>
            </w:pPr>
            <w:r>
              <w:rPr>
                <w:rFonts w:ascii="Times New Roman" w:cs="Times New Roman" w:eastAsia="Times New Roman" w:hAnsi="Times New Roman"/>
                <w:sz w:val="19"/>
                <w:szCs w:val="19"/>
                <w:color w:val="0E32E1"/>
                <w:w w:val="73"/>
              </w:rPr>
              <w:t>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80" w:type="dxa"/>
            <w:vAlign w:val="bottom"/>
            <w:gridSpan w:val="2"/>
          </w:tcPr>
          <w:p>
            <w:pPr>
              <w:jc w:val="center"/>
              <w:ind w:left="1804"/>
              <w:spacing w:after="0" w:line="205" w:lineRule="exact"/>
              <w:rPr>
                <w:sz w:val="20"/>
                <w:szCs w:val="20"/>
                <w:color w:val="auto"/>
              </w:rPr>
            </w:pPr>
            <w:r>
              <w:rPr>
                <w:rFonts w:ascii="Times New Roman" w:cs="Times New Roman" w:eastAsia="Times New Roman" w:hAnsi="Times New Roman"/>
                <w:sz w:val="19"/>
                <w:szCs w:val="19"/>
                <w:color w:val="auto"/>
              </w:rPr>
              <w:t>8.7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auto"/>
                <w:w w:val="82"/>
              </w:rPr>
              <w:t>Litigation.......................................................................................................................</w:t>
            </w:r>
          </w:p>
        </w:tc>
        <w:tc>
          <w:tcPr>
            <w:tcW w:w="2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2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9"/>
                <w:szCs w:val="19"/>
                <w:color w:val="EE2724"/>
                <w:strike w:val="1"/>
              </w:rPr>
              <w:t>77</w:t>
            </w:r>
          </w:p>
        </w:tc>
        <w:tc>
          <w:tcPr>
            <w:tcW w:w="20" w:type="dxa"/>
            <w:vAlign w:val="bottom"/>
          </w:tcPr>
          <w:p>
            <w:pPr>
              <w:spacing w:after="0"/>
              <w:rPr>
                <w:sz w:val="17"/>
                <w:szCs w:val="17"/>
                <w:color w:val="auto"/>
              </w:rPr>
            </w:pPr>
          </w:p>
        </w:tc>
        <w:tc>
          <w:tcPr>
            <w:tcW w:w="160" w:type="dxa"/>
            <w:vAlign w:val="bottom"/>
            <w:tcBorders>
              <w:bottom w:val="single" w:sz="8" w:color="0E32E1"/>
            </w:tcBorders>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0E32E1"/>
                <w:w w:val="73"/>
              </w:rPr>
              <w:t>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80" w:type="dxa"/>
            <w:vAlign w:val="bottom"/>
            <w:gridSpan w:val="2"/>
          </w:tcPr>
          <w:p>
            <w:pPr>
              <w:jc w:val="center"/>
              <w:ind w:left="1804"/>
              <w:spacing w:after="0"/>
              <w:rPr>
                <w:sz w:val="20"/>
                <w:szCs w:val="20"/>
                <w:color w:val="auto"/>
              </w:rPr>
            </w:pPr>
            <w:r>
              <w:rPr>
                <w:rFonts w:ascii="Times New Roman" w:cs="Times New Roman" w:eastAsia="Times New Roman" w:hAnsi="Times New Roman"/>
                <w:sz w:val="19"/>
                <w:szCs w:val="19"/>
                <w:color w:val="auto"/>
              </w:rPr>
              <w:t>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Taxes. ...........................................................................................................................</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EE2724"/>
                <w:strike w:val="1"/>
              </w:rPr>
              <w:t>78</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gridSpan w:val="2"/>
          </w:tcPr>
          <w:p>
            <w:pPr>
              <w:jc w:val="center"/>
              <w:ind w:left="1764"/>
              <w:spacing w:after="0"/>
              <w:rPr>
                <w:sz w:val="20"/>
                <w:szCs w:val="20"/>
                <w:color w:val="auto"/>
              </w:rPr>
            </w:pPr>
            <w:r>
              <w:rPr>
                <w:rFonts w:ascii="Times New Roman" w:cs="Times New Roman" w:eastAsia="Times New Roman" w:hAnsi="Times New Roman"/>
                <w:sz w:val="19"/>
                <w:szCs w:val="19"/>
                <w:color w:val="auto"/>
              </w:rPr>
              <w:t>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2"/>
              </w:rPr>
              <w:t>Environmental Matters..................................................................................................</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26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EE2724"/>
                <w:strike w:val="1"/>
              </w:rPr>
              <w:t>78</w:t>
            </w:r>
          </w:p>
        </w:tc>
        <w:tc>
          <w:tcPr>
            <w:tcW w:w="20" w:type="dxa"/>
            <w:vAlign w:val="bottom"/>
          </w:tcPr>
          <w:p>
            <w:pPr>
              <w:spacing w:after="0"/>
              <w:rPr>
                <w:sz w:val="19"/>
                <w:szCs w:val="19"/>
                <w:color w:val="auto"/>
              </w:rPr>
            </w:pPr>
          </w:p>
        </w:tc>
        <w:tc>
          <w:tcPr>
            <w:tcW w:w="140" w:type="dxa"/>
            <w:vAlign w:val="bottom"/>
            <w:tcBorders>
              <w:bottom w:val="single" w:sz="8" w:color="0E32E1"/>
            </w:tcBorders>
            <w:gridSpan w:val="3"/>
          </w:tcPr>
          <w:p>
            <w:pPr>
              <w:jc w:val="right"/>
              <w:spacing w:after="0"/>
              <w:rPr>
                <w:sz w:val="20"/>
                <w:szCs w:val="20"/>
                <w:color w:val="auto"/>
              </w:rPr>
            </w:pPr>
            <w:r>
              <w:rPr>
                <w:rFonts w:ascii="Times New Roman" w:cs="Times New Roman" w:eastAsia="Times New Roman" w:hAnsi="Times New Roman"/>
                <w:sz w:val="17"/>
                <w:szCs w:val="17"/>
                <w:color w:val="0E32E1"/>
                <w:w w:val="70"/>
              </w:rPr>
              <w:t>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60" w:type="dxa"/>
            <w:vAlign w:val="bottom"/>
            <w:gridSpan w:val="3"/>
          </w:tcPr>
          <w:p>
            <w:pPr>
              <w:jc w:val="center"/>
              <w:ind w:left="1704"/>
              <w:spacing w:after="0" w:line="205" w:lineRule="exact"/>
              <w:rPr>
                <w:sz w:val="20"/>
                <w:szCs w:val="20"/>
                <w:color w:val="auto"/>
              </w:rPr>
            </w:pPr>
            <w:r>
              <w:rPr>
                <w:rFonts w:ascii="Times New Roman" w:cs="Times New Roman" w:eastAsia="Times New Roman" w:hAnsi="Times New Roman"/>
                <w:sz w:val="19"/>
                <w:szCs w:val="19"/>
                <w:color w:val="auto"/>
              </w:rPr>
              <w:t>8.10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Employee Plans.............................................................................................................</w:t>
            </w:r>
          </w:p>
        </w:tc>
        <w:tc>
          <w:tcPr>
            <w:tcW w:w="2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300" w:type="dxa"/>
            <w:vAlign w:val="bottom"/>
            <w:gridSpan w:val="6"/>
          </w:tcPr>
          <w:p>
            <w:pPr>
              <w:ind w:left="80"/>
              <w:spacing w:after="0" w:line="205" w:lineRule="exact"/>
              <w:rPr>
                <w:sz w:val="20"/>
                <w:szCs w:val="20"/>
                <w:color w:val="auto"/>
              </w:rPr>
            </w:pPr>
            <w:r>
              <w:rPr>
                <w:rFonts w:ascii="Times New Roman" w:cs="Times New Roman" w:eastAsia="Times New Roman" w:hAnsi="Times New Roman"/>
                <w:sz w:val="19"/>
                <w:szCs w:val="19"/>
                <w:color w:val="EE2724"/>
                <w:strike w:val="1"/>
              </w:rPr>
              <w:t>78</w:t>
            </w:r>
          </w:p>
        </w:tc>
        <w:tc>
          <w:tcPr>
            <w:tcW w:w="160" w:type="dxa"/>
            <w:vAlign w:val="bottom"/>
            <w:tcBorders>
              <w:bottom w:val="single" w:sz="8" w:color="0E32E1"/>
            </w:tcBorders>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0E32E1"/>
                <w:w w:val="73"/>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60" w:type="dxa"/>
            <w:vAlign w:val="bottom"/>
            <w:gridSpan w:val="3"/>
          </w:tcPr>
          <w:p>
            <w:pPr>
              <w:jc w:val="center"/>
              <w:ind w:left="1704"/>
              <w:spacing w:after="0"/>
              <w:rPr>
                <w:sz w:val="20"/>
                <w:szCs w:val="20"/>
                <w:color w:val="auto"/>
              </w:rPr>
            </w:pPr>
            <w:r>
              <w:rPr>
                <w:rFonts w:ascii="Times New Roman" w:cs="Times New Roman" w:eastAsia="Times New Roman" w:hAnsi="Times New Roman"/>
                <w:sz w:val="19"/>
                <w:szCs w:val="19"/>
                <w:color w:val="auto"/>
              </w:rPr>
              <w:t>8.11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0"/>
              </w:rPr>
              <w:t>Properties and Liens......................................................................................................</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EE2724"/>
                <w:strike w:val="1"/>
              </w:rPr>
              <w:t>79</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80" w:type="dxa"/>
            <w:vAlign w:val="bottom"/>
            <w:gridSpan w:val="4"/>
          </w:tcPr>
          <w:p>
            <w:pPr>
              <w:jc w:val="center"/>
              <w:ind w:left="1724"/>
              <w:spacing w:after="0" w:line="205" w:lineRule="exact"/>
              <w:rPr>
                <w:sz w:val="20"/>
                <w:szCs w:val="20"/>
                <w:color w:val="auto"/>
              </w:rPr>
            </w:pPr>
            <w:r>
              <w:rPr>
                <w:rFonts w:ascii="Times New Roman" w:cs="Times New Roman" w:eastAsia="Times New Roman" w:hAnsi="Times New Roman"/>
                <w:sz w:val="19"/>
                <w:szCs w:val="19"/>
                <w:color w:val="auto"/>
              </w:rPr>
              <w:t>8.12</w:t>
            </w:r>
          </w:p>
        </w:tc>
        <w:tc>
          <w:tcPr>
            <w:tcW w:w="100" w:type="dxa"/>
            <w:vAlign w:val="bottom"/>
          </w:tcPr>
          <w:p>
            <w:pPr>
              <w:spacing w:after="0"/>
              <w:rPr>
                <w:sz w:val="17"/>
                <w:szCs w:val="17"/>
                <w:color w:val="auto"/>
              </w:rPr>
            </w:pPr>
          </w:p>
        </w:tc>
        <w:tc>
          <w:tcPr>
            <w:tcW w:w="51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Government Regulations..............................................................................................</w:t>
            </w:r>
          </w:p>
        </w:tc>
        <w:tc>
          <w:tcPr>
            <w:tcW w:w="2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300" w:type="dxa"/>
            <w:vAlign w:val="bottom"/>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79</w:t>
            </w:r>
          </w:p>
        </w:tc>
        <w:tc>
          <w:tcPr>
            <w:tcW w:w="160" w:type="dxa"/>
            <w:vAlign w:val="bottom"/>
            <w:tcBorders>
              <w:bottom w:val="single" w:sz="8" w:color="0E32E1"/>
            </w:tcBorders>
            <w:gridSpan w:val="4"/>
          </w:tcPr>
          <w:p>
            <w:pPr>
              <w:jc w:val="right"/>
              <w:ind w:right="20"/>
              <w:spacing w:after="0"/>
              <w:rPr>
                <w:sz w:val="20"/>
                <w:szCs w:val="20"/>
                <w:color w:val="auto"/>
              </w:rPr>
            </w:pPr>
            <w:r>
              <w:rPr>
                <w:rFonts w:ascii="Times New Roman" w:cs="Times New Roman" w:eastAsia="Times New Roman" w:hAnsi="Times New Roman"/>
                <w:sz w:val="17"/>
                <w:szCs w:val="17"/>
                <w:color w:val="0E32E1"/>
                <w:w w:val="70"/>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80" w:type="dxa"/>
            <w:vAlign w:val="bottom"/>
            <w:gridSpan w:val="4"/>
          </w:tcPr>
          <w:p>
            <w:pPr>
              <w:jc w:val="center"/>
              <w:ind w:left="1724"/>
              <w:spacing w:after="0"/>
              <w:rPr>
                <w:sz w:val="20"/>
                <w:szCs w:val="20"/>
                <w:color w:val="auto"/>
              </w:rPr>
            </w:pPr>
            <w:r>
              <w:rPr>
                <w:rFonts w:ascii="Times New Roman" w:cs="Times New Roman" w:eastAsia="Times New Roman" w:hAnsi="Times New Roman"/>
                <w:sz w:val="19"/>
                <w:szCs w:val="19"/>
                <w:color w:val="auto"/>
              </w:rPr>
              <w:t>8.13</w:t>
            </w:r>
          </w:p>
        </w:tc>
        <w:tc>
          <w:tcPr>
            <w:tcW w:w="100" w:type="dxa"/>
            <w:vAlign w:val="bottom"/>
          </w:tcPr>
          <w:p>
            <w:pPr>
              <w:spacing w:after="0"/>
              <w:rPr>
                <w:sz w:val="19"/>
                <w:szCs w:val="19"/>
                <w:color w:val="auto"/>
              </w:rPr>
            </w:pP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0"/>
              </w:rPr>
              <w:t>Transactions with Affiliates. ........................................................................................</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EE2724"/>
                <w:strike w:val="1"/>
              </w:rPr>
              <w:t>79</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80" w:type="dxa"/>
            <w:vAlign w:val="bottom"/>
            <w:gridSpan w:val="4"/>
          </w:tcPr>
          <w:p>
            <w:pPr>
              <w:jc w:val="center"/>
              <w:ind w:left="1684"/>
              <w:spacing w:after="0"/>
              <w:rPr>
                <w:sz w:val="20"/>
                <w:szCs w:val="20"/>
                <w:color w:val="auto"/>
              </w:rPr>
            </w:pPr>
            <w:r>
              <w:rPr>
                <w:rFonts w:ascii="Times New Roman" w:cs="Times New Roman" w:eastAsia="Times New Roman" w:hAnsi="Times New Roman"/>
                <w:sz w:val="19"/>
                <w:szCs w:val="19"/>
                <w:color w:val="auto"/>
              </w:rPr>
              <w:t>8.14</w:t>
            </w:r>
          </w:p>
        </w:tc>
        <w:tc>
          <w:tcPr>
            <w:tcW w:w="100" w:type="dxa"/>
            <w:vAlign w:val="bottom"/>
          </w:tcPr>
          <w:p>
            <w:pPr>
              <w:spacing w:after="0"/>
              <w:rPr>
                <w:sz w:val="19"/>
                <w:szCs w:val="19"/>
                <w:color w:val="auto"/>
              </w:rPr>
            </w:pP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0"/>
              </w:rPr>
              <w:t>Debt...............................................................................................................................</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30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EE2724"/>
                <w:strike w:val="1"/>
              </w:rPr>
              <w:t>79</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60" w:type="dxa"/>
            <w:vAlign w:val="bottom"/>
            <w:gridSpan w:val="3"/>
          </w:tcPr>
          <w:p>
            <w:pPr>
              <w:jc w:val="center"/>
              <w:ind w:left="1704"/>
              <w:spacing w:after="0" w:line="205" w:lineRule="exact"/>
              <w:rPr>
                <w:sz w:val="20"/>
                <w:szCs w:val="20"/>
                <w:color w:val="auto"/>
              </w:rPr>
            </w:pPr>
            <w:r>
              <w:rPr>
                <w:rFonts w:ascii="Times New Roman" w:cs="Times New Roman" w:eastAsia="Times New Roman" w:hAnsi="Times New Roman"/>
                <w:sz w:val="19"/>
                <w:szCs w:val="19"/>
                <w:color w:val="auto"/>
              </w:rPr>
              <w:t>8.15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Material Agreements.....................................................................................................</w:t>
            </w:r>
          </w:p>
        </w:tc>
        <w:tc>
          <w:tcPr>
            <w:tcW w:w="2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300" w:type="dxa"/>
            <w:vAlign w:val="bottom"/>
            <w:gridSpan w:val="6"/>
          </w:tcPr>
          <w:p>
            <w:pPr>
              <w:ind w:left="80"/>
              <w:spacing w:after="0" w:line="205" w:lineRule="exact"/>
              <w:rPr>
                <w:sz w:val="20"/>
                <w:szCs w:val="20"/>
                <w:color w:val="auto"/>
              </w:rPr>
            </w:pPr>
            <w:r>
              <w:rPr>
                <w:rFonts w:ascii="Times New Roman" w:cs="Times New Roman" w:eastAsia="Times New Roman" w:hAnsi="Times New Roman"/>
                <w:sz w:val="19"/>
                <w:szCs w:val="19"/>
                <w:color w:val="EE2724"/>
                <w:strike w:val="1"/>
              </w:rPr>
              <w:t>79</w:t>
            </w:r>
          </w:p>
        </w:tc>
        <w:tc>
          <w:tcPr>
            <w:tcW w:w="160" w:type="dxa"/>
            <w:vAlign w:val="bottom"/>
            <w:tcBorders>
              <w:bottom w:val="single" w:sz="8" w:color="0E32E1"/>
            </w:tcBorders>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0E32E1"/>
                <w:w w:val="73"/>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80" w:type="dxa"/>
            <w:vAlign w:val="bottom"/>
            <w:gridSpan w:val="4"/>
          </w:tcPr>
          <w:p>
            <w:pPr>
              <w:jc w:val="center"/>
              <w:ind w:left="1684"/>
              <w:spacing w:after="0"/>
              <w:rPr>
                <w:sz w:val="20"/>
                <w:szCs w:val="20"/>
                <w:color w:val="auto"/>
              </w:rPr>
            </w:pPr>
            <w:r>
              <w:rPr>
                <w:rFonts w:ascii="Times New Roman" w:cs="Times New Roman" w:eastAsia="Times New Roman" w:hAnsi="Times New Roman"/>
                <w:sz w:val="19"/>
                <w:szCs w:val="19"/>
                <w:color w:val="auto"/>
              </w:rPr>
              <w:t>8.16</w:t>
            </w:r>
          </w:p>
        </w:tc>
        <w:tc>
          <w:tcPr>
            <w:tcW w:w="100" w:type="dxa"/>
            <w:vAlign w:val="bottom"/>
          </w:tcPr>
          <w:p>
            <w:pPr>
              <w:spacing w:after="0"/>
              <w:rPr>
                <w:sz w:val="19"/>
                <w:szCs w:val="19"/>
                <w:color w:val="auto"/>
              </w:rPr>
            </w:pP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0"/>
              </w:rPr>
              <w:t>Labor Matters................................................................................................................</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30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EE2724"/>
                <w:strike w:val="1"/>
              </w:rPr>
              <w:t>80</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80" w:type="dxa"/>
            <w:vAlign w:val="bottom"/>
            <w:gridSpan w:val="4"/>
          </w:tcPr>
          <w:p>
            <w:pPr>
              <w:jc w:val="center"/>
              <w:ind w:left="1684"/>
              <w:spacing w:after="0" w:line="205" w:lineRule="exact"/>
              <w:rPr>
                <w:sz w:val="20"/>
                <w:szCs w:val="20"/>
                <w:color w:val="auto"/>
              </w:rPr>
            </w:pPr>
            <w:r>
              <w:rPr>
                <w:rFonts w:ascii="Times New Roman" w:cs="Times New Roman" w:eastAsia="Times New Roman" w:hAnsi="Times New Roman"/>
                <w:sz w:val="19"/>
                <w:szCs w:val="19"/>
                <w:color w:val="auto"/>
              </w:rPr>
              <w:t>8.17</w:t>
            </w:r>
          </w:p>
        </w:tc>
        <w:tc>
          <w:tcPr>
            <w:tcW w:w="100" w:type="dxa"/>
            <w:vAlign w:val="bottom"/>
          </w:tcPr>
          <w:p>
            <w:pPr>
              <w:spacing w:after="0"/>
              <w:rPr>
                <w:sz w:val="17"/>
                <w:szCs w:val="17"/>
                <w:color w:val="auto"/>
              </w:rPr>
            </w:pPr>
          </w:p>
        </w:tc>
        <w:tc>
          <w:tcPr>
            <w:tcW w:w="51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Solvency........................................................................................................................</w:t>
            </w:r>
          </w:p>
        </w:tc>
        <w:tc>
          <w:tcPr>
            <w:tcW w:w="2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300" w:type="dxa"/>
            <w:vAlign w:val="bottom"/>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80</w:t>
            </w:r>
          </w:p>
        </w:tc>
        <w:tc>
          <w:tcPr>
            <w:tcW w:w="160" w:type="dxa"/>
            <w:vAlign w:val="bottom"/>
            <w:tcBorders>
              <w:bottom w:val="single" w:sz="8" w:color="0E32E1"/>
            </w:tcBorders>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0E32E1"/>
                <w:w w:val="73"/>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80" w:type="dxa"/>
            <w:vAlign w:val="bottom"/>
            <w:gridSpan w:val="4"/>
          </w:tcPr>
          <w:p>
            <w:pPr>
              <w:jc w:val="center"/>
              <w:ind w:left="1684"/>
              <w:spacing w:after="0"/>
              <w:rPr>
                <w:sz w:val="20"/>
                <w:szCs w:val="20"/>
                <w:color w:val="auto"/>
              </w:rPr>
            </w:pPr>
            <w:r>
              <w:rPr>
                <w:rFonts w:ascii="Times New Roman" w:cs="Times New Roman" w:eastAsia="Times New Roman" w:hAnsi="Times New Roman"/>
                <w:sz w:val="19"/>
                <w:szCs w:val="19"/>
                <w:color w:val="auto"/>
              </w:rPr>
              <w:t>8.18</w:t>
            </w:r>
          </w:p>
        </w:tc>
        <w:tc>
          <w:tcPr>
            <w:tcW w:w="100" w:type="dxa"/>
            <w:vAlign w:val="bottom"/>
          </w:tcPr>
          <w:p>
            <w:pPr>
              <w:spacing w:after="0"/>
              <w:rPr>
                <w:sz w:val="19"/>
                <w:szCs w:val="19"/>
                <w:color w:val="auto"/>
              </w:rPr>
            </w:pP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0"/>
              </w:rPr>
              <w:t>Intellectual Property......................................................................................................</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EE2724"/>
                <w:strike w:val="1"/>
              </w:rPr>
              <w:t>80</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80" w:type="dxa"/>
            <w:vAlign w:val="bottom"/>
            <w:gridSpan w:val="4"/>
          </w:tcPr>
          <w:p>
            <w:pPr>
              <w:jc w:val="center"/>
              <w:ind w:left="1684"/>
              <w:spacing w:after="0"/>
              <w:rPr>
                <w:sz w:val="20"/>
                <w:szCs w:val="20"/>
                <w:color w:val="auto"/>
              </w:rPr>
            </w:pPr>
            <w:r>
              <w:rPr>
                <w:rFonts w:ascii="Times New Roman" w:cs="Times New Roman" w:eastAsia="Times New Roman" w:hAnsi="Times New Roman"/>
                <w:sz w:val="19"/>
                <w:szCs w:val="19"/>
                <w:color w:val="auto"/>
              </w:rPr>
              <w:t>8.19</w:t>
            </w:r>
          </w:p>
        </w:tc>
        <w:tc>
          <w:tcPr>
            <w:tcW w:w="100" w:type="dxa"/>
            <w:vAlign w:val="bottom"/>
          </w:tcPr>
          <w:p>
            <w:pPr>
              <w:spacing w:after="0"/>
              <w:rPr>
                <w:sz w:val="19"/>
                <w:szCs w:val="19"/>
                <w:color w:val="auto"/>
              </w:rPr>
            </w:pP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0"/>
              </w:rPr>
              <w:t>Full Disclosure. ............................................................................................................</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EE2724"/>
                <w:strike w:val="1"/>
              </w:rPr>
              <w:t>80</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80" w:type="dxa"/>
            <w:vAlign w:val="bottom"/>
            <w:gridSpan w:val="4"/>
          </w:tcPr>
          <w:p>
            <w:pPr>
              <w:jc w:val="center"/>
              <w:ind w:left="1684"/>
              <w:spacing w:after="0" w:line="205" w:lineRule="exact"/>
              <w:rPr>
                <w:sz w:val="20"/>
                <w:szCs w:val="20"/>
                <w:color w:val="auto"/>
              </w:rPr>
            </w:pPr>
            <w:r>
              <w:rPr>
                <w:rFonts w:ascii="Times New Roman" w:cs="Times New Roman" w:eastAsia="Times New Roman" w:hAnsi="Times New Roman"/>
                <w:sz w:val="19"/>
                <w:szCs w:val="19"/>
                <w:color w:val="auto"/>
              </w:rPr>
              <w:t>8.20</w:t>
            </w:r>
          </w:p>
        </w:tc>
        <w:tc>
          <w:tcPr>
            <w:tcW w:w="100" w:type="dxa"/>
            <w:vAlign w:val="bottom"/>
          </w:tcPr>
          <w:p>
            <w:pPr>
              <w:spacing w:after="0"/>
              <w:rPr>
                <w:sz w:val="17"/>
                <w:szCs w:val="17"/>
                <w:color w:val="auto"/>
              </w:rPr>
            </w:pPr>
          </w:p>
        </w:tc>
        <w:tc>
          <w:tcPr>
            <w:tcW w:w="51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Insurance. .....................................................................................................................</w:t>
            </w:r>
          </w:p>
        </w:tc>
        <w:tc>
          <w:tcPr>
            <w:tcW w:w="2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300" w:type="dxa"/>
            <w:vAlign w:val="bottom"/>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80</w:t>
            </w:r>
          </w:p>
        </w:tc>
        <w:tc>
          <w:tcPr>
            <w:tcW w:w="160" w:type="dxa"/>
            <w:vAlign w:val="bottom"/>
            <w:tcBorders>
              <w:bottom w:val="single" w:sz="8" w:color="0E32E1"/>
            </w:tcBorders>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0E32E1"/>
                <w:w w:val="73"/>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80" w:type="dxa"/>
            <w:vAlign w:val="bottom"/>
            <w:gridSpan w:val="4"/>
          </w:tcPr>
          <w:p>
            <w:pPr>
              <w:jc w:val="center"/>
              <w:ind w:left="1724"/>
              <w:spacing w:after="0"/>
              <w:rPr>
                <w:sz w:val="20"/>
                <w:szCs w:val="20"/>
                <w:color w:val="auto"/>
              </w:rPr>
            </w:pPr>
            <w:r>
              <w:rPr>
                <w:rFonts w:ascii="Times New Roman" w:cs="Times New Roman" w:eastAsia="Times New Roman" w:hAnsi="Times New Roman"/>
                <w:sz w:val="19"/>
                <w:szCs w:val="19"/>
                <w:color w:val="auto"/>
              </w:rPr>
              <w:t>8.21</w:t>
            </w:r>
          </w:p>
        </w:tc>
        <w:tc>
          <w:tcPr>
            <w:tcW w:w="100" w:type="dxa"/>
            <w:vAlign w:val="bottom"/>
          </w:tcPr>
          <w:p>
            <w:pPr>
              <w:spacing w:after="0"/>
              <w:rPr>
                <w:sz w:val="19"/>
                <w:szCs w:val="19"/>
                <w:color w:val="auto"/>
              </w:rPr>
            </w:pP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0"/>
              </w:rPr>
              <w:t>Compliance with Laws.................................................................................................</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EE2724"/>
                <w:strike w:val="1"/>
              </w:rPr>
              <w:t>80</w:t>
            </w:r>
          </w:p>
        </w:tc>
        <w:tc>
          <w:tcPr>
            <w:tcW w:w="160" w:type="dxa"/>
            <w:vAlign w:val="bottom"/>
            <w:tcBorders>
              <w:bottom w:val="single" w:sz="8" w:color="0E32E1"/>
            </w:tcBorders>
            <w:gridSpan w:val="4"/>
          </w:tcPr>
          <w:p>
            <w:pPr>
              <w:jc w:val="right"/>
              <w:ind w:right="20"/>
              <w:spacing w:after="0"/>
              <w:rPr>
                <w:sz w:val="20"/>
                <w:szCs w:val="20"/>
                <w:color w:val="auto"/>
              </w:rPr>
            </w:pPr>
            <w:r>
              <w:rPr>
                <w:rFonts w:ascii="Times New Roman" w:cs="Times New Roman" w:eastAsia="Times New Roman" w:hAnsi="Times New Roman"/>
                <w:sz w:val="17"/>
                <w:szCs w:val="17"/>
                <w:color w:val="0E32E1"/>
                <w:w w:val="70"/>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80" w:type="dxa"/>
            <w:vAlign w:val="bottom"/>
            <w:gridSpan w:val="4"/>
          </w:tcPr>
          <w:p>
            <w:pPr>
              <w:jc w:val="center"/>
              <w:ind w:left="1724"/>
              <w:spacing w:after="0" w:line="205" w:lineRule="exact"/>
              <w:rPr>
                <w:sz w:val="20"/>
                <w:szCs w:val="20"/>
                <w:color w:val="auto"/>
              </w:rPr>
            </w:pPr>
            <w:r>
              <w:rPr>
                <w:rFonts w:ascii="Times New Roman" w:cs="Times New Roman" w:eastAsia="Times New Roman" w:hAnsi="Times New Roman"/>
                <w:sz w:val="19"/>
                <w:szCs w:val="19"/>
                <w:color w:val="auto"/>
              </w:rPr>
              <w:t>8.22</w:t>
            </w:r>
          </w:p>
        </w:tc>
        <w:tc>
          <w:tcPr>
            <w:tcW w:w="100" w:type="dxa"/>
            <w:vAlign w:val="bottom"/>
          </w:tcPr>
          <w:p>
            <w:pPr>
              <w:spacing w:after="0"/>
              <w:rPr>
                <w:sz w:val="17"/>
                <w:szCs w:val="17"/>
                <w:color w:val="auto"/>
              </w:rPr>
            </w:pPr>
          </w:p>
        </w:tc>
        <w:tc>
          <w:tcPr>
            <w:tcW w:w="51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OFAC............................................................................................................................</w:t>
            </w:r>
          </w:p>
        </w:tc>
        <w:tc>
          <w:tcPr>
            <w:tcW w:w="2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300" w:type="dxa"/>
            <w:vAlign w:val="bottom"/>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81</w:t>
            </w:r>
          </w:p>
        </w:tc>
        <w:tc>
          <w:tcPr>
            <w:tcW w:w="160" w:type="dxa"/>
            <w:vAlign w:val="bottom"/>
            <w:tcBorders>
              <w:bottom w:val="single" w:sz="8" w:color="0E32E1"/>
            </w:tcBorders>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0E32E1"/>
                <w:w w:val="73"/>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80" w:type="dxa"/>
            <w:vAlign w:val="bottom"/>
            <w:gridSpan w:val="4"/>
          </w:tcPr>
          <w:p>
            <w:pPr>
              <w:jc w:val="center"/>
              <w:ind w:left="1724"/>
              <w:spacing w:after="0"/>
              <w:rPr>
                <w:sz w:val="20"/>
                <w:szCs w:val="20"/>
                <w:color w:val="auto"/>
              </w:rPr>
            </w:pPr>
            <w:r>
              <w:rPr>
                <w:rFonts w:ascii="Times New Roman" w:cs="Times New Roman" w:eastAsia="Times New Roman" w:hAnsi="Times New Roman"/>
                <w:sz w:val="19"/>
                <w:szCs w:val="19"/>
                <w:color w:val="auto"/>
              </w:rPr>
              <w:t>8.23</w:t>
            </w:r>
          </w:p>
        </w:tc>
        <w:tc>
          <w:tcPr>
            <w:tcW w:w="100" w:type="dxa"/>
            <w:vAlign w:val="bottom"/>
          </w:tcPr>
          <w:p>
            <w:pPr>
              <w:spacing w:after="0"/>
              <w:rPr>
                <w:sz w:val="19"/>
                <w:szCs w:val="19"/>
                <w:color w:val="auto"/>
              </w:rPr>
            </w:pP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0"/>
              </w:rPr>
              <w:t>Anti-Corruption Laws ..................................................................................................</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EE2724"/>
                <w:strike w:val="1"/>
              </w:rPr>
              <w:t>81</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80" w:type="dxa"/>
            <w:vAlign w:val="bottom"/>
            <w:gridSpan w:val="4"/>
          </w:tcPr>
          <w:p>
            <w:pPr>
              <w:jc w:val="center"/>
              <w:ind w:left="1724"/>
              <w:spacing w:after="0"/>
              <w:rPr>
                <w:sz w:val="20"/>
                <w:szCs w:val="20"/>
                <w:color w:val="auto"/>
              </w:rPr>
            </w:pPr>
            <w:r>
              <w:rPr>
                <w:rFonts w:ascii="Times New Roman" w:cs="Times New Roman" w:eastAsia="Times New Roman" w:hAnsi="Times New Roman"/>
                <w:sz w:val="19"/>
                <w:szCs w:val="19"/>
                <w:color w:val="auto"/>
              </w:rPr>
              <w:t>8.24</w:t>
            </w:r>
          </w:p>
        </w:tc>
        <w:tc>
          <w:tcPr>
            <w:tcW w:w="100" w:type="dxa"/>
            <w:vAlign w:val="bottom"/>
          </w:tcPr>
          <w:p>
            <w:pPr>
              <w:spacing w:after="0"/>
              <w:rPr>
                <w:sz w:val="19"/>
                <w:szCs w:val="19"/>
                <w:color w:val="auto"/>
              </w:rPr>
            </w:pP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0"/>
              </w:rPr>
              <w:t>Taxpayer Identification Number...................................................................................</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EE2724"/>
                <w:strike w:val="1"/>
              </w:rPr>
              <w:t>81</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80" w:type="dxa"/>
            <w:vAlign w:val="bottom"/>
            <w:gridSpan w:val="4"/>
          </w:tcPr>
          <w:p>
            <w:pPr>
              <w:jc w:val="center"/>
              <w:ind w:left="1724"/>
              <w:spacing w:after="0" w:line="205" w:lineRule="exact"/>
              <w:rPr>
                <w:sz w:val="20"/>
                <w:szCs w:val="20"/>
                <w:color w:val="auto"/>
              </w:rPr>
            </w:pPr>
            <w:r>
              <w:rPr>
                <w:rFonts w:ascii="Times New Roman" w:cs="Times New Roman" w:eastAsia="Times New Roman" w:hAnsi="Times New Roman"/>
                <w:sz w:val="19"/>
                <w:szCs w:val="19"/>
                <w:color w:val="auto"/>
              </w:rPr>
              <w:t>8.25</w:t>
            </w:r>
          </w:p>
        </w:tc>
        <w:tc>
          <w:tcPr>
            <w:tcW w:w="100" w:type="dxa"/>
            <w:vAlign w:val="bottom"/>
          </w:tcPr>
          <w:p>
            <w:pPr>
              <w:spacing w:after="0"/>
              <w:rPr>
                <w:sz w:val="17"/>
                <w:szCs w:val="17"/>
                <w:color w:val="auto"/>
              </w:rPr>
            </w:pPr>
          </w:p>
        </w:tc>
        <w:tc>
          <w:tcPr>
            <w:tcW w:w="51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Affected Financial Institution ......................................................................................</w:t>
            </w:r>
          </w:p>
        </w:tc>
        <w:tc>
          <w:tcPr>
            <w:tcW w:w="2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300" w:type="dxa"/>
            <w:vAlign w:val="bottom"/>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81</w:t>
            </w:r>
          </w:p>
        </w:tc>
        <w:tc>
          <w:tcPr>
            <w:tcW w:w="140" w:type="dxa"/>
            <w:vAlign w:val="bottom"/>
            <w:tcBorders>
              <w:bottom w:val="single" w:sz="8" w:color="0E32E1"/>
            </w:tcBorders>
            <w:gridSpan w:val="3"/>
          </w:tcPr>
          <w:p>
            <w:pPr>
              <w:jc w:val="right"/>
              <w:spacing w:after="0"/>
              <w:rPr>
                <w:sz w:val="20"/>
                <w:szCs w:val="20"/>
                <w:color w:val="auto"/>
              </w:rPr>
            </w:pPr>
            <w:r>
              <w:rPr>
                <w:rFonts w:ascii="Times New Roman" w:cs="Times New Roman" w:eastAsia="Times New Roman" w:hAnsi="Times New Roman"/>
                <w:sz w:val="17"/>
                <w:szCs w:val="17"/>
                <w:color w:val="0E32E1"/>
                <w:w w:val="70"/>
              </w:rPr>
              <w:t>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60" w:type="dxa"/>
            <w:vAlign w:val="bottom"/>
            <w:gridSpan w:val="3"/>
          </w:tcPr>
          <w:p>
            <w:pPr>
              <w:jc w:val="center"/>
              <w:ind w:left="1704"/>
              <w:spacing w:after="0"/>
              <w:rPr>
                <w:sz w:val="20"/>
                <w:szCs w:val="20"/>
                <w:color w:val="auto"/>
              </w:rPr>
            </w:pPr>
            <w:r>
              <w:rPr>
                <w:rFonts w:ascii="Times New Roman" w:cs="Times New Roman" w:eastAsia="Times New Roman" w:hAnsi="Times New Roman"/>
                <w:sz w:val="19"/>
                <w:szCs w:val="19"/>
                <w:color w:val="auto"/>
              </w:rPr>
              <w:t>8.26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0"/>
              </w:rPr>
              <w:t>Beneficial Ownership....................................................................................................</w:t>
            </w:r>
          </w:p>
        </w:tc>
        <w:tc>
          <w:tcPr>
            <w:tcW w:w="28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30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EE2724"/>
                <w:strike w:val="1"/>
              </w:rPr>
              <w:t>81</w:t>
            </w:r>
          </w:p>
        </w:tc>
        <w:tc>
          <w:tcPr>
            <w:tcW w:w="1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83"/>
              </w:rPr>
              <w:t>83</w:t>
            </w:r>
          </w:p>
        </w:tc>
        <w:tc>
          <w:tcPr>
            <w:tcW w:w="0" w:type="dxa"/>
            <w:vAlign w:val="bottom"/>
          </w:tcPr>
          <w:p>
            <w:pPr>
              <w:spacing w:after="0"/>
              <w:rPr>
                <w:sz w:val="1"/>
                <w:szCs w:val="1"/>
                <w:color w:val="auto"/>
              </w:rPr>
            </w:pPr>
          </w:p>
        </w:tc>
      </w:tr>
      <w:tr>
        <w:trPr>
          <w:trHeight w:val="444"/>
        </w:trPr>
        <w:tc>
          <w:tcPr>
            <w:tcW w:w="752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SECTION9AFFIRMATIVECOVENANTS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EE2724"/>
                <w:strike w:val="1"/>
              </w:rPr>
              <w:t>81</w:t>
            </w:r>
          </w:p>
        </w:tc>
        <w:tc>
          <w:tcPr>
            <w:tcW w:w="16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9"/>
                <w:szCs w:val="19"/>
                <w:color w:val="0E32E1"/>
                <w:w w:val="73"/>
              </w:rPr>
              <w:t>83</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180" w:type="dxa"/>
            <w:vAlign w:val="bottom"/>
            <w:gridSpan w:val="2"/>
          </w:tcPr>
          <w:p>
            <w:pPr>
              <w:jc w:val="center"/>
              <w:ind w:left="1804"/>
              <w:spacing w:after="0"/>
              <w:rPr>
                <w:sz w:val="20"/>
                <w:szCs w:val="20"/>
                <w:color w:val="auto"/>
              </w:rPr>
            </w:pPr>
            <w:r>
              <w:rPr>
                <w:rFonts w:ascii="Times New Roman" w:cs="Times New Roman" w:eastAsia="Times New Roman" w:hAnsi="Times New Roman"/>
                <w:sz w:val="19"/>
                <w:szCs w:val="19"/>
                <w:color w:val="auto"/>
              </w:rPr>
              <w:t>9.1</w:t>
            </w:r>
          </w:p>
        </w:tc>
        <w:tc>
          <w:tcPr>
            <w:tcW w:w="80" w:type="dxa"/>
            <w:vAlign w:val="bottom"/>
          </w:tcPr>
          <w:p>
            <w:pPr>
              <w:spacing w:after="0"/>
              <w:rPr>
                <w:sz w:val="19"/>
                <w:szCs w:val="19"/>
                <w:color w:val="auto"/>
              </w:rPr>
            </w:pPr>
          </w:p>
        </w:tc>
        <w:tc>
          <w:tcPr>
            <w:tcW w:w="5260" w:type="dxa"/>
            <w:vAlign w:val="bottom"/>
            <w:gridSpan w:val="4"/>
          </w:tcPr>
          <w:p>
            <w:pPr>
              <w:ind w:left="80"/>
              <w:spacing w:after="0"/>
              <w:rPr>
                <w:sz w:val="20"/>
                <w:szCs w:val="20"/>
                <w:color w:val="auto"/>
              </w:rPr>
            </w:pPr>
            <w:r>
              <w:rPr>
                <w:rFonts w:ascii="Times New Roman" w:cs="Times New Roman" w:eastAsia="Times New Roman" w:hAnsi="Times New Roman"/>
                <w:sz w:val="19"/>
                <w:szCs w:val="19"/>
                <w:color w:val="auto"/>
                <w:w w:val="80"/>
              </w:rPr>
              <w:t>Items to be Furnished....................................................................................................</w:t>
            </w:r>
          </w:p>
        </w:tc>
        <w:tc>
          <w:tcPr>
            <w:tcW w:w="1400" w:type="dxa"/>
            <w:vAlign w:val="bottom"/>
            <w:gridSpan w:val="8"/>
          </w:tcPr>
          <w:p>
            <w:pPr>
              <w:spacing w:after="0"/>
              <w:rPr>
                <w:sz w:val="19"/>
                <w:szCs w:val="19"/>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EE2724"/>
                <w:strike w:val="1"/>
              </w:rPr>
              <w:t>81</w:t>
            </w:r>
          </w:p>
        </w:tc>
        <w:tc>
          <w:tcPr>
            <w:tcW w:w="20" w:type="dxa"/>
            <w:vAlign w:val="bottom"/>
          </w:tcPr>
          <w:p>
            <w:pPr>
              <w:spacing w:after="0"/>
              <w:rPr>
                <w:sz w:val="19"/>
                <w:szCs w:val="19"/>
                <w:color w:val="auto"/>
              </w:rPr>
            </w:pP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gridSpan w:val="2"/>
          </w:tcPr>
          <w:p>
            <w:pPr>
              <w:jc w:val="center"/>
              <w:ind w:left="1764"/>
              <w:spacing w:after="0"/>
              <w:rPr>
                <w:sz w:val="20"/>
                <w:szCs w:val="20"/>
                <w:color w:val="auto"/>
              </w:rPr>
            </w:pPr>
            <w:r>
              <w:rPr>
                <w:rFonts w:ascii="Times New Roman" w:cs="Times New Roman" w:eastAsia="Times New Roman" w:hAnsi="Times New Roman"/>
                <w:sz w:val="19"/>
                <w:szCs w:val="19"/>
                <w:color w:val="auto"/>
              </w:rPr>
              <w:t>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w w:val="80"/>
              </w:rPr>
              <w:t>Use of Proceeds.............................................................................................................</w:t>
            </w:r>
          </w:p>
        </w:tc>
        <w:tc>
          <w:tcPr>
            <w:tcW w:w="1400" w:type="dxa"/>
            <w:vAlign w:val="bottom"/>
            <w:gridSpan w:val="8"/>
          </w:tcPr>
          <w:p>
            <w:pPr>
              <w:spacing w:after="0"/>
              <w:rPr>
                <w:sz w:val="19"/>
                <w:szCs w:val="19"/>
                <w:color w:val="auto"/>
              </w:rPr>
            </w:pPr>
          </w:p>
        </w:tc>
        <w:tc>
          <w:tcPr>
            <w:tcW w:w="26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EE2724"/>
                <w:strike w:val="1"/>
              </w:rPr>
              <w:t>83</w:t>
            </w:r>
          </w:p>
        </w:tc>
        <w:tc>
          <w:tcPr>
            <w:tcW w:w="20" w:type="dxa"/>
            <w:vAlign w:val="bottom"/>
          </w:tcPr>
          <w:p>
            <w:pPr>
              <w:spacing w:after="0"/>
              <w:rPr>
                <w:sz w:val="19"/>
                <w:szCs w:val="19"/>
                <w:color w:val="auto"/>
              </w:rPr>
            </w:pPr>
          </w:p>
        </w:tc>
        <w:tc>
          <w:tcPr>
            <w:tcW w:w="140" w:type="dxa"/>
            <w:vAlign w:val="bottom"/>
            <w:tcBorders>
              <w:bottom w:val="single" w:sz="8" w:color="0E32E1"/>
            </w:tcBorders>
            <w:gridSpan w:val="3"/>
          </w:tcPr>
          <w:p>
            <w:pPr>
              <w:jc w:val="right"/>
              <w:spacing w:after="0"/>
              <w:rPr>
                <w:sz w:val="20"/>
                <w:szCs w:val="20"/>
                <w:color w:val="auto"/>
              </w:rPr>
            </w:pPr>
            <w:r>
              <w:rPr>
                <w:rFonts w:ascii="Times New Roman" w:cs="Times New Roman" w:eastAsia="Times New Roman" w:hAnsi="Times New Roman"/>
                <w:sz w:val="17"/>
                <w:szCs w:val="17"/>
                <w:color w:val="0E32E1"/>
                <w:w w:val="70"/>
              </w:rPr>
              <w:t>85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80" w:type="dxa"/>
            <w:vAlign w:val="bottom"/>
            <w:gridSpan w:val="2"/>
          </w:tcPr>
          <w:p>
            <w:pPr>
              <w:jc w:val="center"/>
              <w:ind w:left="1824"/>
              <w:spacing w:after="0" w:line="205" w:lineRule="exact"/>
              <w:rPr>
                <w:sz w:val="20"/>
                <w:szCs w:val="20"/>
                <w:color w:val="auto"/>
              </w:rPr>
            </w:pPr>
            <w:r>
              <w:rPr>
                <w:rFonts w:ascii="Times New Roman" w:cs="Times New Roman" w:eastAsia="Times New Roman" w:hAnsi="Times New Roman"/>
                <w:sz w:val="19"/>
                <w:szCs w:val="19"/>
                <w:color w:val="auto"/>
              </w:rPr>
              <w:t>9.3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3"/>
          </w:tcPr>
          <w:p>
            <w:pPr>
              <w:ind w:left="80"/>
              <w:spacing w:after="0" w:line="205" w:lineRule="exact"/>
              <w:rPr>
                <w:sz w:val="20"/>
                <w:szCs w:val="20"/>
                <w:color w:val="auto"/>
              </w:rPr>
            </w:pPr>
            <w:r>
              <w:rPr>
                <w:rFonts w:ascii="Times New Roman" w:cs="Times New Roman" w:eastAsia="Times New Roman" w:hAnsi="Times New Roman"/>
                <w:sz w:val="19"/>
                <w:szCs w:val="19"/>
                <w:color w:val="auto"/>
                <w:w w:val="80"/>
              </w:rPr>
              <w:t>Books and Records.......................................................................................................</w:t>
            </w:r>
          </w:p>
        </w:tc>
        <w:tc>
          <w:tcPr>
            <w:tcW w:w="1400" w:type="dxa"/>
            <w:vAlign w:val="bottom"/>
            <w:gridSpan w:val="8"/>
          </w:tcPr>
          <w:p>
            <w:pPr>
              <w:spacing w:after="0"/>
              <w:rPr>
                <w:sz w:val="17"/>
                <w:szCs w:val="17"/>
                <w:color w:val="auto"/>
              </w:rPr>
            </w:pPr>
          </w:p>
        </w:tc>
        <w:tc>
          <w:tcPr>
            <w:tcW w:w="2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9"/>
                <w:szCs w:val="19"/>
                <w:color w:val="EE2724"/>
                <w:strike w:val="1"/>
                <w:w w:val="94"/>
              </w:rPr>
              <w:t>83</w:t>
            </w:r>
          </w:p>
        </w:tc>
        <w:tc>
          <w:tcPr>
            <w:tcW w:w="1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83"/>
              </w:rPr>
              <w:t>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139"/>
          </w:cols>
          <w:pgMar w:left="320" w:top="1380" w:right="1440"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32"/>
        </w:trPr>
        <w:tc>
          <w:tcPr>
            <w:tcW w:w="2400" w:type="dxa"/>
            <w:vAlign w:val="bottom"/>
            <w:vMerge w:val="restart"/>
          </w:tcPr>
          <w:p>
            <w:pPr>
              <w:jc w:val="center"/>
              <w:ind w:left="1584"/>
              <w:spacing w:after="0"/>
              <w:rPr>
                <w:sz w:val="20"/>
                <w:szCs w:val="20"/>
                <w:color w:val="auto"/>
              </w:rPr>
            </w:pPr>
            <w:r>
              <w:rPr>
                <w:rFonts w:ascii="Times New Roman" w:cs="Times New Roman" w:eastAsia="Times New Roman" w:hAnsi="Times New Roman"/>
                <w:sz w:val="19"/>
                <w:szCs w:val="19"/>
                <w:color w:val="auto"/>
              </w:rPr>
              <w:t>9.4</w:t>
            </w:r>
          </w:p>
        </w:tc>
        <w:tc>
          <w:tcPr>
            <w:tcW w:w="51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80"/>
              </w:rPr>
              <w:t>Inspections. ..................................................................................................................</w:t>
            </w:r>
          </w:p>
        </w:tc>
        <w:tc>
          <w:tcPr>
            <w:tcW w:w="2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60" w:type="dxa"/>
            <w:vAlign w:val="bottom"/>
            <w:vMerge w:val="restart"/>
          </w:tcPr>
          <w:p>
            <w:pPr>
              <w:spacing w:after="0"/>
              <w:rPr>
                <w:sz w:val="2"/>
                <w:szCs w:val="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EE2724"/>
                <w:strike w:val="1"/>
                <w:w w:val="83"/>
              </w:rPr>
              <w:t>83</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0E32E1"/>
                <w:w w:val="94"/>
              </w:rPr>
              <w:t>86</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400" w:type="dxa"/>
            <w:vAlign w:val="bottom"/>
            <w:vMerge w:val="continue"/>
          </w:tcPr>
          <w:p>
            <w:pPr>
              <w:spacing w:after="0"/>
              <w:rPr>
                <w:sz w:val="16"/>
                <w:szCs w:val="16"/>
                <w:color w:val="auto"/>
              </w:rPr>
            </w:pPr>
          </w:p>
        </w:tc>
        <w:tc>
          <w:tcPr>
            <w:tcW w:w="51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200" w:type="dxa"/>
            <w:vAlign w:val="bottom"/>
            <w:tcBorders>
              <w:bottom w:val="single" w:sz="8" w:color="0E32E1"/>
            </w:tcBorders>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400" w:type="dxa"/>
            <w:vAlign w:val="bottom"/>
          </w:tcPr>
          <w:p>
            <w:pPr>
              <w:jc w:val="center"/>
              <w:ind w:left="1584"/>
              <w:spacing w:after="0"/>
              <w:rPr>
                <w:sz w:val="20"/>
                <w:szCs w:val="20"/>
                <w:color w:val="auto"/>
              </w:rPr>
            </w:pPr>
            <w:r>
              <w:rPr>
                <w:rFonts w:ascii="Times New Roman" w:cs="Times New Roman" w:eastAsia="Times New Roman" w:hAnsi="Times New Roman"/>
                <w:sz w:val="19"/>
                <w:szCs w:val="19"/>
                <w:color w:val="auto"/>
              </w:rPr>
              <w:t>9.5</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Taxes.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w w:val="83"/>
              </w:rPr>
              <w:t>84</w:t>
            </w:r>
          </w:p>
        </w:tc>
        <w:tc>
          <w:tcPr>
            <w:tcW w:w="20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9"/>
                <w:szCs w:val="19"/>
                <w:color w:val="0E32E1"/>
                <w:w w:val="94"/>
              </w:rPr>
              <w:t>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1900"/>
              <w:spacing w:after="0" w:line="205" w:lineRule="exact"/>
              <w:rPr>
                <w:sz w:val="20"/>
                <w:szCs w:val="20"/>
                <w:color w:val="auto"/>
              </w:rPr>
            </w:pPr>
            <w:r>
              <w:rPr>
                <w:rFonts w:ascii="Times New Roman" w:cs="Times New Roman" w:eastAsia="Times New Roman" w:hAnsi="Times New Roman"/>
                <w:sz w:val="19"/>
                <w:szCs w:val="19"/>
                <w:color w:val="auto"/>
              </w:rPr>
              <w:t>9.6</w:t>
            </w:r>
          </w:p>
        </w:tc>
        <w:tc>
          <w:tcPr>
            <w:tcW w:w="514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w w:val="79"/>
              </w:rPr>
              <w:t>Payment of Obligations.................................................................................................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w w:val="94"/>
              </w:rPr>
              <w:t>84</w:t>
            </w:r>
          </w:p>
        </w:tc>
        <w:tc>
          <w:tcPr>
            <w:tcW w:w="12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4"/>
                <w:szCs w:val="14"/>
                <w:color w:val="0E32E1"/>
                <w:w w:val="71"/>
              </w:rPr>
              <w:t>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40" w:type="dxa"/>
            <w:vAlign w:val="bottom"/>
            <w:gridSpan w:val="2"/>
          </w:tcPr>
          <w:p>
            <w:pPr>
              <w:ind w:left="1900"/>
              <w:spacing w:after="0"/>
              <w:rPr>
                <w:sz w:val="20"/>
                <w:szCs w:val="20"/>
                <w:color w:val="auto"/>
              </w:rPr>
            </w:pPr>
            <w:r>
              <w:rPr>
                <w:rFonts w:ascii="Times New Roman" w:cs="Times New Roman" w:eastAsia="Times New Roman" w:hAnsi="Times New Roman"/>
                <w:sz w:val="19"/>
                <w:szCs w:val="19"/>
                <w:color w:val="auto"/>
                <w:w w:val="83"/>
              </w:rPr>
              <w:t>9.7  Maintenance of Existence, Assets, and Business..........................................................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EE2724"/>
                <w:strike w:val="1"/>
                <w:w w:val="94"/>
              </w:rPr>
              <w:t>84</w:t>
            </w:r>
          </w:p>
        </w:tc>
        <w:tc>
          <w:tcPr>
            <w:tcW w:w="12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4"/>
                <w:szCs w:val="14"/>
                <w:color w:val="0E32E1"/>
                <w:w w:val="71"/>
              </w:rPr>
              <w:t>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1920"/>
              <w:spacing w:after="0" w:line="205" w:lineRule="exact"/>
              <w:rPr>
                <w:sz w:val="20"/>
                <w:szCs w:val="20"/>
                <w:color w:val="auto"/>
              </w:rPr>
            </w:pPr>
            <w:r>
              <w:rPr>
                <w:rFonts w:ascii="Times New Roman" w:cs="Times New Roman" w:eastAsia="Times New Roman" w:hAnsi="Times New Roman"/>
                <w:sz w:val="19"/>
                <w:szCs w:val="19"/>
                <w:color w:val="auto"/>
              </w:rPr>
              <w:t>9.8</w:t>
            </w:r>
          </w:p>
        </w:tc>
        <w:tc>
          <w:tcPr>
            <w:tcW w:w="514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Insurance.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w w:val="94"/>
              </w:rPr>
              <w:t>85</w:t>
            </w:r>
          </w:p>
        </w:tc>
        <w:tc>
          <w:tcPr>
            <w:tcW w:w="12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4"/>
                <w:szCs w:val="14"/>
                <w:color w:val="0E32E1"/>
                <w:w w:val="71"/>
              </w:rPr>
              <w:t>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0" w:type="dxa"/>
            <w:vAlign w:val="bottom"/>
          </w:tcPr>
          <w:p>
            <w:pPr>
              <w:jc w:val="center"/>
              <w:ind w:left="1584"/>
              <w:spacing w:after="0"/>
              <w:rPr>
                <w:sz w:val="20"/>
                <w:szCs w:val="20"/>
                <w:color w:val="auto"/>
              </w:rPr>
            </w:pPr>
            <w:r>
              <w:rPr>
                <w:rFonts w:ascii="Times New Roman" w:cs="Times New Roman" w:eastAsia="Times New Roman" w:hAnsi="Times New Roman"/>
                <w:sz w:val="19"/>
                <w:szCs w:val="19"/>
                <w:color w:val="auto"/>
              </w:rPr>
              <w:t>9.9</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Environmental Laws.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EE2724"/>
                <w:strike w:val="1"/>
                <w:w w:val="94"/>
              </w:rPr>
              <w:t>85</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0E32E1"/>
                <w:w w:val="72"/>
              </w:rPr>
              <w:t>87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0E32E1"/>
            </w:tcBorders>
            <w:gridSpan w:val="2"/>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40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9.10</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Subsidiaries.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w w:val="94"/>
              </w:rPr>
              <w:t>85</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540" w:type="dxa"/>
            <w:vAlign w:val="bottom"/>
            <w:gridSpan w:val="2"/>
          </w:tcPr>
          <w:p>
            <w:pPr>
              <w:ind w:left="1880"/>
              <w:spacing w:after="0" w:line="205" w:lineRule="exact"/>
              <w:rPr>
                <w:sz w:val="20"/>
                <w:szCs w:val="20"/>
                <w:color w:val="auto"/>
              </w:rPr>
            </w:pPr>
            <w:r>
              <w:rPr>
                <w:rFonts w:ascii="Times New Roman" w:cs="Times New Roman" w:eastAsia="Times New Roman" w:hAnsi="Times New Roman"/>
                <w:sz w:val="19"/>
                <w:szCs w:val="19"/>
                <w:color w:val="auto"/>
                <w:w w:val="82"/>
              </w:rPr>
              <w:t>9.11  Designation and Re-designation of Subsidiaries..........................................................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85</w:t>
            </w:r>
          </w:p>
        </w:tc>
        <w:tc>
          <w:tcPr>
            <w:tcW w:w="140" w:type="dxa"/>
            <w:vAlign w:val="bottom"/>
            <w:tcBorders>
              <w:bottom w:val="single" w:sz="8" w:color="0E32E1"/>
            </w:tcBorders>
            <w:gridSpan w:val="3"/>
          </w:tcPr>
          <w:p>
            <w:pPr>
              <w:jc w:val="right"/>
              <w:spacing w:after="0"/>
              <w:rPr>
                <w:sz w:val="20"/>
                <w:szCs w:val="20"/>
                <w:color w:val="auto"/>
              </w:rPr>
            </w:pPr>
            <w:r>
              <w:rPr>
                <w:rFonts w:ascii="Times New Roman" w:cs="Times New Roman" w:eastAsia="Times New Roman" w:hAnsi="Times New Roman"/>
                <w:sz w:val="17"/>
                <w:szCs w:val="17"/>
                <w:color w:val="0E32E1"/>
                <w:w w:val="70"/>
              </w:rPr>
              <w:t>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9.12</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Keepwell Requirements.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w w:val="94"/>
              </w:rPr>
              <w:t>86</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00" w:type="dxa"/>
            <w:vAlign w:val="bottom"/>
          </w:tcPr>
          <w:p>
            <w:pPr>
              <w:jc w:val="center"/>
              <w:ind w:left="1604"/>
              <w:spacing w:after="0" w:line="205" w:lineRule="exact"/>
              <w:rPr>
                <w:sz w:val="20"/>
                <w:szCs w:val="20"/>
                <w:color w:val="auto"/>
              </w:rPr>
            </w:pPr>
            <w:r>
              <w:rPr>
                <w:rFonts w:ascii="Times New Roman" w:cs="Times New Roman" w:eastAsia="Times New Roman" w:hAnsi="Times New Roman"/>
                <w:sz w:val="19"/>
                <w:szCs w:val="19"/>
                <w:color w:val="auto"/>
              </w:rPr>
              <w:t>9.13</w:t>
            </w:r>
          </w:p>
        </w:tc>
        <w:tc>
          <w:tcPr>
            <w:tcW w:w="514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Anti-Corruption Laws; Sanctions.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86</w:t>
            </w:r>
          </w:p>
        </w:tc>
        <w:tc>
          <w:tcPr>
            <w:tcW w:w="160" w:type="dxa"/>
            <w:vAlign w:val="bottom"/>
            <w:tcBorders>
              <w:bottom w:val="single" w:sz="8" w:color="0E32E1"/>
            </w:tcBorders>
            <w:gridSpan w:val="4"/>
          </w:tcPr>
          <w:p>
            <w:pPr>
              <w:jc w:val="right"/>
              <w:ind w:right="20"/>
              <w:spacing w:after="0"/>
              <w:rPr>
                <w:sz w:val="20"/>
                <w:szCs w:val="20"/>
                <w:color w:val="auto"/>
              </w:rPr>
            </w:pPr>
            <w:r>
              <w:rPr>
                <w:rFonts w:ascii="Times New Roman" w:cs="Times New Roman" w:eastAsia="Times New Roman" w:hAnsi="Times New Roman"/>
                <w:sz w:val="17"/>
                <w:szCs w:val="17"/>
                <w:color w:val="0E32E1"/>
                <w:w w:val="70"/>
              </w:rPr>
              <w:t>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8"/>
        </w:trPr>
        <w:tc>
          <w:tcPr>
            <w:tcW w:w="7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SECTION10NEGATIVECOVENANTS</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EE2724"/>
                <w:strike w:val="1"/>
                <w:w w:val="94"/>
              </w:rPr>
              <w:t>86</w:t>
            </w:r>
          </w:p>
        </w:tc>
        <w:tc>
          <w:tcPr>
            <w:tcW w:w="20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9"/>
                <w:szCs w:val="19"/>
                <w:color w:val="0E32E1"/>
                <w:w w:val="94"/>
              </w:rPr>
              <w:t>89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400" w:type="dxa"/>
            <w:vAlign w:val="bottom"/>
          </w:tcPr>
          <w:p>
            <w:pPr>
              <w:jc w:val="center"/>
              <w:ind w:left="1604"/>
              <w:spacing w:after="0"/>
              <w:rPr>
                <w:sz w:val="20"/>
                <w:szCs w:val="20"/>
                <w:color w:val="auto"/>
              </w:rPr>
            </w:pPr>
            <w:r>
              <w:rPr>
                <w:rFonts w:ascii="Times New Roman" w:cs="Times New Roman" w:eastAsia="Times New Roman" w:hAnsi="Times New Roman"/>
                <w:sz w:val="19"/>
                <w:szCs w:val="19"/>
                <w:color w:val="auto"/>
              </w:rPr>
              <w:t>10.1</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Taxes.............................................................................................................................</w:t>
            </w:r>
          </w:p>
        </w:tc>
        <w:tc>
          <w:tcPr>
            <w:tcW w:w="2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w w:val="94"/>
              </w:rPr>
              <w:t>86</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1860"/>
              <w:spacing w:after="0" w:line="205" w:lineRule="exact"/>
              <w:rPr>
                <w:sz w:val="20"/>
                <w:szCs w:val="20"/>
                <w:color w:val="auto"/>
              </w:rPr>
            </w:pPr>
            <w:r>
              <w:rPr>
                <w:rFonts w:ascii="Times New Roman" w:cs="Times New Roman" w:eastAsia="Times New Roman" w:hAnsi="Times New Roman"/>
                <w:sz w:val="19"/>
                <w:szCs w:val="19"/>
                <w:color w:val="auto"/>
              </w:rPr>
              <w:t>10.2</w:t>
            </w:r>
          </w:p>
        </w:tc>
        <w:tc>
          <w:tcPr>
            <w:tcW w:w="514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Payment of Obligations.................................................................................................</w:t>
            </w:r>
          </w:p>
        </w:tc>
        <w:tc>
          <w:tcPr>
            <w:tcW w:w="22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87</w:t>
            </w:r>
          </w:p>
        </w:tc>
        <w:tc>
          <w:tcPr>
            <w:tcW w:w="200" w:type="dxa"/>
            <w:vAlign w:val="bottom"/>
            <w:gridSpan w:val="6"/>
          </w:tcPr>
          <w:p>
            <w:pPr>
              <w:jc w:val="right"/>
              <w:ind w:right="20"/>
              <w:spacing w:after="0" w:line="205" w:lineRule="exact"/>
              <w:rPr>
                <w:sz w:val="20"/>
                <w:szCs w:val="20"/>
                <w:color w:val="auto"/>
              </w:rPr>
            </w:pPr>
            <w:r>
              <w:rPr>
                <w:rFonts w:ascii="Times New Roman" w:cs="Times New Roman" w:eastAsia="Times New Roman" w:hAnsi="Times New Roman"/>
                <w:sz w:val="19"/>
                <w:szCs w:val="19"/>
                <w:color w:val="0E32E1"/>
                <w:w w:val="83"/>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10.3</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Employee Plans.............................................................................................................</w:t>
            </w:r>
          </w:p>
        </w:tc>
        <w:tc>
          <w:tcPr>
            <w:tcW w:w="2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rPr>
              <w:t>87</w:t>
            </w:r>
          </w:p>
        </w:tc>
        <w:tc>
          <w:tcPr>
            <w:tcW w:w="160" w:type="dxa"/>
            <w:vAlign w:val="bottom"/>
            <w:tcBorders>
              <w:top w:val="single" w:sz="8" w:color="0E32E1"/>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89</w:t>
            </w:r>
          </w:p>
        </w:tc>
        <w:tc>
          <w:tcPr>
            <w:tcW w:w="20" w:type="dxa"/>
            <w:vAlign w:val="bottom"/>
            <w:tcBorders>
              <w:top w:val="single" w:sz="8" w:color="0E32E1"/>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1860"/>
              <w:spacing w:after="0" w:line="205" w:lineRule="exact"/>
              <w:rPr>
                <w:sz w:val="20"/>
                <w:szCs w:val="20"/>
                <w:color w:val="auto"/>
              </w:rPr>
            </w:pPr>
            <w:r>
              <w:rPr>
                <w:rFonts w:ascii="Times New Roman" w:cs="Times New Roman" w:eastAsia="Times New Roman" w:hAnsi="Times New Roman"/>
                <w:sz w:val="19"/>
                <w:szCs w:val="19"/>
                <w:color w:val="auto"/>
              </w:rPr>
              <w:t>10.4</w:t>
            </w:r>
          </w:p>
        </w:tc>
        <w:tc>
          <w:tcPr>
            <w:tcW w:w="514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Debt...............................................................................................................................</w:t>
            </w:r>
          </w:p>
        </w:tc>
        <w:tc>
          <w:tcPr>
            <w:tcW w:w="22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87</w:t>
            </w:r>
          </w:p>
        </w:tc>
        <w:tc>
          <w:tcPr>
            <w:tcW w:w="160" w:type="dxa"/>
            <w:vAlign w:val="bottom"/>
            <w:tcBorders>
              <w:bottom w:val="single" w:sz="8" w:color="0E32E1"/>
            </w:tcBorders>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0E32E1"/>
                <w:w w:val="73"/>
              </w:rPr>
              <w:t>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10.5</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Liens..............................................................................................................................</w:t>
            </w:r>
          </w:p>
        </w:tc>
        <w:tc>
          <w:tcPr>
            <w:tcW w:w="2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rPr>
              <w:t>87</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00" w:type="dxa"/>
            <w:vAlign w:val="bottom"/>
          </w:tcPr>
          <w:p>
            <w:pPr>
              <w:jc w:val="center"/>
              <w:ind w:left="1604"/>
              <w:spacing w:after="0"/>
              <w:rPr>
                <w:sz w:val="20"/>
                <w:szCs w:val="20"/>
                <w:color w:val="auto"/>
              </w:rPr>
            </w:pPr>
            <w:r>
              <w:rPr>
                <w:rFonts w:ascii="Times New Roman" w:cs="Times New Roman" w:eastAsia="Times New Roman" w:hAnsi="Times New Roman"/>
                <w:sz w:val="19"/>
                <w:szCs w:val="19"/>
                <w:color w:val="auto"/>
              </w:rPr>
              <w:t>10.6</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Transactions with Affiliates. ........................................................................................</w:t>
            </w:r>
          </w:p>
        </w:tc>
        <w:tc>
          <w:tcPr>
            <w:tcW w:w="2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w w:val="94"/>
              </w:rPr>
              <w:t>87</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89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5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rPr>
              <w:t>10.7  Compliance with Laws and Documents.......................................................................</w:t>
            </w:r>
          </w:p>
        </w:tc>
        <w:tc>
          <w:tcPr>
            <w:tcW w:w="22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88</w:t>
            </w:r>
          </w:p>
        </w:tc>
        <w:tc>
          <w:tcPr>
            <w:tcW w:w="140" w:type="dxa"/>
            <w:vAlign w:val="bottom"/>
            <w:tcBorders>
              <w:bottom w:val="single" w:sz="8" w:color="0E32E1"/>
            </w:tcBorders>
            <w:gridSpan w:val="3"/>
          </w:tcPr>
          <w:p>
            <w:pPr>
              <w:jc w:val="right"/>
              <w:spacing w:after="0"/>
              <w:rPr>
                <w:sz w:val="20"/>
                <w:szCs w:val="20"/>
                <w:color w:val="auto"/>
              </w:rPr>
            </w:pPr>
            <w:r>
              <w:rPr>
                <w:rFonts w:ascii="Times New Roman" w:cs="Times New Roman" w:eastAsia="Times New Roman" w:hAnsi="Times New Roman"/>
                <w:sz w:val="17"/>
                <w:szCs w:val="17"/>
                <w:color w:val="0E32E1"/>
                <w:w w:val="70"/>
              </w:rPr>
              <w:t>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10.8  Loans, Advances and Investments................................................................................</w:t>
            </w:r>
          </w:p>
        </w:tc>
        <w:tc>
          <w:tcPr>
            <w:tcW w:w="2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w w:val="94"/>
              </w:rPr>
              <w:t>88</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90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1860"/>
              <w:spacing w:after="0" w:line="205" w:lineRule="exact"/>
              <w:rPr>
                <w:sz w:val="20"/>
                <w:szCs w:val="20"/>
                <w:color w:val="auto"/>
              </w:rPr>
            </w:pPr>
            <w:r>
              <w:rPr>
                <w:rFonts w:ascii="Times New Roman" w:cs="Times New Roman" w:eastAsia="Times New Roman" w:hAnsi="Times New Roman"/>
                <w:sz w:val="19"/>
                <w:szCs w:val="19"/>
                <w:color w:val="auto"/>
              </w:rPr>
              <w:t>10.9</w:t>
            </w:r>
          </w:p>
        </w:tc>
        <w:tc>
          <w:tcPr>
            <w:tcW w:w="514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Distributions..................................................................................................................</w:t>
            </w:r>
          </w:p>
        </w:tc>
        <w:tc>
          <w:tcPr>
            <w:tcW w:w="22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90</w:t>
            </w:r>
          </w:p>
        </w:tc>
        <w:tc>
          <w:tcPr>
            <w:tcW w:w="160" w:type="dxa"/>
            <w:vAlign w:val="bottom"/>
            <w:tcBorders>
              <w:bottom w:val="single" w:sz="8" w:color="0E32E1"/>
            </w:tcBorders>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0E32E1"/>
                <w:w w:val="73"/>
              </w:rPr>
              <w:t>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0" w:type="dxa"/>
            <w:vAlign w:val="bottom"/>
          </w:tcPr>
          <w:p>
            <w:pPr>
              <w:ind w:left="1820"/>
              <w:spacing w:after="0"/>
              <w:rPr>
                <w:sz w:val="20"/>
                <w:szCs w:val="20"/>
                <w:color w:val="auto"/>
              </w:rPr>
            </w:pPr>
            <w:r>
              <w:rPr>
                <w:rFonts w:ascii="Times New Roman" w:cs="Times New Roman" w:eastAsia="Times New Roman" w:hAnsi="Times New Roman"/>
                <w:sz w:val="19"/>
                <w:szCs w:val="19"/>
                <w:color w:val="auto"/>
              </w:rPr>
              <w:t>10.10</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Sale of Assets................................................................................................................</w:t>
            </w:r>
          </w:p>
        </w:tc>
        <w:tc>
          <w:tcPr>
            <w:tcW w:w="2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EE2724"/>
                <w:strike w:val="1"/>
                <w:w w:val="73"/>
              </w:rPr>
              <w:t>92</w:t>
            </w:r>
          </w:p>
        </w:tc>
        <w:tc>
          <w:tcPr>
            <w:tcW w:w="220" w:type="dxa"/>
            <w:vAlign w:val="bottom"/>
            <w:tcBorders>
              <w:bottom w:val="single" w:sz="8" w:color="0E32E1"/>
            </w:tcBorders>
            <w:gridSpan w:val="7"/>
          </w:tcPr>
          <w:p>
            <w:pPr>
              <w:ind w:left="20"/>
              <w:spacing w:after="0"/>
              <w:rPr>
                <w:sz w:val="20"/>
                <w:szCs w:val="20"/>
                <w:color w:val="auto"/>
              </w:rPr>
            </w:pPr>
            <w:r>
              <w:rPr>
                <w:rFonts w:ascii="Times New Roman" w:cs="Times New Roman" w:eastAsia="Times New Roman" w:hAnsi="Times New Roman"/>
                <w:sz w:val="19"/>
                <w:szCs w:val="19"/>
                <w:color w:val="0E32E1"/>
                <w:w w:val="94"/>
              </w:rPr>
              <w:t>94</w:t>
            </w:r>
          </w:p>
        </w:tc>
        <w:tc>
          <w:tcPr>
            <w:tcW w:w="0" w:type="dxa"/>
            <w:vAlign w:val="bottom"/>
          </w:tcPr>
          <w:p>
            <w:pPr>
              <w:spacing w:after="0"/>
              <w:rPr>
                <w:sz w:val="1"/>
                <w:szCs w:val="1"/>
                <w:color w:val="auto"/>
              </w:rPr>
            </w:pPr>
          </w:p>
        </w:tc>
      </w:tr>
      <w:tr>
        <w:trPr>
          <w:trHeight w:val="206"/>
        </w:trPr>
        <w:tc>
          <w:tcPr>
            <w:tcW w:w="75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rPr>
              <w:t>10.11  Acquisitions, Mergers, and Dissolutions......................................................................</w:t>
            </w:r>
          </w:p>
        </w:tc>
        <w:tc>
          <w:tcPr>
            <w:tcW w:w="22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92</w:t>
            </w:r>
          </w:p>
        </w:tc>
        <w:tc>
          <w:tcPr>
            <w:tcW w:w="200" w:type="dxa"/>
            <w:vAlign w:val="bottom"/>
            <w:tcBorders>
              <w:bottom w:val="single" w:sz="8" w:color="0E32E1"/>
            </w:tcBorders>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0E32E1"/>
                <w:w w:val="94"/>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10.12</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Assignment...................................................................................................................</w:t>
            </w:r>
          </w:p>
        </w:tc>
        <w:tc>
          <w:tcPr>
            <w:tcW w:w="2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rPr>
              <w:t>93</w:t>
            </w:r>
          </w:p>
        </w:tc>
        <w:tc>
          <w:tcPr>
            <w:tcW w:w="200" w:type="dxa"/>
            <w:vAlign w:val="bottom"/>
            <w:tcBorders>
              <w:bottom w:val="single" w:sz="8" w:color="0E32E1"/>
            </w:tcBorders>
            <w:gridSpan w:val="6"/>
          </w:tcPr>
          <w:p>
            <w:pPr>
              <w:jc w:val="right"/>
              <w:spacing w:after="0"/>
              <w:rPr>
                <w:sz w:val="20"/>
                <w:szCs w:val="20"/>
                <w:color w:val="auto"/>
              </w:rPr>
            </w:pPr>
            <w:r>
              <w:rPr>
                <w:rFonts w:ascii="Times New Roman" w:cs="Times New Roman" w:eastAsia="Times New Roman" w:hAnsi="Times New Roman"/>
                <w:sz w:val="19"/>
                <w:szCs w:val="19"/>
                <w:color w:val="0E32E1"/>
                <w:w w:val="94"/>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10.13  Fiscal Year and Accounting Methods...........................................................................</w:t>
            </w:r>
          </w:p>
        </w:tc>
        <w:tc>
          <w:tcPr>
            <w:tcW w:w="2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EE2724"/>
                <w:strike w:val="1"/>
                <w:w w:val="73"/>
              </w:rPr>
              <w:t>94</w:t>
            </w:r>
          </w:p>
        </w:tc>
        <w:tc>
          <w:tcPr>
            <w:tcW w:w="200" w:type="dxa"/>
            <w:vAlign w:val="bottom"/>
            <w:tcBorders>
              <w:bottom w:val="single" w:sz="8" w:color="0E32E1"/>
            </w:tcBorders>
            <w:gridSpan w:val="6"/>
          </w:tcPr>
          <w:p>
            <w:pPr>
              <w:jc w:val="right"/>
              <w:spacing w:after="0"/>
              <w:rPr>
                <w:sz w:val="20"/>
                <w:szCs w:val="20"/>
                <w:color w:val="auto"/>
              </w:rPr>
            </w:pPr>
            <w:r>
              <w:rPr>
                <w:rFonts w:ascii="Times New Roman" w:cs="Times New Roman" w:eastAsia="Times New Roman" w:hAnsi="Times New Roman"/>
                <w:sz w:val="19"/>
                <w:szCs w:val="19"/>
                <w:color w:val="0E32E1"/>
                <w:w w:val="94"/>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00" w:type="dxa"/>
            <w:vAlign w:val="bottom"/>
          </w:tcPr>
          <w:p>
            <w:pPr>
              <w:jc w:val="center"/>
              <w:ind w:left="1604"/>
              <w:spacing w:after="0" w:line="205" w:lineRule="exact"/>
              <w:rPr>
                <w:sz w:val="20"/>
                <w:szCs w:val="20"/>
                <w:color w:val="auto"/>
              </w:rPr>
            </w:pPr>
            <w:r>
              <w:rPr>
                <w:rFonts w:ascii="Times New Roman" w:cs="Times New Roman" w:eastAsia="Times New Roman" w:hAnsi="Times New Roman"/>
                <w:sz w:val="19"/>
                <w:szCs w:val="19"/>
                <w:color w:val="auto"/>
                <w:w w:val="98"/>
              </w:rPr>
              <w:t>10.14</w:t>
            </w:r>
          </w:p>
        </w:tc>
        <w:tc>
          <w:tcPr>
            <w:tcW w:w="514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New Businesses............................................................................................................</w:t>
            </w:r>
          </w:p>
        </w:tc>
        <w:tc>
          <w:tcPr>
            <w:tcW w:w="22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94</w:t>
            </w:r>
          </w:p>
        </w:tc>
        <w:tc>
          <w:tcPr>
            <w:tcW w:w="200" w:type="dxa"/>
            <w:vAlign w:val="bottom"/>
            <w:tcBorders>
              <w:bottom w:val="single" w:sz="8" w:color="0E32E1"/>
            </w:tcBorders>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0E32E1"/>
                <w:w w:val="94"/>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0" w:type="dxa"/>
            <w:vAlign w:val="bottom"/>
          </w:tcPr>
          <w:p>
            <w:pPr>
              <w:jc w:val="center"/>
              <w:ind w:left="1604"/>
              <w:spacing w:after="0"/>
              <w:rPr>
                <w:sz w:val="20"/>
                <w:szCs w:val="20"/>
                <w:color w:val="auto"/>
              </w:rPr>
            </w:pPr>
            <w:r>
              <w:rPr>
                <w:rFonts w:ascii="Times New Roman" w:cs="Times New Roman" w:eastAsia="Times New Roman" w:hAnsi="Times New Roman"/>
                <w:sz w:val="19"/>
                <w:szCs w:val="19"/>
                <w:color w:val="auto"/>
                <w:w w:val="98"/>
              </w:rPr>
              <w:t>10.15</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Government Regulations..............................................................................................</w:t>
            </w:r>
          </w:p>
        </w:tc>
        <w:tc>
          <w:tcPr>
            <w:tcW w:w="2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rPr>
              <w:t>94</w:t>
            </w:r>
          </w:p>
        </w:tc>
        <w:tc>
          <w:tcPr>
            <w:tcW w:w="200" w:type="dxa"/>
            <w:vAlign w:val="bottom"/>
            <w:tcBorders>
              <w:bottom w:val="single" w:sz="8" w:color="0E32E1"/>
            </w:tcBorders>
            <w:gridSpan w:val="6"/>
          </w:tcPr>
          <w:p>
            <w:pPr>
              <w:jc w:val="right"/>
              <w:spacing w:after="0"/>
              <w:rPr>
                <w:sz w:val="20"/>
                <w:szCs w:val="20"/>
                <w:color w:val="auto"/>
              </w:rPr>
            </w:pPr>
            <w:r>
              <w:rPr>
                <w:rFonts w:ascii="Times New Roman" w:cs="Times New Roman" w:eastAsia="Times New Roman" w:hAnsi="Times New Roman"/>
                <w:sz w:val="19"/>
                <w:szCs w:val="19"/>
                <w:color w:val="0E32E1"/>
                <w:w w:val="94"/>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1820"/>
              <w:spacing w:after="0" w:line="205" w:lineRule="exact"/>
              <w:rPr>
                <w:sz w:val="20"/>
                <w:szCs w:val="20"/>
                <w:color w:val="auto"/>
              </w:rPr>
            </w:pPr>
            <w:r>
              <w:rPr>
                <w:rFonts w:ascii="Times New Roman" w:cs="Times New Roman" w:eastAsia="Times New Roman" w:hAnsi="Times New Roman"/>
                <w:sz w:val="19"/>
                <w:szCs w:val="19"/>
                <w:color w:val="auto"/>
              </w:rPr>
              <w:t>10.16</w:t>
            </w:r>
          </w:p>
        </w:tc>
        <w:tc>
          <w:tcPr>
            <w:tcW w:w="514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Burdensome Agreements..............................................................................................</w:t>
            </w:r>
          </w:p>
        </w:tc>
        <w:tc>
          <w:tcPr>
            <w:tcW w:w="22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19"/>
                <w:szCs w:val="19"/>
                <w:color w:val="EE2724"/>
                <w:strike w:val="1"/>
                <w:w w:val="73"/>
              </w:rPr>
              <w:t>94</w:t>
            </w:r>
          </w:p>
        </w:tc>
        <w:tc>
          <w:tcPr>
            <w:tcW w:w="200" w:type="dxa"/>
            <w:vAlign w:val="bottom"/>
            <w:tcBorders>
              <w:bottom w:val="single" w:sz="8" w:color="0E32E1"/>
            </w:tcBorders>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0E32E1"/>
                <w:w w:val="94"/>
              </w:rPr>
              <w:t>96</w:t>
            </w:r>
          </w:p>
        </w:tc>
        <w:tc>
          <w:tcPr>
            <w:tcW w:w="20" w:type="dxa"/>
            <w:vAlign w:val="bottom"/>
            <w:tcBorders>
              <w:bottom w:val="single" w:sz="8" w:color="0E32E1"/>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10.17</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Use of Proceeds.............................................................................................................</w:t>
            </w:r>
          </w:p>
        </w:tc>
        <w:tc>
          <w:tcPr>
            <w:tcW w:w="2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rPr>
              <w:t>94</w:t>
            </w:r>
          </w:p>
        </w:tc>
        <w:tc>
          <w:tcPr>
            <w:tcW w:w="220" w:type="dxa"/>
            <w:vAlign w:val="bottom"/>
            <w:tcBorders>
              <w:bottom w:val="single" w:sz="8" w:color="0E32E1"/>
            </w:tcBorders>
            <w:gridSpan w:val="7"/>
          </w:tcPr>
          <w:p>
            <w:pPr>
              <w:ind w:left="20"/>
              <w:spacing w:after="0"/>
              <w:rPr>
                <w:sz w:val="20"/>
                <w:szCs w:val="20"/>
                <w:color w:val="auto"/>
              </w:rPr>
            </w:pPr>
            <w:r>
              <w:rPr>
                <w:rFonts w:ascii="Times New Roman" w:cs="Times New Roman" w:eastAsia="Times New Roman" w:hAnsi="Times New Roman"/>
                <w:sz w:val="19"/>
                <w:szCs w:val="19"/>
                <w:color w:val="0E32E1"/>
                <w:w w:val="94"/>
              </w:rPr>
              <w:t>96</w:t>
            </w:r>
          </w:p>
        </w:tc>
        <w:tc>
          <w:tcPr>
            <w:tcW w:w="0" w:type="dxa"/>
            <w:vAlign w:val="bottom"/>
          </w:tcPr>
          <w:p>
            <w:pPr>
              <w:spacing w:after="0"/>
              <w:rPr>
                <w:sz w:val="1"/>
                <w:szCs w:val="1"/>
                <w:color w:val="auto"/>
              </w:rPr>
            </w:pPr>
          </w:p>
        </w:tc>
      </w:tr>
      <w:tr>
        <w:trPr>
          <w:trHeight w:val="219"/>
        </w:trPr>
        <w:tc>
          <w:tcPr>
            <w:tcW w:w="2400" w:type="dxa"/>
            <w:vAlign w:val="bottom"/>
          </w:tcPr>
          <w:p>
            <w:pPr>
              <w:ind w:left="1820"/>
              <w:spacing w:after="0"/>
              <w:rPr>
                <w:sz w:val="20"/>
                <w:szCs w:val="20"/>
                <w:color w:val="auto"/>
              </w:rPr>
            </w:pPr>
            <w:r>
              <w:rPr>
                <w:rFonts w:ascii="Times New Roman" w:cs="Times New Roman" w:eastAsia="Times New Roman" w:hAnsi="Times New Roman"/>
                <w:sz w:val="19"/>
                <w:szCs w:val="19"/>
                <w:color w:val="auto"/>
              </w:rPr>
              <w:t>10.18</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Subsidiaries...................................................................................................................</w:t>
            </w:r>
          </w:p>
        </w:tc>
        <w:tc>
          <w:tcPr>
            <w:tcW w:w="2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EE2724"/>
                <w:strike w:val="1"/>
                <w:w w:val="73"/>
              </w:rPr>
              <w:t>94</w:t>
            </w:r>
          </w:p>
        </w:tc>
        <w:tc>
          <w:tcPr>
            <w:tcW w:w="200" w:type="dxa"/>
            <w:vAlign w:val="bottom"/>
            <w:tcBorders>
              <w:bottom w:val="single" w:sz="8" w:color="0E32E1"/>
            </w:tcBorders>
            <w:gridSpan w:val="6"/>
          </w:tcPr>
          <w:p>
            <w:pPr>
              <w:jc w:val="right"/>
              <w:spacing w:after="0"/>
              <w:rPr>
                <w:sz w:val="20"/>
                <w:szCs w:val="20"/>
                <w:color w:val="auto"/>
              </w:rPr>
            </w:pPr>
            <w:r>
              <w:rPr>
                <w:rFonts w:ascii="Times New Roman" w:cs="Times New Roman" w:eastAsia="Times New Roman" w:hAnsi="Times New Roman"/>
                <w:sz w:val="19"/>
                <w:szCs w:val="19"/>
                <w:color w:val="0E32E1"/>
                <w:w w:val="94"/>
              </w:rPr>
              <w:t>97</w:t>
            </w:r>
          </w:p>
        </w:tc>
        <w:tc>
          <w:tcPr>
            <w:tcW w:w="20" w:type="dxa"/>
            <w:vAlign w:val="bottom"/>
            <w:tcBorders>
              <w:bottom w:val="single" w:sz="8" w:color="0E32E1"/>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00" w:type="dxa"/>
            <w:vAlign w:val="bottom"/>
          </w:tcPr>
          <w:p>
            <w:pPr>
              <w:jc w:val="center"/>
              <w:ind w:left="1584"/>
              <w:spacing w:after="0" w:line="205" w:lineRule="exact"/>
              <w:rPr>
                <w:sz w:val="20"/>
                <w:szCs w:val="20"/>
                <w:color w:val="auto"/>
              </w:rPr>
            </w:pPr>
            <w:r>
              <w:rPr>
                <w:rFonts w:ascii="Times New Roman" w:cs="Times New Roman" w:eastAsia="Times New Roman" w:hAnsi="Times New Roman"/>
                <w:sz w:val="19"/>
                <w:szCs w:val="19"/>
                <w:color w:val="auto"/>
              </w:rPr>
              <w:t>10.19</w:t>
            </w:r>
          </w:p>
        </w:tc>
        <w:tc>
          <w:tcPr>
            <w:tcW w:w="514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Sanctions; Anti-Corruption Laws.................................................................................</w:t>
            </w:r>
          </w:p>
        </w:tc>
        <w:tc>
          <w:tcPr>
            <w:tcW w:w="22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19"/>
                <w:szCs w:val="19"/>
                <w:color w:val="EE2724"/>
                <w:strike w:val="1"/>
                <w:w w:val="73"/>
              </w:rPr>
              <w:t>94</w:t>
            </w:r>
          </w:p>
        </w:tc>
        <w:tc>
          <w:tcPr>
            <w:tcW w:w="200" w:type="dxa"/>
            <w:vAlign w:val="bottom"/>
            <w:tcBorders>
              <w:bottom w:val="single" w:sz="8" w:color="0E32E1"/>
            </w:tcBorders>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0E32E1"/>
                <w:w w:val="94"/>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8"/>
        </w:trPr>
        <w:tc>
          <w:tcPr>
            <w:tcW w:w="7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SECTION11FINANCIALCOVENANTS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rPr>
              <w:t>95</w:t>
            </w:r>
          </w:p>
        </w:tc>
        <w:tc>
          <w:tcPr>
            <w:tcW w:w="220" w:type="dxa"/>
            <w:vAlign w:val="bottom"/>
            <w:tcBorders>
              <w:bottom w:val="single" w:sz="8" w:color="0E32E1"/>
            </w:tcBorders>
            <w:gridSpan w:val="3"/>
          </w:tcPr>
          <w:p>
            <w:pPr>
              <w:jc w:val="right"/>
              <w:ind w:right="20"/>
              <w:spacing w:after="0"/>
              <w:rPr>
                <w:sz w:val="20"/>
                <w:szCs w:val="20"/>
                <w:color w:val="auto"/>
              </w:rPr>
            </w:pPr>
            <w:r>
              <w:rPr>
                <w:rFonts w:ascii="Times New Roman" w:cs="Times New Roman" w:eastAsia="Times New Roman" w:hAnsi="Times New Roman"/>
                <w:sz w:val="19"/>
                <w:szCs w:val="19"/>
                <w:color w:val="0E32E1"/>
                <w:w w:val="94"/>
              </w:rPr>
              <w:t>97</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00" w:type="dxa"/>
            <w:vAlign w:val="bottom"/>
          </w:tcPr>
          <w:p>
            <w:pPr>
              <w:jc w:val="center"/>
              <w:ind w:left="1604"/>
              <w:spacing w:after="0" w:line="205" w:lineRule="exact"/>
              <w:rPr>
                <w:sz w:val="20"/>
                <w:szCs w:val="20"/>
                <w:color w:val="auto"/>
              </w:rPr>
            </w:pPr>
            <w:r>
              <w:rPr>
                <w:rFonts w:ascii="Times New Roman" w:cs="Times New Roman" w:eastAsia="Times New Roman" w:hAnsi="Times New Roman"/>
                <w:sz w:val="19"/>
                <w:szCs w:val="19"/>
                <w:color w:val="auto"/>
              </w:rPr>
              <w:t>11.1</w:t>
            </w:r>
          </w:p>
        </w:tc>
        <w:tc>
          <w:tcPr>
            <w:tcW w:w="514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w w:val="80"/>
              </w:rPr>
              <w:t>Maximum Leverage Ratio............................................................................................</w:t>
            </w:r>
          </w:p>
        </w:tc>
        <w:tc>
          <w:tcPr>
            <w:tcW w:w="22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95</w:t>
            </w:r>
          </w:p>
        </w:tc>
        <w:tc>
          <w:tcPr>
            <w:tcW w:w="140" w:type="dxa"/>
            <w:vAlign w:val="bottom"/>
            <w:tcBorders>
              <w:bottom w:val="single" w:sz="8" w:color="0E32E1"/>
            </w:tcBorders>
            <w:gridSpan w:val="3"/>
          </w:tcPr>
          <w:p>
            <w:pPr>
              <w:jc w:val="right"/>
              <w:spacing w:after="0"/>
              <w:rPr>
                <w:sz w:val="20"/>
                <w:szCs w:val="20"/>
                <w:color w:val="auto"/>
              </w:rPr>
            </w:pPr>
            <w:r>
              <w:rPr>
                <w:rFonts w:ascii="Times New Roman" w:cs="Times New Roman" w:eastAsia="Times New Roman" w:hAnsi="Times New Roman"/>
                <w:sz w:val="17"/>
                <w:szCs w:val="17"/>
                <w:color w:val="0E32E1"/>
                <w:w w:val="70"/>
              </w:rPr>
              <w:t>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11.2</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Interest Coverage Ratio.................................................................................................</w:t>
            </w:r>
          </w:p>
        </w:tc>
        <w:tc>
          <w:tcPr>
            <w:tcW w:w="2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9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rPr>
              <w:t>95</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97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0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11.3</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0"/>
              </w:rPr>
              <w:t>Senior Secured Leverage Ratio.....................................................................................</w:t>
            </w:r>
          </w:p>
        </w:tc>
        <w:tc>
          <w:tcPr>
            <w:tcW w:w="2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9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w w:val="94"/>
              </w:rPr>
              <w:t>95</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97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24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w w:val="76"/>
              </w:rPr>
              <w:t>SECTION 12 DEFAULT</w:t>
            </w:r>
            <w:r>
              <w:rPr>
                <w:rFonts w:ascii="Times New Roman" w:cs="Times New Roman" w:eastAsia="Times New Roman" w:hAnsi="Times New Roman"/>
                <w:sz w:val="8"/>
                <w:szCs w:val="8"/>
                <w:color w:val="auto"/>
                <w:w w:val="76"/>
              </w:rPr>
              <w:t>................................................................................................................</w:t>
            </w:r>
          </w:p>
        </w:tc>
        <w:tc>
          <w:tcPr>
            <w:tcW w:w="51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rPr>
              <w:t>95</w:t>
            </w:r>
          </w:p>
        </w:tc>
        <w:tc>
          <w:tcPr>
            <w:tcW w:w="20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9"/>
                <w:szCs w:val="19"/>
                <w:color w:val="0E32E1"/>
                <w:w w:val="94"/>
              </w:rPr>
              <w:t>97</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400" w:type="dxa"/>
            <w:vAlign w:val="bottom"/>
          </w:tcPr>
          <w:p>
            <w:pPr>
              <w:ind w:left="1880"/>
              <w:spacing w:after="0"/>
              <w:rPr>
                <w:sz w:val="20"/>
                <w:szCs w:val="20"/>
                <w:color w:val="auto"/>
              </w:rPr>
            </w:pPr>
            <w:r>
              <w:rPr>
                <w:rFonts w:ascii="Times New Roman" w:cs="Times New Roman" w:eastAsia="Times New Roman" w:hAnsi="Times New Roman"/>
                <w:sz w:val="19"/>
                <w:szCs w:val="19"/>
                <w:color w:val="auto"/>
              </w:rPr>
              <w:t>12.1</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Payment of Obligation..................................................................................................</w:t>
            </w:r>
          </w:p>
        </w:tc>
        <w:tc>
          <w:tcPr>
            <w:tcW w:w="1400" w:type="dxa"/>
            <w:vAlign w:val="bottom"/>
            <w:gridSpan w:val="6"/>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w w:val="94"/>
              </w:rPr>
              <w:t>95</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97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1860"/>
              <w:spacing w:after="0" w:line="205" w:lineRule="exact"/>
              <w:rPr>
                <w:sz w:val="20"/>
                <w:szCs w:val="20"/>
                <w:color w:val="auto"/>
              </w:rPr>
            </w:pPr>
            <w:r>
              <w:rPr>
                <w:rFonts w:ascii="Times New Roman" w:cs="Times New Roman" w:eastAsia="Times New Roman" w:hAnsi="Times New Roman"/>
                <w:sz w:val="19"/>
                <w:szCs w:val="19"/>
                <w:color w:val="auto"/>
              </w:rPr>
              <w:t>12.2</w:t>
            </w:r>
          </w:p>
        </w:tc>
        <w:tc>
          <w:tcPr>
            <w:tcW w:w="514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rPr>
              <w:t>Covenants......................................................................................................................</w:t>
            </w:r>
          </w:p>
        </w:tc>
        <w:tc>
          <w:tcPr>
            <w:tcW w:w="140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95</w:t>
            </w:r>
          </w:p>
        </w:tc>
        <w:tc>
          <w:tcPr>
            <w:tcW w:w="160" w:type="dxa"/>
            <w:vAlign w:val="bottom"/>
            <w:tcBorders>
              <w:bottom w:val="single" w:sz="8" w:color="0E32E1"/>
            </w:tcBorders>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0E32E1"/>
                <w:w w:val="73"/>
              </w:rPr>
              <w:t>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12.3</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Debtor Relief.................................................................................................................</w:t>
            </w:r>
          </w:p>
        </w:tc>
        <w:tc>
          <w:tcPr>
            <w:tcW w:w="1400" w:type="dxa"/>
            <w:vAlign w:val="bottom"/>
            <w:gridSpan w:val="6"/>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rPr>
              <w:t>96</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98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00" w:type="dxa"/>
            <w:vAlign w:val="bottom"/>
          </w:tcPr>
          <w:p>
            <w:pPr>
              <w:jc w:val="center"/>
              <w:ind w:left="1604"/>
              <w:spacing w:after="0"/>
              <w:rPr>
                <w:sz w:val="20"/>
                <w:szCs w:val="20"/>
                <w:color w:val="auto"/>
              </w:rPr>
            </w:pPr>
            <w:r>
              <w:rPr>
                <w:rFonts w:ascii="Times New Roman" w:cs="Times New Roman" w:eastAsia="Times New Roman" w:hAnsi="Times New Roman"/>
                <w:sz w:val="19"/>
                <w:szCs w:val="19"/>
                <w:color w:val="auto"/>
              </w:rPr>
              <w:t>12.4</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Judgments and Attachments.........................................................................................</w:t>
            </w:r>
          </w:p>
        </w:tc>
        <w:tc>
          <w:tcPr>
            <w:tcW w:w="1400" w:type="dxa"/>
            <w:vAlign w:val="bottom"/>
            <w:gridSpan w:val="6"/>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EE2724"/>
                <w:strike w:val="1"/>
              </w:rPr>
              <w:t>96</w:t>
            </w:r>
          </w:p>
        </w:tc>
        <w:tc>
          <w:tcPr>
            <w:tcW w:w="140" w:type="dxa"/>
            <w:vAlign w:val="bottom"/>
            <w:tcBorders>
              <w:bottom w:val="single" w:sz="8" w:color="0E32E1"/>
            </w:tcBorders>
            <w:gridSpan w:val="3"/>
          </w:tcPr>
          <w:p>
            <w:pPr>
              <w:jc w:val="right"/>
              <w:spacing w:after="0"/>
              <w:rPr>
                <w:sz w:val="20"/>
                <w:szCs w:val="20"/>
                <w:color w:val="auto"/>
              </w:rPr>
            </w:pPr>
            <w:r>
              <w:rPr>
                <w:rFonts w:ascii="Times New Roman" w:cs="Times New Roman" w:eastAsia="Times New Roman" w:hAnsi="Times New Roman"/>
                <w:sz w:val="17"/>
                <w:szCs w:val="17"/>
                <w:color w:val="0E32E1"/>
                <w:w w:val="70"/>
              </w:rPr>
              <w:t>98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1860"/>
              <w:spacing w:after="0" w:line="205" w:lineRule="exact"/>
              <w:rPr>
                <w:sz w:val="20"/>
                <w:szCs w:val="20"/>
                <w:color w:val="auto"/>
              </w:rPr>
            </w:pPr>
            <w:r>
              <w:rPr>
                <w:rFonts w:ascii="Times New Roman" w:cs="Times New Roman" w:eastAsia="Times New Roman" w:hAnsi="Times New Roman"/>
                <w:sz w:val="19"/>
                <w:szCs w:val="19"/>
                <w:color w:val="auto"/>
              </w:rPr>
              <w:t>12.5</w:t>
            </w:r>
          </w:p>
        </w:tc>
        <w:tc>
          <w:tcPr>
            <w:tcW w:w="514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rPr>
              <w:t>Government Action.......................................................................................................</w:t>
            </w:r>
          </w:p>
        </w:tc>
        <w:tc>
          <w:tcPr>
            <w:tcW w:w="140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96</w:t>
            </w:r>
          </w:p>
        </w:tc>
        <w:tc>
          <w:tcPr>
            <w:tcW w:w="160" w:type="dxa"/>
            <w:vAlign w:val="bottom"/>
            <w:tcBorders>
              <w:bottom w:val="single" w:sz="8" w:color="0E32E1"/>
            </w:tcBorders>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0E32E1"/>
                <w:w w:val="73"/>
              </w:rPr>
              <w:t>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12.6</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Misrepresentation..........................................................................................................</w:t>
            </w:r>
          </w:p>
        </w:tc>
        <w:tc>
          <w:tcPr>
            <w:tcW w:w="1400" w:type="dxa"/>
            <w:vAlign w:val="bottom"/>
            <w:gridSpan w:val="6"/>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rPr>
              <w:t>96</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98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1860"/>
              <w:spacing w:after="0" w:line="205" w:lineRule="exact"/>
              <w:rPr>
                <w:sz w:val="20"/>
                <w:szCs w:val="20"/>
                <w:color w:val="auto"/>
              </w:rPr>
            </w:pPr>
            <w:r>
              <w:rPr>
                <w:rFonts w:ascii="Times New Roman" w:cs="Times New Roman" w:eastAsia="Times New Roman" w:hAnsi="Times New Roman"/>
                <w:sz w:val="19"/>
                <w:szCs w:val="19"/>
                <w:color w:val="auto"/>
              </w:rPr>
              <w:t>12.7</w:t>
            </w:r>
          </w:p>
        </w:tc>
        <w:tc>
          <w:tcPr>
            <w:tcW w:w="514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rPr>
              <w:t>Ownership.....................................................................................................................</w:t>
            </w:r>
          </w:p>
        </w:tc>
        <w:tc>
          <w:tcPr>
            <w:tcW w:w="140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w w:val="94"/>
              </w:rPr>
              <w:t>96</w:t>
            </w:r>
          </w:p>
        </w:tc>
        <w:tc>
          <w:tcPr>
            <w:tcW w:w="160" w:type="dxa"/>
            <w:vAlign w:val="bottom"/>
            <w:tcBorders>
              <w:bottom w:val="single" w:sz="8" w:color="0E32E1"/>
            </w:tcBorders>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0E32E1"/>
                <w:w w:val="73"/>
              </w:rPr>
              <w:t>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12.8  Default Under Other Agreements.................................................................................</w:t>
            </w:r>
          </w:p>
        </w:tc>
        <w:tc>
          <w:tcPr>
            <w:tcW w:w="1400" w:type="dxa"/>
            <w:vAlign w:val="bottom"/>
            <w:gridSpan w:val="6"/>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EE2724"/>
                <w:strike w:val="1"/>
                <w:w w:val="94"/>
              </w:rPr>
              <w:t>96</w:t>
            </w:r>
          </w:p>
        </w:tc>
        <w:tc>
          <w:tcPr>
            <w:tcW w:w="1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73"/>
              </w:rPr>
              <w:t>98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00" w:type="dxa"/>
            <w:vAlign w:val="bottom"/>
          </w:tcPr>
          <w:p>
            <w:pPr>
              <w:jc w:val="center"/>
              <w:ind w:left="1604"/>
              <w:spacing w:after="0"/>
              <w:rPr>
                <w:sz w:val="20"/>
                <w:szCs w:val="20"/>
                <w:color w:val="auto"/>
              </w:rPr>
            </w:pPr>
            <w:r>
              <w:rPr>
                <w:rFonts w:ascii="Times New Roman" w:cs="Times New Roman" w:eastAsia="Times New Roman" w:hAnsi="Times New Roman"/>
                <w:sz w:val="19"/>
                <w:szCs w:val="19"/>
                <w:color w:val="auto"/>
              </w:rPr>
              <w:t>12.9</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Subordinated Debt........................................................................................................</w:t>
            </w:r>
          </w:p>
        </w:tc>
        <w:tc>
          <w:tcPr>
            <w:tcW w:w="1400" w:type="dxa"/>
            <w:vAlign w:val="bottom"/>
            <w:gridSpan w:val="6"/>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EE2724"/>
                <w:strike w:val="1"/>
              </w:rPr>
              <w:t>96</w:t>
            </w:r>
          </w:p>
        </w:tc>
        <w:tc>
          <w:tcPr>
            <w:tcW w:w="140" w:type="dxa"/>
            <w:vAlign w:val="bottom"/>
            <w:tcBorders>
              <w:bottom w:val="single" w:sz="8" w:color="0E32E1"/>
            </w:tcBorders>
            <w:gridSpan w:val="3"/>
          </w:tcPr>
          <w:p>
            <w:pPr>
              <w:jc w:val="right"/>
              <w:spacing w:after="0"/>
              <w:rPr>
                <w:sz w:val="20"/>
                <w:szCs w:val="20"/>
                <w:color w:val="auto"/>
              </w:rPr>
            </w:pPr>
            <w:r>
              <w:rPr>
                <w:rFonts w:ascii="Times New Roman" w:cs="Times New Roman" w:eastAsia="Times New Roman" w:hAnsi="Times New Roman"/>
                <w:sz w:val="17"/>
                <w:szCs w:val="17"/>
                <w:color w:val="0E32E1"/>
                <w:w w:val="70"/>
              </w:rPr>
              <w:t>98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5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rPr>
              <w:t>12.10  Validity and Enforceability of Loan Papers..................................................................</w:t>
            </w:r>
          </w:p>
        </w:tc>
        <w:tc>
          <w:tcPr>
            <w:tcW w:w="140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19"/>
                <w:szCs w:val="19"/>
                <w:color w:val="EE2724"/>
                <w:strike w:val="1"/>
                <w:w w:val="73"/>
              </w:rPr>
              <w:t>97</w:t>
            </w:r>
          </w:p>
        </w:tc>
        <w:tc>
          <w:tcPr>
            <w:tcW w:w="200" w:type="dxa"/>
            <w:vAlign w:val="bottom"/>
            <w:tcBorders>
              <w:bottom w:val="single" w:sz="8" w:color="0E32E1"/>
            </w:tcBorders>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0E32E1"/>
                <w:w w:val="94"/>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0" w:type="dxa"/>
            <w:vAlign w:val="bottom"/>
          </w:tcPr>
          <w:p>
            <w:pPr>
              <w:ind w:left="1820"/>
              <w:spacing w:after="0"/>
              <w:rPr>
                <w:sz w:val="20"/>
                <w:szCs w:val="20"/>
                <w:color w:val="auto"/>
              </w:rPr>
            </w:pPr>
            <w:r>
              <w:rPr>
                <w:rFonts w:ascii="Times New Roman" w:cs="Times New Roman" w:eastAsia="Times New Roman" w:hAnsi="Times New Roman"/>
                <w:sz w:val="19"/>
                <w:szCs w:val="19"/>
                <w:color w:val="auto"/>
              </w:rPr>
              <w:t>12.11</w:t>
            </w:r>
          </w:p>
        </w:tc>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Employee Plans.............................................................................................................</w:t>
            </w:r>
          </w:p>
        </w:tc>
        <w:tc>
          <w:tcPr>
            <w:tcW w:w="1400" w:type="dxa"/>
            <w:vAlign w:val="bottom"/>
            <w:gridSpan w:val="6"/>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EE2724"/>
                <w:strike w:val="1"/>
                <w:w w:val="73"/>
              </w:rPr>
              <w:t>97</w:t>
            </w:r>
          </w:p>
        </w:tc>
        <w:tc>
          <w:tcPr>
            <w:tcW w:w="220" w:type="dxa"/>
            <w:vAlign w:val="bottom"/>
            <w:tcBorders>
              <w:bottom w:val="single" w:sz="8" w:color="0E32E1"/>
            </w:tcBorders>
            <w:gridSpan w:val="7"/>
          </w:tcPr>
          <w:p>
            <w:pPr>
              <w:ind w:left="20"/>
              <w:spacing w:after="0"/>
              <w:rPr>
                <w:sz w:val="20"/>
                <w:szCs w:val="20"/>
                <w:color w:val="auto"/>
              </w:rPr>
            </w:pPr>
            <w:r>
              <w:rPr>
                <w:rFonts w:ascii="Times New Roman" w:cs="Times New Roman" w:eastAsia="Times New Roman" w:hAnsi="Times New Roman"/>
                <w:sz w:val="19"/>
                <w:szCs w:val="19"/>
                <w:color w:val="0E32E1"/>
                <w:w w:val="94"/>
              </w:rPr>
              <w:t>99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0139"/>
          </w:cols>
          <w:pgMar w:left="320" w:top="1380" w:right="1440" w:bottom="1440" w:gutter="0" w:footer="0" w:header="0"/>
          <w:type w:val="continuous"/>
        </w:sectPr>
      </w:pPr>
    </w:p>
    <w:bookmarkStart w:id="111" w:name="page112"/>
    <w:bookmarkEnd w:id="111"/>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7480" w:type="dxa"/>
            <w:vAlign w:val="bottom"/>
            <w:gridSpan w:val="4"/>
            <w:vMerge w:val="restart"/>
          </w:tcPr>
          <w:p>
            <w:pPr>
              <w:spacing w:after="0"/>
              <w:rPr>
                <w:sz w:val="20"/>
                <w:szCs w:val="20"/>
                <w:color w:val="auto"/>
              </w:rPr>
            </w:pPr>
            <w:r>
              <w:rPr>
                <w:rFonts w:ascii="Times New Roman" w:cs="Times New Roman" w:eastAsia="Times New Roman" w:hAnsi="Times New Roman"/>
                <w:sz w:val="19"/>
                <w:szCs w:val="19"/>
                <w:b w:val="1"/>
                <w:bCs w:val="1"/>
                <w:color w:val="auto"/>
              </w:rPr>
              <w:t>SECTION 13  RIGHTS AND REMEDIES</w:t>
            </w:r>
            <w:r>
              <w:rPr>
                <w:rFonts w:ascii="Times New Roman" w:cs="Times New Roman" w:eastAsia="Times New Roman" w:hAnsi="Times New Roman"/>
                <w:sz w:val="19"/>
                <w:szCs w:val="19"/>
                <w:color w:val="auto"/>
              </w:rPr>
              <w:t>.................................................................................</w:t>
            </w: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EE2724"/>
                <w:strike w:val="1"/>
              </w:rPr>
              <w:t>97</w:t>
            </w:r>
          </w:p>
        </w:tc>
        <w:tc>
          <w:tcPr>
            <w:tcW w:w="960" w:type="dxa"/>
            <w:vAlign w:val="bottom"/>
            <w:gridSpan w:val="4"/>
            <w:vMerge w:val="restart"/>
          </w:tcPr>
          <w:p>
            <w:pPr>
              <w:jc w:val="right"/>
              <w:ind w:right="780"/>
              <w:spacing w:after="0"/>
              <w:rPr>
                <w:sz w:val="20"/>
                <w:szCs w:val="20"/>
                <w:color w:val="auto"/>
              </w:rPr>
            </w:pPr>
            <w:r>
              <w:rPr>
                <w:rFonts w:ascii="Times New Roman" w:cs="Times New Roman" w:eastAsia="Times New Roman" w:hAnsi="Times New Roman"/>
                <w:sz w:val="19"/>
                <w:szCs w:val="19"/>
                <w:color w:val="0E32E1"/>
                <w:w w:val="83"/>
              </w:rPr>
              <w:t>99</w:t>
            </w: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400" w:type="dxa"/>
            <w:vAlign w:val="bottom"/>
            <w:gridSpan w:val="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120" w:type="dxa"/>
            <w:vAlign w:val="bottom"/>
          </w:tcPr>
          <w:p>
            <w:pPr>
              <w:jc w:val="center"/>
              <w:ind w:left="403"/>
              <w:spacing w:after="0"/>
              <w:rPr>
                <w:sz w:val="20"/>
                <w:szCs w:val="20"/>
                <w:color w:val="auto"/>
              </w:rPr>
            </w:pPr>
            <w:r>
              <w:rPr>
                <w:rFonts w:ascii="Times New Roman" w:cs="Times New Roman" w:eastAsia="Times New Roman" w:hAnsi="Times New Roman"/>
                <w:sz w:val="19"/>
                <w:szCs w:val="19"/>
                <w:color w:val="auto"/>
              </w:rPr>
              <w:t>13.1</w:t>
            </w:r>
          </w:p>
        </w:tc>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7"/>
              </w:rPr>
              <w:t>Remedies Upon Default................................................................................................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0E32E1"/>
            </w:tcBorders>
          </w:tcPr>
          <w:p>
            <w:pPr>
              <w:spacing w:after="0"/>
              <w:rPr>
                <w:sz w:val="19"/>
                <w:szCs w:val="19"/>
                <w:color w:val="auto"/>
              </w:rPr>
            </w:pPr>
          </w:p>
        </w:tc>
        <w:tc>
          <w:tcPr>
            <w:tcW w:w="20" w:type="dxa"/>
            <w:vAlign w:val="bottom"/>
            <w:tcBorders>
              <w:top w:val="single" w:sz="8" w:color="0E32E1"/>
            </w:tcBorders>
          </w:tcPr>
          <w:p>
            <w:pPr>
              <w:spacing w:after="0"/>
              <w:rPr>
                <w:sz w:val="19"/>
                <w:szCs w:val="19"/>
                <w:color w:val="auto"/>
              </w:rPr>
            </w:pPr>
          </w:p>
        </w:tc>
        <w:tc>
          <w:tcPr>
            <w:tcW w:w="20" w:type="dxa"/>
            <w:vAlign w:val="bottom"/>
            <w:tcBorders>
              <w:top w:val="single" w:sz="8" w:color="0E32E1"/>
            </w:tcBorders>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EE2724"/>
                <w:strike w:val="1"/>
                <w:w w:val="83"/>
              </w:rPr>
              <w:t>97</w:t>
            </w:r>
          </w:p>
        </w:tc>
        <w:tc>
          <w:tcPr>
            <w:tcW w:w="20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9"/>
                <w:szCs w:val="19"/>
                <w:color w:val="0E32E1"/>
                <w:w w:val="94"/>
              </w:rPr>
              <w:t>99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1120" w:type="dxa"/>
            <w:vAlign w:val="bottom"/>
          </w:tcPr>
          <w:p>
            <w:pPr>
              <w:jc w:val="center"/>
              <w:ind w:left="403"/>
              <w:spacing w:after="0" w:line="205" w:lineRule="exact"/>
              <w:rPr>
                <w:sz w:val="20"/>
                <w:szCs w:val="20"/>
                <w:color w:val="auto"/>
              </w:rPr>
            </w:pPr>
            <w:r>
              <w:rPr>
                <w:rFonts w:ascii="Times New Roman" w:cs="Times New Roman" w:eastAsia="Times New Roman" w:hAnsi="Times New Roman"/>
                <w:sz w:val="19"/>
                <w:szCs w:val="19"/>
                <w:color w:val="auto"/>
              </w:rPr>
              <w:t>13.2</w:t>
            </w:r>
          </w:p>
        </w:tc>
        <w:tc>
          <w:tcPr>
            <w:tcW w:w="5060" w:type="dxa"/>
            <w:vAlign w:val="bottom"/>
          </w:tcPr>
          <w:p>
            <w:pPr>
              <w:ind w:left="60"/>
              <w:spacing w:after="0" w:line="205" w:lineRule="exact"/>
              <w:rPr>
                <w:sz w:val="20"/>
                <w:szCs w:val="20"/>
                <w:color w:val="auto"/>
              </w:rPr>
            </w:pPr>
            <w:r>
              <w:rPr>
                <w:rFonts w:ascii="Times New Roman" w:cs="Times New Roman" w:eastAsia="Times New Roman" w:hAnsi="Times New Roman"/>
                <w:sz w:val="19"/>
                <w:szCs w:val="19"/>
                <w:color w:val="auto"/>
                <w:w w:val="78"/>
              </w:rPr>
              <w:t>Company Waivers.......................................................................................................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w w:val="94"/>
              </w:rPr>
              <w:t>97</w:t>
            </w:r>
          </w:p>
        </w:tc>
        <w:tc>
          <w:tcPr>
            <w:tcW w:w="2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91"/>
              </w:rPr>
              <w:t>100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6180" w:type="dxa"/>
            <w:vAlign w:val="bottom"/>
            <w:gridSpan w:val="2"/>
          </w:tcPr>
          <w:p>
            <w:pPr>
              <w:ind w:left="660"/>
              <w:spacing w:after="0"/>
              <w:rPr>
                <w:sz w:val="20"/>
                <w:szCs w:val="20"/>
                <w:color w:val="auto"/>
              </w:rPr>
            </w:pPr>
            <w:r>
              <w:rPr>
                <w:rFonts w:ascii="Times New Roman" w:cs="Times New Roman" w:eastAsia="Times New Roman" w:hAnsi="Times New Roman"/>
                <w:sz w:val="19"/>
                <w:szCs w:val="19"/>
                <w:color w:val="auto"/>
                <w:w w:val="81"/>
              </w:rPr>
              <w:t>13.3  Performance by Administrative Agent.......................................................................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EE2724"/>
                <w:strike w:val="1"/>
                <w:w w:val="94"/>
              </w:rPr>
              <w:t>98</w:t>
            </w:r>
          </w:p>
        </w:tc>
        <w:tc>
          <w:tcPr>
            <w:tcW w:w="2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91"/>
              </w:rPr>
              <w:t>100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1120" w:type="dxa"/>
            <w:vAlign w:val="bottom"/>
          </w:tcPr>
          <w:p>
            <w:pPr>
              <w:jc w:val="center"/>
              <w:ind w:left="443"/>
              <w:spacing w:after="0" w:line="205" w:lineRule="exact"/>
              <w:rPr>
                <w:sz w:val="20"/>
                <w:szCs w:val="20"/>
                <w:color w:val="auto"/>
              </w:rPr>
            </w:pPr>
            <w:r>
              <w:rPr>
                <w:rFonts w:ascii="Times New Roman" w:cs="Times New Roman" w:eastAsia="Times New Roman" w:hAnsi="Times New Roman"/>
                <w:sz w:val="19"/>
                <w:szCs w:val="19"/>
                <w:color w:val="auto"/>
              </w:rPr>
              <w:t>13.4</w:t>
            </w:r>
          </w:p>
        </w:tc>
        <w:tc>
          <w:tcPr>
            <w:tcW w:w="5060" w:type="dxa"/>
            <w:vAlign w:val="bottom"/>
          </w:tcPr>
          <w:p>
            <w:pPr>
              <w:ind w:left="60"/>
              <w:spacing w:after="0" w:line="205" w:lineRule="exact"/>
              <w:rPr>
                <w:sz w:val="20"/>
                <w:szCs w:val="20"/>
                <w:color w:val="auto"/>
              </w:rPr>
            </w:pPr>
            <w:r>
              <w:rPr>
                <w:rFonts w:ascii="Times New Roman" w:cs="Times New Roman" w:eastAsia="Times New Roman" w:hAnsi="Times New Roman"/>
                <w:sz w:val="19"/>
                <w:szCs w:val="19"/>
                <w:color w:val="auto"/>
                <w:w w:val="79"/>
              </w:rPr>
              <w:t>Not in Control.............................................................................................................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w w:val="94"/>
              </w:rPr>
              <w:t>98</w:t>
            </w:r>
          </w:p>
        </w:tc>
        <w:tc>
          <w:tcPr>
            <w:tcW w:w="2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91"/>
              </w:rPr>
              <w:t>100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120" w:type="dxa"/>
            <w:vAlign w:val="bottom"/>
          </w:tcPr>
          <w:p>
            <w:pPr>
              <w:jc w:val="center"/>
              <w:ind w:left="443"/>
              <w:spacing w:after="0"/>
              <w:rPr>
                <w:sz w:val="20"/>
                <w:szCs w:val="20"/>
                <w:color w:val="auto"/>
              </w:rPr>
            </w:pPr>
            <w:r>
              <w:rPr>
                <w:rFonts w:ascii="Times New Roman" w:cs="Times New Roman" w:eastAsia="Times New Roman" w:hAnsi="Times New Roman"/>
                <w:sz w:val="19"/>
                <w:szCs w:val="19"/>
                <w:color w:val="auto"/>
              </w:rPr>
              <w:t>13.5</w:t>
            </w:r>
          </w:p>
        </w:tc>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9"/>
              </w:rPr>
              <w:t>Course of Dealing.......................................................................................................</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EE2724"/>
                <w:strike w:val="1"/>
                <w:w w:val="94"/>
              </w:rPr>
              <w:t>98</w:t>
            </w:r>
          </w:p>
        </w:tc>
        <w:tc>
          <w:tcPr>
            <w:tcW w:w="2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91"/>
              </w:rPr>
              <w:t>100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12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13.6</w:t>
            </w:r>
          </w:p>
        </w:tc>
        <w:tc>
          <w:tcPr>
            <w:tcW w:w="5060" w:type="dxa"/>
            <w:vAlign w:val="bottom"/>
          </w:tcPr>
          <w:p>
            <w:pPr>
              <w:ind w:left="80"/>
              <w:spacing w:after="0"/>
              <w:rPr>
                <w:sz w:val="20"/>
                <w:szCs w:val="20"/>
                <w:color w:val="auto"/>
              </w:rPr>
            </w:pPr>
            <w:r>
              <w:rPr>
                <w:rFonts w:ascii="Times New Roman" w:cs="Times New Roman" w:eastAsia="Times New Roman" w:hAnsi="Times New Roman"/>
                <w:sz w:val="19"/>
                <w:szCs w:val="19"/>
                <w:color w:val="auto"/>
                <w:w w:val="79"/>
              </w:rPr>
              <w:t>Cumulative Rights......................................................................................................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EE2724"/>
                <w:strike w:val="1"/>
                <w:w w:val="94"/>
              </w:rPr>
              <w:t>98</w:t>
            </w:r>
          </w:p>
        </w:tc>
        <w:tc>
          <w:tcPr>
            <w:tcW w:w="280" w:type="dxa"/>
            <w:vAlign w:val="bottom"/>
            <w:tcBorders>
              <w:bottom w:val="single" w:sz="8" w:color="0E32E1"/>
            </w:tcBorders>
            <w:gridSpan w:val="5"/>
          </w:tcPr>
          <w:p>
            <w:pPr>
              <w:jc w:val="right"/>
              <w:ind w:right="20"/>
              <w:spacing w:after="0"/>
              <w:rPr>
                <w:sz w:val="20"/>
                <w:szCs w:val="20"/>
                <w:color w:val="auto"/>
              </w:rPr>
            </w:pPr>
            <w:r>
              <w:rPr>
                <w:rFonts w:ascii="Times New Roman" w:cs="Times New Roman" w:eastAsia="Times New Roman" w:hAnsi="Times New Roman"/>
                <w:sz w:val="19"/>
                <w:szCs w:val="19"/>
                <w:color w:val="0E32E1"/>
                <w:w w:val="84"/>
              </w:rPr>
              <w:t>100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1120" w:type="dxa"/>
            <w:vAlign w:val="bottom"/>
          </w:tcPr>
          <w:p>
            <w:pPr>
              <w:jc w:val="center"/>
              <w:ind w:left="403"/>
              <w:spacing w:after="0" w:line="205" w:lineRule="exact"/>
              <w:rPr>
                <w:sz w:val="20"/>
                <w:szCs w:val="20"/>
                <w:color w:val="auto"/>
              </w:rPr>
            </w:pPr>
            <w:r>
              <w:rPr>
                <w:rFonts w:ascii="Times New Roman" w:cs="Times New Roman" w:eastAsia="Times New Roman" w:hAnsi="Times New Roman"/>
                <w:sz w:val="19"/>
                <w:szCs w:val="19"/>
                <w:color w:val="auto"/>
              </w:rPr>
              <w:t>13.7</w:t>
            </w:r>
          </w:p>
        </w:tc>
        <w:tc>
          <w:tcPr>
            <w:tcW w:w="5060" w:type="dxa"/>
            <w:vAlign w:val="bottom"/>
          </w:tcPr>
          <w:p>
            <w:pPr>
              <w:ind w:left="60"/>
              <w:spacing w:after="0" w:line="205" w:lineRule="exact"/>
              <w:rPr>
                <w:sz w:val="20"/>
                <w:szCs w:val="20"/>
                <w:color w:val="auto"/>
              </w:rPr>
            </w:pPr>
            <w:r>
              <w:rPr>
                <w:rFonts w:ascii="Times New Roman" w:cs="Times New Roman" w:eastAsia="Times New Roman" w:hAnsi="Times New Roman"/>
                <w:sz w:val="19"/>
                <w:szCs w:val="19"/>
                <w:color w:val="auto"/>
                <w:w w:val="79"/>
              </w:rPr>
              <w:t>Enforcement................................................................................................................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98</w:t>
            </w:r>
          </w:p>
        </w:tc>
        <w:tc>
          <w:tcPr>
            <w:tcW w:w="2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91"/>
              </w:rPr>
              <w:t>101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120" w:type="dxa"/>
            <w:vAlign w:val="bottom"/>
          </w:tcPr>
          <w:p>
            <w:pPr>
              <w:jc w:val="center"/>
              <w:ind w:left="443"/>
              <w:spacing w:after="0"/>
              <w:rPr>
                <w:sz w:val="20"/>
                <w:szCs w:val="20"/>
                <w:color w:val="auto"/>
              </w:rPr>
            </w:pPr>
            <w:r>
              <w:rPr>
                <w:rFonts w:ascii="Times New Roman" w:cs="Times New Roman" w:eastAsia="Times New Roman" w:hAnsi="Times New Roman"/>
                <w:sz w:val="19"/>
                <w:szCs w:val="19"/>
                <w:color w:val="auto"/>
              </w:rPr>
              <w:t>13.8</w:t>
            </w:r>
          </w:p>
        </w:tc>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9"/>
              </w:rPr>
              <w:t>Application of Proceeds.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EE2724"/>
                <w:strike w:val="1"/>
                <w:w w:val="94"/>
              </w:rPr>
              <w:t>99</w:t>
            </w:r>
          </w:p>
        </w:tc>
        <w:tc>
          <w:tcPr>
            <w:tcW w:w="2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91"/>
              </w:rPr>
              <w:t>101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180" w:type="dxa"/>
            <w:vAlign w:val="bottom"/>
            <w:gridSpan w:val="2"/>
          </w:tcPr>
          <w:p>
            <w:pPr>
              <w:ind w:left="660"/>
              <w:spacing w:after="0" w:line="205" w:lineRule="exact"/>
              <w:rPr>
                <w:sz w:val="20"/>
                <w:szCs w:val="20"/>
                <w:color w:val="auto"/>
              </w:rPr>
            </w:pPr>
            <w:r>
              <w:rPr>
                <w:rFonts w:ascii="Times New Roman" w:cs="Times New Roman" w:eastAsia="Times New Roman" w:hAnsi="Times New Roman"/>
                <w:sz w:val="19"/>
                <w:szCs w:val="19"/>
                <w:color w:val="auto"/>
                <w:w w:val="81"/>
              </w:rPr>
              <w:t>13.9  Diminution in Value of Collateral..............................................................................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280" w:type="dxa"/>
            <w:vAlign w:val="bottom"/>
            <w:gridSpan w:val="3"/>
          </w:tcPr>
          <w:p>
            <w:pPr>
              <w:jc w:val="center"/>
              <w:ind w:left="3"/>
              <w:spacing w:after="0" w:line="205" w:lineRule="exact"/>
              <w:rPr>
                <w:sz w:val="20"/>
                <w:szCs w:val="20"/>
                <w:color w:val="auto"/>
              </w:rPr>
            </w:pPr>
            <w:r>
              <w:rPr>
                <w:rFonts w:ascii="Times New Roman" w:cs="Times New Roman" w:eastAsia="Times New Roman" w:hAnsi="Times New Roman"/>
                <w:sz w:val="19"/>
                <w:szCs w:val="19"/>
                <w:color w:val="EE2724"/>
                <w:strike w:val="1"/>
                <w:w w:val="94"/>
              </w:rPr>
              <w:t>99</w:t>
            </w:r>
          </w:p>
        </w:tc>
        <w:tc>
          <w:tcPr>
            <w:tcW w:w="300" w:type="dxa"/>
            <w:vAlign w:val="bottom"/>
            <w:tcBorders>
              <w:bottom w:val="single" w:sz="8" w:color="0E32E1"/>
            </w:tcBorders>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0E32E1"/>
                <w:w w:val="98"/>
              </w:rPr>
              <w:t>101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120" w:type="dxa"/>
            <w:vAlign w:val="bottom"/>
          </w:tcPr>
          <w:p>
            <w:pPr>
              <w:jc w:val="center"/>
              <w:ind w:left="423"/>
              <w:spacing w:after="0"/>
              <w:rPr>
                <w:sz w:val="20"/>
                <w:szCs w:val="20"/>
                <w:color w:val="auto"/>
              </w:rPr>
            </w:pPr>
            <w:r>
              <w:rPr>
                <w:rFonts w:ascii="Times New Roman" w:cs="Times New Roman" w:eastAsia="Times New Roman" w:hAnsi="Times New Roman"/>
                <w:sz w:val="19"/>
                <w:szCs w:val="19"/>
                <w:color w:val="auto"/>
              </w:rPr>
              <w:t>13.10</w:t>
            </w:r>
          </w:p>
        </w:tc>
        <w:tc>
          <w:tcPr>
            <w:tcW w:w="506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78"/>
              </w:rPr>
              <w:t>Certain Proceedings.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EE2724"/>
                <w:strike w:val="1"/>
              </w:rPr>
              <w:t>99</w:t>
            </w:r>
          </w:p>
        </w:tc>
        <w:tc>
          <w:tcPr>
            <w:tcW w:w="28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9"/>
                <w:szCs w:val="19"/>
                <w:color w:val="0E32E1"/>
                <w:w w:val="91"/>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SECTION 14</w:t>
            </w:r>
          </w:p>
        </w:tc>
        <w:tc>
          <w:tcPr>
            <w:tcW w:w="61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ADMINISTRATIVEAGENT</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EE2724"/>
                <w:strike w:val="1"/>
                <w:w w:val="94"/>
              </w:rPr>
              <w:t>99</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0E32E1"/>
                <w:w w:val="91"/>
              </w:rPr>
              <w:t>101</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1120" w:type="dxa"/>
            <w:vAlign w:val="bottom"/>
          </w:tcPr>
          <w:p>
            <w:pPr>
              <w:jc w:val="center"/>
              <w:ind w:left="443"/>
              <w:spacing w:after="0" w:line="205" w:lineRule="exact"/>
              <w:rPr>
                <w:sz w:val="20"/>
                <w:szCs w:val="20"/>
                <w:color w:val="auto"/>
              </w:rPr>
            </w:pPr>
            <w:r>
              <w:rPr>
                <w:rFonts w:ascii="Times New Roman" w:cs="Times New Roman" w:eastAsia="Times New Roman" w:hAnsi="Times New Roman"/>
                <w:sz w:val="19"/>
                <w:szCs w:val="19"/>
                <w:color w:val="auto"/>
              </w:rPr>
              <w:t>14.1</w:t>
            </w:r>
          </w:p>
        </w:tc>
        <w:tc>
          <w:tcPr>
            <w:tcW w:w="5060" w:type="dxa"/>
            <w:vAlign w:val="bottom"/>
          </w:tcPr>
          <w:p>
            <w:pPr>
              <w:ind w:left="60"/>
              <w:spacing w:after="0" w:line="205" w:lineRule="exact"/>
              <w:rPr>
                <w:sz w:val="20"/>
                <w:szCs w:val="20"/>
                <w:color w:val="auto"/>
              </w:rPr>
            </w:pPr>
            <w:r>
              <w:rPr>
                <w:rFonts w:ascii="Times New Roman" w:cs="Times New Roman" w:eastAsia="Times New Roman" w:hAnsi="Times New Roman"/>
                <w:sz w:val="19"/>
                <w:szCs w:val="19"/>
                <w:color w:val="auto"/>
                <w:w w:val="79"/>
              </w:rPr>
              <w:t>Appointment and Authority........................................................................................</w:t>
            </w:r>
          </w:p>
        </w:tc>
        <w:tc>
          <w:tcPr>
            <w:tcW w:w="280" w:type="dxa"/>
            <w:vAlign w:val="bottom"/>
            <w:gridSpan w:val="2"/>
          </w:tcPr>
          <w:p>
            <w:pPr>
              <w:spacing w:after="0"/>
              <w:rPr>
                <w:sz w:val="17"/>
                <w:szCs w:val="17"/>
                <w:color w:val="auto"/>
              </w:rPr>
            </w:pPr>
          </w:p>
        </w:tc>
        <w:tc>
          <w:tcPr>
            <w:tcW w:w="20" w:type="dxa"/>
            <w:vAlign w:val="bottom"/>
            <w:tcBorders>
              <w:top w:val="single" w:sz="8" w:color="0E32E1"/>
            </w:tcBorders>
          </w:tcPr>
          <w:p>
            <w:pPr>
              <w:spacing w:after="0"/>
              <w:rPr>
                <w:sz w:val="17"/>
                <w:szCs w:val="17"/>
                <w:color w:val="auto"/>
              </w:rPr>
            </w:pPr>
          </w:p>
        </w:tc>
        <w:tc>
          <w:tcPr>
            <w:tcW w:w="260" w:type="dxa"/>
            <w:vAlign w:val="bottom"/>
            <w:tcBorders>
              <w:top w:val="single" w:sz="8" w:color="0E32E1"/>
            </w:tcBorders>
            <w:gridSpan w:val="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w w:val="94"/>
              </w:rPr>
              <w:t>99</w:t>
            </w:r>
          </w:p>
        </w:tc>
        <w:tc>
          <w:tcPr>
            <w:tcW w:w="2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91"/>
              </w:rPr>
              <w:t>101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120" w:type="dxa"/>
            <w:vAlign w:val="bottom"/>
          </w:tcPr>
          <w:p>
            <w:pPr>
              <w:jc w:val="center"/>
              <w:ind w:left="443"/>
              <w:spacing w:after="0"/>
              <w:rPr>
                <w:sz w:val="20"/>
                <w:szCs w:val="20"/>
                <w:color w:val="auto"/>
              </w:rPr>
            </w:pPr>
            <w:r>
              <w:rPr>
                <w:rFonts w:ascii="Times New Roman" w:cs="Times New Roman" w:eastAsia="Times New Roman" w:hAnsi="Times New Roman"/>
                <w:sz w:val="19"/>
                <w:szCs w:val="19"/>
                <w:color w:val="auto"/>
              </w:rPr>
              <w:t>14.2</w:t>
            </w:r>
          </w:p>
        </w:tc>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9"/>
              </w:rPr>
              <w:t>Delegation of Duties...................................................................................................</w:t>
            </w:r>
          </w:p>
        </w:tc>
        <w:tc>
          <w:tcPr>
            <w:tcW w:w="300" w:type="dxa"/>
            <w:vAlign w:val="bottom"/>
            <w:gridSpan w:val="3"/>
          </w:tcPr>
          <w:p>
            <w:pPr>
              <w:spacing w:after="0"/>
              <w:rPr>
                <w:sz w:val="19"/>
                <w:szCs w:val="19"/>
                <w:color w:val="auto"/>
              </w:rPr>
            </w:pPr>
          </w:p>
        </w:tc>
        <w:tc>
          <w:tcPr>
            <w:tcW w:w="280" w:type="dxa"/>
            <w:vAlign w:val="bottom"/>
            <w:gridSpan w:val="3"/>
          </w:tcPr>
          <w:p>
            <w:pPr>
              <w:spacing w:after="0"/>
              <w:rPr>
                <w:sz w:val="19"/>
                <w:szCs w:val="19"/>
                <w:color w:val="auto"/>
              </w:rPr>
            </w:pPr>
          </w:p>
        </w:tc>
        <w:tc>
          <w:tcPr>
            <w:tcW w:w="8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EE2724"/>
                <w:strike w:val="1"/>
                <w:w w:val="94"/>
              </w:rPr>
              <w:t>99</w:t>
            </w:r>
          </w:p>
        </w:tc>
        <w:tc>
          <w:tcPr>
            <w:tcW w:w="2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91"/>
              </w:rPr>
              <w:t>102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180" w:type="dxa"/>
            <w:vAlign w:val="bottom"/>
            <w:gridSpan w:val="2"/>
          </w:tcPr>
          <w:p>
            <w:pPr>
              <w:ind w:left="640"/>
              <w:spacing w:after="0" w:line="205" w:lineRule="exact"/>
              <w:rPr>
                <w:sz w:val="20"/>
                <w:szCs w:val="20"/>
                <w:color w:val="auto"/>
              </w:rPr>
            </w:pPr>
            <w:r>
              <w:rPr>
                <w:rFonts w:ascii="Times New Roman" w:cs="Times New Roman" w:eastAsia="Times New Roman" w:hAnsi="Times New Roman"/>
                <w:sz w:val="19"/>
                <w:szCs w:val="19"/>
                <w:color w:val="auto"/>
                <w:w w:val="83"/>
              </w:rPr>
              <w:t>14.3  Rights as a Lender.....................................................................................................</w:t>
            </w:r>
          </w:p>
        </w:tc>
        <w:tc>
          <w:tcPr>
            <w:tcW w:w="300" w:type="dxa"/>
            <w:vAlign w:val="bottom"/>
            <w:gridSpan w:val="3"/>
          </w:tcPr>
          <w:p>
            <w:pPr>
              <w:spacing w:after="0"/>
              <w:rPr>
                <w:sz w:val="17"/>
                <w:szCs w:val="17"/>
                <w:color w:val="auto"/>
              </w:rPr>
            </w:pPr>
          </w:p>
        </w:tc>
        <w:tc>
          <w:tcPr>
            <w:tcW w:w="280" w:type="dxa"/>
            <w:vAlign w:val="bottom"/>
            <w:gridSpan w:val="3"/>
          </w:tcPr>
          <w:p>
            <w:pPr>
              <w:spacing w:after="0"/>
              <w:rPr>
                <w:sz w:val="17"/>
                <w:szCs w:val="17"/>
                <w:color w:val="auto"/>
              </w:rPr>
            </w:pPr>
          </w:p>
        </w:tc>
        <w:tc>
          <w:tcPr>
            <w:tcW w:w="800" w:type="dxa"/>
            <w:vAlign w:val="bottom"/>
            <w:gridSpan w:val="2"/>
          </w:tcPr>
          <w:p>
            <w:pPr>
              <w:spacing w:after="0"/>
              <w:rPr>
                <w:sz w:val="17"/>
                <w:szCs w:val="17"/>
                <w:color w:val="auto"/>
              </w:rPr>
            </w:pPr>
          </w:p>
        </w:tc>
        <w:tc>
          <w:tcPr>
            <w:tcW w:w="320" w:type="dxa"/>
            <w:vAlign w:val="bottom"/>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100</w:t>
            </w:r>
          </w:p>
        </w:tc>
        <w:tc>
          <w:tcPr>
            <w:tcW w:w="2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91"/>
              </w:rPr>
              <w:t>102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61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w w:val="83"/>
              </w:rPr>
              <w:t>14.4  Reliance by Administrative Agent............................................................................</w:t>
            </w:r>
          </w:p>
        </w:tc>
        <w:tc>
          <w:tcPr>
            <w:tcW w:w="300" w:type="dxa"/>
            <w:vAlign w:val="bottom"/>
            <w:gridSpan w:val="3"/>
          </w:tcPr>
          <w:p>
            <w:pPr>
              <w:spacing w:after="0"/>
              <w:rPr>
                <w:sz w:val="19"/>
                <w:szCs w:val="19"/>
                <w:color w:val="auto"/>
              </w:rPr>
            </w:pPr>
          </w:p>
        </w:tc>
        <w:tc>
          <w:tcPr>
            <w:tcW w:w="280" w:type="dxa"/>
            <w:vAlign w:val="bottom"/>
            <w:gridSpan w:val="3"/>
          </w:tcPr>
          <w:p>
            <w:pPr>
              <w:spacing w:after="0"/>
              <w:rPr>
                <w:sz w:val="19"/>
                <w:szCs w:val="19"/>
                <w:color w:val="auto"/>
              </w:rPr>
            </w:pPr>
          </w:p>
        </w:tc>
        <w:tc>
          <w:tcPr>
            <w:tcW w:w="800" w:type="dxa"/>
            <w:vAlign w:val="bottom"/>
            <w:gridSpan w:val="2"/>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EE2724"/>
                <w:strike w:val="1"/>
              </w:rPr>
              <w:t>100</w:t>
            </w:r>
          </w:p>
        </w:tc>
        <w:tc>
          <w:tcPr>
            <w:tcW w:w="300" w:type="dxa"/>
            <w:vAlign w:val="bottom"/>
            <w:tcBorders>
              <w:bottom w:val="single" w:sz="8" w:color="0E32E1"/>
            </w:tcBorders>
            <w:gridSpan w:val="6"/>
          </w:tcPr>
          <w:p>
            <w:pPr>
              <w:jc w:val="right"/>
              <w:ind w:right="20"/>
              <w:spacing w:after="0"/>
              <w:rPr>
                <w:sz w:val="20"/>
                <w:szCs w:val="20"/>
                <w:color w:val="auto"/>
              </w:rPr>
            </w:pPr>
            <w:r>
              <w:rPr>
                <w:rFonts w:ascii="Times New Roman" w:cs="Times New Roman" w:eastAsia="Times New Roman" w:hAnsi="Times New Roman"/>
                <w:sz w:val="19"/>
                <w:szCs w:val="19"/>
                <w:color w:val="0E32E1"/>
                <w:w w:val="91"/>
              </w:rPr>
              <w:t>102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120" w:type="dxa"/>
            <w:vAlign w:val="bottom"/>
          </w:tcPr>
          <w:p>
            <w:pPr>
              <w:jc w:val="center"/>
              <w:ind w:left="443"/>
              <w:spacing w:after="0"/>
              <w:rPr>
                <w:sz w:val="20"/>
                <w:szCs w:val="20"/>
                <w:color w:val="auto"/>
              </w:rPr>
            </w:pPr>
            <w:r>
              <w:rPr>
                <w:rFonts w:ascii="Times New Roman" w:cs="Times New Roman" w:eastAsia="Times New Roman" w:hAnsi="Times New Roman"/>
                <w:sz w:val="19"/>
                <w:szCs w:val="19"/>
                <w:color w:val="auto"/>
              </w:rPr>
              <w:t>14.5</w:t>
            </w:r>
          </w:p>
        </w:tc>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80"/>
              </w:rPr>
              <w:t>Exculpatory Provisions.............................................................................................</w:t>
            </w:r>
          </w:p>
        </w:tc>
        <w:tc>
          <w:tcPr>
            <w:tcW w:w="300" w:type="dxa"/>
            <w:vAlign w:val="bottom"/>
            <w:gridSpan w:val="3"/>
          </w:tcPr>
          <w:p>
            <w:pPr>
              <w:spacing w:after="0"/>
              <w:rPr>
                <w:sz w:val="19"/>
                <w:szCs w:val="19"/>
                <w:color w:val="auto"/>
              </w:rPr>
            </w:pPr>
          </w:p>
        </w:tc>
        <w:tc>
          <w:tcPr>
            <w:tcW w:w="280" w:type="dxa"/>
            <w:vAlign w:val="bottom"/>
            <w:gridSpan w:val="3"/>
          </w:tcPr>
          <w:p>
            <w:pPr>
              <w:spacing w:after="0"/>
              <w:rPr>
                <w:sz w:val="19"/>
                <w:szCs w:val="19"/>
                <w:color w:val="auto"/>
              </w:rPr>
            </w:pPr>
          </w:p>
        </w:tc>
        <w:tc>
          <w:tcPr>
            <w:tcW w:w="800" w:type="dxa"/>
            <w:vAlign w:val="bottom"/>
            <w:gridSpan w:val="2"/>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EE2724"/>
                <w:strike w:val="1"/>
                <w:w w:val="98"/>
              </w:rPr>
              <w:t>100</w:t>
            </w:r>
          </w:p>
        </w:tc>
        <w:tc>
          <w:tcPr>
            <w:tcW w:w="2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91"/>
              </w:rPr>
              <w:t>102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180" w:type="dxa"/>
            <w:vAlign w:val="bottom"/>
            <w:gridSpan w:val="2"/>
          </w:tcPr>
          <w:p>
            <w:pPr>
              <w:ind w:left="640"/>
              <w:spacing w:after="0" w:line="205" w:lineRule="exact"/>
              <w:rPr>
                <w:sz w:val="20"/>
                <w:szCs w:val="20"/>
                <w:color w:val="auto"/>
              </w:rPr>
            </w:pPr>
            <w:r>
              <w:rPr>
                <w:rFonts w:ascii="Times New Roman" w:cs="Times New Roman" w:eastAsia="Times New Roman" w:hAnsi="Times New Roman"/>
                <w:sz w:val="19"/>
                <w:szCs w:val="19"/>
                <w:color w:val="auto"/>
                <w:w w:val="83"/>
              </w:rPr>
              <w:t>14.6  Resignation or Removal as Administrative Agent....................................................</w:t>
            </w:r>
          </w:p>
        </w:tc>
        <w:tc>
          <w:tcPr>
            <w:tcW w:w="300" w:type="dxa"/>
            <w:vAlign w:val="bottom"/>
            <w:gridSpan w:val="3"/>
          </w:tcPr>
          <w:p>
            <w:pPr>
              <w:spacing w:after="0"/>
              <w:rPr>
                <w:sz w:val="17"/>
                <w:szCs w:val="17"/>
                <w:color w:val="auto"/>
              </w:rPr>
            </w:pPr>
          </w:p>
        </w:tc>
        <w:tc>
          <w:tcPr>
            <w:tcW w:w="280" w:type="dxa"/>
            <w:vAlign w:val="bottom"/>
            <w:gridSpan w:val="3"/>
          </w:tcPr>
          <w:p>
            <w:pPr>
              <w:spacing w:after="0"/>
              <w:rPr>
                <w:sz w:val="17"/>
                <w:szCs w:val="17"/>
                <w:color w:val="auto"/>
              </w:rPr>
            </w:pPr>
          </w:p>
        </w:tc>
        <w:tc>
          <w:tcPr>
            <w:tcW w:w="800" w:type="dxa"/>
            <w:vAlign w:val="bottom"/>
            <w:gridSpan w:val="2"/>
          </w:tcPr>
          <w:p>
            <w:pPr>
              <w:spacing w:after="0"/>
              <w:rPr>
                <w:sz w:val="17"/>
                <w:szCs w:val="17"/>
                <w:color w:val="auto"/>
              </w:rPr>
            </w:pPr>
          </w:p>
        </w:tc>
        <w:tc>
          <w:tcPr>
            <w:tcW w:w="320" w:type="dxa"/>
            <w:vAlign w:val="bottom"/>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101</w:t>
            </w:r>
          </w:p>
        </w:tc>
        <w:tc>
          <w:tcPr>
            <w:tcW w:w="300" w:type="dxa"/>
            <w:vAlign w:val="bottom"/>
            <w:tcBorders>
              <w:bottom w:val="single" w:sz="8" w:color="0E32E1"/>
            </w:tcBorders>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0E32E1"/>
                <w:w w:val="98"/>
              </w:rPr>
              <w:t>103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61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w w:val="83"/>
              </w:rPr>
              <w:t>14.7  Non-Reliance on Administrative Agent and Other Lenders.....................................</w:t>
            </w:r>
          </w:p>
        </w:tc>
        <w:tc>
          <w:tcPr>
            <w:tcW w:w="300" w:type="dxa"/>
            <w:vAlign w:val="bottom"/>
            <w:gridSpan w:val="3"/>
          </w:tcPr>
          <w:p>
            <w:pPr>
              <w:spacing w:after="0"/>
              <w:rPr>
                <w:sz w:val="19"/>
                <w:szCs w:val="19"/>
                <w:color w:val="auto"/>
              </w:rPr>
            </w:pPr>
          </w:p>
        </w:tc>
        <w:tc>
          <w:tcPr>
            <w:tcW w:w="280" w:type="dxa"/>
            <w:vAlign w:val="bottom"/>
            <w:gridSpan w:val="3"/>
          </w:tcPr>
          <w:p>
            <w:pPr>
              <w:spacing w:after="0"/>
              <w:rPr>
                <w:sz w:val="19"/>
                <w:szCs w:val="19"/>
                <w:color w:val="auto"/>
              </w:rPr>
            </w:pPr>
          </w:p>
        </w:tc>
        <w:tc>
          <w:tcPr>
            <w:tcW w:w="800" w:type="dxa"/>
            <w:vAlign w:val="bottom"/>
            <w:gridSpan w:val="2"/>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EE2724"/>
                <w:strike w:val="1"/>
              </w:rPr>
              <w:t>102</w:t>
            </w:r>
          </w:p>
        </w:tc>
        <w:tc>
          <w:tcPr>
            <w:tcW w:w="2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91"/>
              </w:rPr>
              <w:t>104</w:t>
            </w:r>
          </w:p>
        </w:tc>
        <w:tc>
          <w:tcPr>
            <w:tcW w:w="20" w:type="dxa"/>
            <w:vAlign w:val="bottom"/>
            <w:tcBorders>
              <w:bottom w:val="single" w:sz="8" w:color="0E32E1"/>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180" w:type="dxa"/>
            <w:vAlign w:val="bottom"/>
            <w:gridSpan w:val="2"/>
          </w:tcPr>
          <w:p>
            <w:pPr>
              <w:ind w:left="640"/>
              <w:spacing w:after="0" w:line="205" w:lineRule="exact"/>
              <w:rPr>
                <w:sz w:val="20"/>
                <w:szCs w:val="20"/>
                <w:color w:val="auto"/>
              </w:rPr>
            </w:pPr>
            <w:r>
              <w:rPr>
                <w:rFonts w:ascii="Times New Roman" w:cs="Times New Roman" w:eastAsia="Times New Roman" w:hAnsi="Times New Roman"/>
                <w:sz w:val="19"/>
                <w:szCs w:val="19"/>
                <w:color w:val="auto"/>
                <w:w w:val="83"/>
              </w:rPr>
              <w:t>14.8  Administrative Agent May File Proofs of Claim......................................................</w:t>
            </w:r>
          </w:p>
        </w:tc>
        <w:tc>
          <w:tcPr>
            <w:tcW w:w="300" w:type="dxa"/>
            <w:vAlign w:val="bottom"/>
            <w:gridSpan w:val="3"/>
          </w:tcPr>
          <w:p>
            <w:pPr>
              <w:spacing w:after="0"/>
              <w:rPr>
                <w:sz w:val="17"/>
                <w:szCs w:val="17"/>
                <w:color w:val="auto"/>
              </w:rPr>
            </w:pPr>
          </w:p>
        </w:tc>
        <w:tc>
          <w:tcPr>
            <w:tcW w:w="280" w:type="dxa"/>
            <w:vAlign w:val="bottom"/>
            <w:gridSpan w:val="3"/>
          </w:tcPr>
          <w:p>
            <w:pPr>
              <w:spacing w:after="0"/>
              <w:rPr>
                <w:sz w:val="17"/>
                <w:szCs w:val="17"/>
                <w:color w:val="auto"/>
              </w:rPr>
            </w:pPr>
          </w:p>
        </w:tc>
        <w:tc>
          <w:tcPr>
            <w:tcW w:w="800" w:type="dxa"/>
            <w:vAlign w:val="bottom"/>
            <w:gridSpan w:val="2"/>
          </w:tcPr>
          <w:p>
            <w:pPr>
              <w:spacing w:after="0"/>
              <w:rPr>
                <w:sz w:val="17"/>
                <w:szCs w:val="17"/>
                <w:color w:val="auto"/>
              </w:rPr>
            </w:pPr>
          </w:p>
        </w:tc>
        <w:tc>
          <w:tcPr>
            <w:tcW w:w="320" w:type="dxa"/>
            <w:vAlign w:val="bottom"/>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102</w:t>
            </w:r>
          </w:p>
        </w:tc>
        <w:tc>
          <w:tcPr>
            <w:tcW w:w="2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91"/>
              </w:rPr>
              <w:t>105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61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w w:val="83"/>
              </w:rPr>
              <w:t>14.9  Collateral and Guaranty Matters...............................................................................</w:t>
            </w:r>
          </w:p>
        </w:tc>
        <w:tc>
          <w:tcPr>
            <w:tcW w:w="300" w:type="dxa"/>
            <w:vAlign w:val="bottom"/>
            <w:gridSpan w:val="3"/>
          </w:tcPr>
          <w:p>
            <w:pPr>
              <w:spacing w:after="0"/>
              <w:rPr>
                <w:sz w:val="19"/>
                <w:szCs w:val="19"/>
                <w:color w:val="auto"/>
              </w:rPr>
            </w:pPr>
          </w:p>
        </w:tc>
        <w:tc>
          <w:tcPr>
            <w:tcW w:w="280" w:type="dxa"/>
            <w:vAlign w:val="bottom"/>
            <w:gridSpan w:val="3"/>
          </w:tcPr>
          <w:p>
            <w:pPr>
              <w:spacing w:after="0"/>
              <w:rPr>
                <w:sz w:val="19"/>
                <w:szCs w:val="19"/>
                <w:color w:val="auto"/>
              </w:rPr>
            </w:pPr>
          </w:p>
        </w:tc>
        <w:tc>
          <w:tcPr>
            <w:tcW w:w="800" w:type="dxa"/>
            <w:vAlign w:val="bottom"/>
            <w:gridSpan w:val="2"/>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EE2724"/>
                <w:strike w:val="1"/>
              </w:rPr>
              <w:t>103</w:t>
            </w:r>
          </w:p>
        </w:tc>
        <w:tc>
          <w:tcPr>
            <w:tcW w:w="2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91"/>
              </w:rPr>
              <w:t>105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1120" w:type="dxa"/>
            <w:vAlign w:val="bottom"/>
          </w:tcPr>
          <w:p>
            <w:pPr>
              <w:ind w:left="600"/>
              <w:spacing w:after="0" w:line="205" w:lineRule="exact"/>
              <w:rPr>
                <w:sz w:val="20"/>
                <w:szCs w:val="20"/>
                <w:color w:val="auto"/>
              </w:rPr>
            </w:pPr>
            <w:r>
              <w:rPr>
                <w:rFonts w:ascii="Times New Roman" w:cs="Times New Roman" w:eastAsia="Times New Roman" w:hAnsi="Times New Roman"/>
                <w:sz w:val="19"/>
                <w:szCs w:val="19"/>
                <w:color w:val="auto"/>
              </w:rPr>
              <w:t>14.10</w:t>
            </w:r>
          </w:p>
        </w:tc>
        <w:tc>
          <w:tcPr>
            <w:tcW w:w="5060" w:type="dxa"/>
            <w:vAlign w:val="bottom"/>
          </w:tcPr>
          <w:p>
            <w:pPr>
              <w:ind w:left="100"/>
              <w:spacing w:after="0" w:line="205" w:lineRule="exact"/>
              <w:rPr>
                <w:sz w:val="20"/>
                <w:szCs w:val="20"/>
                <w:color w:val="auto"/>
              </w:rPr>
            </w:pPr>
            <w:r>
              <w:rPr>
                <w:rFonts w:ascii="Times New Roman" w:cs="Times New Roman" w:eastAsia="Times New Roman" w:hAnsi="Times New Roman"/>
                <w:sz w:val="19"/>
                <w:szCs w:val="19"/>
                <w:color w:val="auto"/>
                <w:w w:val="79"/>
              </w:rPr>
              <w:t>Financial Hedges.......................................................................................................</w:t>
            </w:r>
          </w:p>
        </w:tc>
        <w:tc>
          <w:tcPr>
            <w:tcW w:w="300" w:type="dxa"/>
            <w:vAlign w:val="bottom"/>
            <w:gridSpan w:val="3"/>
          </w:tcPr>
          <w:p>
            <w:pPr>
              <w:spacing w:after="0"/>
              <w:rPr>
                <w:sz w:val="17"/>
                <w:szCs w:val="17"/>
                <w:color w:val="auto"/>
              </w:rPr>
            </w:pPr>
          </w:p>
        </w:tc>
        <w:tc>
          <w:tcPr>
            <w:tcW w:w="280" w:type="dxa"/>
            <w:vAlign w:val="bottom"/>
            <w:gridSpan w:val="3"/>
          </w:tcPr>
          <w:p>
            <w:pPr>
              <w:spacing w:after="0"/>
              <w:rPr>
                <w:sz w:val="17"/>
                <w:szCs w:val="17"/>
                <w:color w:val="auto"/>
              </w:rPr>
            </w:pPr>
          </w:p>
        </w:tc>
        <w:tc>
          <w:tcPr>
            <w:tcW w:w="800" w:type="dxa"/>
            <w:vAlign w:val="bottom"/>
            <w:gridSpan w:val="2"/>
          </w:tcPr>
          <w:p>
            <w:pPr>
              <w:spacing w:after="0"/>
              <w:rPr>
                <w:sz w:val="17"/>
                <w:szCs w:val="17"/>
                <w:color w:val="auto"/>
              </w:rPr>
            </w:pPr>
          </w:p>
        </w:tc>
        <w:tc>
          <w:tcPr>
            <w:tcW w:w="360" w:type="dxa"/>
            <w:vAlign w:val="bottom"/>
            <w:gridSpan w:val="7"/>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105</w:t>
            </w:r>
          </w:p>
        </w:tc>
        <w:tc>
          <w:tcPr>
            <w:tcW w:w="300" w:type="dxa"/>
            <w:vAlign w:val="bottom"/>
            <w:tcBorders>
              <w:bottom w:val="single" w:sz="8" w:color="0E32E1"/>
            </w:tcBorders>
            <w:gridSpan w:val="6"/>
          </w:tcPr>
          <w:p>
            <w:pPr>
              <w:spacing w:after="0" w:line="205" w:lineRule="exact"/>
              <w:rPr>
                <w:sz w:val="20"/>
                <w:szCs w:val="20"/>
                <w:color w:val="auto"/>
              </w:rPr>
            </w:pPr>
            <w:r>
              <w:rPr>
                <w:rFonts w:ascii="Times New Roman" w:cs="Times New Roman" w:eastAsia="Times New Roman" w:hAnsi="Times New Roman"/>
                <w:sz w:val="19"/>
                <w:szCs w:val="19"/>
                <w:color w:val="0E32E1"/>
                <w:w w:val="98"/>
              </w:rPr>
              <w:t>107</w:t>
            </w: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6180" w:type="dxa"/>
            <w:vAlign w:val="bottom"/>
            <w:gridSpan w:val="2"/>
          </w:tcPr>
          <w:p>
            <w:pPr>
              <w:ind w:left="620"/>
              <w:spacing w:after="0"/>
              <w:rPr>
                <w:sz w:val="20"/>
                <w:szCs w:val="20"/>
                <w:color w:val="auto"/>
              </w:rPr>
            </w:pPr>
            <w:r>
              <w:rPr>
                <w:rFonts w:ascii="Times New Roman" w:cs="Times New Roman" w:eastAsia="Times New Roman" w:hAnsi="Times New Roman"/>
                <w:sz w:val="19"/>
                <w:szCs w:val="19"/>
                <w:color w:val="auto"/>
                <w:w w:val="82"/>
              </w:rPr>
              <w:t>14.11  Bond L/Cs and Bond Documents.............................................................................</w:t>
            </w:r>
          </w:p>
        </w:tc>
        <w:tc>
          <w:tcPr>
            <w:tcW w:w="300" w:type="dxa"/>
            <w:vAlign w:val="bottom"/>
            <w:gridSpan w:val="3"/>
          </w:tcPr>
          <w:p>
            <w:pPr>
              <w:spacing w:after="0"/>
              <w:rPr>
                <w:sz w:val="19"/>
                <w:szCs w:val="19"/>
                <w:color w:val="auto"/>
              </w:rPr>
            </w:pPr>
          </w:p>
        </w:tc>
        <w:tc>
          <w:tcPr>
            <w:tcW w:w="280" w:type="dxa"/>
            <w:vAlign w:val="bottom"/>
            <w:gridSpan w:val="3"/>
          </w:tcPr>
          <w:p>
            <w:pPr>
              <w:spacing w:after="0"/>
              <w:rPr>
                <w:sz w:val="19"/>
                <w:szCs w:val="19"/>
                <w:color w:val="auto"/>
              </w:rPr>
            </w:pPr>
          </w:p>
        </w:tc>
        <w:tc>
          <w:tcPr>
            <w:tcW w:w="800" w:type="dxa"/>
            <w:vAlign w:val="bottom"/>
            <w:gridSpan w:val="2"/>
          </w:tcPr>
          <w:p>
            <w:pPr>
              <w:spacing w:after="0"/>
              <w:rPr>
                <w:sz w:val="19"/>
                <w:szCs w:val="19"/>
                <w:color w:val="auto"/>
              </w:rPr>
            </w:pPr>
          </w:p>
        </w:tc>
        <w:tc>
          <w:tcPr>
            <w:tcW w:w="340" w:type="dxa"/>
            <w:vAlign w:val="bottom"/>
            <w:gridSpan w:val="6"/>
          </w:tcPr>
          <w:p>
            <w:pPr>
              <w:jc w:val="center"/>
              <w:spacing w:after="0"/>
              <w:rPr>
                <w:sz w:val="20"/>
                <w:szCs w:val="20"/>
                <w:color w:val="auto"/>
              </w:rPr>
            </w:pPr>
            <w:r>
              <w:rPr>
                <w:rFonts w:ascii="Times New Roman" w:cs="Times New Roman" w:eastAsia="Times New Roman" w:hAnsi="Times New Roman"/>
                <w:sz w:val="19"/>
                <w:szCs w:val="19"/>
                <w:color w:val="EE2724"/>
                <w:strike w:val="1"/>
                <w:w w:val="98"/>
              </w:rPr>
              <w:t>105</w:t>
            </w:r>
          </w:p>
        </w:tc>
        <w:tc>
          <w:tcPr>
            <w:tcW w:w="300" w:type="dxa"/>
            <w:vAlign w:val="bottom"/>
            <w:tcBorders>
              <w:bottom w:val="single" w:sz="8" w:color="0E32E1"/>
            </w:tcBorders>
            <w:gridSpan w:val="6"/>
          </w:tcPr>
          <w:p>
            <w:pPr>
              <w:jc w:val="right"/>
              <w:spacing w:after="0"/>
              <w:rPr>
                <w:sz w:val="20"/>
                <w:szCs w:val="20"/>
                <w:color w:val="auto"/>
              </w:rPr>
            </w:pPr>
            <w:r>
              <w:rPr>
                <w:rFonts w:ascii="Times New Roman" w:cs="Times New Roman" w:eastAsia="Times New Roman" w:hAnsi="Times New Roman"/>
                <w:sz w:val="19"/>
                <w:szCs w:val="19"/>
                <w:color w:val="0E32E1"/>
                <w:w w:val="98"/>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6180" w:type="dxa"/>
            <w:vAlign w:val="bottom"/>
            <w:gridSpan w:val="2"/>
          </w:tcPr>
          <w:p>
            <w:pPr>
              <w:ind w:left="600"/>
              <w:spacing w:after="0"/>
              <w:rPr>
                <w:sz w:val="20"/>
                <w:szCs w:val="20"/>
                <w:color w:val="auto"/>
              </w:rPr>
            </w:pPr>
            <w:r>
              <w:rPr>
                <w:rFonts w:ascii="Times New Roman" w:cs="Times New Roman" w:eastAsia="Times New Roman" w:hAnsi="Times New Roman"/>
                <w:sz w:val="19"/>
                <w:szCs w:val="19"/>
                <w:color w:val="auto"/>
                <w:w w:val="82"/>
              </w:rPr>
              <w:t>14.12  No Other Duties, Etc.................................................................................................</w:t>
            </w:r>
          </w:p>
        </w:tc>
        <w:tc>
          <w:tcPr>
            <w:tcW w:w="300" w:type="dxa"/>
            <w:vAlign w:val="bottom"/>
            <w:gridSpan w:val="3"/>
          </w:tcPr>
          <w:p>
            <w:pPr>
              <w:spacing w:after="0"/>
              <w:rPr>
                <w:sz w:val="19"/>
                <w:szCs w:val="19"/>
                <w:color w:val="auto"/>
              </w:rPr>
            </w:pPr>
          </w:p>
        </w:tc>
        <w:tc>
          <w:tcPr>
            <w:tcW w:w="280" w:type="dxa"/>
            <w:vAlign w:val="bottom"/>
            <w:gridSpan w:val="3"/>
          </w:tcPr>
          <w:p>
            <w:pPr>
              <w:spacing w:after="0"/>
              <w:rPr>
                <w:sz w:val="19"/>
                <w:szCs w:val="19"/>
                <w:color w:val="auto"/>
              </w:rPr>
            </w:pPr>
          </w:p>
        </w:tc>
        <w:tc>
          <w:tcPr>
            <w:tcW w:w="800" w:type="dxa"/>
            <w:vAlign w:val="bottom"/>
            <w:gridSpan w:val="2"/>
          </w:tcPr>
          <w:p>
            <w:pPr>
              <w:spacing w:after="0"/>
              <w:rPr>
                <w:sz w:val="19"/>
                <w:szCs w:val="19"/>
                <w:color w:val="auto"/>
              </w:rPr>
            </w:pPr>
          </w:p>
        </w:tc>
        <w:tc>
          <w:tcPr>
            <w:tcW w:w="36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EE2724"/>
                <w:strike w:val="1"/>
              </w:rPr>
              <w:t>105</w:t>
            </w:r>
          </w:p>
        </w:tc>
        <w:tc>
          <w:tcPr>
            <w:tcW w:w="30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9"/>
                <w:szCs w:val="19"/>
                <w:color w:val="0E32E1"/>
                <w:w w:val="98"/>
              </w:rPr>
              <w:t>108</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180" w:type="dxa"/>
            <w:vAlign w:val="bottom"/>
            <w:gridSpan w:val="2"/>
          </w:tcPr>
          <w:p>
            <w:pPr>
              <w:ind w:left="600"/>
              <w:spacing w:after="0" w:line="205" w:lineRule="exact"/>
              <w:rPr>
                <w:sz w:val="20"/>
                <w:szCs w:val="20"/>
                <w:color w:val="auto"/>
              </w:rPr>
            </w:pPr>
            <w:r>
              <w:rPr>
                <w:rFonts w:ascii="Times New Roman" w:cs="Times New Roman" w:eastAsia="Times New Roman" w:hAnsi="Times New Roman"/>
                <w:sz w:val="19"/>
                <w:szCs w:val="19"/>
                <w:color w:val="auto"/>
                <w:w w:val="82"/>
              </w:rPr>
              <w:t>14.13  Recovery of Erroneous Payments.............................................................................</w:t>
            </w:r>
          </w:p>
        </w:tc>
        <w:tc>
          <w:tcPr>
            <w:tcW w:w="300" w:type="dxa"/>
            <w:vAlign w:val="bottom"/>
            <w:gridSpan w:val="3"/>
          </w:tcPr>
          <w:p>
            <w:pPr>
              <w:spacing w:after="0"/>
              <w:rPr>
                <w:sz w:val="17"/>
                <w:szCs w:val="17"/>
                <w:color w:val="auto"/>
              </w:rPr>
            </w:pPr>
          </w:p>
        </w:tc>
        <w:tc>
          <w:tcPr>
            <w:tcW w:w="280" w:type="dxa"/>
            <w:vAlign w:val="bottom"/>
            <w:gridSpan w:val="3"/>
          </w:tcPr>
          <w:p>
            <w:pPr>
              <w:spacing w:after="0"/>
              <w:rPr>
                <w:sz w:val="17"/>
                <w:szCs w:val="17"/>
                <w:color w:val="auto"/>
              </w:rPr>
            </w:pPr>
          </w:p>
        </w:tc>
        <w:tc>
          <w:tcPr>
            <w:tcW w:w="800" w:type="dxa"/>
            <w:vAlign w:val="bottom"/>
            <w:gridSpan w:val="2"/>
          </w:tcPr>
          <w:p>
            <w:pPr>
              <w:spacing w:after="0"/>
              <w:rPr>
                <w:sz w:val="17"/>
                <w:szCs w:val="17"/>
                <w:color w:val="auto"/>
              </w:rPr>
            </w:pPr>
          </w:p>
        </w:tc>
        <w:tc>
          <w:tcPr>
            <w:tcW w:w="360" w:type="dxa"/>
            <w:vAlign w:val="bottom"/>
            <w:gridSpan w:val="7"/>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105</w:t>
            </w:r>
          </w:p>
        </w:tc>
        <w:tc>
          <w:tcPr>
            <w:tcW w:w="300" w:type="dxa"/>
            <w:vAlign w:val="bottom"/>
            <w:tcBorders>
              <w:bottom w:val="single" w:sz="8" w:color="0E32E1"/>
            </w:tcBorders>
            <w:gridSpan w:val="6"/>
          </w:tcPr>
          <w:p>
            <w:pPr>
              <w:spacing w:after="0" w:line="205" w:lineRule="exact"/>
              <w:rPr>
                <w:sz w:val="20"/>
                <w:szCs w:val="20"/>
                <w:color w:val="auto"/>
              </w:rPr>
            </w:pPr>
            <w:r>
              <w:rPr>
                <w:rFonts w:ascii="Times New Roman" w:cs="Times New Roman" w:eastAsia="Times New Roman" w:hAnsi="Times New Roman"/>
                <w:sz w:val="19"/>
                <w:szCs w:val="19"/>
                <w:color w:val="0E32E1"/>
                <w:w w:val="98"/>
              </w:rPr>
              <w:t>108</w:t>
            </w:r>
          </w:p>
        </w:tc>
        <w:tc>
          <w:tcPr>
            <w:tcW w:w="0" w:type="dxa"/>
            <w:vAlign w:val="bottom"/>
          </w:tcPr>
          <w:p>
            <w:pPr>
              <w:spacing w:after="0"/>
              <w:rPr>
                <w:sz w:val="1"/>
                <w:szCs w:val="1"/>
                <w:color w:val="auto"/>
              </w:rPr>
            </w:pPr>
          </w:p>
        </w:tc>
      </w:tr>
      <w:tr>
        <w:trPr>
          <w:trHeight w:val="458"/>
        </w:trPr>
        <w:tc>
          <w:tcPr>
            <w:tcW w:w="1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SECTION 15</w:t>
            </w:r>
          </w:p>
        </w:tc>
        <w:tc>
          <w:tcPr>
            <w:tcW w:w="61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MISCELLANEOUS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EE2724"/>
                <w:strike w:val="1"/>
                <w:w w:val="98"/>
              </w:rPr>
              <w:t>106</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0E32E1"/>
                <w:w w:val="91"/>
              </w:rPr>
              <w:t>108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1120" w:type="dxa"/>
            <w:vAlign w:val="bottom"/>
          </w:tcPr>
          <w:p>
            <w:pPr>
              <w:ind w:left="660"/>
              <w:spacing w:after="0" w:line="205" w:lineRule="exact"/>
              <w:rPr>
                <w:sz w:val="20"/>
                <w:szCs w:val="20"/>
                <w:color w:val="auto"/>
              </w:rPr>
            </w:pPr>
            <w:r>
              <w:rPr>
                <w:rFonts w:ascii="Times New Roman" w:cs="Times New Roman" w:eastAsia="Times New Roman" w:hAnsi="Times New Roman"/>
                <w:sz w:val="19"/>
                <w:szCs w:val="19"/>
                <w:color w:val="auto"/>
              </w:rPr>
              <w:t>15.1</w:t>
            </w:r>
          </w:p>
        </w:tc>
        <w:tc>
          <w:tcPr>
            <w:tcW w:w="5060" w:type="dxa"/>
            <w:vAlign w:val="bottom"/>
          </w:tcPr>
          <w:p>
            <w:pPr>
              <w:ind w:left="80"/>
              <w:spacing w:after="0" w:line="205" w:lineRule="exact"/>
              <w:rPr>
                <w:sz w:val="20"/>
                <w:szCs w:val="20"/>
                <w:color w:val="auto"/>
              </w:rPr>
            </w:pPr>
            <w:r>
              <w:rPr>
                <w:rFonts w:ascii="Times New Roman" w:cs="Times New Roman" w:eastAsia="Times New Roman" w:hAnsi="Times New Roman"/>
                <w:sz w:val="19"/>
                <w:szCs w:val="19"/>
                <w:color w:val="auto"/>
                <w:w w:val="80"/>
              </w:rPr>
              <w:t>Headings...................................................................................................................</w:t>
            </w:r>
          </w:p>
        </w:tc>
        <w:tc>
          <w:tcPr>
            <w:tcW w:w="300" w:type="dxa"/>
            <w:vAlign w:val="bottom"/>
            <w:gridSpan w:val="3"/>
          </w:tcPr>
          <w:p>
            <w:pPr>
              <w:spacing w:after="0"/>
              <w:rPr>
                <w:sz w:val="17"/>
                <w:szCs w:val="17"/>
                <w:color w:val="auto"/>
              </w:rPr>
            </w:pPr>
          </w:p>
        </w:tc>
        <w:tc>
          <w:tcPr>
            <w:tcW w:w="280" w:type="dxa"/>
            <w:vAlign w:val="bottom"/>
            <w:tcBorders>
              <w:top w:val="single" w:sz="8" w:color="0E32E1"/>
            </w:tcBorders>
            <w:gridSpan w:val="3"/>
          </w:tcPr>
          <w:p>
            <w:pPr>
              <w:spacing w:after="0"/>
              <w:rPr>
                <w:sz w:val="17"/>
                <w:szCs w:val="17"/>
                <w:color w:val="auto"/>
              </w:rPr>
            </w:pPr>
          </w:p>
        </w:tc>
        <w:tc>
          <w:tcPr>
            <w:tcW w:w="800" w:type="dxa"/>
            <w:vAlign w:val="bottom"/>
            <w:gridSpan w:val="2"/>
          </w:tcPr>
          <w:p>
            <w:pPr>
              <w:spacing w:after="0"/>
              <w:rPr>
                <w:sz w:val="17"/>
                <w:szCs w:val="17"/>
                <w:color w:val="auto"/>
              </w:rPr>
            </w:pPr>
          </w:p>
        </w:tc>
        <w:tc>
          <w:tcPr>
            <w:tcW w:w="320" w:type="dxa"/>
            <w:vAlign w:val="bottom"/>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w w:val="98"/>
              </w:rPr>
              <w:t>106</w:t>
            </w:r>
          </w:p>
        </w:tc>
        <w:tc>
          <w:tcPr>
            <w:tcW w:w="280" w:type="dxa"/>
            <w:vAlign w:val="bottom"/>
            <w:tcBorders>
              <w:bottom w:val="single" w:sz="8" w:color="0E32E1"/>
            </w:tcBorders>
            <w:gridSpan w:val="5"/>
          </w:tcPr>
          <w:p>
            <w:pPr>
              <w:jc w:val="right"/>
              <w:ind w:right="20"/>
              <w:spacing w:after="0" w:line="205" w:lineRule="exact"/>
              <w:rPr>
                <w:sz w:val="20"/>
                <w:szCs w:val="20"/>
                <w:color w:val="auto"/>
              </w:rPr>
            </w:pPr>
            <w:r>
              <w:rPr>
                <w:rFonts w:ascii="Times New Roman" w:cs="Times New Roman" w:eastAsia="Times New Roman" w:hAnsi="Times New Roman"/>
                <w:sz w:val="19"/>
                <w:szCs w:val="19"/>
                <w:color w:val="0E32E1"/>
                <w:w w:val="84"/>
              </w:rPr>
              <w:t>108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120" w:type="dxa"/>
            <w:vAlign w:val="bottom"/>
          </w:tcPr>
          <w:p>
            <w:pPr>
              <w:jc w:val="center"/>
              <w:ind w:left="443"/>
              <w:spacing w:after="0"/>
              <w:rPr>
                <w:sz w:val="20"/>
                <w:szCs w:val="20"/>
                <w:color w:val="auto"/>
              </w:rPr>
            </w:pPr>
            <w:r>
              <w:rPr>
                <w:rFonts w:ascii="Times New Roman" w:cs="Times New Roman" w:eastAsia="Times New Roman" w:hAnsi="Times New Roman"/>
                <w:sz w:val="19"/>
                <w:szCs w:val="19"/>
                <w:color w:val="auto"/>
              </w:rPr>
              <w:t>15.2</w:t>
            </w:r>
          </w:p>
        </w:tc>
        <w:tc>
          <w:tcPr>
            <w:tcW w:w="5060" w:type="dxa"/>
            <w:vAlign w:val="bottom"/>
          </w:tcPr>
          <w:p>
            <w:pPr>
              <w:ind w:left="80"/>
              <w:spacing w:after="0"/>
              <w:rPr>
                <w:sz w:val="20"/>
                <w:szCs w:val="20"/>
                <w:color w:val="auto"/>
              </w:rPr>
            </w:pPr>
            <w:r>
              <w:rPr>
                <w:rFonts w:ascii="Times New Roman" w:cs="Times New Roman" w:eastAsia="Times New Roman" w:hAnsi="Times New Roman"/>
                <w:sz w:val="19"/>
                <w:szCs w:val="19"/>
                <w:color w:val="auto"/>
                <w:w w:val="80"/>
              </w:rPr>
              <w:t>Nonbusiness Days; Time. ........................................................................................</w:t>
            </w:r>
          </w:p>
        </w:tc>
        <w:tc>
          <w:tcPr>
            <w:tcW w:w="1380" w:type="dxa"/>
            <w:vAlign w:val="bottom"/>
            <w:gridSpan w:val="8"/>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EE2724"/>
                <w:strike w:val="1"/>
                <w:w w:val="98"/>
              </w:rPr>
              <w:t>106</w:t>
            </w:r>
          </w:p>
        </w:tc>
        <w:tc>
          <w:tcPr>
            <w:tcW w:w="2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84"/>
              </w:rPr>
              <w:t>108</w:t>
            </w:r>
          </w:p>
        </w:tc>
        <w:tc>
          <w:tcPr>
            <w:tcW w:w="20" w:type="dxa"/>
            <w:vAlign w:val="bottom"/>
            <w:tcBorders>
              <w:bottom w:val="single" w:sz="8" w:color="0E32E1"/>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6180" w:type="dxa"/>
            <w:vAlign w:val="bottom"/>
            <w:gridSpan w:val="2"/>
          </w:tcPr>
          <w:p>
            <w:pPr>
              <w:ind w:left="660"/>
              <w:spacing w:after="0"/>
              <w:rPr>
                <w:sz w:val="20"/>
                <w:szCs w:val="20"/>
                <w:color w:val="auto"/>
              </w:rPr>
            </w:pPr>
            <w:r>
              <w:rPr>
                <w:rFonts w:ascii="Times New Roman" w:cs="Times New Roman" w:eastAsia="Times New Roman" w:hAnsi="Times New Roman"/>
                <w:sz w:val="19"/>
                <w:szCs w:val="19"/>
                <w:color w:val="auto"/>
                <w:w w:val="83"/>
              </w:rPr>
              <w:t>15.3  Notices and Other Communications.........................................................................</w:t>
            </w:r>
          </w:p>
        </w:tc>
        <w:tc>
          <w:tcPr>
            <w:tcW w:w="1380" w:type="dxa"/>
            <w:vAlign w:val="bottom"/>
            <w:gridSpan w:val="8"/>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EE2724"/>
                <w:strike w:val="1"/>
                <w:w w:val="98"/>
              </w:rPr>
              <w:t>106</w:t>
            </w:r>
          </w:p>
        </w:tc>
        <w:tc>
          <w:tcPr>
            <w:tcW w:w="2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91"/>
              </w:rPr>
              <w:t>108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180" w:type="dxa"/>
            <w:vAlign w:val="bottom"/>
            <w:gridSpan w:val="2"/>
          </w:tcPr>
          <w:p>
            <w:pPr>
              <w:ind w:left="660"/>
              <w:spacing w:after="0" w:line="205" w:lineRule="exact"/>
              <w:rPr>
                <w:sz w:val="20"/>
                <w:szCs w:val="20"/>
                <w:color w:val="auto"/>
              </w:rPr>
            </w:pPr>
            <w:r>
              <w:rPr>
                <w:rFonts w:ascii="Times New Roman" w:cs="Times New Roman" w:eastAsia="Times New Roman" w:hAnsi="Times New Roman"/>
                <w:sz w:val="19"/>
                <w:szCs w:val="19"/>
                <w:color w:val="auto"/>
                <w:w w:val="82"/>
              </w:rPr>
              <w:t>15.4  Expenses; Indemnity; Damage Waiver.....................................................................</w:t>
            </w:r>
          </w:p>
        </w:tc>
        <w:tc>
          <w:tcPr>
            <w:tcW w:w="1380" w:type="dxa"/>
            <w:vAlign w:val="bottom"/>
            <w:gridSpan w:val="8"/>
          </w:tcPr>
          <w:p>
            <w:pPr>
              <w:spacing w:after="0"/>
              <w:rPr>
                <w:sz w:val="17"/>
                <w:szCs w:val="17"/>
                <w:color w:val="auto"/>
              </w:rPr>
            </w:pPr>
          </w:p>
        </w:tc>
        <w:tc>
          <w:tcPr>
            <w:tcW w:w="320" w:type="dxa"/>
            <w:vAlign w:val="bottom"/>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w w:val="98"/>
              </w:rPr>
              <w:t>108</w:t>
            </w:r>
          </w:p>
        </w:tc>
        <w:tc>
          <w:tcPr>
            <w:tcW w:w="280" w:type="dxa"/>
            <w:vAlign w:val="bottom"/>
            <w:tcBorders>
              <w:bottom w:val="single" w:sz="8" w:color="0E32E1"/>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0E32E1"/>
                <w:w w:val="91"/>
              </w:rPr>
              <w:t>110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61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w w:val="83"/>
              </w:rPr>
              <w:t>15.5  Exceptions to Covenants; Conflict with Agreement.................................................</w:t>
            </w:r>
          </w:p>
        </w:tc>
        <w:tc>
          <w:tcPr>
            <w:tcW w:w="1380" w:type="dxa"/>
            <w:vAlign w:val="bottom"/>
            <w:gridSpan w:val="8"/>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EE2724"/>
                <w:strike w:val="1"/>
              </w:rPr>
              <w:t>109</w:t>
            </w:r>
          </w:p>
        </w:tc>
        <w:tc>
          <w:tcPr>
            <w:tcW w:w="280" w:type="dxa"/>
            <w:vAlign w:val="bottom"/>
            <w:tcBorders>
              <w:bottom w:val="single" w:sz="8" w:color="0E32E1"/>
            </w:tcBorders>
            <w:gridSpan w:val="5"/>
          </w:tcPr>
          <w:p>
            <w:pPr>
              <w:jc w:val="right"/>
              <w:spacing w:after="0"/>
              <w:rPr>
                <w:sz w:val="20"/>
                <w:szCs w:val="20"/>
                <w:color w:val="auto"/>
              </w:rPr>
            </w:pPr>
            <w:r>
              <w:rPr>
                <w:rFonts w:ascii="Times New Roman" w:cs="Times New Roman" w:eastAsia="Times New Roman" w:hAnsi="Times New Roman"/>
                <w:sz w:val="19"/>
                <w:szCs w:val="19"/>
                <w:color w:val="0E32E1"/>
                <w:w w:val="91"/>
              </w:rPr>
              <w:t>112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1120" w:type="dxa"/>
            <w:vAlign w:val="bottom"/>
          </w:tcPr>
          <w:p>
            <w:pPr>
              <w:jc w:val="center"/>
              <w:ind w:left="443"/>
              <w:spacing w:after="0" w:line="205" w:lineRule="exact"/>
              <w:rPr>
                <w:sz w:val="20"/>
                <w:szCs w:val="20"/>
                <w:color w:val="auto"/>
              </w:rPr>
            </w:pPr>
            <w:r>
              <w:rPr>
                <w:rFonts w:ascii="Times New Roman" w:cs="Times New Roman" w:eastAsia="Times New Roman" w:hAnsi="Times New Roman"/>
                <w:sz w:val="19"/>
                <w:szCs w:val="19"/>
                <w:color w:val="auto"/>
              </w:rPr>
              <w:t>15.6</w:t>
            </w:r>
          </w:p>
        </w:tc>
        <w:tc>
          <w:tcPr>
            <w:tcW w:w="5060" w:type="dxa"/>
            <w:vAlign w:val="bottom"/>
          </w:tcPr>
          <w:p>
            <w:pPr>
              <w:ind w:left="80"/>
              <w:spacing w:after="0" w:line="205" w:lineRule="exact"/>
              <w:rPr>
                <w:sz w:val="20"/>
                <w:szCs w:val="20"/>
                <w:color w:val="auto"/>
              </w:rPr>
            </w:pPr>
            <w:r>
              <w:rPr>
                <w:rFonts w:ascii="Times New Roman" w:cs="Times New Roman" w:eastAsia="Times New Roman" w:hAnsi="Times New Roman"/>
                <w:sz w:val="19"/>
                <w:szCs w:val="19"/>
                <w:color w:val="auto"/>
                <w:w w:val="80"/>
              </w:rPr>
              <w:t>Governing Law.........................................................................................................</w:t>
            </w:r>
          </w:p>
        </w:tc>
        <w:tc>
          <w:tcPr>
            <w:tcW w:w="1380" w:type="dxa"/>
            <w:vAlign w:val="bottom"/>
            <w:gridSpan w:val="8"/>
          </w:tcPr>
          <w:p>
            <w:pPr>
              <w:spacing w:after="0"/>
              <w:rPr>
                <w:sz w:val="17"/>
                <w:szCs w:val="17"/>
                <w:color w:val="auto"/>
              </w:rPr>
            </w:pPr>
          </w:p>
        </w:tc>
        <w:tc>
          <w:tcPr>
            <w:tcW w:w="320" w:type="dxa"/>
            <w:vAlign w:val="bottom"/>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w w:val="98"/>
              </w:rPr>
              <w:t>109</w:t>
            </w:r>
          </w:p>
        </w:tc>
        <w:tc>
          <w:tcPr>
            <w:tcW w:w="260" w:type="dxa"/>
            <w:vAlign w:val="bottom"/>
            <w:tcBorders>
              <w:bottom w:val="single" w:sz="8" w:color="0E32E1"/>
            </w:tcBorders>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0E32E1"/>
                <w:w w:val="84"/>
              </w:rPr>
              <w:t>112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120" w:type="dxa"/>
            <w:vAlign w:val="bottom"/>
          </w:tcPr>
          <w:p>
            <w:pPr>
              <w:jc w:val="center"/>
              <w:ind w:left="443"/>
              <w:spacing w:after="0"/>
              <w:rPr>
                <w:sz w:val="20"/>
                <w:szCs w:val="20"/>
                <w:color w:val="auto"/>
              </w:rPr>
            </w:pPr>
            <w:r>
              <w:rPr>
                <w:rFonts w:ascii="Times New Roman" w:cs="Times New Roman" w:eastAsia="Times New Roman" w:hAnsi="Times New Roman"/>
                <w:sz w:val="19"/>
                <w:szCs w:val="19"/>
                <w:color w:val="auto"/>
              </w:rPr>
              <w:t>15.7</w:t>
            </w:r>
          </w:p>
        </w:tc>
        <w:tc>
          <w:tcPr>
            <w:tcW w:w="5060" w:type="dxa"/>
            <w:vAlign w:val="bottom"/>
          </w:tcPr>
          <w:p>
            <w:pPr>
              <w:ind w:left="80"/>
              <w:spacing w:after="0"/>
              <w:rPr>
                <w:sz w:val="20"/>
                <w:szCs w:val="20"/>
                <w:color w:val="auto"/>
              </w:rPr>
            </w:pPr>
            <w:r>
              <w:rPr>
                <w:rFonts w:ascii="Times New Roman" w:cs="Times New Roman" w:eastAsia="Times New Roman" w:hAnsi="Times New Roman"/>
                <w:sz w:val="19"/>
                <w:szCs w:val="19"/>
                <w:color w:val="auto"/>
                <w:w w:val="80"/>
              </w:rPr>
              <w:t>Severability...............................................................................................................</w:t>
            </w:r>
          </w:p>
        </w:tc>
        <w:tc>
          <w:tcPr>
            <w:tcW w:w="1380" w:type="dxa"/>
            <w:vAlign w:val="bottom"/>
            <w:gridSpan w:val="8"/>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EE2724"/>
                <w:strike w:val="1"/>
                <w:w w:val="98"/>
              </w:rPr>
              <w:t>110</w:t>
            </w:r>
          </w:p>
        </w:tc>
        <w:tc>
          <w:tcPr>
            <w:tcW w:w="2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84"/>
              </w:rPr>
              <w:t>113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6180" w:type="dxa"/>
            <w:vAlign w:val="bottom"/>
            <w:gridSpan w:val="2"/>
          </w:tcPr>
          <w:p>
            <w:pPr>
              <w:ind w:left="660"/>
              <w:spacing w:after="0"/>
              <w:rPr>
                <w:sz w:val="20"/>
                <w:szCs w:val="20"/>
                <w:color w:val="auto"/>
              </w:rPr>
            </w:pPr>
            <w:r>
              <w:rPr>
                <w:rFonts w:ascii="Times New Roman" w:cs="Times New Roman" w:eastAsia="Times New Roman" w:hAnsi="Times New Roman"/>
                <w:sz w:val="19"/>
                <w:szCs w:val="19"/>
                <w:color w:val="auto"/>
                <w:w w:val="82"/>
              </w:rPr>
              <w:t>15.8  Waiver of Jury Trial..................................................................................................</w:t>
            </w:r>
          </w:p>
        </w:tc>
        <w:tc>
          <w:tcPr>
            <w:tcW w:w="1380" w:type="dxa"/>
            <w:vAlign w:val="bottom"/>
            <w:gridSpan w:val="8"/>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EE2724"/>
                <w:strike w:val="1"/>
                <w:w w:val="98"/>
              </w:rPr>
              <w:t>111</w:t>
            </w:r>
          </w:p>
        </w:tc>
        <w:tc>
          <w:tcPr>
            <w:tcW w:w="260" w:type="dxa"/>
            <w:vAlign w:val="bottom"/>
            <w:tcBorders>
              <w:bottom w:val="single" w:sz="8" w:color="0E32E1"/>
            </w:tcBorders>
            <w:gridSpan w:val="4"/>
          </w:tcPr>
          <w:p>
            <w:pPr>
              <w:jc w:val="right"/>
              <w:spacing w:after="0"/>
              <w:rPr>
                <w:sz w:val="20"/>
                <w:szCs w:val="20"/>
                <w:color w:val="auto"/>
              </w:rPr>
            </w:pPr>
            <w:r>
              <w:rPr>
                <w:rFonts w:ascii="Times New Roman" w:cs="Times New Roman" w:eastAsia="Times New Roman" w:hAnsi="Times New Roman"/>
                <w:sz w:val="19"/>
                <w:szCs w:val="19"/>
                <w:color w:val="0E32E1"/>
                <w:w w:val="84"/>
              </w:rPr>
              <w:t>113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1120" w:type="dxa"/>
            <w:vAlign w:val="bottom"/>
          </w:tcPr>
          <w:p>
            <w:pPr>
              <w:jc w:val="center"/>
              <w:ind w:left="443"/>
              <w:spacing w:after="0" w:line="205" w:lineRule="exact"/>
              <w:rPr>
                <w:sz w:val="20"/>
                <w:szCs w:val="20"/>
                <w:color w:val="auto"/>
              </w:rPr>
            </w:pPr>
            <w:r>
              <w:rPr>
                <w:rFonts w:ascii="Times New Roman" w:cs="Times New Roman" w:eastAsia="Times New Roman" w:hAnsi="Times New Roman"/>
                <w:sz w:val="19"/>
                <w:szCs w:val="19"/>
                <w:color w:val="auto"/>
              </w:rPr>
              <w:t>15.9</w:t>
            </w:r>
          </w:p>
        </w:tc>
        <w:tc>
          <w:tcPr>
            <w:tcW w:w="5060" w:type="dxa"/>
            <w:vAlign w:val="bottom"/>
          </w:tcPr>
          <w:p>
            <w:pPr>
              <w:ind w:left="60"/>
              <w:spacing w:after="0" w:line="205" w:lineRule="exact"/>
              <w:rPr>
                <w:sz w:val="20"/>
                <w:szCs w:val="20"/>
                <w:color w:val="auto"/>
              </w:rPr>
            </w:pPr>
            <w:r>
              <w:rPr>
                <w:rFonts w:ascii="Times New Roman" w:cs="Times New Roman" w:eastAsia="Times New Roman" w:hAnsi="Times New Roman"/>
                <w:sz w:val="19"/>
                <w:szCs w:val="19"/>
                <w:color w:val="auto"/>
                <w:w w:val="80"/>
              </w:rPr>
              <w:t>Amendments, Etc......................................................................................................</w:t>
            </w:r>
          </w:p>
        </w:tc>
        <w:tc>
          <w:tcPr>
            <w:tcW w:w="1380" w:type="dxa"/>
            <w:vAlign w:val="bottom"/>
            <w:gridSpan w:val="8"/>
          </w:tcPr>
          <w:p>
            <w:pPr>
              <w:spacing w:after="0"/>
              <w:rPr>
                <w:sz w:val="17"/>
                <w:szCs w:val="17"/>
                <w:color w:val="auto"/>
              </w:rPr>
            </w:pPr>
          </w:p>
        </w:tc>
        <w:tc>
          <w:tcPr>
            <w:tcW w:w="320" w:type="dxa"/>
            <w:vAlign w:val="bottom"/>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w w:val="98"/>
              </w:rPr>
              <w:t>111</w:t>
            </w:r>
          </w:p>
        </w:tc>
        <w:tc>
          <w:tcPr>
            <w:tcW w:w="260" w:type="dxa"/>
            <w:vAlign w:val="bottom"/>
            <w:tcBorders>
              <w:bottom w:val="single" w:sz="8" w:color="0E32E1"/>
            </w:tcBorders>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0E32E1"/>
                <w:w w:val="84"/>
              </w:rPr>
              <w:t>113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120" w:type="dxa"/>
            <w:vAlign w:val="bottom"/>
          </w:tcPr>
          <w:p>
            <w:pPr>
              <w:jc w:val="center"/>
              <w:ind w:left="423"/>
              <w:spacing w:after="0"/>
              <w:rPr>
                <w:sz w:val="20"/>
                <w:szCs w:val="20"/>
                <w:color w:val="auto"/>
              </w:rPr>
            </w:pPr>
            <w:r>
              <w:rPr>
                <w:rFonts w:ascii="Times New Roman" w:cs="Times New Roman" w:eastAsia="Times New Roman" w:hAnsi="Times New Roman"/>
                <w:sz w:val="19"/>
                <w:szCs w:val="19"/>
                <w:color w:val="auto"/>
              </w:rPr>
              <w:t>15.10</w:t>
            </w:r>
          </w:p>
        </w:tc>
        <w:tc>
          <w:tcPr>
            <w:tcW w:w="506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79"/>
              </w:rPr>
              <w:t>Counterparts; Integration; Effectiveness...................................................................</w:t>
            </w:r>
          </w:p>
        </w:tc>
        <w:tc>
          <w:tcPr>
            <w:tcW w:w="1380" w:type="dxa"/>
            <w:vAlign w:val="bottom"/>
            <w:gridSpan w:val="8"/>
          </w:tcPr>
          <w:p>
            <w:pPr>
              <w:spacing w:after="0"/>
              <w:rPr>
                <w:sz w:val="19"/>
                <w:szCs w:val="19"/>
                <w:color w:val="auto"/>
              </w:rPr>
            </w:pPr>
          </w:p>
        </w:tc>
        <w:tc>
          <w:tcPr>
            <w:tcW w:w="36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EE2724"/>
                <w:strike w:val="1"/>
              </w:rPr>
              <w:t>113</w:t>
            </w:r>
          </w:p>
        </w:tc>
        <w:tc>
          <w:tcPr>
            <w:tcW w:w="30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9"/>
                <w:szCs w:val="19"/>
                <w:color w:val="0E32E1"/>
                <w:w w:val="98"/>
              </w:rPr>
              <w:t>115</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180" w:type="dxa"/>
            <w:vAlign w:val="bottom"/>
            <w:gridSpan w:val="2"/>
          </w:tcPr>
          <w:p>
            <w:pPr>
              <w:ind w:left="620"/>
              <w:spacing w:after="0" w:line="205" w:lineRule="exact"/>
              <w:rPr>
                <w:sz w:val="20"/>
                <w:szCs w:val="20"/>
                <w:color w:val="auto"/>
              </w:rPr>
            </w:pPr>
            <w:r>
              <w:rPr>
                <w:rFonts w:ascii="Times New Roman" w:cs="Times New Roman" w:eastAsia="Times New Roman" w:hAnsi="Times New Roman"/>
                <w:sz w:val="19"/>
                <w:szCs w:val="19"/>
                <w:color w:val="auto"/>
                <w:w w:val="82"/>
              </w:rPr>
              <w:t>15.11  Successors and Assigns; Participation. ....................................................................</w:t>
            </w:r>
          </w:p>
        </w:tc>
        <w:tc>
          <w:tcPr>
            <w:tcW w:w="1380" w:type="dxa"/>
            <w:vAlign w:val="bottom"/>
            <w:gridSpan w:val="8"/>
          </w:tcPr>
          <w:p>
            <w:pPr>
              <w:spacing w:after="0"/>
              <w:rPr>
                <w:sz w:val="17"/>
                <w:szCs w:val="17"/>
                <w:color w:val="auto"/>
              </w:rPr>
            </w:pPr>
          </w:p>
        </w:tc>
        <w:tc>
          <w:tcPr>
            <w:tcW w:w="360" w:type="dxa"/>
            <w:vAlign w:val="bottom"/>
            <w:gridSpan w:val="7"/>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113</w:t>
            </w:r>
          </w:p>
        </w:tc>
        <w:tc>
          <w:tcPr>
            <w:tcW w:w="280" w:type="dxa"/>
            <w:vAlign w:val="bottom"/>
            <w:tcBorders>
              <w:bottom w:val="single" w:sz="8" w:color="0E32E1"/>
            </w:tcBorders>
            <w:gridSpan w:val="5"/>
          </w:tcPr>
          <w:p>
            <w:pPr>
              <w:spacing w:after="0" w:line="205" w:lineRule="exact"/>
              <w:rPr>
                <w:sz w:val="20"/>
                <w:szCs w:val="20"/>
                <w:color w:val="auto"/>
              </w:rPr>
            </w:pPr>
            <w:r>
              <w:rPr>
                <w:rFonts w:ascii="Times New Roman" w:cs="Times New Roman" w:eastAsia="Times New Roman" w:hAnsi="Times New Roman"/>
                <w:sz w:val="19"/>
                <w:szCs w:val="19"/>
                <w:color w:val="0E32E1"/>
                <w:w w:val="91"/>
              </w:rPr>
              <w:t>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120" w:type="dxa"/>
            <w:vAlign w:val="bottom"/>
          </w:tcPr>
          <w:p>
            <w:pPr>
              <w:jc w:val="center"/>
              <w:ind w:left="423"/>
              <w:spacing w:after="0"/>
              <w:rPr>
                <w:sz w:val="20"/>
                <w:szCs w:val="20"/>
                <w:color w:val="auto"/>
              </w:rPr>
            </w:pPr>
            <w:r>
              <w:rPr>
                <w:rFonts w:ascii="Times New Roman" w:cs="Times New Roman" w:eastAsia="Times New Roman" w:hAnsi="Times New Roman"/>
                <w:sz w:val="19"/>
                <w:szCs w:val="19"/>
                <w:color w:val="auto"/>
              </w:rPr>
              <w:t>15.12</w:t>
            </w:r>
          </w:p>
        </w:tc>
        <w:tc>
          <w:tcPr>
            <w:tcW w:w="506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79"/>
              </w:rPr>
              <w:t>Payments Set Aside...................................................................................................</w:t>
            </w:r>
          </w:p>
        </w:tc>
        <w:tc>
          <w:tcPr>
            <w:tcW w:w="1380" w:type="dxa"/>
            <w:vAlign w:val="bottom"/>
            <w:gridSpan w:val="8"/>
          </w:tcPr>
          <w:p>
            <w:pPr>
              <w:spacing w:after="0"/>
              <w:rPr>
                <w:sz w:val="19"/>
                <w:szCs w:val="19"/>
                <w:color w:val="auto"/>
              </w:rPr>
            </w:pPr>
          </w:p>
        </w:tc>
        <w:tc>
          <w:tcPr>
            <w:tcW w:w="36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EE2724"/>
                <w:strike w:val="1"/>
              </w:rPr>
              <w:t>116</w:t>
            </w:r>
          </w:p>
        </w:tc>
        <w:tc>
          <w:tcPr>
            <w:tcW w:w="30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9"/>
                <w:szCs w:val="19"/>
                <w:color w:val="0E32E1"/>
                <w:w w:val="98"/>
              </w:rPr>
              <w:t>119</w:t>
            </w: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120" w:type="dxa"/>
            <w:vAlign w:val="bottom"/>
          </w:tcPr>
          <w:p>
            <w:pPr>
              <w:jc w:val="center"/>
              <w:ind w:left="423"/>
              <w:spacing w:after="0"/>
              <w:rPr>
                <w:sz w:val="20"/>
                <w:szCs w:val="20"/>
                <w:color w:val="auto"/>
              </w:rPr>
            </w:pPr>
            <w:r>
              <w:rPr>
                <w:rFonts w:ascii="Times New Roman" w:cs="Times New Roman" w:eastAsia="Times New Roman" w:hAnsi="Times New Roman"/>
                <w:sz w:val="19"/>
                <w:szCs w:val="19"/>
                <w:color w:val="auto"/>
              </w:rPr>
              <w:t>15.13</w:t>
            </w:r>
          </w:p>
        </w:tc>
        <w:tc>
          <w:tcPr>
            <w:tcW w:w="506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79"/>
              </w:rPr>
              <w:t>Right of Setoff...........................................................................................................</w:t>
            </w:r>
          </w:p>
        </w:tc>
        <w:tc>
          <w:tcPr>
            <w:tcW w:w="1380" w:type="dxa"/>
            <w:vAlign w:val="bottom"/>
            <w:gridSpan w:val="8"/>
          </w:tcPr>
          <w:p>
            <w:pPr>
              <w:spacing w:after="0"/>
              <w:rPr>
                <w:sz w:val="19"/>
                <w:szCs w:val="19"/>
                <w:color w:val="auto"/>
              </w:rPr>
            </w:pPr>
          </w:p>
        </w:tc>
        <w:tc>
          <w:tcPr>
            <w:tcW w:w="36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EE2724"/>
                <w:strike w:val="1"/>
              </w:rPr>
              <w:t>117</w:t>
            </w:r>
          </w:p>
        </w:tc>
        <w:tc>
          <w:tcPr>
            <w:tcW w:w="30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9"/>
                <w:szCs w:val="19"/>
                <w:color w:val="0E32E1"/>
                <w:w w:val="98"/>
              </w:rPr>
              <w:t>119</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1120" w:type="dxa"/>
            <w:vAlign w:val="bottom"/>
          </w:tcPr>
          <w:p>
            <w:pPr>
              <w:jc w:val="center"/>
              <w:ind w:left="463"/>
              <w:spacing w:after="0" w:line="205" w:lineRule="exact"/>
              <w:rPr>
                <w:sz w:val="20"/>
                <w:szCs w:val="20"/>
                <w:color w:val="auto"/>
              </w:rPr>
            </w:pPr>
            <w:r>
              <w:rPr>
                <w:rFonts w:ascii="Times New Roman" w:cs="Times New Roman" w:eastAsia="Times New Roman" w:hAnsi="Times New Roman"/>
                <w:sz w:val="19"/>
                <w:szCs w:val="19"/>
                <w:color w:val="auto"/>
              </w:rPr>
              <w:t>15.14</w:t>
            </w:r>
          </w:p>
        </w:tc>
        <w:tc>
          <w:tcPr>
            <w:tcW w:w="5060" w:type="dxa"/>
            <w:vAlign w:val="bottom"/>
          </w:tcPr>
          <w:p>
            <w:pPr>
              <w:ind w:left="120"/>
              <w:spacing w:after="0" w:line="205" w:lineRule="exact"/>
              <w:rPr>
                <w:sz w:val="20"/>
                <w:szCs w:val="20"/>
                <w:color w:val="auto"/>
              </w:rPr>
            </w:pPr>
            <w:r>
              <w:rPr>
                <w:rFonts w:ascii="Times New Roman" w:cs="Times New Roman" w:eastAsia="Times New Roman" w:hAnsi="Times New Roman"/>
                <w:sz w:val="19"/>
                <w:szCs w:val="19"/>
                <w:color w:val="auto"/>
                <w:w w:val="79"/>
              </w:rPr>
              <w:t>Replacement of Lenders...........................................................................................</w:t>
            </w:r>
          </w:p>
        </w:tc>
        <w:tc>
          <w:tcPr>
            <w:tcW w:w="1380" w:type="dxa"/>
            <w:vAlign w:val="bottom"/>
            <w:gridSpan w:val="8"/>
          </w:tcPr>
          <w:p>
            <w:pPr>
              <w:spacing w:after="0"/>
              <w:rPr>
                <w:sz w:val="17"/>
                <w:szCs w:val="17"/>
                <w:color w:val="auto"/>
              </w:rPr>
            </w:pPr>
          </w:p>
        </w:tc>
        <w:tc>
          <w:tcPr>
            <w:tcW w:w="340" w:type="dxa"/>
            <w:vAlign w:val="bottom"/>
            <w:gridSpan w:val="6"/>
          </w:tcPr>
          <w:p>
            <w:pPr>
              <w:jc w:val="center"/>
              <w:spacing w:after="0" w:line="205" w:lineRule="exact"/>
              <w:rPr>
                <w:sz w:val="20"/>
                <w:szCs w:val="20"/>
                <w:color w:val="auto"/>
              </w:rPr>
            </w:pPr>
            <w:r>
              <w:rPr>
                <w:rFonts w:ascii="Times New Roman" w:cs="Times New Roman" w:eastAsia="Times New Roman" w:hAnsi="Times New Roman"/>
                <w:sz w:val="19"/>
                <w:szCs w:val="19"/>
                <w:color w:val="EE2724"/>
                <w:strike w:val="1"/>
                <w:w w:val="98"/>
              </w:rPr>
              <w:t>117</w:t>
            </w:r>
          </w:p>
        </w:tc>
        <w:tc>
          <w:tcPr>
            <w:tcW w:w="300" w:type="dxa"/>
            <w:vAlign w:val="bottom"/>
            <w:tcBorders>
              <w:bottom w:val="single" w:sz="8" w:color="0E32E1"/>
            </w:tcBorders>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0E32E1"/>
                <w:w w:val="98"/>
              </w:rPr>
              <w:t>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120" w:type="dxa"/>
            <w:vAlign w:val="bottom"/>
          </w:tcPr>
          <w:p>
            <w:pPr>
              <w:jc w:val="center"/>
              <w:ind w:left="463"/>
              <w:spacing w:after="0"/>
              <w:rPr>
                <w:sz w:val="20"/>
                <w:szCs w:val="20"/>
                <w:color w:val="auto"/>
              </w:rPr>
            </w:pPr>
            <w:r>
              <w:rPr>
                <w:rFonts w:ascii="Times New Roman" w:cs="Times New Roman" w:eastAsia="Times New Roman" w:hAnsi="Times New Roman"/>
                <w:sz w:val="19"/>
                <w:szCs w:val="19"/>
                <w:color w:val="auto"/>
              </w:rPr>
              <w:t>15.15</w:t>
            </w:r>
          </w:p>
        </w:tc>
        <w:tc>
          <w:tcPr>
            <w:tcW w:w="506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79"/>
              </w:rPr>
              <w:t>Confidentiality..........................................................................................................</w:t>
            </w:r>
          </w:p>
        </w:tc>
        <w:tc>
          <w:tcPr>
            <w:tcW w:w="1380" w:type="dxa"/>
            <w:vAlign w:val="bottom"/>
            <w:gridSpan w:val="8"/>
          </w:tcPr>
          <w:p>
            <w:pPr>
              <w:spacing w:after="0"/>
              <w:rPr>
                <w:sz w:val="19"/>
                <w:szCs w:val="19"/>
                <w:color w:val="auto"/>
              </w:rPr>
            </w:pPr>
          </w:p>
        </w:tc>
        <w:tc>
          <w:tcPr>
            <w:tcW w:w="340" w:type="dxa"/>
            <w:vAlign w:val="bottom"/>
            <w:gridSpan w:val="6"/>
          </w:tcPr>
          <w:p>
            <w:pPr>
              <w:jc w:val="center"/>
              <w:spacing w:after="0"/>
              <w:rPr>
                <w:sz w:val="20"/>
                <w:szCs w:val="20"/>
                <w:color w:val="auto"/>
              </w:rPr>
            </w:pPr>
            <w:r>
              <w:rPr>
                <w:rFonts w:ascii="Times New Roman" w:cs="Times New Roman" w:eastAsia="Times New Roman" w:hAnsi="Times New Roman"/>
                <w:sz w:val="19"/>
                <w:szCs w:val="19"/>
                <w:color w:val="EE2724"/>
                <w:strike w:val="1"/>
                <w:w w:val="98"/>
              </w:rPr>
              <w:t>118</w:t>
            </w:r>
          </w:p>
        </w:tc>
        <w:tc>
          <w:tcPr>
            <w:tcW w:w="300" w:type="dxa"/>
            <w:vAlign w:val="bottom"/>
            <w:tcBorders>
              <w:bottom w:val="single" w:sz="8" w:color="0E32E1"/>
            </w:tcBorders>
            <w:gridSpan w:val="6"/>
          </w:tcPr>
          <w:p>
            <w:pPr>
              <w:jc w:val="right"/>
              <w:spacing w:after="0"/>
              <w:rPr>
                <w:sz w:val="20"/>
                <w:szCs w:val="20"/>
                <w:color w:val="auto"/>
              </w:rPr>
            </w:pPr>
            <w:r>
              <w:rPr>
                <w:rFonts w:ascii="Times New Roman" w:cs="Times New Roman" w:eastAsia="Times New Roman" w:hAnsi="Times New Roman"/>
                <w:sz w:val="19"/>
                <w:szCs w:val="19"/>
                <w:color w:val="0E32E1"/>
                <w:w w:val="98"/>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180" w:type="dxa"/>
            <w:vAlign w:val="bottom"/>
            <w:gridSpan w:val="2"/>
          </w:tcPr>
          <w:p>
            <w:pPr>
              <w:ind w:left="600"/>
              <w:spacing w:after="0" w:line="205" w:lineRule="exact"/>
              <w:rPr>
                <w:sz w:val="20"/>
                <w:szCs w:val="20"/>
                <w:color w:val="auto"/>
              </w:rPr>
            </w:pPr>
            <w:r>
              <w:rPr>
                <w:rFonts w:ascii="Times New Roman" w:cs="Times New Roman" w:eastAsia="Times New Roman" w:hAnsi="Times New Roman"/>
                <w:sz w:val="19"/>
                <w:szCs w:val="19"/>
                <w:color w:val="auto"/>
                <w:w w:val="82"/>
              </w:rPr>
              <w:t>15.16  No Advisory or Fiduciary Responsibility ................................................................</w:t>
            </w:r>
          </w:p>
        </w:tc>
        <w:tc>
          <w:tcPr>
            <w:tcW w:w="1380" w:type="dxa"/>
            <w:vAlign w:val="bottom"/>
            <w:gridSpan w:val="8"/>
          </w:tcPr>
          <w:p>
            <w:pPr>
              <w:spacing w:after="0"/>
              <w:rPr>
                <w:sz w:val="17"/>
                <w:szCs w:val="17"/>
                <w:color w:val="auto"/>
              </w:rPr>
            </w:pPr>
          </w:p>
        </w:tc>
        <w:tc>
          <w:tcPr>
            <w:tcW w:w="360" w:type="dxa"/>
            <w:vAlign w:val="bottom"/>
            <w:gridSpan w:val="7"/>
          </w:tcPr>
          <w:p>
            <w:pPr>
              <w:jc w:val="right"/>
              <w:spacing w:after="0" w:line="205" w:lineRule="exact"/>
              <w:rPr>
                <w:sz w:val="20"/>
                <w:szCs w:val="20"/>
                <w:color w:val="auto"/>
              </w:rPr>
            </w:pPr>
            <w:r>
              <w:rPr>
                <w:rFonts w:ascii="Times New Roman" w:cs="Times New Roman" w:eastAsia="Times New Roman" w:hAnsi="Times New Roman"/>
                <w:sz w:val="19"/>
                <w:szCs w:val="19"/>
                <w:color w:val="EE2724"/>
                <w:strike w:val="1"/>
              </w:rPr>
              <w:t>118</w:t>
            </w:r>
          </w:p>
        </w:tc>
        <w:tc>
          <w:tcPr>
            <w:tcW w:w="280" w:type="dxa"/>
            <w:vAlign w:val="bottom"/>
            <w:tcBorders>
              <w:bottom w:val="single" w:sz="8" w:color="0E32E1"/>
            </w:tcBorders>
            <w:gridSpan w:val="5"/>
          </w:tcPr>
          <w:p>
            <w:pPr>
              <w:spacing w:after="0" w:line="205" w:lineRule="exact"/>
              <w:rPr>
                <w:sz w:val="20"/>
                <w:szCs w:val="20"/>
                <w:color w:val="auto"/>
              </w:rPr>
            </w:pPr>
            <w:r>
              <w:rPr>
                <w:rFonts w:ascii="Times New Roman" w:cs="Times New Roman" w:eastAsia="Times New Roman" w:hAnsi="Times New Roman"/>
                <w:sz w:val="19"/>
                <w:szCs w:val="19"/>
                <w:color w:val="0E32E1"/>
                <w:w w:val="91"/>
              </w:rPr>
              <w:t>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6180" w:type="dxa"/>
            <w:vAlign w:val="bottom"/>
            <w:gridSpan w:val="2"/>
          </w:tcPr>
          <w:p>
            <w:pPr>
              <w:ind w:left="620"/>
              <w:spacing w:after="0"/>
              <w:rPr>
                <w:sz w:val="20"/>
                <w:szCs w:val="20"/>
                <w:color w:val="auto"/>
              </w:rPr>
            </w:pPr>
            <w:r>
              <w:rPr>
                <w:rFonts w:ascii="Times New Roman" w:cs="Times New Roman" w:eastAsia="Times New Roman" w:hAnsi="Times New Roman"/>
                <w:sz w:val="19"/>
                <w:szCs w:val="19"/>
                <w:color w:val="auto"/>
                <w:w w:val="82"/>
              </w:rPr>
              <w:t>15.17  USA PATRIOT Act Notice......................................................................................</w:t>
            </w:r>
          </w:p>
        </w:tc>
        <w:tc>
          <w:tcPr>
            <w:tcW w:w="1380" w:type="dxa"/>
            <w:vAlign w:val="bottom"/>
            <w:gridSpan w:val="8"/>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EE2724"/>
                <w:strike w:val="1"/>
              </w:rPr>
              <w:t>119</w:t>
            </w:r>
          </w:p>
        </w:tc>
        <w:tc>
          <w:tcPr>
            <w:tcW w:w="300" w:type="dxa"/>
            <w:vAlign w:val="bottom"/>
            <w:tcBorders>
              <w:bottom w:val="single" w:sz="8" w:color="0E32E1"/>
            </w:tcBorders>
            <w:gridSpan w:val="6"/>
          </w:tcPr>
          <w:p>
            <w:pPr>
              <w:jc w:val="right"/>
              <w:spacing w:after="0"/>
              <w:rPr>
                <w:sz w:val="20"/>
                <w:szCs w:val="20"/>
                <w:color w:val="auto"/>
              </w:rPr>
            </w:pPr>
            <w:r>
              <w:rPr>
                <w:rFonts w:ascii="Times New Roman" w:cs="Times New Roman" w:eastAsia="Times New Roman" w:hAnsi="Times New Roman"/>
                <w:sz w:val="19"/>
                <w:szCs w:val="19"/>
                <w:color w:val="0E32E1"/>
                <w:w w:val="98"/>
              </w:rPr>
              <w:t>121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6180" w:type="dxa"/>
            <w:vAlign w:val="bottom"/>
            <w:gridSpan w:val="2"/>
          </w:tcPr>
          <w:p>
            <w:pPr>
              <w:ind w:left="600"/>
              <w:spacing w:after="0"/>
              <w:rPr>
                <w:sz w:val="20"/>
                <w:szCs w:val="20"/>
                <w:color w:val="auto"/>
              </w:rPr>
            </w:pPr>
            <w:r>
              <w:rPr>
                <w:rFonts w:ascii="Times New Roman" w:cs="Times New Roman" w:eastAsia="Times New Roman" w:hAnsi="Times New Roman"/>
                <w:sz w:val="19"/>
                <w:szCs w:val="19"/>
                <w:color w:val="auto"/>
                <w:w w:val="82"/>
              </w:rPr>
              <w:t>15.18  Survival of Representations and Warranties.............................................................</w:t>
            </w:r>
          </w:p>
        </w:tc>
        <w:tc>
          <w:tcPr>
            <w:tcW w:w="1380" w:type="dxa"/>
            <w:vAlign w:val="bottom"/>
            <w:gridSpan w:val="8"/>
          </w:tcPr>
          <w:p>
            <w:pPr>
              <w:spacing w:after="0"/>
              <w:rPr>
                <w:sz w:val="19"/>
                <w:szCs w:val="19"/>
                <w:color w:val="auto"/>
              </w:rPr>
            </w:pPr>
          </w:p>
        </w:tc>
        <w:tc>
          <w:tcPr>
            <w:tcW w:w="36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EE2724"/>
                <w:strike w:val="1"/>
              </w:rPr>
              <w:t>119</w:t>
            </w:r>
          </w:p>
        </w:tc>
        <w:tc>
          <w:tcPr>
            <w:tcW w:w="28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9"/>
                <w:szCs w:val="19"/>
                <w:color w:val="0E32E1"/>
                <w:w w:val="91"/>
              </w:rPr>
              <w:t>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180" w:type="dxa"/>
            <w:vAlign w:val="bottom"/>
            <w:gridSpan w:val="2"/>
          </w:tcPr>
          <w:p>
            <w:pPr>
              <w:ind w:left="620"/>
              <w:spacing w:after="0" w:line="205" w:lineRule="exact"/>
              <w:rPr>
                <w:sz w:val="20"/>
                <w:szCs w:val="20"/>
                <w:color w:val="auto"/>
              </w:rPr>
            </w:pPr>
            <w:r>
              <w:rPr>
                <w:rFonts w:ascii="Times New Roman" w:cs="Times New Roman" w:eastAsia="Times New Roman" w:hAnsi="Times New Roman"/>
                <w:sz w:val="19"/>
                <w:szCs w:val="19"/>
                <w:color w:val="auto"/>
                <w:w w:val="82"/>
              </w:rPr>
              <w:t>15.19  Execution of Assignments and Certain Other Documents.......................................</w:t>
            </w:r>
          </w:p>
        </w:tc>
        <w:tc>
          <w:tcPr>
            <w:tcW w:w="1380" w:type="dxa"/>
            <w:vAlign w:val="bottom"/>
            <w:gridSpan w:val="8"/>
          </w:tcPr>
          <w:p>
            <w:pPr>
              <w:spacing w:after="0"/>
              <w:rPr>
                <w:sz w:val="17"/>
                <w:szCs w:val="17"/>
                <w:color w:val="auto"/>
              </w:rPr>
            </w:pPr>
          </w:p>
        </w:tc>
        <w:tc>
          <w:tcPr>
            <w:tcW w:w="340" w:type="dxa"/>
            <w:vAlign w:val="bottom"/>
            <w:gridSpan w:val="6"/>
          </w:tcPr>
          <w:p>
            <w:pPr>
              <w:jc w:val="center"/>
              <w:spacing w:after="0" w:line="205" w:lineRule="exact"/>
              <w:rPr>
                <w:sz w:val="20"/>
                <w:szCs w:val="20"/>
                <w:color w:val="auto"/>
              </w:rPr>
            </w:pPr>
            <w:r>
              <w:rPr>
                <w:rFonts w:ascii="Times New Roman" w:cs="Times New Roman" w:eastAsia="Times New Roman" w:hAnsi="Times New Roman"/>
                <w:sz w:val="19"/>
                <w:szCs w:val="19"/>
                <w:color w:val="EE2724"/>
                <w:strike w:val="1"/>
                <w:w w:val="98"/>
              </w:rPr>
              <w:t>119</w:t>
            </w:r>
          </w:p>
        </w:tc>
        <w:tc>
          <w:tcPr>
            <w:tcW w:w="300" w:type="dxa"/>
            <w:vAlign w:val="bottom"/>
            <w:tcBorders>
              <w:bottom w:val="single" w:sz="8" w:color="0E32E1"/>
            </w:tcBorders>
            <w:gridSpan w:val="6"/>
          </w:tcPr>
          <w:p>
            <w:pPr>
              <w:jc w:val="right"/>
              <w:spacing w:after="0" w:line="205" w:lineRule="exact"/>
              <w:rPr>
                <w:sz w:val="20"/>
                <w:szCs w:val="20"/>
                <w:color w:val="auto"/>
              </w:rPr>
            </w:pPr>
            <w:r>
              <w:rPr>
                <w:rFonts w:ascii="Times New Roman" w:cs="Times New Roman" w:eastAsia="Times New Roman" w:hAnsi="Times New Roman"/>
                <w:sz w:val="19"/>
                <w:szCs w:val="19"/>
                <w:color w:val="0E32E1"/>
                <w:w w:val="98"/>
              </w:rPr>
              <w:t>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120" w:type="dxa"/>
            <w:vAlign w:val="bottom"/>
          </w:tcPr>
          <w:p>
            <w:pPr>
              <w:jc w:val="center"/>
              <w:ind w:left="423"/>
              <w:spacing w:after="0"/>
              <w:rPr>
                <w:sz w:val="20"/>
                <w:szCs w:val="20"/>
                <w:color w:val="auto"/>
              </w:rPr>
            </w:pPr>
            <w:r>
              <w:rPr>
                <w:rFonts w:ascii="Times New Roman" w:cs="Times New Roman" w:eastAsia="Times New Roman" w:hAnsi="Times New Roman"/>
                <w:sz w:val="19"/>
                <w:szCs w:val="19"/>
                <w:color w:val="auto"/>
              </w:rPr>
              <w:t>15.20</w:t>
            </w:r>
          </w:p>
        </w:tc>
        <w:tc>
          <w:tcPr>
            <w:tcW w:w="5060" w:type="dxa"/>
            <w:vAlign w:val="bottom"/>
          </w:tcPr>
          <w:p>
            <w:pPr>
              <w:ind w:left="120"/>
              <w:spacing w:after="0"/>
              <w:rPr>
                <w:sz w:val="20"/>
                <w:szCs w:val="20"/>
                <w:color w:val="auto"/>
              </w:rPr>
            </w:pPr>
            <w:r>
              <w:rPr>
                <w:rFonts w:ascii="Times New Roman" w:cs="Times New Roman" w:eastAsia="Times New Roman" w:hAnsi="Times New Roman"/>
                <w:sz w:val="19"/>
                <w:szCs w:val="19"/>
                <w:b w:val="1"/>
                <w:bCs w:val="1"/>
                <w:color w:val="auto"/>
                <w:w w:val="79"/>
              </w:rPr>
              <w:t>ENTIRE AGREEMENT</w:t>
            </w:r>
            <w:r>
              <w:rPr>
                <w:rFonts w:ascii="Times New Roman" w:cs="Times New Roman" w:eastAsia="Times New Roman" w:hAnsi="Times New Roman"/>
                <w:sz w:val="19"/>
                <w:szCs w:val="19"/>
                <w:color w:val="auto"/>
                <w:w w:val="79"/>
              </w:rPr>
              <w:t>........................................................................................</w:t>
            </w:r>
          </w:p>
        </w:tc>
        <w:tc>
          <w:tcPr>
            <w:tcW w:w="1380" w:type="dxa"/>
            <w:vAlign w:val="bottom"/>
            <w:gridSpan w:val="8"/>
          </w:tcPr>
          <w:p>
            <w:pPr>
              <w:spacing w:after="0"/>
              <w:rPr>
                <w:sz w:val="19"/>
                <w:szCs w:val="19"/>
                <w:color w:val="auto"/>
              </w:rPr>
            </w:pPr>
          </w:p>
        </w:tc>
        <w:tc>
          <w:tcPr>
            <w:tcW w:w="36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EE2724"/>
                <w:strike w:val="1"/>
              </w:rPr>
              <w:t>120</w:t>
            </w:r>
          </w:p>
        </w:tc>
        <w:tc>
          <w:tcPr>
            <w:tcW w:w="28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9"/>
                <w:szCs w:val="19"/>
                <w:color w:val="0E32E1"/>
                <w:w w:val="91"/>
              </w:rPr>
              <w:t>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0139"/>
          </w:cols>
          <w:pgMar w:left="320" w:top="1440" w:right="1440" w:bottom="1440" w:gutter="0" w:footer="0" w:header="0"/>
        </w:sectPr>
      </w:pPr>
    </w:p>
    <w:bookmarkStart w:id="112" w:name="page113"/>
    <w:bookmarkEnd w:id="112"/>
    <w:p>
      <w:pPr>
        <w:ind w:left="700"/>
        <w:spacing w:after="0"/>
        <w:tabs>
          <w:tab w:leader="none" w:pos="1320" w:val="left"/>
          <w:tab w:leader="dot" w:pos="7700" w:val="left"/>
        </w:tabs>
        <w:rPr>
          <w:sz w:val="20"/>
          <w:szCs w:val="20"/>
          <w:color w:val="auto"/>
        </w:rPr>
      </w:pPr>
      <w:r>
        <w:rPr>
          <w:rFonts w:ascii="Times New Roman" w:cs="Times New Roman" w:eastAsia="Times New Roman" w:hAnsi="Times New Roman"/>
          <w:sz w:val="19"/>
          <w:szCs w:val="19"/>
          <w:color w:val="auto"/>
        </w:rPr>
        <w:t>15.21</w:t>
        <w:tab/>
        <w:t>Restatement of Existing Agreement</w:t>
      </w:r>
      <w:r>
        <w:rPr>
          <w:sz w:val="20"/>
          <w:szCs w:val="20"/>
          <w:color w:val="auto"/>
        </w:rPr>
        <w:tab/>
      </w:r>
      <w:r>
        <w:rPr>
          <w:rFonts w:ascii="Times New Roman" w:cs="Times New Roman" w:eastAsia="Times New Roman" w:hAnsi="Times New Roman"/>
          <w:sz w:val="19"/>
          <w:szCs w:val="19"/>
          <w:color w:val="EE2724"/>
          <w:strike w:val="1"/>
        </w:rPr>
        <w:t>120</w:t>
      </w:r>
      <w:r>
        <w:rPr>
          <w:rFonts w:ascii="Times New Roman" w:cs="Times New Roman" w:eastAsia="Times New Roman" w:hAnsi="Times New Roman"/>
          <w:sz w:val="19"/>
          <w:szCs w:val="19"/>
          <w:u w:val="single" w:color="auto"/>
          <w:color w:val="0E32E1"/>
          <w:strike w:val="1"/>
        </w:rPr>
        <w:t>123</w:t>
      </w:r>
    </w:p>
    <w:p>
      <w:pPr>
        <w:spacing w:after="0" w:line="35" w:lineRule="exact"/>
        <w:rPr>
          <w:sz w:val="20"/>
          <w:szCs w:val="20"/>
          <w:color w:val="auto"/>
        </w:rPr>
      </w:pPr>
    </w:p>
    <w:p>
      <w:pPr>
        <w:ind w:left="700"/>
        <w:spacing w:after="0"/>
        <w:tabs>
          <w:tab w:leader="none" w:pos="1320" w:val="left"/>
          <w:tab w:leader="dot" w:pos="7700" w:val="left"/>
        </w:tabs>
        <w:rPr>
          <w:sz w:val="20"/>
          <w:szCs w:val="20"/>
          <w:color w:val="auto"/>
        </w:rPr>
      </w:pPr>
      <w:r>
        <w:rPr>
          <w:rFonts w:ascii="Times New Roman" w:cs="Times New Roman" w:eastAsia="Times New Roman" w:hAnsi="Times New Roman"/>
          <w:sz w:val="19"/>
          <w:szCs w:val="19"/>
          <w:color w:val="auto"/>
        </w:rPr>
        <w:t>15.22</w:t>
        <w:tab/>
        <w:t>Judgment Currency.</w:t>
      </w:r>
      <w:r>
        <w:rPr>
          <w:sz w:val="20"/>
          <w:szCs w:val="20"/>
          <w:color w:val="auto"/>
        </w:rPr>
        <w:tab/>
      </w:r>
      <w:r>
        <w:rPr>
          <w:rFonts w:ascii="Times New Roman" w:cs="Times New Roman" w:eastAsia="Times New Roman" w:hAnsi="Times New Roman"/>
          <w:sz w:val="19"/>
          <w:szCs w:val="19"/>
          <w:color w:val="EE2724"/>
          <w:strike w:val="1"/>
        </w:rPr>
        <w:t>120</w:t>
      </w:r>
      <w:r>
        <w:rPr>
          <w:rFonts w:ascii="Times New Roman" w:cs="Times New Roman" w:eastAsia="Times New Roman" w:hAnsi="Times New Roman"/>
          <w:sz w:val="19"/>
          <w:szCs w:val="19"/>
          <w:u w:val="single" w:color="auto"/>
          <w:color w:val="0E32E1"/>
          <w:strike w:val="1"/>
        </w:rPr>
        <w:t>123</w:t>
      </w:r>
    </w:p>
    <w:p>
      <w:pPr>
        <w:spacing w:after="0" w:line="15" w:lineRule="exact"/>
        <w:rPr>
          <w:sz w:val="20"/>
          <w:szCs w:val="20"/>
          <w:color w:val="auto"/>
        </w:rPr>
      </w:pPr>
    </w:p>
    <w:p>
      <w:pPr>
        <w:ind w:left="700"/>
        <w:spacing w:after="0"/>
        <w:tabs>
          <w:tab w:leader="none" w:pos="1320" w:val="left"/>
          <w:tab w:leader="dot" w:pos="7700" w:val="left"/>
        </w:tabs>
        <w:rPr>
          <w:sz w:val="20"/>
          <w:szCs w:val="20"/>
          <w:color w:val="auto"/>
        </w:rPr>
      </w:pPr>
      <w:r>
        <w:rPr>
          <w:rFonts w:ascii="Times New Roman" w:cs="Times New Roman" w:eastAsia="Times New Roman" w:hAnsi="Times New Roman"/>
          <w:sz w:val="19"/>
          <w:szCs w:val="19"/>
          <w:color w:val="auto"/>
        </w:rPr>
        <w:t>15.23</w:t>
        <w:tab/>
        <w:t>ERISA</w:t>
      </w:r>
      <w:r>
        <w:rPr>
          <w:sz w:val="20"/>
          <w:szCs w:val="20"/>
          <w:color w:val="auto"/>
        </w:rPr>
        <w:tab/>
      </w:r>
      <w:r>
        <w:rPr>
          <w:rFonts w:ascii="Times New Roman" w:cs="Times New Roman" w:eastAsia="Times New Roman" w:hAnsi="Times New Roman"/>
          <w:sz w:val="19"/>
          <w:szCs w:val="19"/>
          <w:color w:val="EE2724"/>
          <w:strike w:val="1"/>
        </w:rPr>
        <w:t>121</w:t>
      </w:r>
      <w:r>
        <w:rPr>
          <w:rFonts w:ascii="Times New Roman" w:cs="Times New Roman" w:eastAsia="Times New Roman" w:hAnsi="Times New Roman"/>
          <w:sz w:val="19"/>
          <w:szCs w:val="19"/>
          <w:u w:val="single" w:color="auto"/>
          <w:color w:val="0E32E1"/>
          <w:strike w:val="1"/>
        </w:rPr>
        <w:t>123</w:t>
      </w:r>
    </w:p>
    <w:p>
      <w:pPr>
        <w:spacing w:after="0" w:line="13" w:lineRule="exact"/>
        <w:rPr>
          <w:sz w:val="20"/>
          <w:szCs w:val="20"/>
          <w:color w:val="auto"/>
        </w:rPr>
      </w:pPr>
    </w:p>
    <w:p>
      <w:pPr>
        <w:ind w:left="700"/>
        <w:spacing w:after="0"/>
        <w:tabs>
          <w:tab w:leader="none" w:pos="1300" w:val="left"/>
          <w:tab w:leader="dot" w:pos="7700" w:val="left"/>
        </w:tabs>
        <w:rPr>
          <w:sz w:val="20"/>
          <w:szCs w:val="20"/>
          <w:color w:val="auto"/>
        </w:rPr>
      </w:pPr>
      <w:r>
        <w:rPr>
          <w:rFonts w:ascii="Times New Roman" w:cs="Times New Roman" w:eastAsia="Times New Roman" w:hAnsi="Times New Roman"/>
          <w:sz w:val="19"/>
          <w:szCs w:val="19"/>
          <w:color w:val="auto"/>
        </w:rPr>
        <w:t>15.24</w:t>
        <w:tab/>
        <w:t>Acknowledgement and Consent to Bail-In of Affected Financial Institutions</w:t>
      </w:r>
      <w:r>
        <w:rPr>
          <w:sz w:val="20"/>
          <w:szCs w:val="20"/>
          <w:color w:val="auto"/>
        </w:rPr>
        <w:tab/>
      </w:r>
      <w:r>
        <w:rPr>
          <w:rFonts w:ascii="Times New Roman" w:cs="Times New Roman" w:eastAsia="Times New Roman" w:hAnsi="Times New Roman"/>
          <w:sz w:val="19"/>
          <w:szCs w:val="19"/>
          <w:color w:val="EE2724"/>
          <w:strike w:val="1"/>
        </w:rPr>
        <w:t>122</w:t>
      </w:r>
      <w:r>
        <w:rPr>
          <w:rFonts w:ascii="Times New Roman" w:cs="Times New Roman" w:eastAsia="Times New Roman" w:hAnsi="Times New Roman"/>
          <w:sz w:val="19"/>
          <w:szCs w:val="19"/>
          <w:u w:val="single" w:color="auto"/>
          <w:color w:val="0E32E1"/>
          <w:strike w:val="1"/>
        </w:rPr>
        <w:t>124</w:t>
      </w:r>
    </w:p>
    <w:p>
      <w:pPr>
        <w:spacing w:after="0" w:line="15" w:lineRule="exact"/>
        <w:rPr>
          <w:sz w:val="20"/>
          <w:szCs w:val="20"/>
          <w:color w:val="auto"/>
        </w:rPr>
      </w:pPr>
    </w:p>
    <w:p>
      <w:pPr>
        <w:ind w:left="700"/>
        <w:spacing w:after="0"/>
        <w:tabs>
          <w:tab w:leader="none" w:pos="1300" w:val="left"/>
          <w:tab w:leader="dot" w:pos="7700" w:val="left"/>
        </w:tabs>
        <w:rPr>
          <w:sz w:val="20"/>
          <w:szCs w:val="20"/>
          <w:color w:val="auto"/>
        </w:rPr>
      </w:pPr>
      <w:r>
        <w:rPr>
          <w:rFonts w:ascii="Times New Roman" w:cs="Times New Roman" w:eastAsia="Times New Roman" w:hAnsi="Times New Roman"/>
          <w:sz w:val="19"/>
          <w:szCs w:val="19"/>
          <w:color w:val="auto"/>
        </w:rPr>
        <w:t>15.25</w:t>
        <w:tab/>
        <w:t>Acknowledgement Regarding Any Supported QFCs</w:t>
      </w:r>
      <w:r>
        <w:rPr>
          <w:sz w:val="20"/>
          <w:szCs w:val="20"/>
          <w:color w:val="auto"/>
        </w:rPr>
        <w:tab/>
      </w:r>
      <w:r>
        <w:rPr>
          <w:rFonts w:ascii="Times New Roman" w:cs="Times New Roman" w:eastAsia="Times New Roman" w:hAnsi="Times New Roman"/>
          <w:sz w:val="19"/>
          <w:szCs w:val="19"/>
          <w:color w:val="EE2724"/>
          <w:strike w:val="1"/>
        </w:rPr>
        <w:t>122</w:t>
      </w:r>
      <w:r>
        <w:rPr>
          <w:rFonts w:ascii="Times New Roman" w:cs="Times New Roman" w:eastAsia="Times New Roman" w:hAnsi="Times New Roman"/>
          <w:sz w:val="19"/>
          <w:szCs w:val="19"/>
          <w:u w:val="single" w:color="auto"/>
          <w:color w:val="0E32E1"/>
          <w:strike w:val="1"/>
        </w:rPr>
        <w:t>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9019"/>
          </w:cols>
          <w:pgMar w:left="1440" w:top="1390" w:right="1440" w:bottom="1440" w:gutter="0" w:footer="0" w:header="0"/>
        </w:sectPr>
      </w:pPr>
    </w:p>
    <w:bookmarkStart w:id="113" w:name="page114"/>
    <w:bookmarkEnd w:id="113"/>
    <w:p>
      <w:pPr>
        <w:ind w:left="4300"/>
        <w:spacing w:after="0"/>
        <w:rPr>
          <w:sz w:val="20"/>
          <w:szCs w:val="20"/>
          <w:color w:val="auto"/>
        </w:rPr>
      </w:pPr>
      <w:r>
        <w:rPr>
          <w:rFonts w:ascii="Times New Roman" w:cs="Times New Roman" w:eastAsia="Times New Roman" w:hAnsi="Times New Roman"/>
          <w:sz w:val="19"/>
          <w:szCs w:val="19"/>
          <w:b w:val="1"/>
          <w:bCs w:val="1"/>
          <w:color w:val="auto"/>
        </w:rPr>
        <w:t>SCHEDULES AND EXHIBITS</w:t>
      </w:r>
    </w:p>
    <w:p>
      <w:pPr>
        <w:spacing w:after="0" w:line="237" w:lineRule="exact"/>
        <w:rPr>
          <w:sz w:val="20"/>
          <w:szCs w:val="20"/>
          <w:color w:val="auto"/>
        </w:rPr>
      </w:pPr>
    </w:p>
    <w:p>
      <w:pPr>
        <w:ind w:right="5320"/>
        <w:spacing w:after="0" w:line="262" w:lineRule="auto"/>
        <w:rPr>
          <w:sz w:val="20"/>
          <w:szCs w:val="20"/>
          <w:color w:val="auto"/>
        </w:rPr>
      </w:pPr>
      <w:r>
        <w:rPr>
          <w:rFonts w:ascii="Times New Roman" w:cs="Times New Roman" w:eastAsia="Times New Roman" w:hAnsi="Times New Roman"/>
          <w:sz w:val="19"/>
          <w:szCs w:val="19"/>
          <w:color w:val="auto"/>
        </w:rPr>
        <w:t>Schedule 1 Parties, Addresses, Commitments, and Wiring Information Schedule 2.3 Existing L/Cs and Scheduled Debt</w:t>
      </w:r>
    </w:p>
    <w:p>
      <w:pPr>
        <w:spacing w:after="0" w:line="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9"/>
          <w:szCs w:val="19"/>
          <w:color w:val="auto"/>
        </w:rPr>
        <w:t>Schedule 7.1</w:t>
        <w:tab/>
        <w:t>Post-Closing Items</w:t>
      </w:r>
    </w:p>
    <w:p>
      <w:pPr>
        <w:spacing w:after="0" w:line="1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9"/>
          <w:szCs w:val="19"/>
          <w:color w:val="auto"/>
        </w:rPr>
        <w:t>Schedule 8.2</w:t>
        <w:tab/>
        <w:t>Corporate Organization and Structure</w:t>
      </w:r>
    </w:p>
    <w:p>
      <w:pPr>
        <w:spacing w:after="0" w:line="1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9"/>
          <w:szCs w:val="19"/>
          <w:color w:val="auto"/>
        </w:rPr>
        <w:t>Schedule 8.7</w:t>
        <w:tab/>
        <w:t>Material Litigation Summary</w:t>
      </w:r>
    </w:p>
    <w:p>
      <w:pPr>
        <w:spacing w:after="0" w:line="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9"/>
          <w:szCs w:val="19"/>
          <w:color w:val="auto"/>
        </w:rPr>
        <w:t>Schedule 8.9</w:t>
        <w:tab/>
        <w:t>Material Environmental Matters</w:t>
      </w:r>
    </w:p>
    <w:p>
      <w:pPr>
        <w:spacing w:after="0" w:line="1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9"/>
          <w:szCs w:val="19"/>
          <w:color w:val="auto"/>
        </w:rPr>
        <w:t>Schedule 8.11</w:t>
        <w:tab/>
        <w:t>Critical Assets</w:t>
      </w:r>
    </w:p>
    <w:p>
      <w:pPr>
        <w:spacing w:after="0" w:line="1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9"/>
          <w:szCs w:val="19"/>
          <w:color w:val="auto"/>
        </w:rPr>
        <w:t>Schedule 8.13</w:t>
        <w:tab/>
        <w:t>Non-Standard Transactions with Affiliates</w:t>
      </w:r>
    </w:p>
    <w:p>
      <w:pPr>
        <w:spacing w:after="0" w:line="1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9"/>
          <w:szCs w:val="19"/>
          <w:color w:val="auto"/>
        </w:rPr>
        <w:t>Schedule 8.24</w:t>
        <w:tab/>
        <w:t>Taxpayer Identification</w:t>
      </w:r>
    </w:p>
    <w:p>
      <w:pPr>
        <w:spacing w:after="0" w:line="1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9"/>
          <w:szCs w:val="19"/>
          <w:color w:val="auto"/>
        </w:rPr>
        <w:t>Schedule 10.8</w:t>
        <w:tab/>
        <w:t>Loans, Advances and Investments</w:t>
      </w:r>
    </w:p>
    <w:p>
      <w:pPr>
        <w:spacing w:after="0" w:line="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9"/>
          <w:szCs w:val="19"/>
          <w:color w:val="auto"/>
        </w:rPr>
        <w:t>Schedule 10.9</w:t>
        <w:tab/>
        <w:t>Permitted Distributions</w:t>
      </w:r>
    </w:p>
    <w:p>
      <w:pPr>
        <w:spacing w:after="0" w:line="1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Schedule 10.16</w:t>
        <w:tab/>
        <w:t>Existing Burdensome Agreements</w:t>
      </w:r>
    </w:p>
    <w:p>
      <w:pPr>
        <w:spacing w:after="0" w:line="23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Exhibit A-1</w:t>
        <w:tab/>
        <w:t>Form of Revolver Note</w:t>
      </w:r>
    </w:p>
    <w:p>
      <w:pPr>
        <w:spacing w:after="0" w:line="2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Exhibit A-2</w:t>
        <w:tab/>
        <w:t>Form of Term Loan Note</w:t>
      </w:r>
    </w:p>
    <w:p>
      <w:pPr>
        <w:spacing w:after="0" w:line="1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u w:val="single" w:color="auto"/>
          <w:color w:val="0E32E1"/>
        </w:rPr>
        <w:t>Exhibit A-3</w:t>
        <w:tab/>
        <w:t>Form of Delayed Draw Term Loan Note</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color w:val="auto"/>
        </w:rPr>
        <w:t>Exhibit B</w:t>
        <w:tab/>
        <w:t>Form of Guaranty</w:t>
      </w:r>
    </w:p>
    <w:p>
      <w:pPr>
        <w:spacing w:after="0" w:line="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color w:val="auto"/>
        </w:rPr>
        <w:t>Exhibit C</w:t>
        <w:tab/>
        <w:t>Form of Loan Notice</w:t>
      </w:r>
    </w:p>
    <w:p>
      <w:pPr>
        <w:spacing w:after="0" w:line="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color w:val="auto"/>
        </w:rPr>
        <w:t>Exhibit D</w:t>
        <w:tab/>
        <w:t>Form of Compliance Certificate</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color w:val="auto"/>
        </w:rPr>
        <w:t>Exhibit E</w:t>
        <w:tab/>
        <w:t>Form of Assignment and Assumption</w:t>
      </w:r>
    </w:p>
    <w:p>
      <w:pPr>
        <w:spacing w:after="0" w:line="1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9"/>
          <w:szCs w:val="19"/>
          <w:color w:val="auto"/>
        </w:rPr>
        <w:t>Exhibit F</w:t>
        <w:tab/>
        <w:t>Form of Pledge Agreement</w:t>
      </w:r>
    </w:p>
    <w:p>
      <w:pPr>
        <w:spacing w:after="0" w:line="15" w:lineRule="exact"/>
        <w:rPr>
          <w:sz w:val="20"/>
          <w:szCs w:val="20"/>
          <w:color w:val="auto"/>
        </w:rPr>
      </w:pPr>
    </w:p>
    <w:p>
      <w:pPr>
        <w:ind w:left="1180" w:right="480" w:hanging="1511"/>
        <w:spacing w:after="0" w:line="258" w:lineRule="auto"/>
        <w:tabs>
          <w:tab w:leader="none" w:pos="1160" w:val="left"/>
        </w:tabs>
        <w:rPr>
          <w:sz w:val="20"/>
          <w:szCs w:val="20"/>
          <w:color w:val="auto"/>
        </w:rPr>
      </w:pPr>
      <w:r>
        <w:rPr>
          <w:rFonts w:ascii="Times New Roman" w:cs="Times New Roman" w:eastAsia="Times New Roman" w:hAnsi="Times New Roman"/>
          <w:sz w:val="19"/>
          <w:szCs w:val="19"/>
          <w:color w:val="auto"/>
        </w:rPr>
        <w:t>Exhibit G-1:</w:t>
        <w:tab/>
        <w:t>Form of U.S. Tax Compliance Certificate (For Foreign Lenders That Are Not Partnerships for U.S. Federal Income Tax Purposes)</w:t>
      </w:r>
    </w:p>
    <w:p>
      <w:pPr>
        <w:ind w:left="1180" w:right="200" w:hanging="1511"/>
        <w:spacing w:after="0" w:line="255" w:lineRule="auto"/>
        <w:tabs>
          <w:tab w:leader="none" w:pos="1160" w:val="left"/>
        </w:tabs>
        <w:rPr>
          <w:sz w:val="20"/>
          <w:szCs w:val="20"/>
          <w:color w:val="auto"/>
        </w:rPr>
      </w:pPr>
      <w:r>
        <w:rPr>
          <w:rFonts w:ascii="Times New Roman" w:cs="Times New Roman" w:eastAsia="Times New Roman" w:hAnsi="Times New Roman"/>
          <w:sz w:val="19"/>
          <w:szCs w:val="19"/>
          <w:color w:val="auto"/>
        </w:rPr>
        <w:t>Exhibit G-2:</w:t>
        <w:tab/>
        <w:t>Form of U.S. Tax Compliance Certificate (For Foreign Participants That Are Not Partnerships for U.S. Federal Income Tax Purposes)</w:t>
      </w:r>
    </w:p>
    <w:p>
      <w:pPr>
        <w:ind w:left="1180" w:right="540" w:hanging="1511"/>
        <w:spacing w:after="0" w:line="255" w:lineRule="auto"/>
        <w:tabs>
          <w:tab w:leader="none" w:pos="1160" w:val="left"/>
        </w:tabs>
        <w:rPr>
          <w:sz w:val="20"/>
          <w:szCs w:val="20"/>
          <w:color w:val="auto"/>
        </w:rPr>
      </w:pPr>
      <w:r>
        <w:rPr>
          <w:rFonts w:ascii="Times New Roman" w:cs="Times New Roman" w:eastAsia="Times New Roman" w:hAnsi="Times New Roman"/>
          <w:sz w:val="19"/>
          <w:szCs w:val="19"/>
          <w:color w:val="auto"/>
        </w:rPr>
        <w:t>Exhibit G-3:</w:t>
        <w:tab/>
        <w:t>Form of U.S. Tax Compliance Certificate (For Foreign Participants That Are Partnerships for U.S. Federal Income Tax Purposes)</w:t>
      </w:r>
    </w:p>
    <w:p>
      <w:pPr>
        <w:spacing w:after="0"/>
        <w:tabs>
          <w:tab w:leader="none" w:pos="1160" w:val="left"/>
        </w:tabs>
        <w:rPr>
          <w:sz w:val="20"/>
          <w:szCs w:val="20"/>
          <w:color w:val="auto"/>
        </w:rPr>
      </w:pPr>
      <w:r>
        <w:rPr>
          <w:rFonts w:ascii="Times New Roman" w:cs="Times New Roman" w:eastAsia="Times New Roman" w:hAnsi="Times New Roman"/>
          <w:sz w:val="19"/>
          <w:szCs w:val="19"/>
          <w:color w:val="auto"/>
        </w:rPr>
        <w:t>Exhibit G-4:</w:t>
        <w:tab/>
        <w:t>Form of U.S. Tax Compliance Certificate (For Foreign Lenders That Are Partnerships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vi</w:t>
      </w:r>
    </w:p>
    <w:p>
      <w:pPr>
        <w:sectPr>
          <w:pgSz w:w="11900" w:h="16838" w:orient="portrait"/>
          <w:cols w:equalWidth="0" w:num="1">
            <w:col w:w="10960"/>
          </w:cols>
          <w:pgMar w:left="320" w:top="1386" w:right="61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9"/>
          <w:szCs w:val="19"/>
          <w:b w:val="1"/>
          <w:bCs w:val="1"/>
          <w:color w:val="auto"/>
        </w:rPr>
        <w:t>NINTH AMENDED AND RESTATED CREDIT AGREEMENT</w:t>
      </w:r>
    </w:p>
    <w:p>
      <w:pPr>
        <w:spacing w:after="0" w:line="343"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This Ninth Amended and Restated Credit Agreement is entered into as of April 24, 2024, among Vail Holdings, Inc., a Colorado corporation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Lenders (defined below), and Bank of America, N.A., as Administrative Agent (as defined below) for itself and the other Lenders.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37" w:lineRule="exact"/>
        <w:rPr>
          <w:sz w:val="20"/>
          <w:szCs w:val="20"/>
          <w:color w:val="auto"/>
        </w:rPr>
      </w:pPr>
    </w:p>
    <w:p>
      <w:pPr>
        <w:ind w:right="20" w:firstLine="643"/>
        <w:spacing w:after="0" w:line="300" w:lineRule="auto"/>
        <w:tabs>
          <w:tab w:leader="none" w:pos="1036"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 is made to that certain Eighth Amended and Restated Credit Agreement dated as of August 15, 2018, among Borrower, Bank of America, N.A., as administrative agent, and the lenders therein named (the “</w:t>
      </w:r>
      <w:r>
        <w:rPr>
          <w:rFonts w:ascii="Times New Roman" w:cs="Times New Roman" w:eastAsia="Times New Roman" w:hAnsi="Times New Roman"/>
          <w:sz w:val="19"/>
          <w:szCs w:val="19"/>
          <w:b w:val="1"/>
          <w:bCs w:val="1"/>
          <w:i w:val="1"/>
          <w:iCs w:val="1"/>
          <w:color w:val="auto"/>
        </w:rPr>
        <w:t>Existing Credit Agreement</w:t>
      </w:r>
      <w:r>
        <w:rPr>
          <w:rFonts w:ascii="Times New Roman" w:cs="Times New Roman" w:eastAsia="Times New Roman" w:hAnsi="Times New Roman"/>
          <w:sz w:val="19"/>
          <w:szCs w:val="19"/>
          <w:color w:val="auto"/>
        </w:rPr>
        <w:t>”).</w:t>
      </w:r>
    </w:p>
    <w:p>
      <w:pPr>
        <w:spacing w:after="0" w:line="130" w:lineRule="exact"/>
        <w:rPr>
          <w:rFonts w:ascii="Times New Roman" w:cs="Times New Roman" w:eastAsia="Times New Roman" w:hAnsi="Times New Roman"/>
          <w:sz w:val="19"/>
          <w:szCs w:val="19"/>
          <w:color w:val="auto"/>
        </w:rPr>
      </w:pPr>
    </w:p>
    <w:p>
      <w:pPr>
        <w:ind w:left="1020" w:hanging="377"/>
        <w:spacing w:after="0"/>
        <w:tabs>
          <w:tab w:leader="none" w:pos="102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wish to amend and restate the Existing Credit Agreement on the terms and conditions of this Agreement.</w:t>
      </w:r>
    </w:p>
    <w:p>
      <w:pPr>
        <w:spacing w:after="0" w:line="233" w:lineRule="exact"/>
        <w:rPr>
          <w:sz w:val="20"/>
          <w:szCs w:val="20"/>
          <w:color w:val="auto"/>
        </w:rPr>
      </w:pPr>
    </w:p>
    <w:p>
      <w:pPr>
        <w:jc w:val="both"/>
        <w:ind w:right="20" w:firstLine="637"/>
        <w:spacing w:after="0" w:line="285" w:lineRule="auto"/>
        <w:rPr>
          <w:sz w:val="20"/>
          <w:szCs w:val="20"/>
          <w:color w:val="auto"/>
        </w:rPr>
      </w:pPr>
      <w:r>
        <w:rPr>
          <w:rFonts w:ascii="Times New Roman" w:cs="Times New Roman" w:eastAsia="Times New Roman" w:hAnsi="Times New Roman"/>
          <w:sz w:val="19"/>
          <w:szCs w:val="19"/>
          <w:color w:val="auto"/>
        </w:rPr>
        <w:t>In consideration of the mutual covenants contained herein, and for other good and valuable consideration, the receipt and adequacy of which are hereby acknowledged, the Existing Credit Agreement is hereby amended and restated to read in its entirety as follows:</w:t>
      </w:r>
    </w:p>
    <w:p>
      <w:pPr>
        <w:spacing w:after="0" w:line="162" w:lineRule="exact"/>
        <w:rPr>
          <w:sz w:val="20"/>
          <w:szCs w:val="20"/>
          <w:color w:val="auto"/>
        </w:rPr>
      </w:pPr>
    </w:p>
    <w:p>
      <w:pPr>
        <w:ind w:left="320"/>
        <w:spacing w:after="0"/>
        <w:tabs>
          <w:tab w:leader="none" w:pos="1640" w:val="left"/>
        </w:tabs>
        <w:rPr>
          <w:sz w:val="20"/>
          <w:szCs w:val="20"/>
          <w:color w:val="auto"/>
        </w:rPr>
      </w:pPr>
      <w:r>
        <w:rPr>
          <w:rFonts w:ascii="Times New Roman" w:cs="Times New Roman" w:eastAsia="Times New Roman" w:hAnsi="Times New Roman"/>
          <w:sz w:val="21"/>
          <w:szCs w:val="21"/>
          <w:b w:val="1"/>
          <w:bCs w:val="1"/>
          <w:u w:val="single" w:color="auto"/>
          <w:color w:val="auto"/>
        </w:rPr>
        <w:t>SECTION 1</w:t>
      </w:r>
      <w:r>
        <w:rPr>
          <w:sz w:val="20"/>
          <w:szCs w:val="20"/>
          <w:color w:val="auto"/>
        </w:rPr>
        <w:tab/>
      </w:r>
      <w:r>
        <w:rPr>
          <w:rFonts w:ascii="Times New Roman" w:cs="Times New Roman" w:eastAsia="Times New Roman" w:hAnsi="Times New Roman"/>
          <w:sz w:val="21"/>
          <w:szCs w:val="21"/>
          <w:b w:val="1"/>
          <w:bCs w:val="1"/>
          <w:u w:val="single" w:color="auto"/>
          <w:color w:val="auto"/>
        </w:rPr>
        <w:t>DEFINITIONS AND TERMS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ind w:left="320"/>
        <w:spacing w:after="0"/>
        <w:tabs>
          <w:tab w:leader="none" w:pos="780" w:val="left"/>
        </w:tabs>
        <w:rPr>
          <w:sz w:val="20"/>
          <w:szCs w:val="20"/>
          <w:color w:val="auto"/>
        </w:rPr>
      </w:pPr>
      <w:r>
        <w:rPr>
          <w:rFonts w:ascii="Times New Roman" w:cs="Times New Roman" w:eastAsia="Times New Roman" w:hAnsi="Times New Roman"/>
          <w:sz w:val="21"/>
          <w:szCs w:val="21"/>
          <w:color w:val="auto"/>
        </w:rPr>
        <w:t>1.1</w:t>
        <w:tab/>
        <w:t>Definitions.</w:t>
      </w:r>
    </w:p>
    <w:p>
      <w:pPr>
        <w:spacing w:after="0" w:line="210"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2020 VRI Convertible Indenture </w:t>
      </w:r>
      <w:r>
        <w:rPr>
          <w:rFonts w:ascii="Times New Roman" w:cs="Times New Roman" w:eastAsia="Times New Roman" w:hAnsi="Times New Roman"/>
          <w:sz w:val="19"/>
          <w:szCs w:val="19"/>
          <w:color w:val="auto"/>
        </w:rPr>
        <w:t>means the Indenture, dated as of December 18, 2020, between VRI, as issuer, and U.S. Bank National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Association, as trustee, as supplemented from time to time.</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2020 VRI Convertible Notes </w:t>
      </w:r>
      <w:r>
        <w:rPr>
          <w:rFonts w:ascii="Times New Roman" w:cs="Times New Roman" w:eastAsia="Times New Roman" w:hAnsi="Times New Roman"/>
          <w:sz w:val="19"/>
          <w:szCs w:val="19"/>
          <w:color w:val="auto"/>
        </w:rPr>
        <w:t>means the 0.0% Convertible Notes issued under the 2020 VRI Convertible Indenture.</w:t>
      </w:r>
    </w:p>
    <w:p>
      <w:pPr>
        <w:spacing w:after="0" w:line="219"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2020 VRI Senior Indenture </w:t>
      </w:r>
      <w:r>
        <w:rPr>
          <w:rFonts w:ascii="Times New Roman" w:cs="Times New Roman" w:eastAsia="Times New Roman" w:hAnsi="Times New Roman"/>
          <w:sz w:val="19"/>
          <w:szCs w:val="19"/>
          <w:color w:val="auto"/>
        </w:rPr>
        <w:t>means the Indenture, dated as of May 4, 2020, among VRI, as issuer, U.S. Bank National Association,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trustee, and certain of VRI’s Subsidiaries, as guarantors, as supplemented from time to time.</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2020 VRI Senior Notes </w:t>
      </w:r>
      <w:r>
        <w:rPr>
          <w:rFonts w:ascii="Times New Roman" w:cs="Times New Roman" w:eastAsia="Times New Roman" w:hAnsi="Times New Roman"/>
          <w:sz w:val="19"/>
          <w:szCs w:val="19"/>
          <w:color w:val="auto"/>
        </w:rPr>
        <w:t>means the 6.250% Senior Notes issued under the 2020 VRI Senior Indenture.</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Act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15.17</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Adjusted EBITDA </w:t>
      </w:r>
      <w:r>
        <w:rPr>
          <w:rFonts w:ascii="Times New Roman" w:cs="Times New Roman" w:eastAsia="Times New Roman" w:hAnsi="Times New Roman"/>
          <w:sz w:val="19"/>
          <w:szCs w:val="19"/>
          <w:color w:val="auto"/>
        </w:rPr>
        <w:t>means, without duplication, for any period of determination, the sum of (a) EBITDA of the Restricted Companies,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 xml:space="preserve">plus </w:t>
      </w:r>
      <w:r>
        <w:rPr>
          <w:rFonts w:ascii="Times New Roman" w:cs="Times New Roman" w:eastAsia="Times New Roman" w:hAnsi="Times New Roman"/>
          <w:sz w:val="19"/>
          <w:szCs w:val="19"/>
          <w:color w:val="auto"/>
        </w:rPr>
        <w:t>(b) insurance proceeds received in cash by the Restricted Companies under policies of business interruption insurance (or under policies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insurance which cover losses or claims of the same character or type) in a maximum amount not to exceed the EBITDA of the Restricted Companies for the most-recently-ended four fiscal quarters attributable to the applicable property or asset (as agreed upon by Administrative Agent and pro rated over a period of determination as deemed appropriate by Administrative Agent),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(c) non-cash losses of the Restricted Companies from foreign exchange conversions and mark-to-market adjustments to foreign exchange hedge agreements (or other derivatives), </w:t>
      </w:r>
      <w:r>
        <w:rPr>
          <w:rFonts w:ascii="Times New Roman" w:cs="Times New Roman" w:eastAsia="Times New Roman" w:hAnsi="Times New Roman"/>
          <w:sz w:val="19"/>
          <w:szCs w:val="19"/>
          <w:i w:val="1"/>
          <w:iCs w:val="1"/>
          <w:color w:val="auto"/>
        </w:rPr>
        <w:t xml:space="preserve">plus </w:t>
      </w:r>
      <w:r>
        <w:rPr>
          <w:rFonts w:ascii="Times New Roman" w:cs="Times New Roman" w:eastAsia="Times New Roman" w:hAnsi="Times New Roman"/>
          <w:sz w:val="19"/>
          <w:szCs w:val="19"/>
          <w:color w:val="auto"/>
        </w:rPr>
        <w:t>(d) cash dividends or distributions based on income from any Unrestricted Subsidiary to a Restricted Subsidiary in an amount not to exceed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EBITDA of such Unrestricted Subsidiary for the most-recently-ended four fiscal quarters,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(e) extraordinary, unusual, or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386" w:right="339" w:bottom="1440" w:gutter="0" w:footer="0" w:header="0"/>
        </w:sectPr>
      </w:pPr>
    </w:p>
    <w:bookmarkStart w:id="115" w:name="page116"/>
    <w:bookmarkEnd w:id="115"/>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recurring charges, costs, and expenses of the Restricted Companies, including, without limitation, such charges, costs, and expenses for (i) financing fees, financial, and other advisory fees, accounting fees, legal fees (and similar advisory and consulting fees), and related costs and expenses incurred by the Restricted Companies in connection with permitted acquisitions and permitted asset sales (whether or not consummated), (ii) the restructuring, integration or reorganization of any Restricted Company or the Restricted Companies, (iii) the settlement of litigation or other claims against any Restricted Company, and (iv) the severance of employees of any Restricted Company (in an aggregate amount for any such expenses in </w:t>
      </w:r>
      <w:r>
        <w:rPr>
          <w:rFonts w:ascii="Times New Roman" w:cs="Times New Roman" w:eastAsia="Times New Roman" w:hAnsi="Times New Roman"/>
          <w:sz w:val="19"/>
          <w:szCs w:val="19"/>
          <w:b w:val="1"/>
          <w:bCs w:val="1"/>
          <w:i w:val="1"/>
          <w:iCs w:val="1"/>
          <w:color w:val="auto"/>
        </w:rPr>
        <w:t>clauses (i)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b w:val="1"/>
          <w:bCs w:val="1"/>
          <w:i w:val="1"/>
          <w:iCs w:val="1"/>
          <w:color w:val="auto"/>
        </w:rPr>
        <w:t>(iv)</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b w:val="1"/>
          <w:bCs w:val="1"/>
          <w:i w:val="1"/>
          <w:iCs w:val="1"/>
          <w:color w:val="auto"/>
        </w:rPr>
        <w:t>clause (e)</w:t>
      </w:r>
      <w:r>
        <w:rPr>
          <w:rFonts w:ascii="Times New Roman" w:cs="Times New Roman" w:eastAsia="Times New Roman" w:hAnsi="Times New Roman"/>
          <w:sz w:val="19"/>
          <w:szCs w:val="19"/>
          <w:color w:val="auto"/>
        </w:rPr>
        <w:t xml:space="preserve"> with respect to the most-recently-ended four fiscal quarters not to exceed 10% of EBITDA of the Restricted Companies for the most-recently-ended four fiscal quarters),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(f) non-cash costs of sales of real estate by the Restricted Companies in an amount not to exceed negative real estate EBITDA of Restricted Companies for such period,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(g) non-recurring losses included in the calculation of EBITDA of the Restricted Companies,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(h) non-recurring gains included in the calculation of EBITDA of the Restricted Companies,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(i) non-cash gains of the Restricted Companies from foreign exchange conversions and mark-to-market adjustments to foreign exchange hedge agreements (or other derivatives),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(j) for any payments by the Northstar Subsidiaries in respect of the portion of the Northstar Leases, if any, that is classified as a Capital Lease, the amount of such payment that would have been recorded as an operating lease expense had such portion of the Northstar Leases been classified as an operating lease. </w:t>
      </w:r>
      <w:r>
        <w:rPr>
          <w:rFonts w:ascii="Times New Roman" w:cs="Times New Roman" w:eastAsia="Times New Roman" w:hAnsi="Times New Roman"/>
          <w:sz w:val="19"/>
          <w:szCs w:val="19"/>
          <w:b w:val="1"/>
          <w:bCs w:val="1"/>
          <w:i w:val="1"/>
          <w:iCs w:val="1"/>
          <w:color w:val="auto"/>
        </w:rPr>
        <w:t>Adjusted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EBITDA</w:t>
      </w:r>
      <w:r>
        <w:rPr>
          <w:rFonts w:ascii="Times New Roman" w:cs="Times New Roman" w:eastAsia="Times New Roman" w:hAnsi="Times New Roman"/>
          <w:sz w:val="19"/>
          <w:szCs w:val="19"/>
          <w:color w:val="auto"/>
        </w:rPr>
        <w:t>, for all purposes under this Agreement, shall (x) include, on a pro forma basis without duplication, all EBITDA of the Restricted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Companies from assets acquired in accordance with this Agreement (including, without limitation, Restricted Subsidiaries formed or acquired in accordance with </w:t>
      </w:r>
      <w:r>
        <w:rPr>
          <w:rFonts w:ascii="Times New Roman" w:cs="Times New Roman" w:eastAsia="Times New Roman" w:hAnsi="Times New Roman"/>
          <w:sz w:val="19"/>
          <w:szCs w:val="19"/>
          <w:b w:val="1"/>
          <w:bCs w:val="1"/>
          <w:i w:val="1"/>
          <w:iCs w:val="1"/>
          <w:color w:val="auto"/>
        </w:rPr>
        <w:t>Section 9.10</w:t>
      </w:r>
      <w:r>
        <w:rPr>
          <w:rFonts w:ascii="Times New Roman" w:cs="Times New Roman" w:eastAsia="Times New Roman" w:hAnsi="Times New Roman"/>
          <w:sz w:val="19"/>
          <w:szCs w:val="19"/>
          <w:color w:val="auto"/>
        </w:rPr>
        <w:t xml:space="preserve"> hereof, and Unrestricted Subsidiaries re-designated as Restricted Subsidiaries in accordance with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9.11(b) </w:t>
      </w:r>
      <w:r>
        <w:rPr>
          <w:rFonts w:ascii="Times New Roman" w:cs="Times New Roman" w:eastAsia="Times New Roman" w:hAnsi="Times New Roman"/>
          <w:sz w:val="19"/>
          <w:szCs w:val="19"/>
          <w:color w:val="auto"/>
        </w:rPr>
        <w:t>hereof, and if Borrower or any Restricted Company acquires, leases or otherwise gains control of the Park City base area from Park City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Mountain Resort, such event shall be treated as an acquisition for purposes of the definition of Adjusted EBITDA) during any applicable period, calculated as if such assets were acquired on the first day of such period and including actual and identifiable cost synergies (provided by Borrower to Administrative Agent in writing) from acquisitions in an aggregate amount for such period not to exceed 10% of the EBITDA of the Restricted Companies for the most-recently-ended four fiscal quarters, and (y) exclude, on a pro forma basis, all EBITDA of the Restricted Companies from assets disposed in accordance with this Agreement during such period (including, without limitation, Restricted Subsidiaries re-designated as Unrestricted Subsidiaries in accordance with </w:t>
      </w:r>
      <w:r>
        <w:rPr>
          <w:rFonts w:ascii="Times New Roman" w:cs="Times New Roman" w:eastAsia="Times New Roman" w:hAnsi="Times New Roman"/>
          <w:sz w:val="19"/>
          <w:szCs w:val="19"/>
          <w:b w:val="1"/>
          <w:bCs w:val="1"/>
          <w:i w:val="1"/>
          <w:iCs w:val="1"/>
          <w:color w:val="auto"/>
        </w:rPr>
        <w:t>Section 9.11(a)</w:t>
      </w:r>
      <w:r>
        <w:rPr>
          <w:rFonts w:ascii="Times New Roman" w:cs="Times New Roman" w:eastAsia="Times New Roman" w:hAnsi="Times New Roman"/>
          <w:sz w:val="19"/>
          <w:szCs w:val="19"/>
          <w:color w:val="auto"/>
        </w:rPr>
        <w:t xml:space="preserve"> hereof), calculated as if such assets were disposed on the first day of such period.</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Affected Financial Institution </w:t>
      </w:r>
      <w:r>
        <w:rPr>
          <w:rFonts w:ascii="Times New Roman" w:cs="Times New Roman" w:eastAsia="Times New Roman" w:hAnsi="Times New Roman"/>
          <w:sz w:val="19"/>
          <w:szCs w:val="19"/>
          <w:color w:val="auto"/>
        </w:rPr>
        <w:t>means (a) any EEA Financial Institution or (b) any UK Financial Institution.</w:t>
      </w:r>
    </w:p>
    <w:p>
      <w:pPr>
        <w:spacing w:after="0" w:line="233"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Administrative Agent </w:t>
      </w:r>
      <w:r>
        <w:rPr>
          <w:rFonts w:ascii="Times New Roman" w:cs="Times New Roman" w:eastAsia="Times New Roman" w:hAnsi="Times New Roman"/>
          <w:sz w:val="19"/>
          <w:szCs w:val="19"/>
          <w:color w:val="auto"/>
        </w:rPr>
        <w:t>means Bank of America, N.A., a national banking association, and its permitted successor as administrative agent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for Lenders under this Agreement.</w:t>
      </w:r>
    </w:p>
    <w:p>
      <w:pPr>
        <w:spacing w:after="0" w:line="149"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Administrative Agent’s Office </w:t>
      </w:r>
      <w:r>
        <w:rPr>
          <w:rFonts w:ascii="Times New Roman" w:cs="Times New Roman" w:eastAsia="Times New Roman" w:hAnsi="Times New Roman"/>
          <w:sz w:val="19"/>
          <w:szCs w:val="19"/>
          <w:color w:val="auto"/>
        </w:rPr>
        <w:t>means Administrative Agent’s address and, as appropriate, account as set forth on</w:t>
      </w:r>
      <w:r>
        <w:rPr>
          <w:rFonts w:ascii="Times New Roman" w:cs="Times New Roman" w:eastAsia="Times New Roman" w:hAnsi="Times New Roman"/>
          <w:sz w:val="19"/>
          <w:szCs w:val="19"/>
          <w:b w:val="1"/>
          <w:bCs w:val="1"/>
          <w:i w:val="1"/>
          <w:iCs w:val="1"/>
          <w:color w:val="auto"/>
        </w:rPr>
        <w:t xml:space="preserve"> Schedule 1</w:t>
      </w:r>
      <w:r>
        <w:rPr>
          <w:rFonts w:ascii="Times New Roman" w:cs="Times New Roman" w:eastAsia="Times New Roman" w:hAnsi="Times New Roman"/>
          <w:sz w:val="19"/>
          <w:szCs w:val="19"/>
          <w:color w:val="auto"/>
        </w:rPr>
        <w:t>, or such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other address or account as Administrative Agent may from time to time notify to Borrower and Lenders.</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Administrative Questionnaire </w:t>
      </w:r>
      <w:r>
        <w:rPr>
          <w:rFonts w:ascii="Times New Roman" w:cs="Times New Roman" w:eastAsia="Times New Roman" w:hAnsi="Times New Roman"/>
          <w:sz w:val="19"/>
          <w:szCs w:val="19"/>
          <w:color w:val="auto"/>
        </w:rPr>
        <w:t>means an Administrative Questionnaire in a form supplied by Administrative Agent.</w:t>
      </w:r>
    </w:p>
    <w:p>
      <w:pPr>
        <w:spacing w:after="0" w:line="23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Affiliate </w:t>
      </w:r>
      <w:r>
        <w:rPr>
          <w:rFonts w:ascii="Times New Roman" w:cs="Times New Roman" w:eastAsia="Times New Roman" w:hAnsi="Times New Roman"/>
          <w:sz w:val="19"/>
          <w:szCs w:val="19"/>
          <w:color w:val="auto"/>
        </w:rPr>
        <w:t>means with respect to any Person (the “</w:t>
      </w:r>
      <w:r>
        <w:rPr>
          <w:rFonts w:ascii="Times New Roman" w:cs="Times New Roman" w:eastAsia="Times New Roman" w:hAnsi="Times New Roman"/>
          <w:sz w:val="19"/>
          <w:szCs w:val="19"/>
          <w:b w:val="1"/>
          <w:bCs w:val="1"/>
          <w:i w:val="1"/>
          <w:iCs w:val="1"/>
          <w:color w:val="auto"/>
        </w:rPr>
        <w:t>Relevant Person</w:t>
      </w:r>
      <w:r>
        <w:rPr>
          <w:rFonts w:ascii="Times New Roman" w:cs="Times New Roman" w:eastAsia="Times New Roman" w:hAnsi="Times New Roman"/>
          <w:sz w:val="19"/>
          <w:szCs w:val="19"/>
          <w:color w:val="auto"/>
        </w:rPr>
        <w:t>”) (a) any other Person that directly, or indirectly through one or more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intermediaries, controls the relevant Person (a “</w:t>
      </w:r>
      <w:r>
        <w:rPr>
          <w:rFonts w:ascii="Times New Roman" w:cs="Times New Roman" w:eastAsia="Times New Roman" w:hAnsi="Times New Roman"/>
          <w:sz w:val="19"/>
          <w:szCs w:val="19"/>
          <w:b w:val="1"/>
          <w:bCs w:val="1"/>
          <w:i w:val="1"/>
          <w:iCs w:val="1"/>
          <w:color w:val="auto"/>
        </w:rPr>
        <w:t>Controlling Person</w:t>
      </w:r>
      <w:r>
        <w:rPr>
          <w:rFonts w:ascii="Times New Roman" w:cs="Times New Roman" w:eastAsia="Times New Roman" w:hAnsi="Times New Roman"/>
          <w:sz w:val="19"/>
          <w:szCs w:val="19"/>
          <w:color w:val="auto"/>
        </w:rPr>
        <w:t>”), or (b) any Person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the Relevant Person) which is controlled by or is under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90" w:right="339" w:bottom="1440" w:gutter="0" w:footer="0" w:header="0"/>
        </w:sectPr>
      </w:pPr>
    </w:p>
    <w:bookmarkStart w:id="116" w:name="page117"/>
    <w:bookmarkEnd w:id="116"/>
    <w:p>
      <w:pPr>
        <w:jc w:val="both"/>
        <w:ind w:right="20"/>
        <w:spacing w:after="0" w:line="302" w:lineRule="auto"/>
        <w:rPr>
          <w:sz w:val="20"/>
          <w:szCs w:val="20"/>
          <w:color w:val="auto"/>
        </w:rPr>
      </w:pPr>
      <w:r>
        <w:rPr>
          <w:rFonts w:ascii="Times New Roman" w:cs="Times New Roman" w:eastAsia="Times New Roman" w:hAnsi="Times New Roman"/>
          <w:sz w:val="19"/>
          <w:szCs w:val="19"/>
          <w:color w:val="auto"/>
        </w:rPr>
        <w:t>control with a Controlling Person. As used herein, the term “</w:t>
      </w:r>
      <w:r>
        <w:rPr>
          <w:rFonts w:ascii="Times New Roman" w:cs="Times New Roman" w:eastAsia="Times New Roman" w:hAnsi="Times New Roman"/>
          <w:sz w:val="19"/>
          <w:szCs w:val="19"/>
          <w:i w:val="1"/>
          <w:iCs w:val="1"/>
          <w:color w:val="auto"/>
        </w:rPr>
        <w:t>control</w:t>
      </w:r>
      <w:r>
        <w:rPr>
          <w:rFonts w:ascii="Times New Roman" w:cs="Times New Roman" w:eastAsia="Times New Roman" w:hAnsi="Times New Roman"/>
          <w:sz w:val="19"/>
          <w:szCs w:val="19"/>
          <w:color w:val="auto"/>
        </w:rPr>
        <w:t>” means possession, directly or indirectly, of the power to direct or cause the direction of the management or policies of a Person, whether through the ownership of voting securities, by contract, or otherwise.</w:t>
      </w:r>
    </w:p>
    <w:p>
      <w:pPr>
        <w:spacing w:after="0" w:line="125" w:lineRule="exact"/>
        <w:rPr>
          <w:sz w:val="20"/>
          <w:szCs w:val="20"/>
          <w:color w:val="auto"/>
        </w:rPr>
      </w:pPr>
    </w:p>
    <w:p>
      <w:pPr>
        <w:jc w:val="both"/>
        <w:ind w:right="40"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Agreement </w:t>
      </w:r>
      <w:r>
        <w:rPr>
          <w:rFonts w:ascii="Times New Roman" w:cs="Times New Roman" w:eastAsia="Times New Roman" w:hAnsi="Times New Roman"/>
          <w:sz w:val="19"/>
          <w:szCs w:val="19"/>
          <w:color w:val="auto"/>
        </w:rPr>
        <w:t>means this Ninth Amended and Restated Credit Agreement, and all schedules and exhibits thereto, as renewed, extended,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amended, supplemented, or restated from time to time.</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Agreement Currency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15.22</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Alternative Currency </w:t>
      </w:r>
      <w:r>
        <w:rPr>
          <w:rFonts w:ascii="Times New Roman" w:cs="Times New Roman" w:eastAsia="Times New Roman" w:hAnsi="Times New Roman"/>
          <w:sz w:val="19"/>
          <w:szCs w:val="19"/>
          <w:color w:val="auto"/>
        </w:rPr>
        <w:t>means, with respect to L/Cs, Australian Dollars.</w:t>
      </w:r>
    </w:p>
    <w:p>
      <w:pPr>
        <w:spacing w:after="0" w:line="233" w:lineRule="exact"/>
        <w:rPr>
          <w:sz w:val="20"/>
          <w:szCs w:val="20"/>
          <w:color w:val="auto"/>
        </w:rPr>
      </w:pPr>
    </w:p>
    <w:p>
      <w:pPr>
        <w:jc w:val="both"/>
        <w:ind w:right="20"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Alternative Currency Equivalent </w:t>
      </w:r>
      <w:r>
        <w:rPr>
          <w:rFonts w:ascii="Times New Roman" w:cs="Times New Roman" w:eastAsia="Times New Roman" w:hAnsi="Times New Roman"/>
          <w:sz w:val="19"/>
          <w:szCs w:val="19"/>
          <w:color w:val="auto"/>
        </w:rPr>
        <w:t>means, at any time, with respect to any amount denominated in Dollars, the equivalent amount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thereof in the Alternative Currency as determined by Administrative Agent or the Australian L/C Issuer, as the case may be, at such time on the basis of the Spot Rate (determined in respect of the most recent Revaluation Date) for the purchase of the Alternative Currency with Dollars.</w:t>
      </w:r>
    </w:p>
    <w:p>
      <w:pPr>
        <w:spacing w:after="0" w:line="148" w:lineRule="exact"/>
        <w:rPr>
          <w:sz w:val="20"/>
          <w:szCs w:val="20"/>
          <w:color w:val="auto"/>
        </w:rPr>
      </w:pPr>
    </w:p>
    <w:p>
      <w:pPr>
        <w:jc w:val="both"/>
        <w:ind w:right="20"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Anti-Corruption Laws </w:t>
      </w:r>
      <w:r>
        <w:rPr>
          <w:rFonts w:ascii="Times New Roman" w:cs="Times New Roman" w:eastAsia="Times New Roman" w:hAnsi="Times New Roman"/>
          <w:sz w:val="19"/>
          <w:szCs w:val="19"/>
          <w:color w:val="auto"/>
        </w:rPr>
        <w:t>means the United States Foreign Corrupt Practices Act of 1977, the United Kingdom Bribery Act 2010 and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other applicable U.S. federal or state laws concerning or related to bribery or corruption.</w:t>
      </w:r>
    </w:p>
    <w:p>
      <w:pPr>
        <w:spacing w:after="0" w:line="136" w:lineRule="exact"/>
        <w:rPr>
          <w:sz w:val="20"/>
          <w:szCs w:val="20"/>
          <w:color w:val="auto"/>
        </w:rPr>
      </w:pPr>
    </w:p>
    <w:p>
      <w:pPr>
        <w:jc w:val="both"/>
        <w:ind w:right="20"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Applicable Margin </w:t>
      </w:r>
      <w:r>
        <w:rPr>
          <w:rFonts w:ascii="Times New Roman" w:cs="Times New Roman" w:eastAsia="Times New Roman" w:hAnsi="Times New Roman"/>
          <w:sz w:val="19"/>
          <w:szCs w:val="19"/>
          <w:color w:val="auto"/>
        </w:rPr>
        <w:t>means, for any day, the margin of interest over the Base Rate or Term Reference Rate, as the case may be, that 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applicable when any interest rate is determined under this Agreement. The Applicable Margin is subject to adjustment (upwards or downwards, as appropriate) based on the ratio of Net Funded Debt to Adjusted EBITDA, as follows: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000" w:type="dxa"/>
            <w:vAlign w:val="bottom"/>
            <w:tcBorders>
              <w:top w:val="single" w:sz="8" w:color="auto"/>
              <w:left w:val="single" w:sz="8" w:color="auto"/>
              <w:right w:val="single" w:sz="8" w:color="auto"/>
            </w:tcBorders>
          </w:tcPr>
          <w:p>
            <w:pPr>
              <w:spacing w:after="0"/>
              <w:rPr>
                <w:sz w:val="12"/>
                <w:szCs w:val="12"/>
                <w:color w:val="auto"/>
              </w:rPr>
            </w:pPr>
          </w:p>
        </w:tc>
        <w:tc>
          <w:tcPr>
            <w:tcW w:w="5480" w:type="dxa"/>
            <w:vAlign w:val="bottom"/>
            <w:tcBorders>
              <w:top w:val="single" w:sz="8" w:color="auto"/>
              <w:right w:val="single" w:sz="8" w:color="auto"/>
            </w:tcBorders>
          </w:tcPr>
          <w:p>
            <w:pPr>
              <w:spacing w:after="0"/>
              <w:rPr>
                <w:sz w:val="12"/>
                <w:szCs w:val="12"/>
                <w:color w:val="auto"/>
              </w:rPr>
            </w:pPr>
          </w:p>
        </w:tc>
        <w:tc>
          <w:tcPr>
            <w:tcW w:w="2640" w:type="dxa"/>
            <w:vAlign w:val="bottom"/>
            <w:tcBorders>
              <w:top w:val="single" w:sz="8" w:color="auto"/>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Applicable Margin for</w:t>
            </w:r>
          </w:p>
        </w:tc>
        <w:tc>
          <w:tcPr>
            <w:tcW w:w="21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Margin</w:t>
            </w:r>
          </w:p>
        </w:tc>
        <w:tc>
          <w:tcPr>
            <w:tcW w:w="0" w:type="dxa"/>
            <w:vAlign w:val="bottom"/>
          </w:tcPr>
          <w:p>
            <w:pPr>
              <w:spacing w:after="0"/>
              <w:rPr>
                <w:sz w:val="1"/>
                <w:szCs w:val="1"/>
                <w:color w:val="auto"/>
              </w:rPr>
            </w:pPr>
          </w:p>
        </w:tc>
      </w:tr>
      <w:tr>
        <w:trPr>
          <w:trHeight w:val="146"/>
        </w:trPr>
        <w:tc>
          <w:tcPr>
            <w:tcW w:w="1000" w:type="dxa"/>
            <w:vAlign w:val="bottom"/>
            <w:tcBorders>
              <w:left w:val="single" w:sz="8" w:color="auto"/>
              <w:right w:val="single" w:sz="8" w:color="auto"/>
            </w:tcBorders>
          </w:tcPr>
          <w:p>
            <w:pPr>
              <w:spacing w:after="0"/>
              <w:rPr>
                <w:sz w:val="12"/>
                <w:szCs w:val="12"/>
                <w:color w:val="auto"/>
              </w:rPr>
            </w:pPr>
          </w:p>
        </w:tc>
        <w:tc>
          <w:tcPr>
            <w:tcW w:w="5480" w:type="dxa"/>
            <w:vAlign w:val="bottom"/>
            <w:tcBorders>
              <w:right w:val="single" w:sz="8" w:color="auto"/>
            </w:tcBorders>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Ratio of Net Funded Debt to Adjusted EBITDA</w:t>
            </w:r>
          </w:p>
        </w:tc>
        <w:tc>
          <w:tcPr>
            <w:tcW w:w="264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Term Reference Rate Loans and Daily</w:t>
            </w:r>
          </w:p>
        </w:tc>
        <w:tc>
          <w:tcPr>
            <w:tcW w:w="2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00" w:type="dxa"/>
            <w:vAlign w:val="bottom"/>
            <w:tcBorders>
              <w:left w:val="single" w:sz="8" w:color="auto"/>
              <w:bottom w:val="single" w:sz="8" w:color="auto"/>
              <w:right w:val="single" w:sz="8" w:color="auto"/>
            </w:tcBorders>
          </w:tcPr>
          <w:p>
            <w:pPr>
              <w:spacing w:after="0"/>
              <w:rPr>
                <w:sz w:val="16"/>
                <w:szCs w:val="16"/>
                <w:color w:val="auto"/>
              </w:rPr>
            </w:pPr>
          </w:p>
        </w:tc>
        <w:tc>
          <w:tcPr>
            <w:tcW w:w="5480" w:type="dxa"/>
            <w:vAlign w:val="bottom"/>
            <w:tcBorders>
              <w:bottom w:val="single" w:sz="8" w:color="auto"/>
              <w:right w:val="single" w:sz="8" w:color="auto"/>
            </w:tcBorders>
            <w:vMerge w:val="continue"/>
          </w:tcPr>
          <w:p>
            <w:pPr>
              <w:spacing w:after="0"/>
              <w:rPr>
                <w:sz w:val="16"/>
                <w:szCs w:val="16"/>
                <w:color w:val="auto"/>
              </w:rPr>
            </w:pP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SOFR Rate Loans</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251"/>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I</w:t>
            </w:r>
          </w:p>
        </w:tc>
        <w:tc>
          <w:tcPr>
            <w:tcW w:w="5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Less than 1.50 to 1.00</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1.125%</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0.125%</w:t>
            </w:r>
          </w:p>
        </w:tc>
        <w:tc>
          <w:tcPr>
            <w:tcW w:w="0" w:type="dxa"/>
            <w:vAlign w:val="bottom"/>
          </w:tcPr>
          <w:p>
            <w:pPr>
              <w:spacing w:after="0"/>
              <w:rPr>
                <w:sz w:val="1"/>
                <w:szCs w:val="1"/>
                <w:color w:val="auto"/>
              </w:rPr>
            </w:pPr>
          </w:p>
        </w:tc>
      </w:tr>
      <w:tr>
        <w:trPr>
          <w:trHeight w:val="245"/>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II</w:t>
            </w:r>
          </w:p>
        </w:tc>
        <w:tc>
          <w:tcPr>
            <w:tcW w:w="5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Greater than or equal to 1.50 to 1.00, but less than 2.00 to 1.00</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1.250%</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0.250%</w:t>
            </w:r>
          </w:p>
        </w:tc>
        <w:tc>
          <w:tcPr>
            <w:tcW w:w="0" w:type="dxa"/>
            <w:vAlign w:val="bottom"/>
          </w:tcPr>
          <w:p>
            <w:pPr>
              <w:spacing w:after="0"/>
              <w:rPr>
                <w:sz w:val="1"/>
                <w:szCs w:val="1"/>
                <w:color w:val="auto"/>
              </w:rPr>
            </w:pPr>
          </w:p>
        </w:tc>
      </w:tr>
      <w:tr>
        <w:trPr>
          <w:trHeight w:val="245"/>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III</w:t>
            </w:r>
          </w:p>
        </w:tc>
        <w:tc>
          <w:tcPr>
            <w:tcW w:w="5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Greater than or equal to 2.00 to 1.00, but less than 3.00 to 1.00</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1.500%</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0.500%</w:t>
            </w:r>
          </w:p>
        </w:tc>
        <w:tc>
          <w:tcPr>
            <w:tcW w:w="0" w:type="dxa"/>
            <w:vAlign w:val="bottom"/>
          </w:tcPr>
          <w:p>
            <w:pPr>
              <w:spacing w:after="0"/>
              <w:rPr>
                <w:sz w:val="1"/>
                <w:szCs w:val="1"/>
                <w:color w:val="auto"/>
              </w:rPr>
            </w:pPr>
          </w:p>
        </w:tc>
      </w:tr>
      <w:tr>
        <w:trPr>
          <w:trHeight w:val="281"/>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IV</w:t>
            </w:r>
          </w:p>
        </w:tc>
        <w:tc>
          <w:tcPr>
            <w:tcW w:w="5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Greater than or equal to 3.00 to 1.00, but less than 4.00 to 1.00</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2.000%</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1.000%</w:t>
            </w:r>
          </w:p>
        </w:tc>
        <w:tc>
          <w:tcPr>
            <w:tcW w:w="0" w:type="dxa"/>
            <w:vAlign w:val="bottom"/>
          </w:tcPr>
          <w:p>
            <w:pPr>
              <w:spacing w:after="0"/>
              <w:rPr>
                <w:sz w:val="1"/>
                <w:szCs w:val="1"/>
                <w:color w:val="auto"/>
              </w:rPr>
            </w:pPr>
          </w:p>
        </w:tc>
      </w:tr>
      <w:tr>
        <w:trPr>
          <w:trHeight w:val="285"/>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V</w:t>
            </w:r>
          </w:p>
        </w:tc>
        <w:tc>
          <w:tcPr>
            <w:tcW w:w="5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Greater than or equal to 4.00 to 1.00</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2.500%</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1.500%</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9"/>
          <w:szCs w:val="19"/>
          <w:color w:val="auto"/>
        </w:rPr>
        <w:t xml:space="preserve">The ratio of Net Funded Debt to Adjusted EBITDA shall be calculated on a consolidated basis for the Companies in accordance with GAAP for the most recently completed fiscal quarter of the Companies for which results are available. The ratio shall be determined from the Current Financials and any related Compliance Certificate and any change in the Applicable Margin resulting from a change in such ratio shall be effective as of the date of delivery of such Compliance Certificate. However, if Borrower fails to furnish to Administrative Agent the Current Financials and any related Compliance Certificate when required pursuant to </w:t>
      </w:r>
      <w:r>
        <w:rPr>
          <w:rFonts w:ascii="Times New Roman" w:cs="Times New Roman" w:eastAsia="Times New Roman" w:hAnsi="Times New Roman"/>
          <w:sz w:val="19"/>
          <w:szCs w:val="19"/>
          <w:b w:val="1"/>
          <w:bCs w:val="1"/>
          <w:i w:val="1"/>
          <w:iCs w:val="1"/>
          <w:color w:val="auto"/>
        </w:rPr>
        <w:t>Section 9.1</w:t>
      </w:r>
      <w:r>
        <w:rPr>
          <w:rFonts w:ascii="Times New Roman" w:cs="Times New Roman" w:eastAsia="Times New Roman" w:hAnsi="Times New Roman"/>
          <w:sz w:val="19"/>
          <w:szCs w:val="19"/>
          <w:color w:val="auto"/>
        </w:rPr>
        <w:t xml:space="preserve">, then the ratio shall be deemed to be at Level V until Borrower furnishes the required Current Financials and any related Compliance Certificate to Administrative Agent. Furthermore, if the Companies’ audited Financial Statements delivered to Administrative Agent for any fiscal year pursuant to </w:t>
      </w:r>
      <w:r>
        <w:rPr>
          <w:rFonts w:ascii="Times New Roman" w:cs="Times New Roman" w:eastAsia="Times New Roman" w:hAnsi="Times New Roman"/>
          <w:sz w:val="19"/>
          <w:szCs w:val="19"/>
          <w:b w:val="1"/>
          <w:bCs w:val="1"/>
          <w:i w:val="1"/>
          <w:iCs w:val="1"/>
          <w:color w:val="auto"/>
        </w:rPr>
        <w:t>Section 9.1(a)</w:t>
      </w:r>
      <w:r>
        <w:rPr>
          <w:rFonts w:ascii="Times New Roman" w:cs="Times New Roman" w:eastAsia="Times New Roman" w:hAnsi="Times New Roman"/>
          <w:sz w:val="19"/>
          <w:szCs w:val="19"/>
          <w:color w:val="auto"/>
        </w:rPr>
        <w:t xml:space="preserve"> result in a different ratio, such revised ratio (whether higher or lower) shall govern effective as of the date of such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60"/>
          </w:cols>
          <w:pgMar w:left="320" w:top="1388" w:right="319" w:bottom="1440" w:gutter="0" w:footer="0" w:header="0"/>
        </w:sectPr>
      </w:pPr>
    </w:p>
    <w:bookmarkStart w:id="117" w:name="page118"/>
    <w:bookmarkEnd w:id="117"/>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Applicable Percentage </w:t>
      </w:r>
      <w:r>
        <w:rPr>
          <w:rFonts w:ascii="Times New Roman" w:cs="Times New Roman" w:eastAsia="Times New Roman" w:hAnsi="Times New Roman"/>
          <w:sz w:val="19"/>
          <w:szCs w:val="19"/>
          <w:color w:val="auto"/>
        </w:rPr>
        <w:t>means, for any day, the commitment fee percentage applicable under</w:t>
      </w:r>
      <w:r>
        <w:rPr>
          <w:rFonts w:ascii="Times New Roman" w:cs="Times New Roman" w:eastAsia="Times New Roman" w:hAnsi="Times New Roman"/>
          <w:sz w:val="19"/>
          <w:szCs w:val="19"/>
          <w:b w:val="1"/>
          <w:bCs w:val="1"/>
          <w:i w:val="1"/>
          <w:iCs w:val="1"/>
          <w:color w:val="auto"/>
        </w:rPr>
        <w:t xml:space="preserve"> Section 5.4 </w:t>
      </w:r>
      <w:r>
        <w:rPr>
          <w:rFonts w:ascii="Times New Roman" w:cs="Times New Roman" w:eastAsia="Times New Roman" w:hAnsi="Times New Roman"/>
          <w:sz w:val="19"/>
          <w:szCs w:val="19"/>
          <w:color w:val="auto"/>
        </w:rPr>
        <w:t>when commitment fees 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determined under this Agreement. The Applicable Percentage is subject to adjustment (upwards or downwards, as appropriate) based on the ratio of Net Funded Debt to Adjusted EBITDA, as follows:</w:t>
      </w:r>
    </w:p>
    <w:p>
      <w:pPr>
        <w:spacing w:after="0" w:line="195" w:lineRule="exact"/>
        <w:rPr>
          <w:sz w:val="20"/>
          <w:szCs w:val="20"/>
          <w:color w:val="auto"/>
        </w:rPr>
      </w:pPr>
    </w:p>
    <w:tbl>
      <w:tblPr>
        <w:tblLayout w:type="fixed"/>
        <w:tblInd w:w="910" w:type="dxa"/>
        <w:tblCellMar>
          <w:top w:w="0" w:type="dxa"/>
          <w:left w:w="0" w:type="dxa"/>
          <w:bottom w:w="0" w:type="dxa"/>
          <w:right w:w="0" w:type="dxa"/>
        </w:tblCellMar>
      </w:tblPr>
      <w:tr>
        <w:trPr>
          <w:trHeight w:val="206"/>
        </w:trPr>
        <w:tc>
          <w:tcPr>
            <w:tcW w:w="9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506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Ratio of Net Funded Debt to Adjusted EBITDA</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Percentage</w:t>
            </w:r>
          </w:p>
        </w:tc>
      </w:tr>
      <w:tr>
        <w:trPr>
          <w:trHeight w:val="252"/>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I</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Less than 1.50 to 1.00</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0.200%</w:t>
            </w:r>
          </w:p>
        </w:tc>
      </w:tr>
      <w:tr>
        <w:trPr>
          <w:trHeight w:val="245"/>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II</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Greater than or equal to 1.50 to 1.00, but less than 2.00 to 1.00</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0.250%</w:t>
            </w:r>
          </w:p>
        </w:tc>
      </w:tr>
      <w:tr>
        <w:trPr>
          <w:trHeight w:val="245"/>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III</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Greater than or equal to 2.00 to 1.00, but less than 3.00 to 1.00</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0.300%</w:t>
            </w:r>
          </w:p>
        </w:tc>
      </w:tr>
      <w:tr>
        <w:trPr>
          <w:trHeight w:val="281"/>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IV</w:t>
            </w:r>
          </w:p>
        </w:tc>
        <w:tc>
          <w:tcPr>
            <w:tcW w:w="50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Greater than or equal to 3.00 to 1.00, but less than 4.00 to 1.00</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0.350%</w:t>
            </w:r>
          </w:p>
        </w:tc>
      </w:tr>
      <w:tr>
        <w:trPr>
          <w:trHeight w:val="285"/>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V</w:t>
            </w:r>
          </w:p>
        </w:tc>
        <w:tc>
          <w:tcPr>
            <w:tcW w:w="50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Greater than or equal to 4.00 to 1.00</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0.400%</w:t>
            </w: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ratio of Net Funded Debt to Adjusted EBITDA shall be determined as described in the definition of Applicable Margin.</w:t>
      </w:r>
    </w:p>
    <w:p>
      <w:pPr>
        <w:spacing w:after="0" w:line="229"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Applicable Time </w:t>
      </w:r>
      <w:r>
        <w:rPr>
          <w:rFonts w:ascii="Times New Roman" w:cs="Times New Roman" w:eastAsia="Times New Roman" w:hAnsi="Times New Roman"/>
          <w:sz w:val="19"/>
          <w:szCs w:val="19"/>
          <w:color w:val="auto"/>
        </w:rPr>
        <w:t>means, with respect to any Loan or L/C in Alternative Currency, the local time in the place of settlement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Alternative Currency as may be determined by Administrative Agent or the Australian L/C Issuer, as the case may be, to be necessary for timely settlement on the relevant date in accordance with normal banking procedures in the place of payment.</w:t>
      </w:r>
    </w:p>
    <w:p>
      <w:pPr>
        <w:spacing w:after="0" w:line="162"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Approved Fund </w:t>
      </w:r>
      <w:r>
        <w:rPr>
          <w:rFonts w:ascii="Times New Roman" w:cs="Times New Roman" w:eastAsia="Times New Roman" w:hAnsi="Times New Roman"/>
          <w:sz w:val="19"/>
          <w:szCs w:val="19"/>
          <w:color w:val="auto"/>
        </w:rPr>
        <w:t>means any Fund that is administered or managed by (a) a Lender, (b) an Affiliate of a Lender, or (c) an entity or 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Affiliate of an entity that administers or manages a Lender.</w:t>
      </w:r>
    </w:p>
    <w:p>
      <w:pPr>
        <w:spacing w:after="0" w:line="149"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Approved Jurisdictions </w:t>
      </w:r>
      <w:r>
        <w:rPr>
          <w:rFonts w:ascii="Times New Roman" w:cs="Times New Roman" w:eastAsia="Times New Roman" w:hAnsi="Times New Roman"/>
          <w:sz w:val="19"/>
          <w:szCs w:val="19"/>
          <w:color w:val="auto"/>
        </w:rPr>
        <w:t>means the U.S., Australia, the Netherlands, Canada and such other jurisdiction approved in writing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Administrative Agent from time to time.</w:t>
      </w:r>
    </w:p>
    <w:p>
      <w:pPr>
        <w:spacing w:after="0" w:line="123"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Assignee Group </w:t>
      </w:r>
      <w:r>
        <w:rPr>
          <w:rFonts w:ascii="Times New Roman" w:cs="Times New Roman" w:eastAsia="Times New Roman" w:hAnsi="Times New Roman"/>
          <w:sz w:val="19"/>
          <w:szCs w:val="19"/>
          <w:color w:val="auto"/>
        </w:rPr>
        <w:t>means two or more Eligible Assignees that are Affiliates of one another or two or more Approved Funds managed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same investment advisor.</w:t>
      </w:r>
    </w:p>
    <w:p>
      <w:pPr>
        <w:spacing w:after="0" w:line="123"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Assignment and Assumption </w:t>
      </w:r>
      <w:r>
        <w:rPr>
          <w:rFonts w:ascii="Times New Roman" w:cs="Times New Roman" w:eastAsia="Times New Roman" w:hAnsi="Times New Roman"/>
          <w:sz w:val="19"/>
          <w:szCs w:val="19"/>
          <w:color w:val="auto"/>
        </w:rPr>
        <w:t>means an Assignment and Assumption substantially in the form of</w:t>
      </w:r>
      <w:r>
        <w:rPr>
          <w:rFonts w:ascii="Times New Roman" w:cs="Times New Roman" w:eastAsia="Times New Roman" w:hAnsi="Times New Roman"/>
          <w:sz w:val="19"/>
          <w:szCs w:val="19"/>
          <w:b w:val="1"/>
          <w:bCs w:val="1"/>
          <w:i w:val="1"/>
          <w:iCs w:val="1"/>
          <w:color w:val="auto"/>
        </w:rPr>
        <w:t xml:space="preserve"> Exhibit E </w:t>
      </w:r>
      <w:r>
        <w:rPr>
          <w:rFonts w:ascii="Times New Roman" w:cs="Times New Roman" w:eastAsia="Times New Roman" w:hAnsi="Times New Roman"/>
          <w:sz w:val="19"/>
          <w:szCs w:val="19"/>
          <w:color w:val="auto"/>
        </w:rPr>
        <w:t>hereto or any other form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(including electronic documentation generated by use of an electronic platform) approved by Administrative Agent.</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Attorney Costs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7.1(m)</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Australian Dollar </w:t>
      </w:r>
      <w:r>
        <w:rPr>
          <w:rFonts w:ascii="Times New Roman" w:cs="Times New Roman" w:eastAsia="Times New Roman" w:hAnsi="Times New Roman"/>
          <w:sz w:val="19"/>
          <w:szCs w:val="19"/>
          <w:color w:val="auto"/>
        </w:rPr>
        <w:t>means the lawful currency of Australia.</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Australian L/C Issuer </w:t>
      </w:r>
      <w:r>
        <w:rPr>
          <w:rFonts w:ascii="Times New Roman" w:cs="Times New Roman" w:eastAsia="Times New Roman" w:hAnsi="Times New Roman"/>
          <w:sz w:val="19"/>
          <w:szCs w:val="19"/>
          <w:color w:val="auto"/>
        </w:rPr>
        <w:t>means Bank of America, N.A.</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Auto-Extension L/C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2.3(b)(iii)</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Availability </w:t>
      </w:r>
      <w:r>
        <w:rPr>
          <w:rFonts w:ascii="Times New Roman" w:cs="Times New Roman" w:eastAsia="Times New Roman" w:hAnsi="Times New Roman"/>
          <w:sz w:val="19"/>
          <w:szCs w:val="19"/>
          <w:color w:val="auto"/>
        </w:rPr>
        <w:t>means, on any date of determination, (a) the Revolver Commitment on such date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 the Revolver Commitment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Usage on such date.</w:t>
      </w:r>
    </w:p>
    <w:p>
      <w:pPr>
        <w:spacing w:after="0" w:line="123"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Bail-In Action </w:t>
      </w:r>
      <w:r>
        <w:rPr>
          <w:rFonts w:ascii="Times New Roman" w:cs="Times New Roman" w:eastAsia="Times New Roman" w:hAnsi="Times New Roman"/>
          <w:sz w:val="19"/>
          <w:szCs w:val="19"/>
          <w:color w:val="auto"/>
        </w:rPr>
        <w:t>means the exercise of any Write-Down and Conversion Powers by the applicable Resolution Authority in respect of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liability of an Affected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86" w:right="339" w:bottom="1440" w:gutter="0" w:footer="0" w:header="0"/>
        </w:sectPr>
      </w:pPr>
    </w:p>
    <w:bookmarkStart w:id="118" w:name="page119"/>
    <w:bookmarkEnd w:id="118"/>
    <w:p>
      <w:pPr>
        <w:jc w:val="both"/>
        <w:ind w:firstLine="637"/>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Bail-In Legislation </w:t>
      </w:r>
      <w:r>
        <w:rPr>
          <w:rFonts w:ascii="Times New Roman" w:cs="Times New Roman" w:eastAsia="Times New Roman" w:hAnsi="Times New Roman"/>
          <w:sz w:val="19"/>
          <w:szCs w:val="19"/>
          <w:color w:val="auto"/>
        </w:rPr>
        <w:t>means, (a) with respect to any EEA Member Country implementing Article 55 of Directive 2014/59/EU of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6"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Bank of America </w:t>
      </w:r>
      <w:r>
        <w:rPr>
          <w:rFonts w:ascii="Times New Roman" w:cs="Times New Roman" w:eastAsia="Times New Roman" w:hAnsi="Times New Roman"/>
          <w:sz w:val="19"/>
          <w:szCs w:val="19"/>
          <w:color w:val="auto"/>
        </w:rPr>
        <w:t>means Bank of America, N.A., a national banking association, in its individual capacity and not as Administrative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Agent, and its permitted successors and assigns.</w:t>
      </w:r>
    </w:p>
    <w:p>
      <w:pPr>
        <w:spacing w:after="0" w:line="149"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Base Rate </w:t>
      </w:r>
      <w:r>
        <w:rPr>
          <w:rFonts w:ascii="Times New Roman" w:cs="Times New Roman" w:eastAsia="Times New Roman" w:hAnsi="Times New Roman"/>
          <w:sz w:val="19"/>
          <w:szCs w:val="19"/>
          <w:color w:val="auto"/>
        </w:rPr>
        <w:t>means, for any day, a fluctuating rate per annum equal to the highest of (a) the Federal Funds Rate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1/2 of 1%, (b)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rate of interest in effect for such day as publicly announced from time to time by Bank of America as its “</w:t>
      </w:r>
      <w:r>
        <w:rPr>
          <w:rFonts w:ascii="Times New Roman" w:cs="Times New Roman" w:eastAsia="Times New Roman" w:hAnsi="Times New Roman"/>
          <w:sz w:val="19"/>
          <w:szCs w:val="19"/>
          <w:i w:val="1"/>
          <w:iCs w:val="1"/>
          <w:color w:val="auto"/>
        </w:rPr>
        <w:t>prime rate</w:t>
      </w:r>
      <w:r>
        <w:rPr>
          <w:rFonts w:ascii="Times New Roman" w:cs="Times New Roman" w:eastAsia="Times New Roman" w:hAnsi="Times New Roman"/>
          <w:sz w:val="19"/>
          <w:szCs w:val="19"/>
          <w:color w:val="auto"/>
        </w:rPr>
        <w:t xml:space="preserve">,” (c) Term SOFR for an interest period of one month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1%, and (d) one percent (1.00%). The “</w:t>
      </w:r>
      <w:r>
        <w:rPr>
          <w:rFonts w:ascii="Times New Roman" w:cs="Times New Roman" w:eastAsia="Times New Roman" w:hAnsi="Times New Roman"/>
          <w:sz w:val="19"/>
          <w:szCs w:val="19"/>
          <w:i w:val="1"/>
          <w:iCs w:val="1"/>
          <w:color w:val="auto"/>
        </w:rPr>
        <w:t>prime rate</w:t>
      </w:r>
      <w:r>
        <w:rPr>
          <w:rFonts w:ascii="Times New Roman" w:cs="Times New Roman" w:eastAsia="Times New Roman" w:hAnsi="Times New Roman"/>
          <w:sz w:val="19"/>
          <w:szCs w:val="19"/>
          <w:color w:val="auto"/>
        </w:rPr>
        <w:t>”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Base Rate Loan </w:t>
      </w:r>
      <w:r>
        <w:rPr>
          <w:rFonts w:ascii="Times New Roman" w:cs="Times New Roman" w:eastAsia="Times New Roman" w:hAnsi="Times New Roman"/>
          <w:sz w:val="19"/>
          <w:szCs w:val="19"/>
          <w:color w:val="auto"/>
        </w:rPr>
        <w:t>means a Loan bearing interest at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sum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Base Rate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Applicable Margin.</w:t>
      </w:r>
    </w:p>
    <w:p>
      <w:pPr>
        <w:spacing w:after="0" w:line="233"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Beneficial Ownership Certification </w:t>
      </w:r>
      <w:r>
        <w:rPr>
          <w:rFonts w:ascii="Times New Roman" w:cs="Times New Roman" w:eastAsia="Times New Roman" w:hAnsi="Times New Roman"/>
          <w:sz w:val="19"/>
          <w:szCs w:val="19"/>
          <w:color w:val="auto"/>
        </w:rPr>
        <w:t>means a certification regarding beneficial ownership required by the Beneficial Ownership</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Regulation.</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Beneficial Ownership Regulation </w:t>
      </w:r>
      <w:r>
        <w:rPr>
          <w:rFonts w:ascii="Times New Roman" w:cs="Times New Roman" w:eastAsia="Times New Roman" w:hAnsi="Times New Roman"/>
          <w:sz w:val="19"/>
          <w:szCs w:val="19"/>
          <w:color w:val="auto"/>
        </w:rPr>
        <w:t>means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31 C.F.R. § 1010.230</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Bond Documents </w:t>
      </w:r>
      <w:r>
        <w:rPr>
          <w:rFonts w:ascii="Times New Roman" w:cs="Times New Roman" w:eastAsia="Times New Roman" w:hAnsi="Times New Roman"/>
          <w:sz w:val="19"/>
          <w:szCs w:val="19"/>
          <w:color w:val="auto"/>
        </w:rPr>
        <w:t>means (a) when used in connection with any Bond L/C, those certain Bonds or other certificates of indebtedness with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respect to which such Bond L/C has been issued as credit support, together with any remarketing agreement, trust indenture, purchased bond custody agreement, funding agreement, pledge agreement, and other documents executed pursuant to or in connection with such bonds or other certificates of indebtedness, and all amendments or supplements thereto, and (b) in all other cases, collectively, all Bond Documents as defined in the preceding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xml:space="preserve"> relating to Bond L/Cs then outstanding.</w:t>
      </w:r>
    </w:p>
    <w:p>
      <w:pPr>
        <w:spacing w:after="0" w:line="17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Bond L/Cs </w:t>
      </w:r>
      <w:r>
        <w:rPr>
          <w:rFonts w:ascii="Times New Roman" w:cs="Times New Roman" w:eastAsia="Times New Roman" w:hAnsi="Times New Roman"/>
          <w:sz w:val="19"/>
          <w:szCs w:val="19"/>
          <w:color w:val="auto"/>
        </w:rPr>
        <w:t>means all L/Cs issued by any L/C Issuer at the request of (a) Borrower and any Housing District in support of Bonds issued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by such Housing District, or (b) Borrower and any Metro District in support of Bonds issued by such Metro District, which L/Cs satisfy the conditions set forth in </w:t>
      </w:r>
      <w:r>
        <w:rPr>
          <w:rFonts w:ascii="Times New Roman" w:cs="Times New Roman" w:eastAsia="Times New Roman" w:hAnsi="Times New Roman"/>
          <w:sz w:val="19"/>
          <w:szCs w:val="19"/>
          <w:b w:val="1"/>
          <w:bCs w:val="1"/>
          <w:i w:val="1"/>
          <w:iCs w:val="1"/>
          <w:color w:val="auto"/>
        </w:rPr>
        <w:t>Section 2.3(i)(i)</w:t>
      </w:r>
      <w:r>
        <w:rPr>
          <w:rFonts w:ascii="Times New Roman" w:cs="Times New Roman" w:eastAsia="Times New Roman" w:hAnsi="Times New Roman"/>
          <w:sz w:val="19"/>
          <w:szCs w:val="19"/>
          <w:color w:val="auto"/>
        </w:rPr>
        <w:t xml:space="preserve"> herein, and renewals or extensions thereof.</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Bond Purchase Drawing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2.3(i)(ii)</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Bond Rights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2.3(i)(iv)</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Bonds </w:t>
      </w:r>
      <w:r>
        <w:rPr>
          <w:rFonts w:ascii="Times New Roman" w:cs="Times New Roman" w:eastAsia="Times New Roman" w:hAnsi="Times New Roman"/>
          <w:sz w:val="19"/>
          <w:szCs w:val="19"/>
          <w:color w:val="auto"/>
        </w:rPr>
        <w:t>means revenue bonds issued by (a) any Housing District or other Person for the purpose of financing, directly or indirectly,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development of housing projects designated for employees of the Companies, or (b) any Metro District or other Person for the purpose of financing, directly or indirectly, the operation, construction, and maintenance of infrastructure projects, which projects are related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86" w:right="339" w:bottom="1440" w:gutter="0" w:footer="0" w:header="0"/>
        </w:sectPr>
      </w:pPr>
    </w:p>
    <w:bookmarkStart w:id="119" w:name="page120"/>
    <w:bookmarkEnd w:id="119"/>
    <w:p>
      <w:pPr>
        <w:jc w:val="both"/>
        <w:spacing w:after="0" w:line="300" w:lineRule="auto"/>
        <w:rPr>
          <w:sz w:val="20"/>
          <w:szCs w:val="20"/>
          <w:color w:val="auto"/>
        </w:rPr>
      </w:pPr>
      <w:r>
        <w:rPr>
          <w:rFonts w:ascii="Times New Roman" w:cs="Times New Roman" w:eastAsia="Times New Roman" w:hAnsi="Times New Roman"/>
          <w:sz w:val="19"/>
          <w:szCs w:val="19"/>
          <w:color w:val="auto"/>
        </w:rPr>
        <w:t>Companies’ business activities in the region in which the projects are being developed, and for which a Restricted Company has issued credit support in the form of a Bond L/C for such revenue bonds.</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Borrower </w:t>
      </w:r>
      <w:r>
        <w:rPr>
          <w:rFonts w:ascii="Times New Roman" w:cs="Times New Roman" w:eastAsia="Times New Roman" w:hAnsi="Times New Roman"/>
          <w:sz w:val="19"/>
          <w:szCs w:val="19"/>
          <w:color w:val="auto"/>
        </w:rPr>
        <w:t>is defined in the preamble to this Agreement.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Borrower Materials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9.1</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Business Day </w:t>
      </w:r>
      <w:r>
        <w:rPr>
          <w:rFonts w:ascii="Times New Roman" w:cs="Times New Roman" w:eastAsia="Times New Roman" w:hAnsi="Times New Roman"/>
          <w:sz w:val="19"/>
          <w:szCs w:val="19"/>
          <w:color w:val="auto"/>
        </w:rPr>
        <w:t>means any day other than a Saturday, Sunday, or other day on which commercial banks are authorized to be closed under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Laws of, or are in fact closed in, Dallas, Texas or New York, New York.</w:t>
      </w:r>
    </w:p>
    <w:p>
      <w:pPr>
        <w:spacing w:after="0" w:line="136"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Canyons-Park City Lease </w:t>
      </w:r>
      <w:r>
        <w:rPr>
          <w:rFonts w:ascii="Times New Roman" w:cs="Times New Roman" w:eastAsia="Times New Roman" w:hAnsi="Times New Roman"/>
          <w:sz w:val="19"/>
          <w:szCs w:val="19"/>
          <w:color w:val="auto"/>
        </w:rPr>
        <w:t>means that certain Master Agreement of Lease, dated as of May 29, 2013, by and between Talisker Canyons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LeaseCo LLC, as lessor, and VR CPC Holdings, Inc., as lessee, as the same may be amended from time to time.</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Capital Lease </w:t>
      </w:r>
      <w:r>
        <w:rPr>
          <w:rFonts w:ascii="Times New Roman" w:cs="Times New Roman" w:eastAsia="Times New Roman" w:hAnsi="Times New Roman"/>
          <w:sz w:val="19"/>
          <w:szCs w:val="19"/>
          <w:color w:val="auto"/>
        </w:rPr>
        <w:t>means any capital lease or sublease that has been (or under GAAP should be) capitalized on a balance sheet.</w:t>
      </w:r>
    </w:p>
    <w:p>
      <w:pPr>
        <w:spacing w:after="0" w:line="219"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Cash Collateralize </w:t>
      </w:r>
      <w:r>
        <w:rPr>
          <w:rFonts w:ascii="Times New Roman" w:cs="Times New Roman" w:eastAsia="Times New Roman" w:hAnsi="Times New Roman"/>
          <w:sz w:val="19"/>
          <w:szCs w:val="19"/>
          <w:color w:val="auto"/>
        </w:rPr>
        <w:t>means to pledge and deposit with or deliver to Administrative Agent, for the benefit of Administrative Agent or L/C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Issuers (as applicable), and the Lenders, as collateral for L/C Exposure, or obligations of Lenders to fund participations in respect thereof (as the context may require), cash or deposit account balances, or if the applicable L/C Issuer benefitting from such collateral shall agree in its sole discretion, other credit support, in each case pursuant to documentation in form and substance satisfactory to Administrative Agent and such L/C Issuer. Cash Collateral shall have a meaning correlative to the foregoing and shall include the proceeds of such cash collateral and other credit support.</w:t>
      </w:r>
    </w:p>
    <w:p>
      <w:pPr>
        <w:spacing w:after="0" w:line="176"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Change in Law </w:t>
      </w:r>
      <w:r>
        <w:rPr>
          <w:rFonts w:ascii="Times New Roman" w:cs="Times New Roman" w:eastAsia="Times New Roman" w:hAnsi="Times New Roman"/>
          <w:sz w:val="19"/>
          <w:szCs w:val="19"/>
          <w:color w:val="auto"/>
        </w:rPr>
        <w:t>means the occurrence, after the Closing Date, of any of the following: (a) the adoption or taking effect of any Law, rule,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regulation, or treaty, (b) any change in any Law, rule, regulation, or treaty or in the administration, interpretation, implementation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w:t>
      </w:r>
      <w:r>
        <w:rPr>
          <w:rFonts w:ascii="Times New Roman" w:cs="Times New Roman" w:eastAsia="Times New Roman" w:hAnsi="Times New Roman"/>
          <w:sz w:val="19"/>
          <w:szCs w:val="19"/>
          <w:i w:val="1"/>
          <w:iCs w:val="1"/>
          <w:color w:val="auto"/>
        </w:rPr>
        <w:t>Change in Law</w:t>
      </w:r>
      <w:r>
        <w:rPr>
          <w:rFonts w:ascii="Times New Roman" w:cs="Times New Roman" w:eastAsia="Times New Roman" w:hAnsi="Times New Roman"/>
          <w:sz w:val="19"/>
          <w:szCs w:val="19"/>
          <w:color w:val="auto"/>
        </w:rPr>
        <w:t>”, regardless of the date enacted, adopted, or issued.</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Change of Control Transaction </w:t>
      </w:r>
      <w:r>
        <w:rPr>
          <w:rFonts w:ascii="Times New Roman" w:cs="Times New Roman" w:eastAsia="Times New Roman" w:hAnsi="Times New Roman"/>
          <w:sz w:val="19"/>
          <w:szCs w:val="19"/>
          <w:color w:val="auto"/>
        </w:rPr>
        <w:t>means an event or series of events by which:</w:t>
      </w:r>
    </w:p>
    <w:p>
      <w:pPr>
        <w:spacing w:after="0" w:line="221" w:lineRule="exact"/>
        <w:rPr>
          <w:sz w:val="20"/>
          <w:szCs w:val="20"/>
          <w:color w:val="auto"/>
        </w:rPr>
      </w:pPr>
    </w:p>
    <w:p>
      <w:pPr>
        <w:jc w:val="both"/>
        <w:ind w:left="640" w:firstLine="640"/>
        <w:spacing w:after="0" w:line="268" w:lineRule="auto"/>
        <w:tabs>
          <w:tab w:leader="none" w:pos="1708"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w:t>
      </w:r>
      <w:r>
        <w:rPr>
          <w:rFonts w:ascii="Times New Roman" w:cs="Times New Roman" w:eastAsia="Times New Roman" w:hAnsi="Times New Roman"/>
          <w:sz w:val="19"/>
          <w:szCs w:val="19"/>
          <w:i w:val="1"/>
          <w:iCs w:val="1"/>
          <w:color w:val="auto"/>
        </w:rPr>
        <w:t>person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i w:val="1"/>
          <w:iCs w:val="1"/>
          <w:color w:val="auto"/>
        </w:rPr>
        <w:t>group</w:t>
      </w:r>
      <w:r>
        <w:rPr>
          <w:rFonts w:ascii="Times New Roman" w:cs="Times New Roman" w:eastAsia="Times New Roman" w:hAnsi="Times New Roman"/>
          <w:sz w:val="19"/>
          <w:szCs w:val="19"/>
          <w:color w:val="auto"/>
        </w:rPr>
        <w:t>”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w:t>
      </w:r>
      <w:r>
        <w:rPr>
          <w:rFonts w:ascii="Times New Roman" w:cs="Times New Roman" w:eastAsia="Times New Roman" w:hAnsi="Times New Roman"/>
          <w:sz w:val="19"/>
          <w:szCs w:val="19"/>
          <w:i w:val="1"/>
          <w:iCs w:val="1"/>
          <w:color w:val="auto"/>
        </w:rPr>
        <w:t>beneficial owner</w:t>
      </w:r>
      <w:r>
        <w:rPr>
          <w:rFonts w:ascii="Times New Roman" w:cs="Times New Roman" w:eastAsia="Times New Roman" w:hAnsi="Times New Roman"/>
          <w:sz w:val="19"/>
          <w:szCs w:val="19"/>
          <w:color w:val="auto"/>
        </w:rPr>
        <w:t>” (as defined in Rules 13d-3 and 13d-5 under the Securities Exchange Act of 1934), directly or indirectly, of 40% or more of the equity securities of VRI entitled to vote for members of the board of directors or equivalent governing body of VRI on a fully-diluted basis;</w:t>
      </w:r>
    </w:p>
    <w:p>
      <w:pPr>
        <w:spacing w:after="0" w:line="161" w:lineRule="exact"/>
        <w:rPr>
          <w:rFonts w:ascii="Times New Roman" w:cs="Times New Roman" w:eastAsia="Times New Roman" w:hAnsi="Times New Roman"/>
          <w:sz w:val="19"/>
          <w:szCs w:val="19"/>
          <w:color w:val="auto"/>
        </w:rPr>
      </w:pPr>
    </w:p>
    <w:p>
      <w:pPr>
        <w:ind w:left="640" w:firstLine="640"/>
        <w:spacing w:after="0" w:line="300" w:lineRule="auto"/>
        <w:tabs>
          <w:tab w:leader="none" w:pos="1788"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any period of 12 consecutive months, a majority of the members of the board of directors or other equivalent governing body of VRI cease to be composed of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390" w:right="339" w:bottom="1440" w:gutter="0" w:footer="0" w:header="0"/>
        </w:sectPr>
      </w:pPr>
    </w:p>
    <w:bookmarkStart w:id="120" w:name="page121"/>
    <w:bookmarkEnd w:id="120"/>
    <w:p>
      <w:pPr>
        <w:jc w:val="both"/>
        <w:ind w:left="640" w:firstLine="3"/>
        <w:spacing w:after="0" w:line="264" w:lineRule="auto"/>
        <w:tabs>
          <w:tab w:leader="none" w:pos="88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who were members of that board or equivalent governing body on the first day of such period, (ii) whose election or nomination to that board or equivalent governing body was approved by individuals referred to in </w:t>
      </w:r>
      <w:r>
        <w:rPr>
          <w:rFonts w:ascii="Times New Roman" w:cs="Times New Roman" w:eastAsia="Times New Roman" w:hAnsi="Times New Roman"/>
          <w:sz w:val="19"/>
          <w:szCs w:val="19"/>
          <w:b w:val="1"/>
          <w:bCs w:val="1"/>
          <w:i w:val="1"/>
          <w:iCs w:val="1"/>
          <w:color w:val="auto"/>
        </w:rPr>
        <w:t>clause (i)</w:t>
      </w:r>
      <w:r>
        <w:rPr>
          <w:rFonts w:ascii="Times New Roman" w:cs="Times New Roman" w:eastAsia="Times New Roman" w:hAnsi="Times New Roman"/>
          <w:sz w:val="19"/>
          <w:szCs w:val="19"/>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19"/>
          <w:szCs w:val="19"/>
          <w:b w:val="1"/>
          <w:bCs w:val="1"/>
          <w:i w:val="1"/>
          <w:iCs w:val="1"/>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(ii)</w:t>
      </w:r>
      <w:r>
        <w:rPr>
          <w:rFonts w:ascii="Times New Roman" w:cs="Times New Roman" w:eastAsia="Times New Roman" w:hAnsi="Times New Roman"/>
          <w:sz w:val="19"/>
          <w:szCs w:val="19"/>
          <w:color w:val="auto"/>
        </w:rPr>
        <w:t xml:space="preserve"> above constituting at the time of such election or nomination at least a majority of that board or equivalent governing body; or</w:t>
      </w:r>
    </w:p>
    <w:p>
      <w:pPr>
        <w:spacing w:after="0" w:line="177" w:lineRule="exact"/>
        <w:rPr>
          <w:rFonts w:ascii="Times New Roman" w:cs="Times New Roman" w:eastAsia="Times New Roman" w:hAnsi="Times New Roman"/>
          <w:sz w:val="19"/>
          <w:szCs w:val="19"/>
          <w:color w:val="auto"/>
        </w:rPr>
      </w:pPr>
    </w:p>
    <w:p>
      <w:pPr>
        <w:jc w:val="both"/>
        <w:ind w:left="640" w:firstLine="640"/>
        <w:spacing w:after="0" w:line="270" w:lineRule="auto"/>
        <w:tabs>
          <w:tab w:leader="none" w:pos="1702"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or two or more Persons acting in concert shall have acquired, by contract or otherwise, control over the equity securities of VRI entitled to vote for members of the board of directors or equivalent governing body of VRI on a fully-diluted basis (and taking into account all such securities that such Person or group has the right to acquire pursuant to any option right) representing 51% or more of the combined voting power of such securities.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Closing Date </w:t>
      </w:r>
      <w:r>
        <w:rPr>
          <w:rFonts w:ascii="Times New Roman" w:cs="Times New Roman" w:eastAsia="Times New Roman" w:hAnsi="Times New Roman"/>
          <w:sz w:val="19"/>
          <w:szCs w:val="19"/>
          <w:color w:val="auto"/>
        </w:rPr>
        <w:t>means April 24, 2024.</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CME </w:t>
      </w:r>
      <w:r>
        <w:rPr>
          <w:rFonts w:ascii="Times New Roman" w:cs="Times New Roman" w:eastAsia="Times New Roman" w:hAnsi="Times New Roman"/>
          <w:sz w:val="19"/>
          <w:szCs w:val="19"/>
          <w:color w:val="auto"/>
        </w:rPr>
        <w:t>means CME Group Benchmark Administration Limited.</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Code </w:t>
      </w:r>
      <w:r>
        <w:rPr>
          <w:rFonts w:ascii="Times New Roman" w:cs="Times New Roman" w:eastAsia="Times New Roman" w:hAnsi="Times New Roman"/>
          <w:sz w:val="19"/>
          <w:szCs w:val="19"/>
          <w:color w:val="auto"/>
        </w:rPr>
        <w:t>means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Internal Revenue Code of 1986</w:t>
      </w:r>
      <w:r>
        <w:rPr>
          <w:rFonts w:ascii="Times New Roman" w:cs="Times New Roman" w:eastAsia="Times New Roman" w:hAnsi="Times New Roman"/>
          <w:sz w:val="19"/>
          <w:szCs w:val="19"/>
          <w:color w:val="auto"/>
        </w:rPr>
        <w:t>, as amended from time to time, and related rules and regulations from time to time 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effect.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Collateral </w:t>
      </w:r>
      <w:r>
        <w:rPr>
          <w:rFonts w:ascii="Times New Roman" w:cs="Times New Roman" w:eastAsia="Times New Roman" w:hAnsi="Times New Roman"/>
          <w:sz w:val="19"/>
          <w:szCs w:val="19"/>
          <w:color w:val="auto"/>
        </w:rPr>
        <w:t>means the property and assets described in</w:t>
      </w:r>
      <w:r>
        <w:rPr>
          <w:rFonts w:ascii="Times New Roman" w:cs="Times New Roman" w:eastAsia="Times New Roman" w:hAnsi="Times New Roman"/>
          <w:sz w:val="19"/>
          <w:szCs w:val="19"/>
          <w:b w:val="1"/>
          <w:bCs w:val="1"/>
          <w:i w:val="1"/>
          <w:iCs w:val="1"/>
          <w:color w:val="auto"/>
        </w:rPr>
        <w:t xml:space="preserve"> Sections 6.2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i w:val="1"/>
          <w:iCs w:val="1"/>
          <w:color w:val="auto"/>
        </w:rPr>
        <w:t xml:space="preserve"> 6.3</w:t>
      </w:r>
      <w:r>
        <w:rPr>
          <w:rFonts w:ascii="Times New Roman" w:cs="Times New Roman" w:eastAsia="Times New Roman" w:hAnsi="Times New Roman"/>
          <w:sz w:val="19"/>
          <w:szCs w:val="19"/>
          <w:i w:val="1"/>
          <w:iCs w:val="1"/>
          <w:color w:val="auto"/>
        </w:rPr>
        <w:t>.</w:t>
      </w:r>
    </w:p>
    <w:p>
      <w:pPr>
        <w:spacing w:after="0" w:line="219"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Commitment </w:t>
      </w:r>
      <w:r>
        <w:rPr>
          <w:rFonts w:ascii="Times New Roman" w:cs="Times New Roman" w:eastAsia="Times New Roman" w:hAnsi="Times New Roman"/>
          <w:sz w:val="19"/>
          <w:szCs w:val="19"/>
          <w:color w:val="auto"/>
        </w:rPr>
        <w:t>means a Term Loan Commitment, L/C Commitment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EE2724"/>
          <w:strike w:val="1"/>
        </w:rPr>
        <w:t>or</w:t>
      </w:r>
      <w:r>
        <w:rPr>
          <w:rFonts w:ascii="Times New Roman" w:cs="Times New Roman" w:eastAsia="Times New Roman" w:hAnsi="Times New Roman"/>
          <w:sz w:val="19"/>
          <w:szCs w:val="19"/>
          <w:u w:val="single" w:color="auto"/>
          <w:color w:val="3051F2"/>
          <w:strike w:val="1"/>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 Revolver Commitment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3051F2"/>
        </w:rPr>
        <w:t>or a Delayed Draw Term Loan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3051F2"/>
        </w:rPr>
        <w:t>Commitment</w:t>
      </w:r>
      <w:r>
        <w:rPr>
          <w:rFonts w:ascii="Times New Roman" w:cs="Times New Roman" w:eastAsia="Times New Roman" w:hAnsi="Times New Roman"/>
          <w:sz w:val="19"/>
          <w:szCs w:val="19"/>
          <w:color w:val="000000"/>
        </w:rPr>
        <w:t>, as the context may require.</w:t>
      </w:r>
    </w:p>
    <w:p>
      <w:pPr>
        <w:spacing w:after="0" w:line="136" w:lineRule="exact"/>
        <w:rPr>
          <w:sz w:val="20"/>
          <w:szCs w:val="20"/>
          <w:color w:val="auto"/>
        </w:rPr>
      </w:pPr>
    </w:p>
    <w:p>
      <w:pPr>
        <w:jc w:val="both"/>
        <w:ind w:firstLine="637"/>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Commitment Percentage </w:t>
      </w:r>
      <w:r>
        <w:rPr>
          <w:rFonts w:ascii="Times New Roman" w:cs="Times New Roman" w:eastAsia="Times New Roman" w:hAnsi="Times New Roman"/>
          <w:sz w:val="19"/>
          <w:szCs w:val="19"/>
          <w:color w:val="auto"/>
        </w:rPr>
        <w:t>means (a) with respect to any Term Loan Lender at any time, the percentage (carried out to the ninth decimal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place) of the Term Loan Facility represented by (i) on or prior to the Closing Date, such Term Loan Lender’s Term Loan Commitment at such time, subject to adjustment as provided in </w:t>
      </w:r>
      <w:r>
        <w:rPr>
          <w:rFonts w:ascii="Times New Roman" w:cs="Times New Roman" w:eastAsia="Times New Roman" w:hAnsi="Times New Roman"/>
          <w:sz w:val="19"/>
          <w:szCs w:val="19"/>
          <w:b w:val="1"/>
          <w:bCs w:val="1"/>
          <w:i w:val="1"/>
          <w:iCs w:val="1"/>
          <w:color w:val="auto"/>
        </w:rPr>
        <w:t>Section 3.15</w:t>
      </w:r>
      <w:r>
        <w:rPr>
          <w:rFonts w:ascii="Times New Roman" w:cs="Times New Roman" w:eastAsia="Times New Roman" w:hAnsi="Times New Roman"/>
          <w:sz w:val="19"/>
          <w:szCs w:val="19"/>
          <w:color w:val="auto"/>
        </w:rPr>
        <w:t xml:space="preserve">, and (ii) thereafter, the principal amount of such Term Loan Lender’s Term Loans at such time, subject to adjustment as provided in </w:t>
      </w:r>
      <w:r>
        <w:rPr>
          <w:rFonts w:ascii="Times New Roman" w:cs="Times New Roman" w:eastAsia="Times New Roman" w:hAnsi="Times New Roman"/>
          <w:sz w:val="19"/>
          <w:szCs w:val="19"/>
          <w:b w:val="1"/>
          <w:bCs w:val="1"/>
          <w:i w:val="1"/>
          <w:iCs w:val="1"/>
          <w:color w:val="auto"/>
        </w:rPr>
        <w:t>Section 2.5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3.15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EE2724"/>
          <w:strike w:val="1"/>
        </w:rPr>
        <w:t>and</w:t>
      </w:r>
      <w:r>
        <w:rPr>
          <w:rFonts w:ascii="Times New Roman" w:cs="Times New Roman" w:eastAsia="Times New Roman" w:hAnsi="Times New Roman"/>
          <w:sz w:val="19"/>
          <w:szCs w:val="19"/>
          <w:color w:val="auto"/>
        </w:rPr>
        <w:t xml:space="preserve"> (b) with respect to </w:t>
      </w:r>
      <w:r>
        <w:rPr>
          <w:rFonts w:ascii="Times New Roman" w:cs="Times New Roman" w:eastAsia="Times New Roman" w:hAnsi="Times New Roman"/>
          <w:sz w:val="19"/>
          <w:szCs w:val="19"/>
          <w:u w:val="single" w:color="auto"/>
          <w:color w:val="3051F2"/>
        </w:rPr>
        <w:t>any Delayed Draw Term Loan Lender 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 xml:space="preserve">any time, the percentage (carried out to the ninth decimal place) of the Delayed Draw Term Loan Facility represented by (i) at any time during the Delayed Draw Term Loan Availability Period, such Delayed Draw Term Loan Lender’s Delayed Draw Term Loan Commitment at such time, subject to adjustment as provided in </w:t>
      </w:r>
      <w:r>
        <w:rPr>
          <w:rFonts w:ascii="Times New Roman" w:cs="Times New Roman" w:eastAsia="Times New Roman" w:hAnsi="Times New Roman"/>
          <w:sz w:val="19"/>
          <w:szCs w:val="19"/>
          <w:b w:val="1"/>
          <w:bCs w:val="1"/>
          <w:i w:val="1"/>
          <w:iCs w:val="1"/>
          <w:u w:val="single" w:color="auto"/>
          <w:color w:val="3051F2"/>
        </w:rPr>
        <w:t>Section 3.15</w:t>
      </w:r>
      <w:r>
        <w:rPr>
          <w:rFonts w:ascii="Times New Roman" w:cs="Times New Roman" w:eastAsia="Times New Roman" w:hAnsi="Times New Roman"/>
          <w:sz w:val="19"/>
          <w:szCs w:val="19"/>
          <w:u w:val="single" w:color="auto"/>
          <w:color w:val="3051F2"/>
        </w:rPr>
        <w:t>, and (ii) thereafter, the principal amount of such Delayed Draw Term Loan Lender’s Delayed Draw Term Loans at such time, subject to adjustment as provided in</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b w:val="1"/>
          <w:bCs w:val="1"/>
          <w:i w:val="1"/>
          <w:iCs w:val="1"/>
          <w:u w:val="single" w:color="auto"/>
          <w:color w:val="3051F2"/>
        </w:rPr>
        <w:t>Section 2.5</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u w:val="single" w:color="auto"/>
          <w:color w:val="3051F2"/>
        </w:rPr>
        <w:t>and</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b w:val="1"/>
          <w:bCs w:val="1"/>
          <w:i w:val="1"/>
          <w:iCs w:val="1"/>
          <w:u w:val="single" w:color="auto"/>
          <w:color w:val="3051F2"/>
        </w:rPr>
        <w:t>Section 3.15</w:t>
      </w:r>
      <w:r>
        <w:rPr>
          <w:rFonts w:ascii="Times New Roman" w:cs="Times New Roman" w:eastAsia="Times New Roman" w:hAnsi="Times New Roman"/>
          <w:sz w:val="19"/>
          <w:szCs w:val="19"/>
          <w:u w:val="single" w:color="auto"/>
          <w:color w:val="3051F2"/>
        </w:rPr>
        <w:t>, and (c) with respect to</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any Revolver</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 xml:space="preserve">Lender at any time, the percentage (carried out to the ninth decimal place) of the Revolver Facility represented by such Revolver Lender’s Revolver Commitment at such time, subject to adjustment as provided in </w:t>
      </w:r>
      <w:r>
        <w:rPr>
          <w:rFonts w:ascii="Times New Roman" w:cs="Times New Roman" w:eastAsia="Times New Roman" w:hAnsi="Times New Roman"/>
          <w:sz w:val="19"/>
          <w:szCs w:val="19"/>
          <w:b w:val="1"/>
          <w:bCs w:val="1"/>
          <w:i w:val="1"/>
          <w:iCs w:val="1"/>
          <w:color w:val="000000"/>
        </w:rPr>
        <w:t>Section 2.5</w:t>
      </w:r>
      <w:r>
        <w:rPr>
          <w:rFonts w:ascii="Times New Roman" w:cs="Times New Roman" w:eastAsia="Times New Roman" w:hAnsi="Times New Roman"/>
          <w:sz w:val="19"/>
          <w:szCs w:val="19"/>
          <w:color w:val="000000"/>
        </w:rPr>
        <w:t xml:space="preserve"> and </w:t>
      </w:r>
      <w:r>
        <w:rPr>
          <w:rFonts w:ascii="Times New Roman" w:cs="Times New Roman" w:eastAsia="Times New Roman" w:hAnsi="Times New Roman"/>
          <w:sz w:val="19"/>
          <w:szCs w:val="19"/>
          <w:b w:val="1"/>
          <w:bCs w:val="1"/>
          <w:i w:val="1"/>
          <w:iCs w:val="1"/>
          <w:color w:val="000000"/>
        </w:rPr>
        <w:t>Section 3.15</w:t>
      </w:r>
      <w:r>
        <w:rPr>
          <w:rFonts w:ascii="Times New Roman" w:cs="Times New Roman" w:eastAsia="Times New Roman" w:hAnsi="Times New Roman"/>
          <w:sz w:val="19"/>
          <w:szCs w:val="19"/>
          <w:color w:val="000000"/>
        </w:rPr>
        <w:t xml:space="preserve">. If the commitment of each Revolver Lender to make Revolver Loans and the obligation of each L/C Issuer to make L/C Credit Extensions have been terminated pursuant to </w:t>
      </w:r>
      <w:r>
        <w:rPr>
          <w:rFonts w:ascii="Times New Roman" w:cs="Times New Roman" w:eastAsia="Times New Roman" w:hAnsi="Times New Roman"/>
          <w:sz w:val="19"/>
          <w:szCs w:val="19"/>
          <w:b w:val="1"/>
          <w:bCs w:val="1"/>
          <w:i w:val="1"/>
          <w:iCs w:val="1"/>
          <w:color w:val="000000"/>
        </w:rPr>
        <w:t>Section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i w:val="1"/>
          <w:iCs w:val="1"/>
          <w:color w:val="000000"/>
        </w:rPr>
        <w:t xml:space="preserve">13.1 </w:t>
      </w:r>
      <w:r>
        <w:rPr>
          <w:rFonts w:ascii="Times New Roman" w:cs="Times New Roman" w:eastAsia="Times New Roman" w:hAnsi="Times New Roman"/>
          <w:sz w:val="19"/>
          <w:szCs w:val="19"/>
          <w:color w:val="000000"/>
        </w:rPr>
        <w:t>or if the Revolver Commitment has expired, then the Commitment Percentage of each Revolver Lender shall be determined based on the</w:t>
      </w:r>
      <w:r>
        <w:rPr>
          <w:rFonts w:ascii="Times New Roman" w:cs="Times New Roman" w:eastAsia="Times New Roman" w:hAnsi="Times New Roman"/>
          <w:sz w:val="19"/>
          <w:szCs w:val="19"/>
          <w:b w:val="1"/>
          <w:bCs w:val="1"/>
          <w:i w:val="1"/>
          <w:iCs w:val="1"/>
          <w:color w:val="000000"/>
        </w:rPr>
        <w:t xml:space="preserve"> </w:t>
      </w:r>
      <w:r>
        <w:rPr>
          <w:rFonts w:ascii="Times New Roman" w:cs="Times New Roman" w:eastAsia="Times New Roman" w:hAnsi="Times New Roman"/>
          <w:sz w:val="19"/>
          <w:szCs w:val="19"/>
          <w:color w:val="000000"/>
        </w:rPr>
        <w:t>Commitment Percentage of such Revolver Lender most recently in effect, giving effect to any subsequent assignments. The initial Commitment Percentage of each Lender in respect of the Revolver Facility</w:t>
      </w:r>
      <w:r>
        <w:rPr>
          <w:rFonts w:ascii="Times New Roman" w:cs="Times New Roman" w:eastAsia="Times New Roman" w:hAnsi="Times New Roman"/>
          <w:sz w:val="19"/>
          <w:szCs w:val="19"/>
          <w:u w:val="single" w:color="auto"/>
          <w:color w:val="3051F2"/>
        </w:rPr>
        <w:t>, the Term Loan Facility</w:t>
      </w:r>
      <w:r>
        <w:rPr>
          <w:rFonts w:ascii="Times New Roman" w:cs="Times New Roman" w:eastAsia="Times New Roman" w:hAnsi="Times New Roman"/>
          <w:sz w:val="19"/>
          <w:szCs w:val="19"/>
          <w:color w:val="000000"/>
        </w:rPr>
        <w:t xml:space="preserve"> and the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000000"/>
        </w:rPr>
        <w:t xml:space="preserve"> Term Loan Facility, as applicable, is set forth opposite the name of such Lender on </w:t>
      </w:r>
      <w:r>
        <w:rPr>
          <w:rFonts w:ascii="Times New Roman" w:cs="Times New Roman" w:eastAsia="Times New Roman" w:hAnsi="Times New Roman"/>
          <w:sz w:val="19"/>
          <w:szCs w:val="19"/>
          <w:b w:val="1"/>
          <w:bCs w:val="1"/>
          <w:i w:val="1"/>
          <w:iCs w:val="1"/>
          <w:color w:val="000000"/>
        </w:rPr>
        <w:t>Schedule 1</w:t>
      </w:r>
      <w:r>
        <w:rPr>
          <w:rFonts w:ascii="Times New Roman" w:cs="Times New Roman" w:eastAsia="Times New Roman" w:hAnsi="Times New Roman"/>
          <w:sz w:val="19"/>
          <w:szCs w:val="19"/>
          <w:color w:val="000000"/>
        </w:rPr>
        <w:t xml:space="preserve"> or in the Assignment and Assumption pursuant to which such Lender becomes a party hereto,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390" w:right="339" w:bottom="1440" w:gutter="0" w:footer="0" w:header="0"/>
        </w:sectPr>
      </w:pPr>
    </w:p>
    <w:bookmarkStart w:id="121" w:name="page122"/>
    <w:bookmarkEnd w:id="121"/>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Commodity Exchange Act </w:t>
      </w:r>
      <w:r>
        <w:rPr>
          <w:rFonts w:ascii="Times New Roman" w:cs="Times New Roman" w:eastAsia="Times New Roman" w:hAnsi="Times New Roman"/>
          <w:sz w:val="19"/>
          <w:szCs w:val="19"/>
          <w:color w:val="auto"/>
        </w:rPr>
        <w:t>means the Commodity Exchange Act (7 U.S.C. § 1 et seq.), as amended from time to time, and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successor statute.</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Communication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15.19</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Companies </w:t>
      </w:r>
      <w:r>
        <w:rPr>
          <w:rFonts w:ascii="Times New Roman" w:cs="Times New Roman" w:eastAsia="Times New Roman" w:hAnsi="Times New Roman"/>
          <w:sz w:val="19"/>
          <w:szCs w:val="19"/>
          <w:color w:val="auto"/>
        </w:rPr>
        <w:t>means VRI and each of VRI’s Restricted and Unrestricted Subsidiaries now or hereafter existing, and</w:t>
      </w:r>
      <w:r>
        <w:rPr>
          <w:rFonts w:ascii="Times New Roman" w:cs="Times New Roman" w:eastAsia="Times New Roman" w:hAnsi="Times New Roman"/>
          <w:sz w:val="19"/>
          <w:szCs w:val="19"/>
          <w:b w:val="1"/>
          <w:bCs w:val="1"/>
          <w:i w:val="1"/>
          <w:iCs w:val="1"/>
          <w:color w:val="auto"/>
        </w:rPr>
        <w:t xml:space="preserve"> Company </w:t>
      </w:r>
      <w:r>
        <w:rPr>
          <w:rFonts w:ascii="Times New Roman" w:cs="Times New Roman" w:eastAsia="Times New Roman" w:hAnsi="Times New Roman"/>
          <w:sz w:val="19"/>
          <w:szCs w:val="19"/>
          <w:color w:val="auto"/>
        </w:rPr>
        <w:t>means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Companies.</w:t>
      </w:r>
    </w:p>
    <w:p>
      <w:pPr>
        <w:spacing w:after="0" w:line="149"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Completion Guaranty </w:t>
      </w:r>
      <w:r>
        <w:rPr>
          <w:rFonts w:ascii="Times New Roman" w:cs="Times New Roman" w:eastAsia="Times New Roman" w:hAnsi="Times New Roman"/>
          <w:sz w:val="19"/>
          <w:szCs w:val="19"/>
          <w:color w:val="auto"/>
        </w:rPr>
        <w:t>means, with respect to any Real Estate Project of an Unrestricted Subsidiary, a completion guaranty or similar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agreement entered into by a Restricted Company pursuant to which such Restricted Company (a) guarantees the timely completion of construction of such construction project in accordance with applicable plans and specifications, the payment of all costs incurred in connection with the construction of such construction project, the payment of the premiums of all insurance required to be maintained in connection with the Real Estate Project, or such other matters customarily included by institutional lenders in a completion guaranty, or (b) otherwise indemnifies a construction lender or other party from loss resulting from a failure to timely complete and pay all costs incurred in connection with construction of any project financed by such lender or other party in accordance with the applicable plans and specifications.</w:t>
      </w:r>
    </w:p>
    <w:p>
      <w:pPr>
        <w:spacing w:after="0" w:line="162"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Compliance Certificate </w:t>
      </w:r>
      <w:r>
        <w:rPr>
          <w:rFonts w:ascii="Times New Roman" w:cs="Times New Roman" w:eastAsia="Times New Roman" w:hAnsi="Times New Roman"/>
          <w:sz w:val="19"/>
          <w:szCs w:val="19"/>
          <w:color w:val="auto"/>
        </w:rPr>
        <w:t>means a certificate substantially in the form of</w:t>
      </w:r>
      <w:r>
        <w:rPr>
          <w:rFonts w:ascii="Times New Roman" w:cs="Times New Roman" w:eastAsia="Times New Roman" w:hAnsi="Times New Roman"/>
          <w:sz w:val="19"/>
          <w:szCs w:val="19"/>
          <w:b w:val="1"/>
          <w:bCs w:val="1"/>
          <w:i w:val="1"/>
          <w:iCs w:val="1"/>
          <w:color w:val="auto"/>
        </w:rPr>
        <w:t xml:space="preserve"> Exhibit D </w:t>
      </w:r>
      <w:r>
        <w:rPr>
          <w:rFonts w:ascii="Times New Roman" w:cs="Times New Roman" w:eastAsia="Times New Roman" w:hAnsi="Times New Roman"/>
          <w:sz w:val="19"/>
          <w:szCs w:val="19"/>
          <w:color w:val="auto"/>
        </w:rPr>
        <w:t>and signed by Borrower’s Chief Financial Officer,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together with the calculation worksheet described therein.</w:t>
      </w:r>
    </w:p>
    <w:p>
      <w:pPr>
        <w:spacing w:after="0" w:line="123"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Concessioner Subsidiaries </w:t>
      </w:r>
      <w:r>
        <w:rPr>
          <w:rFonts w:ascii="Times New Roman" w:cs="Times New Roman" w:eastAsia="Times New Roman" w:hAnsi="Times New Roman"/>
          <w:sz w:val="19"/>
          <w:szCs w:val="19"/>
          <w:color w:val="auto"/>
        </w:rPr>
        <w:t>means, collectively, (a) Grand Teton Lodge Company, a Wyoming corporation, (b) Flagg Ranch Company,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 Colorado corporation, and (c) each other Restricted Subsidiary (other than Borrower) that is awarded a concession contract or similar agreement by the National Park Service (each, a “</w:t>
      </w:r>
      <w:r>
        <w:rPr>
          <w:rFonts w:ascii="Times New Roman" w:cs="Times New Roman" w:eastAsia="Times New Roman" w:hAnsi="Times New Roman"/>
          <w:sz w:val="19"/>
          <w:szCs w:val="19"/>
          <w:b w:val="1"/>
          <w:bCs w:val="1"/>
          <w:i w:val="1"/>
          <w:iCs w:val="1"/>
          <w:color w:val="auto"/>
        </w:rPr>
        <w:t>Concession Contract</w:t>
      </w:r>
      <w:r>
        <w:rPr>
          <w:rFonts w:ascii="Times New Roman" w:cs="Times New Roman" w:eastAsia="Times New Roman" w:hAnsi="Times New Roman"/>
          <w:sz w:val="19"/>
          <w:szCs w:val="19"/>
          <w:color w:val="auto"/>
        </w:rPr>
        <w:t>”) that prohibits the Equity Interests of such Restricted Subsidiary from being pledged to Administrative Agent under the Loan Papers; provided, that (i) a true and correct copy of the applicable Concession Contract has been delivered to Administrative Agent and such Concession Contract has not expired or been terminated, (ii) the Equity Interests of such Restricted Subsidiary have not, and will not, be pledged to any other Person, (iii) such Restricted Subsidiary does not, and will not own, any material assets or property other than the Concession Contract, the revenues generated by such Concession Contract, and the improvements, assets, and Rights necessary to perform its obligations under such Concession Contract, (iv) such Restricted Subsidiary has executed a Guaranty, and (v) Administrative Agent has agreed to the designation of such Restricted Subsidiary as a Concessioner Subsidiary in writing.</w:t>
      </w:r>
    </w:p>
    <w:p>
      <w:pPr>
        <w:spacing w:after="0" w:line="175"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Conforming Changes </w:t>
      </w:r>
      <w:r>
        <w:rPr>
          <w:rFonts w:ascii="Times New Roman" w:cs="Times New Roman" w:eastAsia="Times New Roman" w:hAnsi="Times New Roman"/>
          <w:sz w:val="19"/>
          <w:szCs w:val="19"/>
          <w:color w:val="auto"/>
        </w:rPr>
        <w:t>means, with respect to the use, administration of or any conventions associated with SOFR or any proposed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Successor Rate, Daily Simple SOFR, or Term SOFR, as applicable, any conforming changes to the definitions of “</w:t>
      </w:r>
      <w:r>
        <w:rPr>
          <w:rFonts w:ascii="Times New Roman" w:cs="Times New Roman" w:eastAsia="Times New Roman" w:hAnsi="Times New Roman"/>
          <w:sz w:val="19"/>
          <w:szCs w:val="19"/>
          <w:i w:val="1"/>
          <w:iCs w:val="1"/>
          <w:color w:val="auto"/>
        </w:rPr>
        <w:t>Base Rate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Daily Simple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SOFR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SOFR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Term SOFR</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Interest Period</w:t>
      </w:r>
      <w:r>
        <w:rPr>
          <w:rFonts w:ascii="Times New Roman" w:cs="Times New Roman" w:eastAsia="Times New Roman" w:hAnsi="Times New Roman"/>
          <w:sz w:val="19"/>
          <w:szCs w:val="19"/>
          <w:color w:val="auto"/>
        </w:rPr>
        <w:t>”, timing and frequency of determining rates and making payments of interest and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technical, administrative or operational matters (including, for the avoidance of doubt, the definitions of “</w:t>
      </w:r>
      <w:r>
        <w:rPr>
          <w:rFonts w:ascii="Times New Roman" w:cs="Times New Roman" w:eastAsia="Times New Roman" w:hAnsi="Times New Roman"/>
          <w:sz w:val="19"/>
          <w:szCs w:val="19"/>
          <w:i w:val="1"/>
          <w:iCs w:val="1"/>
          <w:color w:val="auto"/>
        </w:rPr>
        <w:t>Business Day</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U.S. Government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Securities Business Day</w:t>
      </w:r>
      <w:r>
        <w:rPr>
          <w:rFonts w:ascii="Times New Roman" w:cs="Times New Roman" w:eastAsia="Times New Roman" w:hAnsi="Times New Roman"/>
          <w:sz w:val="19"/>
          <w:szCs w:val="19"/>
          <w:color w:val="auto"/>
        </w:rPr>
        <w:t>”, timing of borrowing requests or prepayment, conversion or continuation notices and length of lookback periods)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may be appropriate, in the discretion of Administrative Agent (after consultation with Borrower), to reflect the adoption and implementation of such applicable rate(s) and to permit the administration thereof by Administrative Agent in a manner substantially consistent with market practice (or, if Administrative Agent determines that adoption of any portion of such market practice is not administratively feasible or that no market practice for the administration of such rate exists, in such other manner of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386" w:right="339" w:bottom="1440" w:gutter="0" w:footer="0" w:header="0"/>
        </w:sectPr>
      </w:pPr>
    </w:p>
    <w:bookmarkStart w:id="122" w:name="page123"/>
    <w:bookmarkEnd w:id="122"/>
    <w:p>
      <w:pPr>
        <w:jc w:val="both"/>
        <w:spacing w:after="0" w:line="270" w:lineRule="auto"/>
        <w:rPr>
          <w:sz w:val="20"/>
          <w:szCs w:val="20"/>
          <w:color w:val="auto"/>
        </w:rPr>
      </w:pPr>
      <w:r>
        <w:rPr>
          <w:rFonts w:ascii="Times New Roman" w:cs="Times New Roman" w:eastAsia="Times New Roman" w:hAnsi="Times New Roman"/>
          <w:sz w:val="19"/>
          <w:szCs w:val="19"/>
          <w:color w:val="auto"/>
        </w:rPr>
        <w:t>as Administrative Agent determines is reasonably necessary in connection with the administration of this Agreement and any other Loan Paper).</w:t>
      </w:r>
    </w:p>
    <w:p>
      <w:pPr>
        <w:spacing w:after="0" w:line="200" w:lineRule="exact"/>
        <w:rPr>
          <w:sz w:val="20"/>
          <w:szCs w:val="20"/>
          <w:color w:val="auto"/>
        </w:rPr>
      </w:pPr>
    </w:p>
    <w:p>
      <w:pPr>
        <w:spacing w:after="0" w:line="227"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Connection Income Taxes </w:t>
      </w:r>
      <w:r>
        <w:rPr>
          <w:rFonts w:ascii="Times New Roman" w:cs="Times New Roman" w:eastAsia="Times New Roman" w:hAnsi="Times New Roman"/>
          <w:sz w:val="19"/>
          <w:szCs w:val="19"/>
          <w:color w:val="auto"/>
        </w:rPr>
        <w:t>means Other Connection Taxes that are imposed on or measured by net income (however denominated)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are franchise Taxes or branch profits Taxes.</w:t>
      </w:r>
    </w:p>
    <w:p>
      <w:pPr>
        <w:spacing w:after="0" w:line="123"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Consolidated Net Income </w:t>
      </w:r>
      <w:r>
        <w:rPr>
          <w:rFonts w:ascii="Times New Roman" w:cs="Times New Roman" w:eastAsia="Times New Roman" w:hAnsi="Times New Roman"/>
          <w:sz w:val="19"/>
          <w:szCs w:val="19"/>
          <w:color w:val="auto"/>
        </w:rPr>
        <w:t>means, with respect to any Person, the aggregate of the</w:t>
      </w:r>
      <w:r>
        <w:rPr>
          <w:rFonts w:ascii="Times New Roman" w:cs="Times New Roman" w:eastAsia="Times New Roman" w:hAnsi="Times New Roman"/>
          <w:sz w:val="19"/>
          <w:szCs w:val="19"/>
          <w:b w:val="1"/>
          <w:bCs w:val="1"/>
          <w:i w:val="1"/>
          <w:iCs w:val="1"/>
          <w:color w:val="auto"/>
        </w:rPr>
        <w:t xml:space="preserve"> Section 10.9 </w:t>
      </w:r>
      <w:r>
        <w:rPr>
          <w:rFonts w:ascii="Times New Roman" w:cs="Times New Roman" w:eastAsia="Times New Roman" w:hAnsi="Times New Roman"/>
          <w:sz w:val="19"/>
          <w:szCs w:val="19"/>
          <w:color w:val="auto"/>
        </w:rPr>
        <w:t>Net Income of such Person and its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Restricted Subsidiaries for such period, on a consolidated basis, determined in accordance with GAAP;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(a) the net income (but not loss) of any Person that is not a Restricted Subsidiary of such Person or that is accounted for by the equity method of accounting shall be included only to the extent of the amount of dividends or distributions paid in cash by such Person during such period to the referent Person or a Restricted Subsidiary thereof, (b) the cumulative effect of a change in accounting principles shall be excluded and (c) non-cash compensation expenses incurred in respect of stock option plans shall be excluded.</w:t>
      </w:r>
    </w:p>
    <w:p>
      <w:pPr>
        <w:spacing w:after="0" w:line="176"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Convertible Debt Securities </w:t>
      </w:r>
      <w:r>
        <w:rPr>
          <w:rFonts w:ascii="Times New Roman" w:cs="Times New Roman" w:eastAsia="Times New Roman" w:hAnsi="Times New Roman"/>
          <w:sz w:val="19"/>
          <w:szCs w:val="19"/>
          <w:color w:val="auto"/>
        </w:rPr>
        <w:t>means any senior unsecured indebtedness for borrowed money in the form of convertible debt securities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for which a Company is directly and primarily obligated and that is issued pursuant to documentation with terms that are no more restrictive upon such Company than the terms of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Convertible Debt Securities shall not include High-Yield Debt.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Credit Party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14.3</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37"/>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 xml:space="preserve">Critical Assets </w:t>
      </w:r>
      <w:r>
        <w:rPr>
          <w:rFonts w:ascii="Times New Roman" w:cs="Times New Roman" w:eastAsia="Times New Roman" w:hAnsi="Times New Roman"/>
          <w:sz w:val="19"/>
          <w:szCs w:val="19"/>
          <w:color w:val="auto"/>
        </w:rPr>
        <w:t>means all improvements, assets, and Rights essential to ski resort operations owned or acquired by any Company;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 xml:space="preserve">provided that </w:t>
      </w:r>
      <w:r>
        <w:rPr>
          <w:rFonts w:ascii="Times New Roman" w:cs="Times New Roman" w:eastAsia="Times New Roman" w:hAnsi="Times New Roman"/>
          <w:sz w:val="19"/>
          <w:szCs w:val="19"/>
          <w:color w:val="auto"/>
        </w:rPr>
        <w:t>the assets of the Whistler Acquisition Subsidiaries and the Peak Resorts Acquisition Subsidiaries shall not be deemed “Critical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Assets”.</w:t>
      </w:r>
    </w:p>
    <w:p>
      <w:pPr>
        <w:spacing w:after="0" w:line="37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Current Financials </w:t>
      </w:r>
      <w:r>
        <w:rPr>
          <w:rFonts w:ascii="Times New Roman" w:cs="Times New Roman" w:eastAsia="Times New Roman" w:hAnsi="Times New Roman"/>
          <w:sz w:val="19"/>
          <w:szCs w:val="19"/>
          <w:color w:val="auto"/>
        </w:rPr>
        <w:t>means, initially, the consolidated Financial Statements of the Companies for the period ended January 31, 2024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thereafter, the consolidated Financial Statements of the Companies most recently delivered to Administrative Agent under </w:t>
      </w:r>
      <w:r>
        <w:rPr>
          <w:rFonts w:ascii="Times New Roman" w:cs="Times New Roman" w:eastAsia="Times New Roman" w:hAnsi="Times New Roman"/>
          <w:sz w:val="19"/>
          <w:szCs w:val="19"/>
          <w:b w:val="1"/>
          <w:bCs w:val="1"/>
          <w:i w:val="1"/>
          <w:iCs w:val="1"/>
          <w:color w:val="auto"/>
        </w:rPr>
        <w:t>Sections 9.1(a)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9.1(b)</w:t>
      </w:r>
      <w:r>
        <w:rPr>
          <w:rFonts w:ascii="Times New Roman" w:cs="Times New Roman" w:eastAsia="Times New Roman" w:hAnsi="Times New Roman"/>
          <w:sz w:val="19"/>
          <w:szCs w:val="19"/>
          <w:color w:val="auto"/>
        </w:rPr>
        <w:t>, as the case may be.</w:t>
      </w:r>
    </w:p>
    <w:p>
      <w:pPr>
        <w:spacing w:after="0" w:line="162"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Customary Recourse Exceptions </w:t>
      </w:r>
      <w:r>
        <w:rPr>
          <w:rFonts w:ascii="Times New Roman" w:cs="Times New Roman" w:eastAsia="Times New Roman" w:hAnsi="Times New Roman"/>
          <w:sz w:val="19"/>
          <w:szCs w:val="19"/>
          <w:color w:val="auto"/>
        </w:rPr>
        <w:t>means, with respect to any Non-Recourse Debt of an Unrestricted Subsidiary, exclusions from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exculpation provisions with respect to such Non-Recourse Debt for the bankruptcy of such Unrestricted Subsidiary, fraud, misapplication of cash, environmental claims, waste, willful destruction, and other circumstances customarily excluded by institutional lenders from exculpation provisions and/or included in separate indemnification agreements in non-recourse financings of real estate.</w:t>
      </w:r>
    </w:p>
    <w:p>
      <w:pPr>
        <w:spacing w:after="0" w:line="154" w:lineRule="exact"/>
        <w:rPr>
          <w:sz w:val="20"/>
          <w:szCs w:val="20"/>
          <w:color w:val="auto"/>
        </w:rPr>
      </w:pPr>
    </w:p>
    <w:p>
      <w:pPr>
        <w:jc w:val="both"/>
        <w:ind w:firstLine="637"/>
        <w:spacing w:after="0" w:line="235" w:lineRule="auto"/>
        <w:rPr>
          <w:sz w:val="20"/>
          <w:szCs w:val="20"/>
          <w:color w:val="auto"/>
        </w:rPr>
      </w:pPr>
      <w:r>
        <w:rPr>
          <w:rFonts w:ascii="Times New Roman" w:cs="Times New Roman" w:eastAsia="Times New Roman" w:hAnsi="Times New Roman"/>
          <w:sz w:val="19"/>
          <w:szCs w:val="19"/>
          <w:b w:val="1"/>
          <w:bCs w:val="1"/>
          <w:i w:val="1"/>
          <w:iCs w:val="1"/>
          <w:color w:val="auto"/>
        </w:rPr>
        <w:t xml:space="preserve">Daily Simple SOFR </w:t>
      </w:r>
      <w:r>
        <w:rPr>
          <w:rFonts w:ascii="Times New Roman" w:cs="Times New Roman" w:eastAsia="Times New Roman" w:hAnsi="Times New Roman"/>
          <w:sz w:val="19"/>
          <w:szCs w:val="19"/>
          <w:color w:val="auto"/>
        </w:rPr>
        <w:t>means, with respect to any applicable determination date, (a) the SOFR published on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Government Securities Business Day preceding such day by the SOFR Administrator on the Federal Reserve Bank of New York’s website (or any successor source); provided, however, that if such day is not a U.S. Government Securities Business Day, then Daily Simple SOFR means such rate so published on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U.S. Government Securities Business Day preceding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U.S. Government Securities Business Day immediately prior thereto;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SOFR Adjustment. If the rate as so determined would be less than 0.00%, such rate shall be deemed to be 0.00% for purposes of the Loans and Loan Papers.</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Daily SOFR Rate Loan </w:t>
      </w:r>
      <w:r>
        <w:rPr>
          <w:rFonts w:ascii="Times New Roman" w:cs="Times New Roman" w:eastAsia="Times New Roman" w:hAnsi="Times New Roman"/>
          <w:sz w:val="19"/>
          <w:szCs w:val="19"/>
          <w:color w:val="auto"/>
        </w:rPr>
        <w:t>means a Loan made hereunder with respect to which the interest rate is calculated by reference to Daily Simple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390" w:right="339" w:bottom="1440" w:gutter="0" w:footer="0" w:header="0"/>
        </w:sectPr>
      </w:pPr>
    </w:p>
    <w:bookmarkStart w:id="123" w:name="page124"/>
    <w:bookmarkEnd w:id="123"/>
    <w:p>
      <w:pPr>
        <w:jc w:val="both"/>
        <w:ind w:firstLine="637"/>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Debt </w:t>
      </w:r>
      <w:r>
        <w:rPr>
          <w:rFonts w:ascii="Times New Roman" w:cs="Times New Roman" w:eastAsia="Times New Roman" w:hAnsi="Times New Roman"/>
          <w:sz w:val="19"/>
          <w:szCs w:val="19"/>
          <w:color w:val="auto"/>
        </w:rPr>
        <w:t>of any Person means at any date, without duplication (and calculated in accordance with GAAP), (a) all obligations of such Person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for borrowed money (whether as a direct obligation on a promissory note, bond, zero coupon bond, debenture, or other similar instrument, or as an unfulfilled reimbursement obligation on a drawn letter of credit or similar instrument, or otherwise), including, without duplication, all Capital Lease obligations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the interest component of such obligations) of such Person, (b) all obligations of such Person to pay the deferred purchase price of property or services,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(i) obligations under employment contracts or deferred employee compensation plans and (ii) trade accounts payable and other expenses or payables arising in the ordinary course of business, (c) all Debt of others secured by a Lien on any asset of such Person (or for which the holder of the Debt has an existing Right, contingent or otherwise, to be so secured), whether or not such Debt is assumed by such Person, and (d) all guaranties and other contingent obligations (as a general partner or otherwise) of such Person with respect to Debt of others;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repayment or reimbursement obligations of the Restricted Companies with respect to Permitted Recourse Obligations shall not be considered Debt unless and until an event or circumstance occurs that triggers such Restricted Company’s direct payment liability or reimbursement obligation (as opposed to contingent or performance obligations) to the lender or other party to whom such Permitted Recourse Obligation is actually owed, in which case the amount of such direct payment liability to such lender or other party shall constitute Debt;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the satisfaction of performance obligations by any Restricted Company on behalf of any Unrestricted Subsidiary under a Completion Guaranty shall not constitute Debt.</w:t>
      </w:r>
    </w:p>
    <w:p>
      <w:pPr>
        <w:spacing w:after="0" w:line="175" w:lineRule="exact"/>
        <w:rPr>
          <w:sz w:val="20"/>
          <w:szCs w:val="20"/>
          <w:color w:val="auto"/>
        </w:rPr>
      </w:pPr>
    </w:p>
    <w:p>
      <w:pPr>
        <w:jc w:val="both"/>
        <w:ind w:firstLine="637"/>
        <w:spacing w:after="0" w:line="283"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Debtor Relief Laws </w:t>
      </w:r>
      <w:r>
        <w:rPr>
          <w:rFonts w:ascii="Times New Roman" w:cs="Times New Roman" w:eastAsia="Times New Roman" w:hAnsi="Times New Roman"/>
          <w:sz w:val="19"/>
          <w:szCs w:val="19"/>
          <w:color w:val="auto"/>
        </w:rPr>
        <w:t>means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Bankruptcy Reform Act of 1978</w:t>
      </w:r>
      <w:r>
        <w:rPr>
          <w:rFonts w:ascii="Times New Roman" w:cs="Times New Roman" w:eastAsia="Times New Roman" w:hAnsi="Times New Roman"/>
          <w:sz w:val="19"/>
          <w:szCs w:val="19"/>
          <w:color w:val="auto"/>
        </w:rPr>
        <w:t>, as amended from time to time, and all other applicable liquidation,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conservatorship, bankruptcy, moratorium, rearrangement, receivership, insolvency, reorganization, suspension of payments, or similar Laws affecting creditors’ Rights from time to time in effect.</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Default </w:t>
      </w:r>
      <w:r>
        <w:rPr>
          <w:rFonts w:ascii="Times New Roman" w:cs="Times New Roman" w:eastAsia="Times New Roman" w:hAnsi="Times New Roman"/>
          <w:sz w:val="19"/>
          <w:szCs w:val="19"/>
          <w:color w:val="auto"/>
        </w:rPr>
        <w:t>is defined in</w:t>
      </w:r>
      <w:r>
        <w:rPr>
          <w:rFonts w:ascii="Times New Roman" w:cs="Times New Roman" w:eastAsia="Times New Roman" w:hAnsi="Times New Roman"/>
          <w:sz w:val="19"/>
          <w:szCs w:val="19"/>
          <w:b w:val="1"/>
          <w:bCs w:val="1"/>
          <w:i w:val="1"/>
          <w:iCs w:val="1"/>
          <w:color w:val="auto"/>
        </w:rPr>
        <w:t xml:space="preserve"> Section 12</w:t>
      </w:r>
      <w:r>
        <w:rPr>
          <w:rFonts w:ascii="Times New Roman" w:cs="Times New Roman" w:eastAsia="Times New Roman" w:hAnsi="Times New Roman"/>
          <w:sz w:val="19"/>
          <w:szCs w:val="19"/>
          <w:i w:val="1"/>
          <w:iCs w:val="1"/>
          <w:color w:val="auto"/>
        </w:rPr>
        <w:t>.</w:t>
      </w:r>
    </w:p>
    <w:p>
      <w:pPr>
        <w:spacing w:after="0" w:line="233"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Default Rate </w:t>
      </w:r>
      <w:r>
        <w:rPr>
          <w:rFonts w:ascii="Times New Roman" w:cs="Times New Roman" w:eastAsia="Times New Roman" w:hAnsi="Times New Roman"/>
          <w:sz w:val="19"/>
          <w:szCs w:val="19"/>
          <w:color w:val="auto"/>
        </w:rPr>
        <w:t>means (a) when used with respect to Obligations other than L/C Fees, an interest rate equal to (i) the Base Rate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(ii)</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the Applicable Margin, if any, applicable to Base Rate Loans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(iii) 2% per annum;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with respect to a Term Reference Rate Loan or Daily SOFR Rate Loan, the Default Rate shall be an interest rate equal to the interest rate (including any Applicable Margin) otherwise applicable to such Loan plus 2% per annum, and (b) when used with respect to L/C Fees calculated based on the Applicable Margin, a rate equal to the Applicable Margin plus 2% per annum.</w:t>
      </w:r>
    </w:p>
    <w:p>
      <w:pPr>
        <w:spacing w:after="0" w:line="173"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Defaulting Lender </w:t>
      </w:r>
      <w:r>
        <w:rPr>
          <w:rFonts w:ascii="Times New Roman" w:cs="Times New Roman" w:eastAsia="Times New Roman" w:hAnsi="Times New Roman"/>
          <w:sz w:val="19"/>
          <w:szCs w:val="19"/>
          <w:color w:val="auto"/>
        </w:rPr>
        <w:t>means, subject to</w:t>
      </w:r>
      <w:r>
        <w:rPr>
          <w:rFonts w:ascii="Times New Roman" w:cs="Times New Roman" w:eastAsia="Times New Roman" w:hAnsi="Times New Roman"/>
          <w:sz w:val="19"/>
          <w:szCs w:val="19"/>
          <w:b w:val="1"/>
          <w:bCs w:val="1"/>
          <w:i w:val="1"/>
          <w:iCs w:val="1"/>
          <w:color w:val="auto"/>
        </w:rPr>
        <w:t xml:space="preserve"> Section 3.15(b)</w:t>
      </w:r>
      <w:r>
        <w:rPr>
          <w:rFonts w:ascii="Times New Roman" w:cs="Times New Roman" w:eastAsia="Times New Roman" w:hAnsi="Times New Roman"/>
          <w:sz w:val="19"/>
          <w:szCs w:val="19"/>
          <w:color w:val="auto"/>
        </w:rPr>
        <w:t>, any Lender that (a) has failed to fund any portion of the Revolver Loans</w:t>
      </w:r>
      <w:r>
        <w:rPr>
          <w:rFonts w:ascii="Times New Roman" w:cs="Times New Roman" w:eastAsia="Times New Roman" w:hAnsi="Times New Roman"/>
          <w:sz w:val="19"/>
          <w:szCs w:val="19"/>
          <w:u w:val="single" w:color="auto"/>
          <w:color w:val="3051F2"/>
        </w:rPr>
        <w: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3051F2"/>
        </w:rPr>
        <w:t>Term Loans</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or the</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Term Loans, unless such Lender notifies Administrative Agent in writing that such failure is the result of such</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Lender’s determination that a condition precedent to funding (which condition precedent, together with the applicable default, if any, shall be specifically identified in such writing) has not been satisfied or participations in L/C Exposure hereunder within two Business Days of the date required to be funded by it hereunder, (b) has otherwise failed to pay over to Administrative Agent or any other Lender any other amount required to be paid by it hereunder within two Business Days of the date when due, unless the subject of a good faith dispute, (c) has notified Borrower or Administrative Agent in writing that it does not intend to comply with its funding obligations or has made a public statement to that effect with respect to its funding obligations hereunder (unless such writing or public statement relates to such Lender’s obligation to fund a Revolver Loan</w:t>
      </w:r>
      <w:r>
        <w:rPr>
          <w:rFonts w:ascii="Times New Roman" w:cs="Times New Roman" w:eastAsia="Times New Roman" w:hAnsi="Times New Roman"/>
          <w:sz w:val="19"/>
          <w:szCs w:val="19"/>
          <w:u w:val="single" w:color="auto"/>
          <w:color w:val="3051F2"/>
        </w:rPr>
        <w:t>, a Term Loan</w:t>
      </w:r>
      <w:r>
        <w:rPr>
          <w:rFonts w:ascii="Times New Roman" w:cs="Times New Roman" w:eastAsia="Times New Roman" w:hAnsi="Times New Roman"/>
          <w:sz w:val="19"/>
          <w:szCs w:val="19"/>
          <w:color w:val="000000"/>
        </w:rPr>
        <w:t xml:space="preserve"> or a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000000"/>
        </w:rPr>
        <w:t xml:space="preserve"> Term Loan hereunder and states that such position is based on such Lender’s determination that a condition precedent to funding (which condition precedent, together with the applicable default, if any, shall be specifically identified in such writing or public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386" w:right="339" w:bottom="1440" w:gutter="0" w:footer="0" w:header="0"/>
        </w:sectPr>
      </w:pPr>
    </w:p>
    <w:bookmarkStart w:id="124" w:name="page125"/>
    <w:bookmarkEnd w:id="124"/>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cannot be satisfied) or under other agreements in which it commits to extend credit, (d) has failed, within three Business Days after request by Administrative Agent, to confirm in writing to Administrative Agent that it will comply with its funding obligations (provided, that such Lender shall cease to be a Defaulting Lender pursuant to this </w:t>
      </w:r>
      <w:r>
        <w:rPr>
          <w:rFonts w:ascii="Times New Roman" w:cs="Times New Roman" w:eastAsia="Times New Roman" w:hAnsi="Times New Roman"/>
          <w:sz w:val="19"/>
          <w:szCs w:val="19"/>
          <w:b w:val="1"/>
          <w:bCs w:val="1"/>
          <w:i w:val="1"/>
          <w:iCs w:val="1"/>
          <w:color w:val="auto"/>
        </w:rPr>
        <w:t>clause (d)</w:t>
      </w:r>
      <w:r>
        <w:rPr>
          <w:rFonts w:ascii="Times New Roman" w:cs="Times New Roman" w:eastAsia="Times New Roman" w:hAnsi="Times New Roman"/>
          <w:sz w:val="19"/>
          <w:szCs w:val="19"/>
          <w:color w:val="auto"/>
        </w:rPr>
        <w:t xml:space="preserve"> upon Administrative Agent’s receipt of such written confirmation), or (e)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jurisdiction of courts within the United States from enforcement of judgments or writs of attachment on assets or permit such Lender (or such Governmental Authority or instrumentality) to reject, repudiate, disavow, or disaffirm any contract or agreement made with such Lender. Any determination by Administrative Agent that a Lender is a Defaulting Lender under any one or more of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b w:val="1"/>
          <w:bCs w:val="1"/>
          <w:i w:val="1"/>
          <w:iCs w:val="1"/>
          <w:color w:val="auto"/>
        </w:rPr>
        <w:t>(e)</w:t>
      </w:r>
      <w:r>
        <w:rPr>
          <w:rFonts w:ascii="Times New Roman" w:cs="Times New Roman" w:eastAsia="Times New Roman" w:hAnsi="Times New Roman"/>
          <w:sz w:val="19"/>
          <w:szCs w:val="19"/>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9"/>
          <w:szCs w:val="19"/>
          <w:b w:val="1"/>
          <w:bCs w:val="1"/>
          <w:i w:val="1"/>
          <w:iCs w:val="1"/>
          <w:color w:val="auto"/>
        </w:rPr>
        <w:t>Section 3.15(b)</w:t>
      </w:r>
      <w:r>
        <w:rPr>
          <w:rFonts w:ascii="Times New Roman" w:cs="Times New Roman" w:eastAsia="Times New Roman" w:hAnsi="Times New Roman"/>
          <w:sz w:val="19"/>
          <w:szCs w:val="19"/>
          <w:color w:val="auto"/>
        </w:rPr>
        <w:t>) as of the date established therefor by Administrative Agent in a written notice of such determination, which shall be delivered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by Administrative Agent to Borrower, the L/C Issuers and each other Lender promptly following such determination.</w:t>
      </w:r>
    </w:p>
    <w:p>
      <w:pPr>
        <w:spacing w:after="0" w:line="187"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u w:val="single" w:color="auto"/>
          <w:color w:val="3051F2"/>
        </w:rPr>
        <w:t xml:space="preserve">Delayed Draw Term Loan </w:t>
      </w:r>
      <w:r>
        <w:rPr>
          <w:rFonts w:ascii="Times New Roman" w:cs="Times New Roman" w:eastAsia="Times New Roman" w:hAnsi="Times New Roman"/>
          <w:sz w:val="19"/>
          <w:szCs w:val="19"/>
          <w:u w:val="single" w:color="auto"/>
          <w:color w:val="3051F2"/>
        </w:rPr>
        <w:t>means any Loan made under the Delayed Draw Term Loan Facility. All Delayed Draw Term Loans shall be</w:t>
      </w:r>
      <w:r>
        <w:rPr>
          <w:rFonts w:ascii="Times New Roman" w:cs="Times New Roman" w:eastAsia="Times New Roman" w:hAnsi="Times New Roman"/>
          <w:sz w:val="19"/>
          <w:szCs w:val="19"/>
          <w:b w:val="1"/>
          <w:bCs w:val="1"/>
          <w:i w:val="1"/>
          <w:iCs w:val="1"/>
          <w:u w:val="single" w:color="auto"/>
          <w:color w:val="3051F2"/>
        </w:rPr>
        <w:t xml:space="preserve"> </w:t>
      </w:r>
      <w:r>
        <w:rPr>
          <w:rFonts w:ascii="Times New Roman" w:cs="Times New Roman" w:eastAsia="Times New Roman" w:hAnsi="Times New Roman"/>
          <w:sz w:val="19"/>
          <w:szCs w:val="19"/>
          <w:u w:val="single" w:color="auto"/>
          <w:color w:val="3051F2"/>
        </w:rPr>
        <w:t>denominated in Dollars.</w:t>
      </w:r>
    </w:p>
    <w:p>
      <w:pPr>
        <w:spacing w:after="0" w:line="12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u w:val="single" w:color="auto"/>
          <w:color w:val="3051F2"/>
        </w:rPr>
        <w:t xml:space="preserve">Delayed Draw Term Loan Availability Period </w:t>
      </w:r>
      <w:r>
        <w:rPr>
          <w:rFonts w:ascii="Times New Roman" w:cs="Times New Roman" w:eastAsia="Times New Roman" w:hAnsi="Times New Roman"/>
          <w:sz w:val="19"/>
          <w:szCs w:val="19"/>
          <w:u w:val="single" w:color="auto"/>
          <w:color w:val="3051F2"/>
        </w:rPr>
        <w:t>means the period from and including the First Amendment Effective Date to the earliest</w:t>
      </w:r>
      <w:r>
        <w:rPr>
          <w:rFonts w:ascii="Times New Roman" w:cs="Times New Roman" w:eastAsia="Times New Roman" w:hAnsi="Times New Roman"/>
          <w:sz w:val="19"/>
          <w:szCs w:val="19"/>
          <w:b w:val="1"/>
          <w:bCs w:val="1"/>
          <w:i w:val="1"/>
          <w:iCs w:val="1"/>
          <w:u w:val="single" w:color="auto"/>
          <w:color w:val="3051F2"/>
        </w:rPr>
        <w:t xml:space="preserve"> </w:t>
      </w:r>
      <w:r>
        <w:rPr>
          <w:rFonts w:ascii="Times New Roman" w:cs="Times New Roman" w:eastAsia="Times New Roman" w:hAnsi="Times New Roman"/>
          <w:sz w:val="19"/>
          <w:szCs w:val="19"/>
          <w:u w:val="single" w:color="auto"/>
          <w:color w:val="3051F2"/>
        </w:rPr>
        <w:t xml:space="preserve">of (i) January 27, 2026, (ii) the date of termination of the Delayed Draw Term Loan Commitments pursuant to </w:t>
      </w:r>
      <w:r>
        <w:rPr>
          <w:rFonts w:ascii="Times New Roman" w:cs="Times New Roman" w:eastAsia="Times New Roman" w:hAnsi="Times New Roman"/>
          <w:sz w:val="19"/>
          <w:szCs w:val="19"/>
          <w:b w:val="1"/>
          <w:bCs w:val="1"/>
          <w:i w:val="1"/>
          <w:iCs w:val="1"/>
          <w:u w:val="single" w:color="auto"/>
          <w:color w:val="3051F2"/>
        </w:rPr>
        <w:t>Section 3.2(d)</w:t>
      </w:r>
      <w:r>
        <w:rPr>
          <w:rFonts w:ascii="Times New Roman" w:cs="Times New Roman" w:eastAsia="Times New Roman" w:hAnsi="Times New Roman"/>
          <w:sz w:val="19"/>
          <w:szCs w:val="19"/>
          <w:u w:val="single" w:color="auto"/>
          <w:color w:val="3051F2"/>
        </w:rPr>
        <w:t xml:space="preserve">, and (iii) the date of termination of the commitment of each Delayed Draw Term Loan Lender to make Delayed Draw Term Loans pursuant to </w:t>
      </w:r>
      <w:r>
        <w:rPr>
          <w:rFonts w:ascii="Times New Roman" w:cs="Times New Roman" w:eastAsia="Times New Roman" w:hAnsi="Times New Roman"/>
          <w:sz w:val="19"/>
          <w:szCs w:val="19"/>
          <w:b w:val="1"/>
          <w:bCs w:val="1"/>
          <w:i w:val="1"/>
          <w:iCs w:val="1"/>
          <w:u w:val="single" w:color="auto"/>
          <w:color w:val="3051F2"/>
        </w:rPr>
        <w:t>Section 13.1</w:t>
      </w:r>
      <w:r>
        <w:rPr>
          <w:rFonts w:ascii="Times New Roman" w:cs="Times New Roman" w:eastAsia="Times New Roman" w:hAnsi="Times New Roman"/>
          <w:sz w:val="19"/>
          <w:szCs w:val="19"/>
          <w:u w:val="single" w:color="auto"/>
          <w:color w:val="3051F2"/>
        </w:rPr>
        <w:t>.</w:t>
      </w:r>
    </w:p>
    <w:p>
      <w:pPr>
        <w:spacing w:after="0" w:line="162"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u w:val="single" w:color="auto"/>
          <w:color w:val="3051F2"/>
        </w:rPr>
        <w:t xml:space="preserve">Delayed Draw Term Loan Borrowing </w:t>
      </w:r>
      <w:r>
        <w:rPr>
          <w:rFonts w:ascii="Times New Roman" w:cs="Times New Roman" w:eastAsia="Times New Roman" w:hAnsi="Times New Roman"/>
          <w:sz w:val="19"/>
          <w:szCs w:val="19"/>
          <w:u w:val="single" w:color="auto"/>
          <w:color w:val="3051F2"/>
        </w:rPr>
        <w:t>means a borrowing consisting of simultaneous Delayed Draw Term Loans of the same Type and,</w:t>
      </w:r>
      <w:r>
        <w:rPr>
          <w:rFonts w:ascii="Times New Roman" w:cs="Times New Roman" w:eastAsia="Times New Roman" w:hAnsi="Times New Roman"/>
          <w:sz w:val="19"/>
          <w:szCs w:val="19"/>
          <w:b w:val="1"/>
          <w:bCs w:val="1"/>
          <w:i w:val="1"/>
          <w:iCs w:val="1"/>
          <w:u w:val="single" w:color="auto"/>
          <w:color w:val="3051F2"/>
        </w:rPr>
        <w:t xml:space="preserve"> </w:t>
      </w:r>
      <w:r>
        <w:rPr>
          <w:rFonts w:ascii="Times New Roman" w:cs="Times New Roman" w:eastAsia="Times New Roman" w:hAnsi="Times New Roman"/>
          <w:sz w:val="19"/>
          <w:szCs w:val="19"/>
          <w:u w:val="single" w:color="auto"/>
          <w:color w:val="3051F2"/>
        </w:rPr>
        <w:t xml:space="preserve">in the case of Term Reference Rate Loans, having the same Interest Period made by each of the Delayed Draw Term Loan Lenders pursuant to </w:t>
      </w:r>
      <w:r>
        <w:rPr>
          <w:rFonts w:ascii="Times New Roman" w:cs="Times New Roman" w:eastAsia="Times New Roman" w:hAnsi="Times New Roman"/>
          <w:sz w:val="19"/>
          <w:szCs w:val="19"/>
          <w:b w:val="1"/>
          <w:bCs w:val="1"/>
          <w:i w:val="1"/>
          <w:iCs w:val="1"/>
          <w:u w:val="single" w:color="auto"/>
          <w:color w:val="3051F2"/>
        </w:rPr>
        <w:t>Section 2.1(c)</w:t>
      </w:r>
      <w:r>
        <w:rPr>
          <w:rFonts w:ascii="Times New Roman" w:cs="Times New Roman" w:eastAsia="Times New Roman" w:hAnsi="Times New Roman"/>
          <w:sz w:val="19"/>
          <w:szCs w:val="19"/>
          <w:u w:val="single" w:color="auto"/>
          <w:color w:val="3051F2"/>
        </w:rPr>
        <w:t>.</w:t>
      </w:r>
    </w:p>
    <w:p>
      <w:pPr>
        <w:spacing w:after="0" w:line="162"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b w:val="1"/>
          <w:bCs w:val="1"/>
          <w:i w:val="1"/>
          <w:iCs w:val="1"/>
          <w:u w:val="single" w:color="auto"/>
          <w:color w:val="3051F2"/>
        </w:rPr>
        <w:t xml:space="preserve">Delayed Draw Term Loan Commitment </w:t>
      </w:r>
      <w:r>
        <w:rPr>
          <w:rFonts w:ascii="Times New Roman" w:cs="Times New Roman" w:eastAsia="Times New Roman" w:hAnsi="Times New Roman"/>
          <w:sz w:val="19"/>
          <w:szCs w:val="19"/>
          <w:u w:val="single" w:color="auto"/>
          <w:color w:val="3051F2"/>
        </w:rPr>
        <w:t>means, as to each Delayed Draw Term Loan Lender, its obligation to make Delayed Draw</w:t>
      </w:r>
      <w:r>
        <w:rPr>
          <w:rFonts w:ascii="Times New Roman" w:cs="Times New Roman" w:eastAsia="Times New Roman" w:hAnsi="Times New Roman"/>
          <w:sz w:val="19"/>
          <w:szCs w:val="19"/>
          <w:b w:val="1"/>
          <w:bCs w:val="1"/>
          <w:i w:val="1"/>
          <w:iCs w:val="1"/>
          <w:u w:val="single" w:color="auto"/>
          <w:color w:val="3051F2"/>
        </w:rPr>
        <w:t xml:space="preserve"> </w:t>
      </w:r>
      <w:r>
        <w:rPr>
          <w:rFonts w:ascii="Times New Roman" w:cs="Times New Roman" w:eastAsia="Times New Roman" w:hAnsi="Times New Roman"/>
          <w:sz w:val="19"/>
          <w:szCs w:val="19"/>
          <w:u w:val="single" w:color="auto"/>
          <w:color w:val="3051F2"/>
        </w:rPr>
        <w:t xml:space="preserve">Term Loans to Borrower pursuant to </w:t>
      </w:r>
      <w:r>
        <w:rPr>
          <w:rFonts w:ascii="Times New Roman" w:cs="Times New Roman" w:eastAsia="Times New Roman" w:hAnsi="Times New Roman"/>
          <w:sz w:val="19"/>
          <w:szCs w:val="19"/>
          <w:b w:val="1"/>
          <w:bCs w:val="1"/>
          <w:i w:val="1"/>
          <w:iCs w:val="1"/>
          <w:u w:val="single" w:color="auto"/>
          <w:color w:val="3051F2"/>
        </w:rPr>
        <w:t>Section 2.1(c)</w:t>
      </w:r>
      <w:r>
        <w:rPr>
          <w:rFonts w:ascii="Times New Roman" w:cs="Times New Roman" w:eastAsia="Times New Roman" w:hAnsi="Times New Roman"/>
          <w:sz w:val="19"/>
          <w:szCs w:val="19"/>
          <w:u w:val="single" w:color="auto"/>
          <w:color w:val="3051F2"/>
        </w:rPr>
        <w:t xml:space="preserve"> in an aggregate principal amount at any one time outstanding not to exceed the amount set forth opposite such Delayed Draw Term Loan Lender’s name on </w:t>
      </w:r>
      <w:r>
        <w:rPr>
          <w:rFonts w:ascii="Times New Roman" w:cs="Times New Roman" w:eastAsia="Times New Roman" w:hAnsi="Times New Roman"/>
          <w:sz w:val="19"/>
          <w:szCs w:val="19"/>
          <w:b w:val="1"/>
          <w:bCs w:val="1"/>
          <w:i w:val="1"/>
          <w:iCs w:val="1"/>
          <w:u w:val="single" w:color="auto"/>
          <w:color w:val="3051F2"/>
        </w:rPr>
        <w:t>Schedule 1</w:t>
      </w:r>
      <w:r>
        <w:rPr>
          <w:rFonts w:ascii="Times New Roman" w:cs="Times New Roman" w:eastAsia="Times New Roman" w:hAnsi="Times New Roman"/>
          <w:sz w:val="19"/>
          <w:szCs w:val="19"/>
          <w:u w:val="single" w:color="auto"/>
          <w:color w:val="3051F2"/>
        </w:rPr>
        <w:t xml:space="preserve"> under the caption “</w:t>
      </w:r>
      <w:r>
        <w:rPr>
          <w:rFonts w:ascii="Times New Roman" w:cs="Times New Roman" w:eastAsia="Times New Roman" w:hAnsi="Times New Roman"/>
          <w:sz w:val="19"/>
          <w:szCs w:val="19"/>
          <w:i w:val="1"/>
          <w:iCs w:val="1"/>
          <w:u w:val="single" w:color="auto"/>
          <w:color w:val="3051F2"/>
        </w:rPr>
        <w:t>Delayed Draw Term Loan Commitment”</w:t>
      </w:r>
      <w:r>
        <w:rPr>
          <w:rFonts w:ascii="Times New Roman" w:cs="Times New Roman" w:eastAsia="Times New Roman" w:hAnsi="Times New Roman"/>
          <w:sz w:val="19"/>
          <w:szCs w:val="19"/>
          <w:u w:val="single" w:color="auto"/>
          <w:color w:val="3051F2"/>
        </w:rPr>
        <w:t xml:space="preserve"> or opposite such caption in the Assignment and Assumption pursuant to which such Delayed Draw Term Loan Lender becomes a party hereto, as applicable, as such amount may be adjusted from time to time in accordance with this Agreement.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u w:val="single" w:color="auto"/>
          <w:color w:val="3051F2"/>
        </w:rPr>
        <w:t xml:space="preserve">Delayed Draw Term Loan Facility </w:t>
      </w:r>
      <w:r>
        <w:rPr>
          <w:rFonts w:ascii="Times New Roman" w:cs="Times New Roman" w:eastAsia="Times New Roman" w:hAnsi="Times New Roman"/>
          <w:sz w:val="19"/>
          <w:szCs w:val="19"/>
          <w:u w:val="single" w:color="auto"/>
          <w:color w:val="3051F2"/>
        </w:rPr>
        <w:t>means the credit facility as described in and subject to the limitations set forth in</w:t>
      </w:r>
      <w:r>
        <w:rPr>
          <w:rFonts w:ascii="Times New Roman" w:cs="Times New Roman" w:eastAsia="Times New Roman" w:hAnsi="Times New Roman"/>
          <w:sz w:val="19"/>
          <w:szCs w:val="19"/>
          <w:b w:val="1"/>
          <w:bCs w:val="1"/>
          <w:i w:val="1"/>
          <w:iCs w:val="1"/>
          <w:u w:val="single" w:color="auto"/>
          <w:color w:val="3051F2"/>
        </w:rPr>
        <w:t xml:space="preserve"> Section 2.1(c)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3051F2"/>
        </w:rPr>
        <w:t>hereof.</w:t>
      </w:r>
    </w:p>
    <w:p>
      <w:pPr>
        <w:spacing w:after="0" w:line="207"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u w:val="single" w:color="auto"/>
          <w:color w:val="3051F2"/>
        </w:rPr>
        <w:t xml:space="preserve">Delayed Draw Term Loan Lenders </w:t>
      </w:r>
      <w:r>
        <w:rPr>
          <w:rFonts w:ascii="Times New Roman" w:cs="Times New Roman" w:eastAsia="Times New Roman" w:hAnsi="Times New Roman"/>
          <w:sz w:val="19"/>
          <w:szCs w:val="19"/>
          <w:u w:val="single" w:color="auto"/>
          <w:color w:val="3051F2"/>
        </w:rPr>
        <w:t>means, collectively, on any date of determination, (a) at any time prior to the last day of the</w:t>
      </w:r>
      <w:r>
        <w:rPr>
          <w:rFonts w:ascii="Times New Roman" w:cs="Times New Roman" w:eastAsia="Times New Roman" w:hAnsi="Times New Roman"/>
          <w:sz w:val="19"/>
          <w:szCs w:val="19"/>
          <w:b w:val="1"/>
          <w:bCs w:val="1"/>
          <w:i w:val="1"/>
          <w:iCs w:val="1"/>
          <w:u w:val="single" w:color="auto"/>
          <w:color w:val="3051F2"/>
        </w:rPr>
        <w:t xml:space="preserve"> </w:t>
      </w:r>
      <w:r>
        <w:rPr>
          <w:rFonts w:ascii="Times New Roman" w:cs="Times New Roman" w:eastAsia="Times New Roman" w:hAnsi="Times New Roman"/>
          <w:sz w:val="19"/>
          <w:szCs w:val="19"/>
          <w:u w:val="single" w:color="auto"/>
          <w:color w:val="3051F2"/>
        </w:rPr>
        <w:t>Delayed Draw Term Loan Availability Period, Lenders having a Delayed Draw Term Loan Commitment under the Delayed Draw Term Loan Facility or (b) at any time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390" w:right="339" w:bottom="1440" w:gutter="0" w:footer="0" w:header="0"/>
        </w:sectPr>
      </w:pPr>
    </w:p>
    <w:bookmarkStart w:id="125" w:name="page126"/>
    <w:bookmarkEnd w:id="125"/>
    <w:p>
      <w:pPr>
        <w:jc w:val="both"/>
        <w:ind w:right="20"/>
        <w:spacing w:after="0" w:line="304" w:lineRule="auto"/>
        <w:rPr>
          <w:sz w:val="20"/>
          <w:szCs w:val="20"/>
          <w:color w:val="auto"/>
        </w:rPr>
      </w:pPr>
      <w:r>
        <w:rPr>
          <w:rFonts w:ascii="Times New Roman" w:cs="Times New Roman" w:eastAsia="Times New Roman" w:hAnsi="Times New Roman"/>
          <w:sz w:val="19"/>
          <w:szCs w:val="19"/>
          <w:u w:val="single" w:color="auto"/>
          <w:color w:val="3051F2"/>
        </w:rPr>
        <w:t xml:space="preserve">Lenders that are owed any Delayed Draw Term Loan Principal Debt, and </w:t>
      </w:r>
      <w:r>
        <w:rPr>
          <w:rFonts w:ascii="Times New Roman" w:cs="Times New Roman" w:eastAsia="Times New Roman" w:hAnsi="Times New Roman"/>
          <w:sz w:val="19"/>
          <w:szCs w:val="19"/>
          <w:b w:val="1"/>
          <w:bCs w:val="1"/>
          <w:i w:val="1"/>
          <w:iCs w:val="1"/>
          <w:u w:val="single" w:color="auto"/>
          <w:color w:val="3051F2"/>
        </w:rPr>
        <w:t>Delayed Draw Term Loan Lender</w:t>
      </w:r>
      <w:r>
        <w:rPr>
          <w:rFonts w:ascii="Times New Roman" w:cs="Times New Roman" w:eastAsia="Times New Roman" w:hAnsi="Times New Roman"/>
          <w:sz w:val="19"/>
          <w:szCs w:val="19"/>
          <w:u w:val="single" w:color="auto"/>
          <w:color w:val="3051F2"/>
        </w:rPr>
        <w:t xml:space="preserve"> means any one of the Delayed Draw Term Loan Lenders.</w:t>
      </w:r>
    </w:p>
    <w:p>
      <w:pPr>
        <w:spacing w:after="0" w:line="123" w:lineRule="exact"/>
        <w:rPr>
          <w:sz w:val="20"/>
          <w:szCs w:val="20"/>
          <w:color w:val="auto"/>
        </w:rPr>
      </w:pPr>
    </w:p>
    <w:p>
      <w:pPr>
        <w:ind w:right="3080" w:firstLine="637"/>
        <w:spacing w:after="0" w:line="304" w:lineRule="auto"/>
        <w:rPr>
          <w:sz w:val="20"/>
          <w:szCs w:val="20"/>
          <w:color w:val="auto"/>
        </w:rPr>
      </w:pPr>
      <w:r>
        <w:rPr>
          <w:rFonts w:ascii="Times New Roman" w:cs="Times New Roman" w:eastAsia="Times New Roman" w:hAnsi="Times New Roman"/>
          <w:sz w:val="19"/>
          <w:szCs w:val="19"/>
          <w:b w:val="1"/>
          <w:bCs w:val="1"/>
          <w:i w:val="1"/>
          <w:iCs w:val="1"/>
          <w:u w:val="single" w:color="auto"/>
          <w:color w:val="3051F2"/>
        </w:rPr>
        <w:t xml:space="preserve">Delayed Draw Term Loan Note </w:t>
      </w:r>
      <w:r>
        <w:rPr>
          <w:rFonts w:ascii="Times New Roman" w:cs="Times New Roman" w:eastAsia="Times New Roman" w:hAnsi="Times New Roman"/>
          <w:sz w:val="19"/>
          <w:szCs w:val="19"/>
          <w:u w:val="single" w:color="auto"/>
          <w:color w:val="3051F2"/>
        </w:rPr>
        <w:t>means a promissory note substantially in the form of</w:t>
      </w:r>
      <w:r>
        <w:rPr>
          <w:rFonts w:ascii="Times New Roman" w:cs="Times New Roman" w:eastAsia="Times New Roman" w:hAnsi="Times New Roman"/>
          <w:sz w:val="19"/>
          <w:szCs w:val="19"/>
          <w:b w:val="1"/>
          <w:bCs w:val="1"/>
          <w:i w:val="1"/>
          <w:iCs w:val="1"/>
          <w:u w:val="single" w:color="auto"/>
          <w:color w:val="3051F2"/>
        </w:rPr>
        <w:t xml:space="preserve"> Exhibit A-3</w:t>
      </w:r>
      <w:r>
        <w:rPr>
          <w:rFonts w:ascii="Times New Roman" w:cs="Times New Roman" w:eastAsia="Times New Roman" w:hAnsi="Times New Roman"/>
          <w:sz w:val="19"/>
          <w:szCs w:val="19"/>
          <w:u w:val="single" w:color="auto"/>
          <w:color w:val="3051F2"/>
        </w:rPr>
        <w:t>, and all renewals and extensions of all or any part thereof.</w:t>
      </w:r>
    </w:p>
    <w:p>
      <w:pPr>
        <w:spacing w:after="0" w:line="123" w:lineRule="exact"/>
        <w:rPr>
          <w:sz w:val="20"/>
          <w:szCs w:val="20"/>
          <w:color w:val="auto"/>
        </w:rPr>
      </w:pPr>
    </w:p>
    <w:p>
      <w:pPr>
        <w:ind w:right="3340" w:firstLine="637"/>
        <w:spacing w:after="0" w:line="304" w:lineRule="auto"/>
        <w:rPr>
          <w:sz w:val="20"/>
          <w:szCs w:val="20"/>
          <w:color w:val="auto"/>
        </w:rPr>
      </w:pPr>
      <w:r>
        <w:rPr>
          <w:rFonts w:ascii="Times New Roman" w:cs="Times New Roman" w:eastAsia="Times New Roman" w:hAnsi="Times New Roman"/>
          <w:sz w:val="19"/>
          <w:szCs w:val="19"/>
          <w:b w:val="1"/>
          <w:bCs w:val="1"/>
          <w:i w:val="1"/>
          <w:iCs w:val="1"/>
          <w:u w:val="single" w:color="auto"/>
          <w:color w:val="3051F2"/>
        </w:rPr>
        <w:t xml:space="preserve">Delayed Draw Term Loan Principal Debt </w:t>
      </w:r>
      <w:r>
        <w:rPr>
          <w:rFonts w:ascii="Times New Roman" w:cs="Times New Roman" w:eastAsia="Times New Roman" w:hAnsi="Times New Roman"/>
          <w:sz w:val="19"/>
          <w:szCs w:val="19"/>
          <w:u w:val="single" w:color="auto"/>
          <w:color w:val="3051F2"/>
        </w:rPr>
        <w:t>means, at any time, the aggregate unpaid principal</w:t>
      </w:r>
      <w:r>
        <w:rPr>
          <w:rFonts w:ascii="Times New Roman" w:cs="Times New Roman" w:eastAsia="Times New Roman" w:hAnsi="Times New Roman"/>
          <w:sz w:val="19"/>
          <w:szCs w:val="19"/>
          <w:b w:val="1"/>
          <w:bCs w:val="1"/>
          <w:i w:val="1"/>
          <w:iCs w:val="1"/>
          <w:u w:val="single" w:color="auto"/>
          <w:color w:val="3051F2"/>
        </w:rPr>
        <w:t xml:space="preserve"> </w:t>
      </w:r>
      <w:r>
        <w:rPr>
          <w:rFonts w:ascii="Times New Roman" w:cs="Times New Roman" w:eastAsia="Times New Roman" w:hAnsi="Times New Roman"/>
          <w:sz w:val="19"/>
          <w:szCs w:val="19"/>
          <w:u w:val="single" w:color="auto"/>
          <w:color w:val="3051F2"/>
        </w:rPr>
        <w:t>balance of all Loans under the Delayed Draw Term Loan Facility.</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Designated Condominium Sale </w:t>
      </w:r>
      <w:r>
        <w:rPr>
          <w:rFonts w:ascii="Times New Roman" w:cs="Times New Roman" w:eastAsia="Times New Roman" w:hAnsi="Times New Roman"/>
          <w:sz w:val="19"/>
          <w:szCs w:val="19"/>
          <w:color w:val="auto"/>
        </w:rPr>
        <w:t>means the sale or other disposition of any condominium unit owned on the Closing Date.</w:t>
      </w:r>
    </w:p>
    <w:p>
      <w:pPr>
        <w:spacing w:after="0" w:line="219"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Designated Jurisdiction </w:t>
      </w:r>
      <w:r>
        <w:rPr>
          <w:rFonts w:ascii="Times New Roman" w:cs="Times New Roman" w:eastAsia="Times New Roman" w:hAnsi="Times New Roman"/>
          <w:sz w:val="19"/>
          <w:szCs w:val="19"/>
          <w:color w:val="auto"/>
        </w:rPr>
        <w:t>means any country that is the subject of a Sanction or is located, organized or resident in a country or territory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is the target/subject of Sanctions, including the Crimea, Donetsk and Luhansk regions of Ukraine, Cuba, Iran, North Korea and Syria.</w:t>
      </w:r>
    </w:p>
    <w:p>
      <w:pPr>
        <w:spacing w:after="0" w:line="123"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Disqualified Equity Interests </w:t>
      </w:r>
      <w:r>
        <w:rPr>
          <w:rFonts w:ascii="Times New Roman" w:cs="Times New Roman" w:eastAsia="Times New Roman" w:hAnsi="Times New Roman"/>
          <w:sz w:val="19"/>
          <w:szCs w:val="19"/>
          <w:color w:val="auto"/>
        </w:rPr>
        <w:t>means capital stock or other Equity Interests that by their terms (or by the terms of any debt or security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into which they are convertible or for which they are exchangeable) or upon the happening of any event, mature or are mandatorily redeemable pursuant to a sinking fund, demand of the holder, or otherwise, in whole or in part, including, without limitation, any Equity Interests issued in exchange for or in redemption of any Subordinated Debt.</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Distribution </w:t>
      </w:r>
      <w:r>
        <w:rPr>
          <w:rFonts w:ascii="Times New Roman" w:cs="Times New Roman" w:eastAsia="Times New Roman" w:hAnsi="Times New Roman"/>
          <w:sz w:val="19"/>
          <w:szCs w:val="19"/>
          <w:color w:val="auto"/>
        </w:rPr>
        <w:t>means, with respect to any shares of any capital stock or other Equity Interests issued by VRI or any Subsidiary of VRI,</w:t>
      </w:r>
    </w:p>
    <w:p>
      <w:pPr>
        <w:spacing w:after="0" w:line="33" w:lineRule="exact"/>
        <w:rPr>
          <w:sz w:val="20"/>
          <w:szCs w:val="20"/>
          <w:color w:val="auto"/>
        </w:rPr>
      </w:pPr>
    </w:p>
    <w:p>
      <w:pPr>
        <w:jc w:val="both"/>
        <w:ind w:firstLine="6"/>
        <w:spacing w:after="0" w:line="259" w:lineRule="auto"/>
        <w:tabs>
          <w:tab w:leader="none" w:pos="267"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retirement, redemption, purchase, or other acquisition for value of such capital stock or other Equity Interests by such Person (including, without limitation, in connection with the merger or consolidation of any Company), (b) the payment of any dividend (whether in cash, securities, or property) on or with respect to such capital stock or other Equity Interests by such Person (including, without limitation, in connection with the merger or consolidation of any Company), (c) any loan or advance by that Person to, or other investment by that Person in, the holder of any such capital stock or other Equity Interests, and (d) any other payment by that Person with respect to such capital stock or other Equity Interests, including any sinking fund or general deposit, on account of the purchase, redemption, retirement, acquisition, cancellation, or termination of any such capital stock or other Equity Interests, or on account of any return of capital to such Person’s stockholders, partners, or members (or the equivalent Person), if any;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neither the conversion of convertible debt securities (whether settled in shares, cash or a combination thereof) nor the purchase of an Equity Hedge in connection with the issuance of convertible debt securities shall be considered a Distribution.</w:t>
      </w:r>
    </w:p>
    <w:p>
      <w:pPr>
        <w:spacing w:after="0" w:line="3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Dollars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i w:val="1"/>
          <w:iCs w:val="1"/>
          <w:color w:val="auto"/>
        </w:rPr>
        <w:t xml:space="preserve"> $ </w:t>
      </w:r>
      <w:r>
        <w:rPr>
          <w:rFonts w:ascii="Times New Roman" w:cs="Times New Roman" w:eastAsia="Times New Roman" w:hAnsi="Times New Roman"/>
          <w:sz w:val="19"/>
          <w:szCs w:val="19"/>
          <w:color w:val="auto"/>
        </w:rPr>
        <w:t>mean lawful money of the United States.</w:t>
      </w:r>
    </w:p>
    <w:p>
      <w:pPr>
        <w:spacing w:after="0" w:line="233"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Dollar Equivalent </w:t>
      </w:r>
      <w:r>
        <w:rPr>
          <w:rFonts w:ascii="Times New Roman" w:cs="Times New Roman" w:eastAsia="Times New Roman" w:hAnsi="Times New Roman"/>
          <w:sz w:val="19"/>
          <w:szCs w:val="19"/>
          <w:color w:val="auto"/>
        </w:rPr>
        <w:t>means, at any time, (a) with respect to any amount denominated in Dollars, such amount, and (b) with respect to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amount denominated in the Alternative Currency, the equivalent amount thereof in Dollars as determined by Administrative Agent or the Australian L/C Issuer, as the case may be, at such time on the basis of the Spot Rate (determined in respect of the most recent Revaluation Date) for the purchase of Dollars with the Alternative Currency.</w:t>
      </w:r>
    </w:p>
    <w:p>
      <w:pPr>
        <w:spacing w:after="0" w:line="154"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EBITDA </w:t>
      </w:r>
      <w:r>
        <w:rPr>
          <w:rFonts w:ascii="Times New Roman" w:cs="Times New Roman" w:eastAsia="Times New Roman" w:hAnsi="Times New Roman"/>
          <w:sz w:val="19"/>
          <w:szCs w:val="19"/>
          <w:color w:val="auto"/>
        </w:rPr>
        <w:t>means, for any period of calculation with respect to any Person (or group of Persons whose Financial Statements 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consolidated in accordance with GAAP), Net Income before interest expense, Taxes based on or measured by income, and Non-Cash Operating Charges, in each case to the extent deducted in determining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386" w:right="339" w:bottom="1440" w:gutter="0" w:footer="0" w:header="0"/>
        </w:sectPr>
      </w:pPr>
    </w:p>
    <w:bookmarkStart w:id="126" w:name="page127"/>
    <w:bookmarkEnd w:id="126"/>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EEA Financial Institution </w:t>
      </w:r>
      <w:r>
        <w:rPr>
          <w:rFonts w:ascii="Times New Roman" w:cs="Times New Roman" w:eastAsia="Times New Roman" w:hAnsi="Times New Roman"/>
          <w:sz w:val="19"/>
          <w:szCs w:val="19"/>
          <w:color w:val="auto"/>
        </w:rPr>
        <w:t>means (a) any credit institution or investment firm established in any EEA Member Country which 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EEA Member Country </w:t>
      </w:r>
      <w:r>
        <w:rPr>
          <w:rFonts w:ascii="Times New Roman" w:cs="Times New Roman" w:eastAsia="Times New Roman" w:hAnsi="Times New Roman"/>
          <w:sz w:val="19"/>
          <w:szCs w:val="19"/>
          <w:color w:val="auto"/>
        </w:rPr>
        <w:t>means any of the member states of the European Union, Iceland, Liechtenstein, and Norway.</w:t>
      </w:r>
    </w:p>
    <w:p>
      <w:pPr>
        <w:spacing w:after="0" w:line="233"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EEA Resolution Authority </w:t>
      </w:r>
      <w:r>
        <w:rPr>
          <w:rFonts w:ascii="Times New Roman" w:cs="Times New Roman" w:eastAsia="Times New Roman" w:hAnsi="Times New Roman"/>
          <w:sz w:val="19"/>
          <w:szCs w:val="19"/>
          <w:color w:val="auto"/>
        </w:rPr>
        <w:t>means any public administrative authority or any person entrusted with public administrative authority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any EEA Member Country (including any delegee) having responsibility for the resolution of any EEA Financial Institution.</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Electronic Copy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15.19</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Electronic Record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15.19</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Electronic Signature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15.19</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Eligible Assignee </w:t>
      </w:r>
      <w:r>
        <w:rPr>
          <w:rFonts w:ascii="Times New Roman" w:cs="Times New Roman" w:eastAsia="Times New Roman" w:hAnsi="Times New Roman"/>
          <w:sz w:val="19"/>
          <w:szCs w:val="19"/>
          <w:color w:val="auto"/>
        </w:rPr>
        <w:t>means (a) a Lender; (b) an Affiliate of a Lender; (c) an Approved Fund; and (d) any other Person (other than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natural person) approved by (i) Administrative Agent and the L/C Issuers, and (ii) unless a Default has occurred and is continuing, Borrower (each such approval not to be unreasonably withheld or delayed);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notwithstanding the foregoing, </w:t>
      </w:r>
      <w:r>
        <w:rPr>
          <w:rFonts w:ascii="Times New Roman" w:cs="Times New Roman" w:eastAsia="Times New Roman" w:hAnsi="Times New Roman"/>
          <w:sz w:val="19"/>
          <w:szCs w:val="19"/>
          <w:b w:val="1"/>
          <w:bCs w:val="1"/>
          <w:i w:val="1"/>
          <w:iCs w:val="1"/>
          <w:color w:val="auto"/>
        </w:rPr>
        <w:t>Eligible Assignee</w:t>
      </w:r>
      <w:r>
        <w:rPr>
          <w:rFonts w:ascii="Times New Roman" w:cs="Times New Roman" w:eastAsia="Times New Roman" w:hAnsi="Times New Roman"/>
          <w:sz w:val="19"/>
          <w:szCs w:val="19"/>
          <w:color w:val="auto"/>
        </w:rPr>
        <w:t xml:space="preserve"> shall not include Borrower, any of Borrower’s Affiliates, or the Companies.</w:t>
      </w:r>
    </w:p>
    <w:p>
      <w:pPr>
        <w:spacing w:after="0" w:line="154"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Employee Plan </w:t>
      </w:r>
      <w:r>
        <w:rPr>
          <w:rFonts w:ascii="Times New Roman" w:cs="Times New Roman" w:eastAsia="Times New Roman" w:hAnsi="Times New Roman"/>
          <w:sz w:val="19"/>
          <w:szCs w:val="19"/>
          <w:color w:val="auto"/>
        </w:rPr>
        <w:t>means an employee pension benefit plan covered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Title IV</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ERISA and established or maintained by any Company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 any ERISA Affiliate.</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Environmental Law </w:t>
      </w:r>
      <w:r>
        <w:rPr>
          <w:rFonts w:ascii="Times New Roman" w:cs="Times New Roman" w:eastAsia="Times New Roman" w:hAnsi="Times New Roman"/>
          <w:sz w:val="19"/>
          <w:szCs w:val="19"/>
          <w:color w:val="auto"/>
        </w:rPr>
        <w:t>means any Law that relates to the pollution or protection of ambient air, water or land or to Hazardous Substances.</w:t>
      </w:r>
    </w:p>
    <w:p>
      <w:pPr>
        <w:spacing w:after="0" w:line="219"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Equity Hedge </w:t>
      </w:r>
      <w:r>
        <w:rPr>
          <w:rFonts w:ascii="Times New Roman" w:cs="Times New Roman" w:eastAsia="Times New Roman" w:hAnsi="Times New Roman"/>
          <w:sz w:val="19"/>
          <w:szCs w:val="19"/>
          <w:color w:val="auto"/>
        </w:rPr>
        <w:t>means any call or capped call option (or substantively equivalent derivative transaction) on VRI’s common stock</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purchased by VRI in connection with the issuance of any convertible debt securities.</w:t>
      </w:r>
    </w:p>
    <w:p>
      <w:pPr>
        <w:spacing w:after="0" w:line="123"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Equity Interests </w:t>
      </w:r>
      <w:r>
        <w:rPr>
          <w:rFonts w:ascii="Times New Roman" w:cs="Times New Roman" w:eastAsia="Times New Roman" w:hAnsi="Times New Roman"/>
          <w:sz w:val="19"/>
          <w:szCs w:val="19"/>
          <w:color w:val="auto"/>
        </w:rPr>
        <w:t>means, with respect to any Person, all of the shares of capital stock of (or other ownership or profit interests in) such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Person, all of the warrants, options, or other rights for the purchase or acquisition from such Person of shares of capital stock of (or other ownership or profit interests in) such Person, all of the securities (other than debt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convertible debt securities shall not constitute Equity Interests prior to any conversion thereof.</w:t>
      </w:r>
    </w:p>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ERISA </w:t>
      </w:r>
      <w:r>
        <w:rPr>
          <w:rFonts w:ascii="Times New Roman" w:cs="Times New Roman" w:eastAsia="Times New Roman" w:hAnsi="Times New Roman"/>
          <w:sz w:val="19"/>
          <w:szCs w:val="19"/>
          <w:color w:val="auto"/>
        </w:rPr>
        <w:t>means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Employee Retirement Income Security Act of 1974</w:t>
      </w:r>
      <w:r>
        <w:rPr>
          <w:rFonts w:ascii="Times New Roman" w:cs="Times New Roman" w:eastAsia="Times New Roman" w:hAnsi="Times New Roman"/>
          <w:sz w:val="19"/>
          <w:szCs w:val="19"/>
          <w:color w:val="auto"/>
        </w:rPr>
        <w:t>, as amended, and related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40"/>
          </w:cols>
          <w:pgMar w:left="320" w:top="1386" w:right="339" w:bottom="1440" w:gutter="0" w:footer="0" w:header="0"/>
        </w:sectPr>
      </w:pPr>
    </w:p>
    <w:bookmarkStart w:id="127" w:name="page128"/>
    <w:bookmarkEnd w:id="127"/>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ERISA Affiliate </w:t>
      </w:r>
      <w:r>
        <w:rPr>
          <w:rFonts w:ascii="Times New Roman" w:cs="Times New Roman" w:eastAsia="Times New Roman" w:hAnsi="Times New Roman"/>
          <w:sz w:val="19"/>
          <w:szCs w:val="19"/>
          <w:color w:val="auto"/>
        </w:rPr>
        <w:t>means any trade or business (whether or not incorporated) that, together with any Company, is treated as a single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employer under </w:t>
      </w:r>
      <w:r>
        <w:rPr>
          <w:rFonts w:ascii="Times New Roman" w:cs="Times New Roman" w:eastAsia="Times New Roman" w:hAnsi="Times New Roman"/>
          <w:sz w:val="19"/>
          <w:szCs w:val="19"/>
          <w:i w:val="1"/>
          <w:iCs w:val="1"/>
          <w:color w:val="auto"/>
        </w:rPr>
        <w:t>section 414(b)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i w:val="1"/>
          <w:iCs w:val="1"/>
          <w:color w:val="auto"/>
        </w:rPr>
        <w:t>(c)</w:t>
      </w:r>
      <w:r>
        <w:rPr>
          <w:rFonts w:ascii="Times New Roman" w:cs="Times New Roman" w:eastAsia="Times New Roman" w:hAnsi="Times New Roman"/>
          <w:sz w:val="19"/>
          <w:szCs w:val="19"/>
          <w:color w:val="auto"/>
        </w:rPr>
        <w:t xml:space="preserve"> of the Code or, solely for purposes of </w:t>
      </w:r>
      <w:r>
        <w:rPr>
          <w:rFonts w:ascii="Times New Roman" w:cs="Times New Roman" w:eastAsia="Times New Roman" w:hAnsi="Times New Roman"/>
          <w:sz w:val="19"/>
          <w:szCs w:val="19"/>
          <w:i w:val="1"/>
          <w:iCs w:val="1"/>
          <w:color w:val="auto"/>
        </w:rPr>
        <w:t>section 302</w:t>
      </w:r>
      <w:r>
        <w:rPr>
          <w:rFonts w:ascii="Times New Roman" w:cs="Times New Roman" w:eastAsia="Times New Roman" w:hAnsi="Times New Roman"/>
          <w:sz w:val="19"/>
          <w:szCs w:val="19"/>
          <w:color w:val="auto"/>
        </w:rPr>
        <w:t xml:space="preserve"> of ERISA and </w:t>
      </w:r>
      <w:r>
        <w:rPr>
          <w:rFonts w:ascii="Times New Roman" w:cs="Times New Roman" w:eastAsia="Times New Roman" w:hAnsi="Times New Roman"/>
          <w:sz w:val="19"/>
          <w:szCs w:val="19"/>
          <w:i w:val="1"/>
          <w:iCs w:val="1"/>
          <w:color w:val="auto"/>
        </w:rPr>
        <w:t>section 412</w:t>
      </w:r>
      <w:r>
        <w:rPr>
          <w:rFonts w:ascii="Times New Roman" w:cs="Times New Roman" w:eastAsia="Times New Roman" w:hAnsi="Times New Roman"/>
          <w:sz w:val="19"/>
          <w:szCs w:val="19"/>
          <w:color w:val="auto"/>
        </w:rPr>
        <w:t xml:space="preserve"> of the Code, is treated as a single employer under </w:t>
      </w:r>
      <w:r>
        <w:rPr>
          <w:rFonts w:ascii="Times New Roman" w:cs="Times New Roman" w:eastAsia="Times New Roman" w:hAnsi="Times New Roman"/>
          <w:sz w:val="19"/>
          <w:szCs w:val="19"/>
          <w:i w:val="1"/>
          <w:iCs w:val="1"/>
          <w:color w:val="auto"/>
        </w:rPr>
        <w:t>section 414</w:t>
      </w:r>
      <w:r>
        <w:rPr>
          <w:rFonts w:ascii="Times New Roman" w:cs="Times New Roman" w:eastAsia="Times New Roman" w:hAnsi="Times New Roman"/>
          <w:sz w:val="19"/>
          <w:szCs w:val="19"/>
          <w:color w:val="auto"/>
        </w:rPr>
        <w:t xml:space="preserve"> of the Code.</w:t>
      </w:r>
    </w:p>
    <w:p>
      <w:pPr>
        <w:spacing w:after="0" w:line="162" w:lineRule="exact"/>
        <w:rPr>
          <w:sz w:val="20"/>
          <w:szCs w:val="20"/>
          <w:color w:val="auto"/>
        </w:rPr>
      </w:pPr>
    </w:p>
    <w:p>
      <w:pPr>
        <w:jc w:val="both"/>
        <w:ind w:right="20"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EU Bail-In Legislation Schedule </w:t>
      </w:r>
      <w:r>
        <w:rPr>
          <w:rFonts w:ascii="Times New Roman" w:cs="Times New Roman" w:eastAsia="Times New Roman" w:hAnsi="Times New Roman"/>
          <w:sz w:val="19"/>
          <w:szCs w:val="19"/>
          <w:color w:val="auto"/>
        </w:rPr>
        <w:t>means the EU Bail-In Legislation Schedule published by the Loan Market Association (or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successor person), as in effect from time to time.</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Exchangeco </w:t>
      </w:r>
      <w:r>
        <w:rPr>
          <w:rFonts w:ascii="Times New Roman" w:cs="Times New Roman" w:eastAsia="Times New Roman" w:hAnsi="Times New Roman"/>
          <w:sz w:val="19"/>
          <w:szCs w:val="19"/>
          <w:color w:val="auto"/>
        </w:rPr>
        <w:t>means 1068877 B.C. Ltd., a corporation existing under the Laws of the Province of British Columbia.</w:t>
      </w:r>
    </w:p>
    <w:p>
      <w:pPr>
        <w:spacing w:after="0" w:line="233"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Excluded Swap Obligation </w:t>
      </w:r>
      <w:r>
        <w:rPr>
          <w:rFonts w:ascii="Times New Roman" w:cs="Times New Roman" w:eastAsia="Times New Roman" w:hAnsi="Times New Roman"/>
          <w:sz w:val="19"/>
          <w:szCs w:val="19"/>
          <w:color w:val="auto"/>
        </w:rPr>
        <w:t>means, with respect to any Guarantor, any Swap Obligation if, and to the extent that, all or a portion of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w:t>
      </w:r>
      <w:r>
        <w:rPr>
          <w:rFonts w:ascii="Times New Roman" w:cs="Times New Roman" w:eastAsia="Times New Roman" w:hAnsi="Times New Roman"/>
          <w:sz w:val="19"/>
          <w:szCs w:val="19"/>
          <w:i w:val="1"/>
          <w:iCs w:val="1"/>
          <w:color w:val="auto"/>
        </w:rPr>
        <w:t>eligible contract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participant</w:t>
      </w:r>
      <w:r>
        <w:rPr>
          <w:rFonts w:ascii="Times New Roman" w:cs="Times New Roman" w:eastAsia="Times New Roman" w:hAnsi="Times New Roman"/>
          <w:sz w:val="19"/>
          <w:szCs w:val="19"/>
          <w:color w:val="auto"/>
        </w:rPr>
        <w:t>” as defined in the Commodity Exchange Act (determined after giving effect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Section 9.12</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any other “</w:t>
      </w:r>
      <w:r>
        <w:rPr>
          <w:rFonts w:ascii="Times New Roman" w:cs="Times New Roman" w:eastAsia="Times New Roman" w:hAnsi="Times New Roman"/>
          <w:sz w:val="19"/>
          <w:szCs w:val="19"/>
          <w:i w:val="1"/>
          <w:iCs w:val="1"/>
          <w:color w:val="auto"/>
        </w:rPr>
        <w:t>keepwell, support or other agreement</w:t>
      </w:r>
      <w:r>
        <w:rPr>
          <w:rFonts w:ascii="Times New Roman" w:cs="Times New Roman" w:eastAsia="Times New Roman" w:hAnsi="Times New Roman"/>
          <w:sz w:val="19"/>
          <w:szCs w:val="19"/>
          <w:color w:val="auto"/>
        </w:rPr>
        <w:t>” for the benefit of such Guarantor and any and all guarantees of such Guarantor’s Swap Obligations by other Restricted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Companies) and the regulations thereunder at the time the Guaranty of such Guarantor, or the grant by such Guarantor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80"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Excluded Taxes </w:t>
      </w:r>
      <w:r>
        <w:rPr>
          <w:rFonts w:ascii="Times New Roman" w:cs="Times New Roman" w:eastAsia="Times New Roman" w:hAnsi="Times New Roman"/>
          <w:sz w:val="19"/>
          <w:szCs w:val="19"/>
          <w:color w:val="auto"/>
        </w:rPr>
        <w:t>means any of the following Taxes imposed on or with respect to a Recipient or required to be withheld or deducted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Borrower under </w:t>
      </w:r>
      <w:r>
        <w:rPr>
          <w:rFonts w:ascii="Times New Roman" w:cs="Times New Roman" w:eastAsia="Times New Roman" w:hAnsi="Times New Roman"/>
          <w:sz w:val="19"/>
          <w:szCs w:val="19"/>
          <w:b w:val="1"/>
          <w:bCs w:val="1"/>
          <w:i w:val="1"/>
          <w:iCs w:val="1"/>
          <w:color w:val="auto"/>
        </w:rPr>
        <w:t>Section 15.14</w:t>
      </w:r>
      <w:r>
        <w:rPr>
          <w:rFonts w:ascii="Times New Roman" w:cs="Times New Roman" w:eastAsia="Times New Roman" w:hAnsi="Times New Roman"/>
          <w:sz w:val="19"/>
          <w:szCs w:val="19"/>
          <w:color w:val="auto"/>
        </w:rPr>
        <w:t xml:space="preserve">), or (ii) pursuant to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4.1(a)(ii)</w:t>
      </w:r>
      <w:r>
        <w:rPr>
          <w:rFonts w:ascii="Times New Roman" w:cs="Times New Roman" w:eastAsia="Times New Roman" w:hAnsi="Times New Roman"/>
          <w:sz w:val="19"/>
          <w:szCs w:val="19"/>
          <w:color w:val="auto"/>
        </w:rPr>
        <w:t>, or</w:t>
      </w:r>
      <w:r>
        <w:rPr>
          <w:rFonts w:ascii="Times New Roman" w:cs="Times New Roman" w:eastAsia="Times New Roman" w:hAnsi="Times New Roman"/>
          <w:sz w:val="19"/>
          <w:szCs w:val="19"/>
          <w:b w:val="1"/>
          <w:bCs w:val="1"/>
          <w:i w:val="1"/>
          <w:iCs w:val="1"/>
          <w:color w:val="auto"/>
        </w:rPr>
        <w:t xml:space="preserve"> (c)</w:t>
      </w:r>
      <w:r>
        <w:rPr>
          <w:rFonts w:ascii="Times New Roman" w:cs="Times New Roman" w:eastAsia="Times New Roman" w:hAnsi="Times New Roman"/>
          <w:sz w:val="19"/>
          <w:szCs w:val="19"/>
          <w:color w:val="auto"/>
        </w:rPr>
        <w:t>, amounts with respect to such Taxes were payable either to such Lender’s assignor immediately before such Lender became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party hereto or to such Lender immediately before it changed its Lending Office, (c) Taxes attributable to such Recipient’s failure to comply with </w:t>
      </w:r>
      <w:r>
        <w:rPr>
          <w:rFonts w:ascii="Times New Roman" w:cs="Times New Roman" w:eastAsia="Times New Roman" w:hAnsi="Times New Roman"/>
          <w:sz w:val="19"/>
          <w:szCs w:val="19"/>
          <w:b w:val="1"/>
          <w:bCs w:val="1"/>
          <w:i w:val="1"/>
          <w:iCs w:val="1"/>
          <w:color w:val="auto"/>
        </w:rPr>
        <w:t>Section 4.1(e)</w:t>
      </w:r>
      <w:r>
        <w:rPr>
          <w:rFonts w:ascii="Times New Roman" w:cs="Times New Roman" w:eastAsia="Times New Roman" w:hAnsi="Times New Roman"/>
          <w:sz w:val="19"/>
          <w:szCs w:val="19"/>
          <w:color w:val="auto"/>
        </w:rPr>
        <w:t xml:space="preserve"> and (d) any U.S. federal withholding Taxes imposed pursuant to FATCA.</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Existing Credit Agreement </w:t>
      </w:r>
      <w:r>
        <w:rPr>
          <w:rFonts w:ascii="Times New Roman" w:cs="Times New Roman" w:eastAsia="Times New Roman" w:hAnsi="Times New Roman"/>
          <w:sz w:val="19"/>
          <w:szCs w:val="19"/>
          <w:color w:val="auto"/>
        </w:rPr>
        <w:t>is defined in the Recitals of this Agreement.</w:t>
      </w:r>
    </w:p>
    <w:p>
      <w:pPr>
        <w:spacing w:after="0" w:line="233"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Existing Housing Bonds </w:t>
      </w:r>
      <w:r>
        <w:rPr>
          <w:rFonts w:ascii="Times New Roman" w:cs="Times New Roman" w:eastAsia="Times New Roman" w:hAnsi="Times New Roman"/>
          <w:sz w:val="19"/>
          <w:szCs w:val="19"/>
          <w:color w:val="auto"/>
        </w:rPr>
        <w:t>means the following Bonds issued by Housing Districts before June 10, 2003 (the date of the Third Amended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Restated Agreement), and re-issuances of such Housing Bonds in accordance with the related Bond Documents: (a) $10,600,000 of Eagle County, Colorado, Taxable Housing Facilities Revenue Bonds (BC Housing, LLC Project) Series 1997A and 1997B, (b) $19,980,000 of Breckenridge Terrace LLC Taxable Housing Facilities Revenue Notes (Breckenridge Terrace Project), Series 1999A and 1999B, (c) $10,410,000 of Eagle County, Colorado, Taxable Housing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386" w:right="339" w:bottom="1440" w:gutter="0" w:footer="0" w:header="0"/>
        </w:sectPr>
      </w:pPr>
    </w:p>
    <w:bookmarkStart w:id="128" w:name="page129"/>
    <w:bookmarkEnd w:id="128"/>
    <w:p>
      <w:pPr>
        <w:jc w:val="both"/>
        <w:spacing w:after="0" w:line="274" w:lineRule="auto"/>
        <w:rPr>
          <w:sz w:val="20"/>
          <w:szCs w:val="20"/>
          <w:color w:val="auto"/>
        </w:rPr>
      </w:pPr>
      <w:r>
        <w:rPr>
          <w:rFonts w:ascii="Times New Roman" w:cs="Times New Roman" w:eastAsia="Times New Roman" w:hAnsi="Times New Roman"/>
          <w:sz w:val="19"/>
          <w:szCs w:val="19"/>
          <w:color w:val="auto"/>
        </w:rPr>
        <w:t>Revenue Bonds (The Tarnes at BC, LLC Project), Series 1999A and 1999B, and (d) $11,585,000 of the Tenderfoot Seasonal Housing, LLC Taxable Housing Facilities Revenue Notes (Tenderfoot Seasonal Housing, LLC Project), Series 2000A and 2000B, and renewals or extensions of each of the foregoing (but not increases thereof) on or after June 10, 2003.</w:t>
      </w:r>
    </w:p>
    <w:p>
      <w:pPr>
        <w:spacing w:after="0" w:line="163"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Existing Housing Districts </w:t>
      </w:r>
      <w:r>
        <w:rPr>
          <w:rFonts w:ascii="Times New Roman" w:cs="Times New Roman" w:eastAsia="Times New Roman" w:hAnsi="Times New Roman"/>
          <w:sz w:val="19"/>
          <w:szCs w:val="19"/>
          <w:color w:val="auto"/>
        </w:rPr>
        <w:t>means, collectively, Tenderfoot Seasonal Housing LLC, The Tarnes at BC Housing LLC, BC Housing LLC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(Riveredge), and Breckenridge Terrace LLC, and </w:t>
      </w:r>
      <w:r>
        <w:rPr>
          <w:rFonts w:ascii="Times New Roman" w:cs="Times New Roman" w:eastAsia="Times New Roman" w:hAnsi="Times New Roman"/>
          <w:sz w:val="19"/>
          <w:szCs w:val="19"/>
          <w:b w:val="1"/>
          <w:bCs w:val="1"/>
          <w:i w:val="1"/>
          <w:iCs w:val="1"/>
          <w:color w:val="auto"/>
        </w:rPr>
        <w:t>Existing Housing District</w:t>
      </w:r>
      <w:r>
        <w:rPr>
          <w:rFonts w:ascii="Times New Roman" w:cs="Times New Roman" w:eastAsia="Times New Roman" w:hAnsi="Times New Roman"/>
          <w:sz w:val="19"/>
          <w:szCs w:val="19"/>
          <w:color w:val="auto"/>
        </w:rPr>
        <w:t xml:space="preserve"> means any one of the Existing Housing Districts.</w:t>
      </w:r>
    </w:p>
    <w:p>
      <w:pPr>
        <w:spacing w:after="0" w:line="149"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Existing L/C </w:t>
      </w:r>
      <w:r>
        <w:rPr>
          <w:rFonts w:ascii="Times New Roman" w:cs="Times New Roman" w:eastAsia="Times New Roman" w:hAnsi="Times New Roman"/>
          <w:sz w:val="19"/>
          <w:szCs w:val="19"/>
          <w:color w:val="auto"/>
        </w:rPr>
        <w:t>means each Bond L/C and other letter of credit issued by an L/C Issuer for the account of any of the Companies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described on </w:t>
      </w:r>
      <w:r>
        <w:rPr>
          <w:rFonts w:ascii="Times New Roman" w:cs="Times New Roman" w:eastAsia="Times New Roman" w:hAnsi="Times New Roman"/>
          <w:sz w:val="19"/>
          <w:szCs w:val="19"/>
          <w:b w:val="1"/>
          <w:bCs w:val="1"/>
          <w:i w:val="1"/>
          <w:iCs w:val="1"/>
          <w:color w:val="auto"/>
        </w:rPr>
        <w:t>Part A</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i w:val="1"/>
          <w:iCs w:val="1"/>
          <w:color w:val="auto"/>
        </w:rPr>
        <w:t>Schedule 2.3</w:t>
      </w:r>
      <w:r>
        <w:rPr>
          <w:rFonts w:ascii="Times New Roman" w:cs="Times New Roman" w:eastAsia="Times New Roman" w:hAnsi="Times New Roman"/>
          <w:sz w:val="19"/>
          <w:szCs w:val="19"/>
          <w:color w:val="auto"/>
        </w:rPr>
        <w:t>.</w:t>
      </w:r>
    </w:p>
    <w:p>
      <w:pPr>
        <w:spacing w:after="0" w:line="123"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Existing Metro Districts </w:t>
      </w:r>
      <w:r>
        <w:rPr>
          <w:rFonts w:ascii="Times New Roman" w:cs="Times New Roman" w:eastAsia="Times New Roman" w:hAnsi="Times New Roman"/>
          <w:sz w:val="19"/>
          <w:szCs w:val="19"/>
          <w:color w:val="auto"/>
        </w:rPr>
        <w:t>means, collectively, Holland Creek Metropolitan District and Red Sky Ranch Metropolitan District, and</w:t>
      </w:r>
      <w:r>
        <w:rPr>
          <w:rFonts w:ascii="Times New Roman" w:cs="Times New Roman" w:eastAsia="Times New Roman" w:hAnsi="Times New Roman"/>
          <w:sz w:val="19"/>
          <w:szCs w:val="19"/>
          <w:b w:val="1"/>
          <w:bCs w:val="1"/>
          <w:i w:val="1"/>
          <w:iCs w:val="1"/>
          <w:color w:val="auto"/>
        </w:rPr>
        <w:t xml:space="preserve"> Existing Metro District </w:t>
      </w:r>
      <w:r>
        <w:rPr>
          <w:rFonts w:ascii="Times New Roman" w:cs="Times New Roman" w:eastAsia="Times New Roman" w:hAnsi="Times New Roman"/>
          <w:sz w:val="19"/>
          <w:szCs w:val="19"/>
          <w:color w:val="auto"/>
        </w:rPr>
        <w:t>means any one of the Existing Metro Districts.</w:t>
      </w:r>
    </w:p>
    <w:p>
      <w:pPr>
        <w:spacing w:after="0" w:line="123"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Facility Amount </w:t>
      </w:r>
      <w:r>
        <w:rPr>
          <w:rFonts w:ascii="Times New Roman" w:cs="Times New Roman" w:eastAsia="Times New Roman" w:hAnsi="Times New Roman"/>
          <w:sz w:val="19"/>
          <w:szCs w:val="19"/>
          <w:color w:val="auto"/>
        </w:rPr>
        <w:t>means the Total Commitment (including any increase in the aggregate Commitments pursuant to</w:t>
      </w:r>
      <w:r>
        <w:rPr>
          <w:rFonts w:ascii="Times New Roman" w:cs="Times New Roman" w:eastAsia="Times New Roman" w:hAnsi="Times New Roman"/>
          <w:sz w:val="19"/>
          <w:szCs w:val="19"/>
          <w:b w:val="1"/>
          <w:bCs w:val="1"/>
          <w:i w:val="1"/>
          <w:iCs w:val="1"/>
          <w:color w:val="auto"/>
        </w:rPr>
        <w:t xml:space="preserve"> Section 2.5</w:t>
      </w:r>
      <w:r>
        <w:rPr>
          <w:rFonts w:ascii="Times New Roman" w:cs="Times New Roman" w:eastAsia="Times New Roman" w:hAnsi="Times New Roman"/>
          <w:sz w:val="19"/>
          <w:szCs w:val="19"/>
          <w:color w:val="auto"/>
        </w:rPr>
        <w:t>) plus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aggregate amount of all Incremental Term Loan Facilities.</w:t>
      </w:r>
    </w:p>
    <w:p>
      <w:pPr>
        <w:spacing w:after="0" w:line="136"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FATCA </w:t>
      </w:r>
      <w:r>
        <w:rPr>
          <w:rFonts w:ascii="Times New Roman" w:cs="Times New Roman" w:eastAsia="Times New Roman" w:hAnsi="Times New Roman"/>
          <w:sz w:val="19"/>
          <w:szCs w:val="19"/>
          <w:color w:val="auto"/>
        </w:rPr>
        <w:t>means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Sections 1471</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through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1474</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Code, as of the date of this Agreement (or any amended or successor version that 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substantially comparable and not materially more onerous to comply with), and any current or future regulations or official interpretations thereof and any agreements entered into pursuant to </w:t>
      </w:r>
      <w:r>
        <w:rPr>
          <w:rFonts w:ascii="Times New Roman" w:cs="Times New Roman" w:eastAsia="Times New Roman" w:hAnsi="Times New Roman"/>
          <w:sz w:val="19"/>
          <w:szCs w:val="19"/>
          <w:i w:val="1"/>
          <w:iCs w:val="1"/>
          <w:color w:val="auto"/>
        </w:rPr>
        <w:t>Section 1471(b)(1)</w:t>
      </w:r>
      <w:r>
        <w:rPr>
          <w:rFonts w:ascii="Times New Roman" w:cs="Times New Roman" w:eastAsia="Times New Roman" w:hAnsi="Times New Roman"/>
          <w:sz w:val="19"/>
          <w:szCs w:val="19"/>
          <w:color w:val="auto"/>
        </w:rPr>
        <w:t>.</w:t>
      </w:r>
    </w:p>
    <w:p>
      <w:pPr>
        <w:spacing w:after="0" w:line="148" w:lineRule="exact"/>
        <w:rPr>
          <w:sz w:val="20"/>
          <w:szCs w:val="20"/>
          <w:color w:val="auto"/>
        </w:rPr>
      </w:pPr>
    </w:p>
    <w:p>
      <w:pPr>
        <w:jc w:val="both"/>
        <w:ind w:firstLine="637"/>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 xml:space="preserve">Federal Funds Rate </w:t>
      </w:r>
      <w:r>
        <w:rPr>
          <w:rFonts w:ascii="Times New Roman" w:cs="Times New Roman" w:eastAsia="Times New Roman" w:hAnsi="Times New Roman"/>
          <w:sz w:val="19"/>
          <w:szCs w:val="19"/>
          <w:color w:val="auto"/>
        </w:rPr>
        <w:t>means, for any day, the rate per annum calculated by the Federal Reserve Bank of New York based on such day’s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Federal Funds Rate as so determined would be less than zero, such rate shall be deemed to be zero for purposes of this Agreement.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Fee Letter </w:t>
      </w:r>
      <w:r>
        <w:rPr>
          <w:rFonts w:ascii="Times New Roman" w:cs="Times New Roman" w:eastAsia="Times New Roman" w:hAnsi="Times New Roman"/>
          <w:sz w:val="19"/>
          <w:szCs w:val="19"/>
          <w:color w:val="auto"/>
        </w:rPr>
        <w:t>means any fee letter among Borrower, Administrative Agent and/or Joint Lead Arrangers.</w:t>
      </w:r>
    </w:p>
    <w:p>
      <w:pPr>
        <w:spacing w:after="0" w:line="233"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Financial Hedge </w:t>
      </w:r>
      <w:r>
        <w:rPr>
          <w:rFonts w:ascii="Times New Roman" w:cs="Times New Roman" w:eastAsia="Times New Roman" w:hAnsi="Times New Roman"/>
          <w:sz w:val="19"/>
          <w:szCs w:val="19"/>
          <w:color w:val="auto"/>
        </w:rPr>
        <w:t>means a transaction between any Company and any Lender or an Affiliate of any Lender (or another Person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reasonably acceptable to Administrative Agent), which is intended to reduce or eliminate the risk of fluctuations in one or more interest rates, foreign currencies, commodity prices, equity prices, or other financial measures, whether or not such transaction is governed by or subject to any master agreement conforming to ISDA standards and which is legal and enforceable under applicable Law.</w:t>
      </w:r>
    </w:p>
    <w:p>
      <w:pPr>
        <w:spacing w:after="0" w:line="154"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Financial Statements </w:t>
      </w:r>
      <w:r>
        <w:rPr>
          <w:rFonts w:ascii="Times New Roman" w:cs="Times New Roman" w:eastAsia="Times New Roman" w:hAnsi="Times New Roman"/>
          <w:sz w:val="19"/>
          <w:szCs w:val="19"/>
          <w:color w:val="auto"/>
        </w:rPr>
        <w:t>of a Person means balance sheets, profit and loss statements, reconciliations of capital and surplus,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statements of cash flow prepared (a) according to GAAP, and (b)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as stated in </w:t>
      </w:r>
      <w:r>
        <w:rPr>
          <w:rFonts w:ascii="Times New Roman" w:cs="Times New Roman" w:eastAsia="Times New Roman" w:hAnsi="Times New Roman"/>
          <w:sz w:val="19"/>
          <w:szCs w:val="19"/>
          <w:b w:val="1"/>
          <w:bCs w:val="1"/>
          <w:i w:val="1"/>
          <w:iCs w:val="1"/>
          <w:color w:val="auto"/>
        </w:rPr>
        <w:t>Section 1.3</w:t>
      </w:r>
      <w:r>
        <w:rPr>
          <w:rFonts w:ascii="Times New Roman" w:cs="Times New Roman" w:eastAsia="Times New Roman" w:hAnsi="Times New Roman"/>
          <w:sz w:val="19"/>
          <w:szCs w:val="19"/>
          <w:color w:val="auto"/>
        </w:rPr>
        <w:t>, in comparative form to prior year-end figures or corresponding periods of the preceding fiscal year, as applicable.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u w:val="single" w:color="auto"/>
          <w:color w:val="3051F2"/>
        </w:rPr>
        <w:t xml:space="preserve">First Amendment Effective Date </w:t>
      </w:r>
      <w:r>
        <w:rPr>
          <w:rFonts w:ascii="Times New Roman" w:cs="Times New Roman" w:eastAsia="Times New Roman" w:hAnsi="Times New Roman"/>
          <w:sz w:val="19"/>
          <w:szCs w:val="19"/>
          <w:u w:val="single" w:color="auto"/>
          <w:color w:val="3051F2"/>
        </w:rPr>
        <w:t>means January 27, 2025.</w:t>
      </w:r>
    </w:p>
    <w:p>
      <w:pPr>
        <w:spacing w:after="0" w:line="233"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Foreign Lender </w:t>
      </w:r>
      <w:r>
        <w:rPr>
          <w:rFonts w:ascii="Times New Roman" w:cs="Times New Roman" w:eastAsia="Times New Roman" w:hAnsi="Times New Roman"/>
          <w:sz w:val="19"/>
          <w:szCs w:val="19"/>
          <w:color w:val="auto"/>
        </w:rPr>
        <w:t>means a Lender that is not a U.S. Person. For purposes of this definition, the United States, each state thereof and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District of Columbia shall be deemed to constitute a single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240"/>
          </w:cols>
          <w:pgMar w:left="320" w:top="1390" w:right="339" w:bottom="1440" w:gutter="0" w:footer="0" w:header="0"/>
        </w:sectPr>
      </w:pPr>
    </w:p>
    <w:bookmarkStart w:id="129" w:name="page130"/>
    <w:bookmarkEnd w:id="129"/>
    <w:p>
      <w:pPr>
        <w:jc w:val="both"/>
        <w:ind w:firstLine="637"/>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Forest Service Permit Agreements </w:t>
      </w:r>
      <w:r>
        <w:rPr>
          <w:rFonts w:ascii="Times New Roman" w:cs="Times New Roman" w:eastAsia="Times New Roman" w:hAnsi="Times New Roman"/>
          <w:sz w:val="19"/>
          <w:szCs w:val="19"/>
          <w:color w:val="auto"/>
        </w:rPr>
        <w:t>means (a) that certain Second Amended and Restated Multiparty Agreement Regarding Forest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Service Special Use Permit No. 4056-01; (b) that certain Second Amended and Restated Multiparty Agreement Regarding Forest Service Special Use Permit No. 4065-03; (c) that certain Second Amended and Restated Multiparty Agreement Regarding Forest Service Special Use Permit No. 5289-01; (d) that certain Second Amended and Restated Multiparty Agreement Regarding Forest Service Special Use Permit No. 5289-04; (e) that certain Amended and Restated Multiparty Agreement Regarding Forest Service Special Use Permit No. ELD508901; (f) any similar agreement or instrument relating to Term Special Use Permit Holder No. AMA282; (g) any similar agreement or instrument relating to any Forest Service Permit and authorized or contemplated by the provisions of the documents executed in connection with the issuance of the Vail Bonds; and (h) all renewals, extensions and restatements of, and amendments and supplements to, any of the foregoing.</w:t>
      </w:r>
    </w:p>
    <w:p>
      <w:pPr>
        <w:spacing w:after="0" w:line="175"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Forest Service Permits </w:t>
      </w:r>
      <w:r>
        <w:rPr>
          <w:rFonts w:ascii="Times New Roman" w:cs="Times New Roman" w:eastAsia="Times New Roman" w:hAnsi="Times New Roman"/>
          <w:sz w:val="19"/>
          <w:szCs w:val="19"/>
          <w:color w:val="auto"/>
        </w:rPr>
        <w:t>means (a) Ski Area Term Special Use Permit Holder No. 4056-01 issued by the Service to Borrower for the Vail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ski area on November 23, 1993, and expiring on October 31, 2031; (b) Term Special Use Permit No. Holder 4065-03 issued by the Service to Borrower’s wholly-owned subsidiary, Beaver Creek Associates, Inc., for the Beaver Creek ski area on November 17, 1999, and expiring on December 31, 2038; (c) Term Special Use Permit Holder No. 5289-01 for Keystone ski area issued by the Service to Ralston Resorts, Inc., now known as Vail Summit Resorts, on December 30, 1996, and expiring on December 30, 2032; (d) Term Special Use Permit Holder No. 5289-04 for Breckenridge ski area issued by the Service to Ralston Resorts, Inc., now known as Vail Summit Resorts, on December 31, 1996, and expiring on December 31, 2029; (e) Term Special Use Permit Holder No. EDL508901 for Heavenly ski area issued by the Service to Heavenly Valley, Limited Partnership on May 7, 2002, and expiring on May 1, 2042; (f) Term Special Use Permit Holder No. AMA282 for Kirkwood ski area issued by the Service to Heavenly Valley, Limited Partnership, d/b/a Kirkwood Mountain Resort on April 11, 2012, and expiring on March 19, 2052; and (g) any replacements of any of the foregoing.</w:t>
      </w:r>
    </w:p>
    <w:p>
      <w:pPr>
        <w:spacing w:after="0" w:line="180"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Fronting Exposure </w:t>
      </w:r>
      <w:r>
        <w:rPr>
          <w:rFonts w:ascii="Times New Roman" w:cs="Times New Roman" w:eastAsia="Times New Roman" w:hAnsi="Times New Roman"/>
          <w:sz w:val="19"/>
          <w:szCs w:val="19"/>
          <w:color w:val="auto"/>
        </w:rPr>
        <w:t>means, at any time there is a Defaulting Lender, such Defaulting Lender’s Commitment Percentage of the Dollar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Equivalent of the outstanding L/C Exposure other than L/C Exposure as to which such Defaulting Lender’s participation obligation has been reallocated to other Lenders or Cash Collateralized in accordance with the terms hereof.</w:t>
      </w:r>
    </w:p>
    <w:p>
      <w:pPr>
        <w:spacing w:after="0" w:line="148"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Fund </w:t>
      </w:r>
      <w:r>
        <w:rPr>
          <w:rFonts w:ascii="Times New Roman" w:cs="Times New Roman" w:eastAsia="Times New Roman" w:hAnsi="Times New Roman"/>
          <w:sz w:val="19"/>
          <w:szCs w:val="19"/>
          <w:color w:val="auto"/>
        </w:rPr>
        <w:t>means any Person (other than a natural person) that is (or will be) engaged in making, purchasing, holding, or otherwise investing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commercial loans and similar extensions of credit in the ordinary course of its activities.</w:t>
      </w:r>
    </w:p>
    <w:p>
      <w:pPr>
        <w:spacing w:after="0" w:line="136"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Funded Debt </w:t>
      </w:r>
      <w:r>
        <w:rPr>
          <w:rFonts w:ascii="Times New Roman" w:cs="Times New Roman" w:eastAsia="Times New Roman" w:hAnsi="Times New Roman"/>
          <w:sz w:val="19"/>
          <w:szCs w:val="19"/>
          <w:color w:val="auto"/>
        </w:rPr>
        <w:t>means, without duplication, on any date of determination,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the sum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following, calculated on a consolidated basis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the Restricted Companies in accordance with GAAP: (a) all obligations for borrowed money (whether as a direct obligation on a promissory note, bond, zero coupon bond, debenture, or other similar instrument, as a direct (as opposed to contingent) payment obligation arising under a guaranty, or as an unfulfilled reimbursement obligation on a drawn letter of credit or similar instrument, or otherwise),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all Capital Lease obligations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(x) the interest component of such obligations and (y) obligations under the Northstar Leases (to the extent such leases constitute Capital Leases)) of any Restricted Company,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(c) reimbursement obligations and undrawn amounts under Bond L/Cs supporting Bonds (other than Existing Housing Bonds) issued by Unrestricted Subsidiaries,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(d) payment obligations with respect to Permitted Recourse Obligations which constitutes Debt hereunder,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Funded Debt</w:t>
      </w:r>
      <w:r>
        <w:rPr>
          <w:rFonts w:ascii="Times New Roman" w:cs="Times New Roman" w:eastAsia="Times New Roman" w:hAnsi="Times New Roman"/>
          <w:sz w:val="19"/>
          <w:szCs w:val="19"/>
          <w:color w:val="auto"/>
        </w:rPr>
        <w:t xml:space="preserve"> shall expressly exclude Debt under Existing Housing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40"/>
          </w:cols>
          <w:pgMar w:left="320" w:top="1386" w:right="339" w:bottom="1440" w:gutter="0" w:footer="0" w:header="0"/>
        </w:sectPr>
      </w:pPr>
    </w:p>
    <w:bookmarkStart w:id="130" w:name="page131"/>
    <w:bookmarkEnd w:id="130"/>
    <w:p>
      <w:pPr>
        <w:jc w:val="both"/>
        <w:ind w:firstLine="637"/>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Funding Loss </w:t>
      </w:r>
      <w:r>
        <w:rPr>
          <w:rFonts w:ascii="Times New Roman" w:cs="Times New Roman" w:eastAsia="Times New Roman" w:hAnsi="Times New Roman"/>
          <w:sz w:val="19"/>
          <w:szCs w:val="19"/>
          <w:color w:val="auto"/>
        </w:rPr>
        <w:t>means any loss or expense that any Lender reasonably incurs because (a) Borrower fails or refuses (for any reason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whatsoever,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 default by Administrative Agent or Lender claiming such loss or expense) to take any Loan that it has requested under this Agreement, or (b) Borrower pays any Revolver Loan</w:t>
      </w:r>
      <w:r>
        <w:rPr>
          <w:rFonts w:ascii="Times New Roman" w:cs="Times New Roman" w:eastAsia="Times New Roman" w:hAnsi="Times New Roman"/>
          <w:sz w:val="19"/>
          <w:szCs w:val="19"/>
          <w:u w:val="single" w:color="auto"/>
          <w:color w:val="3051F2"/>
        </w:rPr>
        <w:t>, Term Loan</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 that is a Term Reference Rate Loan or converts any Revolver Loan</w:t>
      </w:r>
      <w:r>
        <w:rPr>
          <w:rFonts w:ascii="Times New Roman" w:cs="Times New Roman" w:eastAsia="Times New Roman" w:hAnsi="Times New Roman"/>
          <w:sz w:val="19"/>
          <w:szCs w:val="19"/>
          <w:u w:val="single" w:color="auto"/>
          <w:color w:val="3051F2"/>
        </w:rPr>
        <w:t>, Term Loan</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 that is a Term Reference Rate Loan to a Base Rate Loan, in each case, before the last day of the applicable Interest Period.</w:t>
      </w:r>
    </w:p>
    <w:p>
      <w:pPr>
        <w:spacing w:after="0" w:line="17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GAAP </w:t>
      </w:r>
      <w:r>
        <w:rPr>
          <w:rFonts w:ascii="Times New Roman" w:cs="Times New Roman" w:eastAsia="Times New Roman" w:hAnsi="Times New Roman"/>
          <w:sz w:val="19"/>
          <w:szCs w:val="19"/>
          <w:color w:val="auto"/>
        </w:rPr>
        <w:t>means generally accepted accounting principles of the Accounting Principles Board of the American Institute of Certified Public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Accountants and the Financial Accounting Standards Board (or agencies with similar functions of comparable stature and authority within the United States accounting profession) that are applicable from time to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Gillett </w:t>
      </w:r>
      <w:r>
        <w:rPr>
          <w:rFonts w:ascii="Times New Roman" w:cs="Times New Roman" w:eastAsia="Times New Roman" w:hAnsi="Times New Roman"/>
          <w:sz w:val="19"/>
          <w:szCs w:val="19"/>
          <w:color w:val="auto"/>
        </w:rPr>
        <w:t>means Gillett Broadcasting, Inc., a Delaware corporation, a direct Subsidiary of VRI.</w:t>
      </w:r>
    </w:p>
    <w:p>
      <w:pPr>
        <w:spacing w:after="0" w:line="219"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Governmental Authority </w:t>
      </w:r>
      <w:r>
        <w:rPr>
          <w:rFonts w:ascii="Times New Roman" w:cs="Times New Roman" w:eastAsia="Times New Roman" w:hAnsi="Times New Roman"/>
          <w:sz w:val="19"/>
          <w:szCs w:val="19"/>
          <w:color w:val="auto"/>
        </w:rPr>
        <w:t>means the government of the United States or any other nation, or of any political subdivision thereof,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Guarantor </w:t>
      </w:r>
      <w:r>
        <w:rPr>
          <w:rFonts w:ascii="Times New Roman" w:cs="Times New Roman" w:eastAsia="Times New Roman" w:hAnsi="Times New Roman"/>
          <w:sz w:val="19"/>
          <w:szCs w:val="19"/>
          <w:color w:val="auto"/>
        </w:rPr>
        <w:t>means each Person executing a Guaranty.</w:t>
      </w:r>
    </w:p>
    <w:p>
      <w:pPr>
        <w:spacing w:after="0" w:line="219" w:lineRule="exact"/>
        <w:rPr>
          <w:sz w:val="20"/>
          <w:szCs w:val="20"/>
          <w:color w:val="auto"/>
        </w:rPr>
      </w:pPr>
    </w:p>
    <w:p>
      <w:pPr>
        <w:jc w:val="both"/>
        <w:ind w:firstLine="637"/>
        <w:spacing w:after="0" w:line="283" w:lineRule="auto"/>
        <w:rPr>
          <w:sz w:val="20"/>
          <w:szCs w:val="20"/>
          <w:color w:val="auto"/>
        </w:rPr>
      </w:pPr>
      <w:r>
        <w:rPr>
          <w:rFonts w:ascii="Times New Roman" w:cs="Times New Roman" w:eastAsia="Times New Roman" w:hAnsi="Times New Roman"/>
          <w:sz w:val="19"/>
          <w:szCs w:val="19"/>
          <w:b w:val="1"/>
          <w:bCs w:val="1"/>
          <w:i w:val="1"/>
          <w:iCs w:val="1"/>
          <w:color w:val="auto"/>
        </w:rPr>
        <w:t xml:space="preserve">Guaranty </w:t>
      </w:r>
      <w:r>
        <w:rPr>
          <w:rFonts w:ascii="Times New Roman" w:cs="Times New Roman" w:eastAsia="Times New Roman" w:hAnsi="Times New Roman"/>
          <w:sz w:val="19"/>
          <w:szCs w:val="19"/>
          <w:color w:val="auto"/>
        </w:rPr>
        <w:t>means, collectively, a guaranty substantially in the form of</w:t>
      </w:r>
      <w:r>
        <w:rPr>
          <w:rFonts w:ascii="Times New Roman" w:cs="Times New Roman" w:eastAsia="Times New Roman" w:hAnsi="Times New Roman"/>
          <w:sz w:val="19"/>
          <w:szCs w:val="19"/>
          <w:b w:val="1"/>
          <w:bCs w:val="1"/>
          <w:i w:val="1"/>
          <w:iCs w:val="1"/>
          <w:color w:val="auto"/>
        </w:rPr>
        <w:t xml:space="preserve"> Exhibit B</w:t>
      </w:r>
      <w:r>
        <w:rPr>
          <w:rFonts w:ascii="Times New Roman" w:cs="Times New Roman" w:eastAsia="Times New Roman" w:hAnsi="Times New Roman"/>
          <w:sz w:val="19"/>
          <w:szCs w:val="19"/>
          <w:color w:val="auto"/>
        </w:rPr>
        <w:t>, executed and delivered by any Person pursuant to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requirements of the Loan Papers, and any amendment, modification, supplement, restatement, ratification, or reaffirmation of any Guaranty made in accordance with the Loan Papers.</w:t>
      </w:r>
    </w:p>
    <w:p>
      <w:pPr>
        <w:spacing w:after="0" w:line="142"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Hazardous Substance </w:t>
      </w:r>
      <w:r>
        <w:rPr>
          <w:rFonts w:ascii="Times New Roman" w:cs="Times New Roman" w:eastAsia="Times New Roman" w:hAnsi="Times New Roman"/>
          <w:sz w:val="19"/>
          <w:szCs w:val="19"/>
          <w:color w:val="auto"/>
        </w:rPr>
        <w:t>means any substance that is defined or classified as a hazardous waste, hazardous material, pollutant,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contaminant, or toxic or hazardous substance under any Environmental Law.</w:t>
      </w:r>
    </w:p>
    <w:p>
      <w:pPr>
        <w:spacing w:after="0" w:line="12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High-Yield Debt </w:t>
      </w:r>
      <w:r>
        <w:rPr>
          <w:rFonts w:ascii="Times New Roman" w:cs="Times New Roman" w:eastAsia="Times New Roman" w:hAnsi="Times New Roman"/>
          <w:sz w:val="19"/>
          <w:szCs w:val="19"/>
          <w:color w:val="auto"/>
        </w:rPr>
        <w:t>means any senior unsecured indebtedness for borrowed money in the form of high-yield debt securities for which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Company is directly and primarily obligated and that is issued pursuant to documentation with terms that are no more restrictive upon such Company than the terms of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High-Yield Debt shall not include Convertible Debt Securities.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Honor Date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2.3(c)(i)</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37"/>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 xml:space="preserve">Housing Districts </w:t>
      </w:r>
      <w:r>
        <w:rPr>
          <w:rFonts w:ascii="Times New Roman" w:cs="Times New Roman" w:eastAsia="Times New Roman" w:hAnsi="Times New Roman"/>
          <w:sz w:val="19"/>
          <w:szCs w:val="19"/>
          <w:color w:val="auto"/>
        </w:rPr>
        <w:t>means, collectively, (a) the Existing Housing Districts, and (b) any other Person which issues Bonds after the Closing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Date to finance the development of housing projects for employees of the Companies; and </w:t>
      </w:r>
      <w:r>
        <w:rPr>
          <w:rFonts w:ascii="Times New Roman" w:cs="Times New Roman" w:eastAsia="Times New Roman" w:hAnsi="Times New Roman"/>
          <w:sz w:val="19"/>
          <w:szCs w:val="19"/>
          <w:b w:val="1"/>
          <w:bCs w:val="1"/>
          <w:i w:val="1"/>
          <w:iCs w:val="1"/>
          <w:color w:val="auto"/>
        </w:rPr>
        <w:t>Housing District</w:t>
      </w:r>
      <w:r>
        <w:rPr>
          <w:rFonts w:ascii="Times New Roman" w:cs="Times New Roman" w:eastAsia="Times New Roman" w:hAnsi="Times New Roman"/>
          <w:sz w:val="19"/>
          <w:szCs w:val="19"/>
          <w:color w:val="auto"/>
        </w:rPr>
        <w:t xml:space="preserve"> means one of the Housing Districts.</w:t>
      </w:r>
    </w:p>
    <w:p>
      <w:pPr>
        <w:spacing w:after="0" w:line="3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Incremental Term Loan </w:t>
      </w:r>
      <w:r>
        <w:rPr>
          <w:rFonts w:ascii="Times New Roman" w:cs="Times New Roman" w:eastAsia="Times New Roman" w:hAnsi="Times New Roman"/>
          <w:sz w:val="19"/>
          <w:szCs w:val="19"/>
          <w:color w:val="auto"/>
        </w:rPr>
        <w:t>means any amount disbursed by any Lender to Borrower pursuant to the Incremental Term Loan Facility.</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Incremental Term Loan Facility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2.5</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1240"/>
          </w:cols>
          <w:pgMar w:left="320" w:top="1386" w:right="339" w:bottom="1440" w:gutter="0" w:footer="0" w:header="0"/>
        </w:sectPr>
      </w:pPr>
    </w:p>
    <w:bookmarkStart w:id="131" w:name="page132"/>
    <w:bookmarkEnd w:id="131"/>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Indemnified Taxes </w:t>
      </w:r>
      <w:r>
        <w:rPr>
          <w:rFonts w:ascii="Times New Roman" w:cs="Times New Roman" w:eastAsia="Times New Roman" w:hAnsi="Times New Roman"/>
          <w:sz w:val="19"/>
          <w:szCs w:val="19"/>
          <w:color w:val="auto"/>
        </w:rPr>
        <w:t>means (a) Taxes, other than Excluded Taxes, imposed on or with respect to any payment made by or on account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any obligation of any Restricted Company under any Loan Papers and (b) to the extent not otherwise described in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Other Taxes.</w:t>
      </w:r>
    </w:p>
    <w:p>
      <w:pPr>
        <w:spacing w:after="0" w:line="123" w:lineRule="exact"/>
        <w:rPr>
          <w:sz w:val="20"/>
          <w:szCs w:val="20"/>
          <w:color w:val="auto"/>
        </w:rPr>
      </w:pPr>
    </w:p>
    <w:p>
      <w:pPr>
        <w:jc w:val="both"/>
        <w:ind w:firstLine="637"/>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Intellectual Property </w:t>
      </w:r>
      <w:r>
        <w:rPr>
          <w:rFonts w:ascii="Times New Roman" w:cs="Times New Roman" w:eastAsia="Times New Roman" w:hAnsi="Times New Roman"/>
          <w:sz w:val="19"/>
          <w:szCs w:val="19"/>
          <w:color w:val="auto"/>
        </w:rPr>
        <w:t>means (a) common law, federal statutory, state statutory, and foreign trademarks or service marks (including,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without limitation, all registrations and pending applications and the goodwill of the business symbolized by or conducted in connection with any such trademark or service mark), trademark or service mark licenses and all proceeds of trademarks or service marks (including, without limitation, license royalties and proceeds from infringement suits), (b) U.S. and foreign patents (including, without limitation, all pending applications, continuations, continuations-in-part, divisions, reissues, substitutions, and extensions of existing patents or applications), patent licenses, and all proceeds of patents (including, without limitation, license royalties and proceeds from infringement suits), (c) copyrights (including, without limitation, all registrations and pending applications), copyright licenses, and all proceeds of copyrights (including, without limitation, license royalties and proceeds from infringement suits), and (d) trade secrets, </w:t>
      </w:r>
      <w:r>
        <w:rPr>
          <w:rFonts w:ascii="Times New Roman" w:cs="Times New Roman" w:eastAsia="Times New Roman" w:hAnsi="Times New Roman"/>
          <w:sz w:val="19"/>
          <w:szCs w:val="19"/>
          <w:i w:val="1"/>
          <w:iCs w:val="1"/>
          <w:color w:val="auto"/>
        </w:rPr>
        <w:t>but does not include</w:t>
      </w:r>
      <w:r>
        <w:rPr>
          <w:rFonts w:ascii="Times New Roman" w:cs="Times New Roman" w:eastAsia="Times New Roman" w:hAnsi="Times New Roman"/>
          <w:sz w:val="19"/>
          <w:szCs w:val="19"/>
          <w:color w:val="auto"/>
        </w:rPr>
        <w:t xml:space="preserve"> (i) any licenses (including, without limitation, liquor licenses) or any permits (including, without limitation, sales Tax permits) issued by a Governmental Authority and in which</w:t>
      </w:r>
    </w:p>
    <w:p>
      <w:pPr>
        <w:spacing w:after="0" w:line="6" w:lineRule="exact"/>
        <w:rPr>
          <w:sz w:val="20"/>
          <w:szCs w:val="20"/>
          <w:color w:val="auto"/>
        </w:rPr>
      </w:pPr>
    </w:p>
    <w:p>
      <w:pPr>
        <w:jc w:val="both"/>
        <w:ind w:firstLine="6"/>
        <w:spacing w:after="0" w:line="266" w:lineRule="auto"/>
        <w:tabs>
          <w:tab w:leader="none" w:pos="28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licensee’s or permittee’s interest is defeasible by such Governmental Authority and (z) the licensee or permittee has no right beyond the terms, conditions, and periods of the license or permit, or (ii) trade names or “dba’s” to the extent they do not constitute trademarks or service marks.</w:t>
      </w:r>
    </w:p>
    <w:p>
      <w:pPr>
        <w:spacing w:after="0" w:line="157"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Interest Period </w:t>
      </w:r>
      <w:r>
        <w:rPr>
          <w:rFonts w:ascii="Times New Roman" w:cs="Times New Roman" w:eastAsia="Times New Roman" w:hAnsi="Times New Roman"/>
          <w:sz w:val="19"/>
          <w:szCs w:val="19"/>
          <w:color w:val="auto"/>
        </w:rPr>
        <w:t>means, as to each Revolver Loan</w:t>
      </w:r>
      <w:r>
        <w:rPr>
          <w:rFonts w:ascii="Times New Roman" w:cs="Times New Roman" w:eastAsia="Times New Roman" w:hAnsi="Times New Roman"/>
          <w:sz w:val="19"/>
          <w:szCs w:val="19"/>
          <w:u w:val="single" w:color="auto"/>
          <w:color w:val="3051F2"/>
        </w:rPr>
        <w:t>, Term Loan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Term Loan that is a Term Reference Rate Loan,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period commencing on the date such Revolver Loan</w:t>
      </w:r>
      <w:r>
        <w:rPr>
          <w:rFonts w:ascii="Times New Roman" w:cs="Times New Roman" w:eastAsia="Times New Roman" w:hAnsi="Times New Roman"/>
          <w:sz w:val="19"/>
          <w:szCs w:val="19"/>
          <w:u w:val="single" w:color="auto"/>
          <w:color w:val="3051F2"/>
        </w:rPr>
        <w:t>, Term Loan</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 is disbursed or converted to or continued as a Revolver Loan</w:t>
      </w:r>
      <w:r>
        <w:rPr>
          <w:rFonts w:ascii="Times New Roman" w:cs="Times New Roman" w:eastAsia="Times New Roman" w:hAnsi="Times New Roman"/>
          <w:sz w:val="19"/>
          <w:szCs w:val="19"/>
          <w:u w:val="single" w:color="auto"/>
          <w:color w:val="3051F2"/>
        </w:rPr>
        <w:t>, Term Loan</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 that is a Term Reference Rate Loan and ending on the date one (1), three (3), or six (6) months thereafter, as selected by Borrower in its Loan Notice;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ind w:left="640" w:firstLine="640"/>
        <w:spacing w:after="0" w:line="274" w:lineRule="auto"/>
        <w:tabs>
          <w:tab w:leader="none" w:pos="1705"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53" w:lineRule="exact"/>
        <w:rPr>
          <w:rFonts w:ascii="Times New Roman" w:cs="Times New Roman" w:eastAsia="Times New Roman" w:hAnsi="Times New Roman"/>
          <w:sz w:val="19"/>
          <w:szCs w:val="19"/>
          <w:color w:val="auto"/>
        </w:rPr>
      </w:pPr>
    </w:p>
    <w:p>
      <w:pPr>
        <w:jc w:val="both"/>
        <w:ind w:left="640" w:firstLine="640"/>
        <w:spacing w:after="0" w:line="281" w:lineRule="auto"/>
        <w:tabs>
          <w:tab w:leader="none" w:pos="1698"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47" w:lineRule="exact"/>
        <w:rPr>
          <w:rFonts w:ascii="Times New Roman" w:cs="Times New Roman" w:eastAsia="Times New Roman" w:hAnsi="Times New Roman"/>
          <w:sz w:val="19"/>
          <w:szCs w:val="19"/>
          <w:color w:val="auto"/>
        </w:rPr>
      </w:pPr>
    </w:p>
    <w:p>
      <w:pPr>
        <w:ind w:left="1680" w:hanging="400"/>
        <w:spacing w:after="0"/>
        <w:tabs>
          <w:tab w:leader="none" w:pos="168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Interest Period shall extend beyond the Termination Date.</w:t>
      </w:r>
    </w:p>
    <w:p>
      <w:pPr>
        <w:spacing w:after="0" w:line="229" w:lineRule="exact"/>
        <w:rPr>
          <w:sz w:val="20"/>
          <w:szCs w:val="20"/>
          <w:color w:val="auto"/>
        </w:rPr>
      </w:pPr>
    </w:p>
    <w:p>
      <w:pPr>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Internal Control Event </w:t>
      </w:r>
      <w:r>
        <w:rPr>
          <w:rFonts w:ascii="Times New Roman" w:cs="Times New Roman" w:eastAsia="Times New Roman" w:hAnsi="Times New Roman"/>
          <w:sz w:val="19"/>
          <w:szCs w:val="19"/>
          <w:color w:val="auto"/>
        </w:rPr>
        <w:t>means a material weakness in, or fraud that involves management or other employees who have a significant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role in, Borrower’s internal controls over financial reporting, in each case as described in the Securities Laws.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Investment Limit (Joint Ventures) </w:t>
      </w:r>
      <w:r>
        <w:rPr>
          <w:rFonts w:ascii="Times New Roman" w:cs="Times New Roman" w:eastAsia="Times New Roman" w:hAnsi="Times New Roman"/>
          <w:sz w:val="19"/>
          <w:szCs w:val="19"/>
          <w:color w:val="auto"/>
        </w:rPr>
        <w:t>means, on any date of determination, the sum of (a) $75,000,000,</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 10% of Total Assets,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plus</w:t>
      </w:r>
    </w:p>
    <w:p>
      <w:pPr>
        <w:spacing w:after="0" w:line="39" w:lineRule="exact"/>
        <w:rPr>
          <w:sz w:val="20"/>
          <w:szCs w:val="20"/>
          <w:color w:val="auto"/>
        </w:rPr>
      </w:pPr>
    </w:p>
    <w:p>
      <w:pPr>
        <w:jc w:val="both"/>
        <w:ind w:firstLine="6"/>
        <w:spacing w:after="0" w:line="260" w:lineRule="auto"/>
        <w:tabs>
          <w:tab w:leader="none" w:pos="30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net reductions in investments permitted by </w:t>
      </w:r>
      <w:r>
        <w:rPr>
          <w:rFonts w:ascii="Times New Roman" w:cs="Times New Roman" w:eastAsia="Times New Roman" w:hAnsi="Times New Roman"/>
          <w:sz w:val="19"/>
          <w:szCs w:val="19"/>
          <w:b w:val="1"/>
          <w:bCs w:val="1"/>
          <w:i w:val="1"/>
          <w:iCs w:val="1"/>
          <w:color w:val="auto"/>
        </w:rPr>
        <w:t>Section 10.8(m)</w:t>
      </w:r>
      <w:r>
        <w:rPr>
          <w:rFonts w:ascii="Times New Roman" w:cs="Times New Roman" w:eastAsia="Times New Roman" w:hAnsi="Times New Roman"/>
          <w:sz w:val="19"/>
          <w:szCs w:val="19"/>
          <w:color w:val="auto"/>
        </w:rPr>
        <w:t xml:space="preserve"> as a result of (i) dispositions of any such investments sold or otherwise liquidated or repaid to the extent of the net cash proceeds and the fair market value of any assets or property (as determined in good faith by the Board of Directors of VRI) received by a Restricted Company, or (ii) dividends reducing any such investment, repayment of the outstanding principal amount of loans or advances, or other transfers of assets to VRI or any Restricted Subsidiary of VRI, or (iii) the portion (proportionate to VRI’s direct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1240"/>
          </w:cols>
          <w:pgMar w:left="320" w:top="1386" w:right="339" w:bottom="1440" w:gutter="0" w:footer="0" w:header="0"/>
        </w:sectPr>
      </w:pPr>
    </w:p>
    <w:bookmarkStart w:id="132" w:name="page133"/>
    <w:bookmarkEnd w:id="132"/>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indirect interest in the equity therein) of the fair market value of the net assets of a joint venture in which a Restricted Company has made an investment permitted by </w:t>
      </w:r>
      <w:r>
        <w:rPr>
          <w:rFonts w:ascii="Times New Roman" w:cs="Times New Roman" w:eastAsia="Times New Roman" w:hAnsi="Times New Roman"/>
          <w:sz w:val="19"/>
          <w:szCs w:val="19"/>
          <w:b w:val="1"/>
          <w:bCs w:val="1"/>
          <w:i w:val="1"/>
          <w:iCs w:val="1"/>
          <w:color w:val="auto"/>
        </w:rPr>
        <w:t>Section 10.8(m)</w:t>
      </w:r>
      <w:r>
        <w:rPr>
          <w:rFonts w:ascii="Times New Roman" w:cs="Times New Roman" w:eastAsia="Times New Roman" w:hAnsi="Times New Roman"/>
          <w:sz w:val="19"/>
          <w:szCs w:val="19"/>
          <w:color w:val="auto"/>
        </w:rPr>
        <w:t xml:space="preserve"> immediately prior to the time such Person is designated or becomes a Restricted Subsidiary of VRI in accordance with </w:t>
      </w:r>
      <w:r>
        <w:rPr>
          <w:rFonts w:ascii="Times New Roman" w:cs="Times New Roman" w:eastAsia="Times New Roman" w:hAnsi="Times New Roman"/>
          <w:sz w:val="19"/>
          <w:szCs w:val="19"/>
          <w:b w:val="1"/>
          <w:bCs w:val="1"/>
          <w:i w:val="1"/>
          <w:iCs w:val="1"/>
          <w:color w:val="auto"/>
        </w:rPr>
        <w:t>Sections 9.10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9.11(b)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(d) loans made in accordance with </w:t>
      </w:r>
      <w:r>
        <w:rPr>
          <w:rFonts w:ascii="Times New Roman" w:cs="Times New Roman" w:eastAsia="Times New Roman" w:hAnsi="Times New Roman"/>
          <w:sz w:val="19"/>
          <w:szCs w:val="19"/>
          <w:b w:val="1"/>
          <w:bCs w:val="1"/>
          <w:i w:val="1"/>
          <w:iCs w:val="1"/>
          <w:color w:val="auto"/>
        </w:rPr>
        <w:t>Section 10.8(r)</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Investment Limit (Similar Businesses) </w:t>
      </w:r>
      <w:r>
        <w:rPr>
          <w:rFonts w:ascii="Times New Roman" w:cs="Times New Roman" w:eastAsia="Times New Roman" w:hAnsi="Times New Roman"/>
          <w:sz w:val="19"/>
          <w:szCs w:val="19"/>
          <w:color w:val="auto"/>
        </w:rPr>
        <w:t>means, on any date of determination, the sum of (a) $100,000,000,</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 15% of Total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Assets,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(c) net reductions in investments permitted by </w:t>
      </w:r>
      <w:r>
        <w:rPr>
          <w:rFonts w:ascii="Times New Roman" w:cs="Times New Roman" w:eastAsia="Times New Roman" w:hAnsi="Times New Roman"/>
          <w:sz w:val="19"/>
          <w:szCs w:val="19"/>
          <w:b w:val="1"/>
          <w:bCs w:val="1"/>
          <w:i w:val="1"/>
          <w:iCs w:val="1"/>
          <w:color w:val="auto"/>
        </w:rPr>
        <w:t>Section 10.8(l)</w:t>
      </w:r>
      <w:r>
        <w:rPr>
          <w:rFonts w:ascii="Times New Roman" w:cs="Times New Roman" w:eastAsia="Times New Roman" w:hAnsi="Times New Roman"/>
          <w:sz w:val="19"/>
          <w:szCs w:val="19"/>
          <w:color w:val="auto"/>
        </w:rPr>
        <w:t xml:space="preserve"> as a result of (i) dispositions of any such investments sold or otherwise liquidated or repaid to the extent of the net cash proceeds and the fair market value of any assets or property (as determined in good faith by the Board of Directors of VRI) received by a Restricted Company, (ii) dividends reducing any such investment, repayment of the outstanding principal amount of loans or advances, or other transfers of assets to VRI or any Restricted Subsidiary of VRI, or (iii) the portion (proportionate to VRI’s direct or indirect interest in the equity of a Person) of the fair market value of the net assets of an Unrestricted Subsidiary immediately prior to the time such Unrestricted Subsidiary is designated or becomes a Restricted Subsidiary of VRI in accordance with </w:t>
      </w:r>
      <w:r>
        <w:rPr>
          <w:rFonts w:ascii="Times New Roman" w:cs="Times New Roman" w:eastAsia="Times New Roman" w:hAnsi="Times New Roman"/>
          <w:sz w:val="19"/>
          <w:szCs w:val="19"/>
          <w:b w:val="1"/>
          <w:bCs w:val="1"/>
          <w:i w:val="1"/>
          <w:iCs w:val="1"/>
          <w:color w:val="auto"/>
        </w:rPr>
        <w:t>Sections 9.10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9.11(b)</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13"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ISP </w:t>
      </w:r>
      <w:r>
        <w:rPr>
          <w:rFonts w:ascii="Times New Roman" w:cs="Times New Roman" w:eastAsia="Times New Roman" w:hAnsi="Times New Roman"/>
          <w:sz w:val="19"/>
          <w:szCs w:val="19"/>
          <w:color w:val="auto"/>
        </w:rPr>
        <w:t>means, with respect to any L/C, the “</w:t>
      </w:r>
      <w:r>
        <w:rPr>
          <w:rFonts w:ascii="Times New Roman" w:cs="Times New Roman" w:eastAsia="Times New Roman" w:hAnsi="Times New Roman"/>
          <w:sz w:val="19"/>
          <w:szCs w:val="19"/>
          <w:i w:val="1"/>
          <w:iCs w:val="1"/>
          <w:color w:val="auto"/>
        </w:rPr>
        <w:t>International Standby Practices 1998</w:t>
      </w:r>
      <w:r>
        <w:rPr>
          <w:rFonts w:ascii="Times New Roman" w:cs="Times New Roman" w:eastAsia="Times New Roman" w:hAnsi="Times New Roman"/>
          <w:sz w:val="19"/>
          <w:szCs w:val="19"/>
          <w:color w:val="auto"/>
        </w:rPr>
        <w:t>” published by the Institute of International Banking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Law &amp; Practice (or such later version thereof as may be in effect at the time of issuance).</w:t>
      </w:r>
    </w:p>
    <w:p>
      <w:pPr>
        <w:spacing w:after="0" w:line="149"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Issuer Documents </w:t>
      </w:r>
      <w:r>
        <w:rPr>
          <w:rFonts w:ascii="Times New Roman" w:cs="Times New Roman" w:eastAsia="Times New Roman" w:hAnsi="Times New Roman"/>
          <w:sz w:val="19"/>
          <w:szCs w:val="19"/>
          <w:color w:val="auto"/>
        </w:rPr>
        <w:t>means with respect to any L/C, the L/C Agreement and any other document, agreement, and instrument entered into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by the applicable L/C Issuer and Borrower (or any other Company) or in favor of such L/C Issuer and relating to such L/C.</w:t>
      </w:r>
    </w:p>
    <w:p>
      <w:pPr>
        <w:spacing w:after="0" w:line="149"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Joint Lead Arrangers </w:t>
      </w:r>
      <w:r>
        <w:rPr>
          <w:rFonts w:ascii="Times New Roman" w:cs="Times New Roman" w:eastAsia="Times New Roman" w:hAnsi="Times New Roman"/>
          <w:sz w:val="19"/>
          <w:szCs w:val="19"/>
          <w:color w:val="auto"/>
        </w:rPr>
        <w:t>BofA Securities, Inc., U.S. Bank National Association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EE2724"/>
        </w:rPr>
        <w:t>and</w:t>
      </w:r>
      <w:r>
        <w:rPr>
          <w:rFonts w:ascii="Times New Roman" w:cs="Times New Roman" w:eastAsia="Times New Roman" w:hAnsi="Times New Roman"/>
          <w:sz w:val="19"/>
          <w:szCs w:val="19"/>
          <w:u w:val="single" w:color="auto"/>
          <w:color w:val="3051F2"/>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Wells Fargo Securities, LLC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3051F2"/>
        </w:rPr>
        <w:t>and Truist Securities,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3051F2"/>
        </w:rPr>
        <w:t>Inc.</w:t>
      </w:r>
      <w:r>
        <w:rPr>
          <w:rFonts w:ascii="Times New Roman" w:cs="Times New Roman" w:eastAsia="Times New Roman" w:hAnsi="Times New Roman"/>
          <w:sz w:val="19"/>
          <w:szCs w:val="19"/>
          <w:color w:val="000000"/>
        </w:rPr>
        <w:t>, in their respective capacities as joint lead arrangers</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EE2724"/>
        </w:rPr>
        <w:t>and joint bookrunners</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4297045</wp:posOffset>
            </wp:positionH>
            <wp:positionV relativeFrom="paragraph">
              <wp:posOffset>-266700</wp:posOffset>
            </wp:positionV>
            <wp:extent cx="2171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1717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-215900</wp:posOffset>
            </wp:positionV>
            <wp:extent cx="11125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11252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-114935</wp:posOffset>
            </wp:positionV>
            <wp:extent cx="11144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Laws </w:t>
      </w:r>
      <w:r>
        <w:rPr>
          <w:rFonts w:ascii="Times New Roman" w:cs="Times New Roman" w:eastAsia="Times New Roman" w:hAnsi="Times New Roman"/>
          <w:sz w:val="19"/>
          <w:szCs w:val="19"/>
          <w:color w:val="auto"/>
        </w:rPr>
        <w:t>means all applicable statutes, laws, treaties, ordinances, rules, regulations, orders, writs, injunctions, decrees, and judgments.</w:t>
      </w:r>
    </w:p>
    <w:p>
      <w:pPr>
        <w:spacing w:after="0" w:line="23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w:t>
      </w:r>
      <w:r>
        <w:rPr>
          <w:rFonts w:ascii="Times New Roman" w:cs="Times New Roman" w:eastAsia="Times New Roman" w:hAnsi="Times New Roman"/>
          <w:sz w:val="19"/>
          <w:szCs w:val="19"/>
          <w:color w:val="auto"/>
        </w:rPr>
        <w:t>means each Existing L/C and other letter of credit issued by an L/C Issuer under this Agreement providing for the payment of cash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upon the honoring of a presentation thereunder. An L/C may be a standby or commercial letter of credit. L/Cs may be issued in Dollars or in the Alternative Currency.</w:t>
      </w:r>
    </w:p>
    <w:p>
      <w:pPr>
        <w:spacing w:after="0" w:line="148"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Agreement </w:t>
      </w:r>
      <w:r>
        <w:rPr>
          <w:rFonts w:ascii="Times New Roman" w:cs="Times New Roman" w:eastAsia="Times New Roman" w:hAnsi="Times New Roman"/>
          <w:sz w:val="19"/>
          <w:szCs w:val="19"/>
          <w:color w:val="auto"/>
        </w:rPr>
        <w:t>means an application and agreement for the issuance or amendment of an L/C in the form from time to time in use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applicable L/C Issuer.</w:t>
      </w:r>
    </w:p>
    <w:p>
      <w:pPr>
        <w:spacing w:after="0" w:line="136"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Borrowing </w:t>
      </w:r>
      <w:r>
        <w:rPr>
          <w:rFonts w:ascii="Times New Roman" w:cs="Times New Roman" w:eastAsia="Times New Roman" w:hAnsi="Times New Roman"/>
          <w:sz w:val="19"/>
          <w:szCs w:val="19"/>
          <w:color w:val="auto"/>
        </w:rPr>
        <w:t>means an extension of credit resulting from a drawing under any L/C that has not been reimbursed on the date when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made or refinanced as a Revolver Loan.</w:t>
      </w:r>
    </w:p>
    <w:p>
      <w:pPr>
        <w:spacing w:after="0" w:line="149"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Commitment </w:t>
      </w:r>
      <w:r>
        <w:rPr>
          <w:rFonts w:ascii="Times New Roman" w:cs="Times New Roman" w:eastAsia="Times New Roman" w:hAnsi="Times New Roman"/>
          <w:sz w:val="19"/>
          <w:szCs w:val="19"/>
          <w:color w:val="auto"/>
        </w:rPr>
        <w:t>means, as to each L/C Issuer, the commitment of such L/C Issuer to issue Letters of Credit in an aggregate principal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amount at any one time outstanding not to exceed the amount set forth opposite such L/C Issuer’s name on </w:t>
      </w:r>
      <w:r>
        <w:rPr>
          <w:rFonts w:ascii="Times New Roman" w:cs="Times New Roman" w:eastAsia="Times New Roman" w:hAnsi="Times New Roman"/>
          <w:sz w:val="19"/>
          <w:szCs w:val="19"/>
          <w:b w:val="1"/>
          <w:bCs w:val="1"/>
          <w:i w:val="1"/>
          <w:iCs w:val="1"/>
          <w:color w:val="auto"/>
        </w:rPr>
        <w:t>Schedule 1</w:t>
      </w:r>
      <w:r>
        <w:rPr>
          <w:rFonts w:ascii="Times New Roman" w:cs="Times New Roman" w:eastAsia="Times New Roman" w:hAnsi="Times New Roman"/>
          <w:sz w:val="19"/>
          <w:szCs w:val="19"/>
          <w:color w:val="auto"/>
        </w:rPr>
        <w:t xml:space="preserve"> under the caption “</w:t>
      </w:r>
      <w:r>
        <w:rPr>
          <w:rFonts w:ascii="Times New Roman" w:cs="Times New Roman" w:eastAsia="Times New Roman" w:hAnsi="Times New Roman"/>
          <w:sz w:val="19"/>
          <w:szCs w:val="19"/>
          <w:i w:val="1"/>
          <w:iCs w:val="1"/>
          <w:color w:val="auto"/>
        </w:rPr>
        <w:t>Letter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of Credit Sublimit</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Credit Extension </w:t>
      </w:r>
      <w:r>
        <w:rPr>
          <w:rFonts w:ascii="Times New Roman" w:cs="Times New Roman" w:eastAsia="Times New Roman" w:hAnsi="Times New Roman"/>
          <w:sz w:val="19"/>
          <w:szCs w:val="19"/>
          <w:color w:val="auto"/>
        </w:rPr>
        <w:t>means, with respect to any L/C, the issuance thereof, the extension of the expiry date thereof, or the increase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amount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1240"/>
          </w:cols>
          <w:pgMar w:left="320" w:top="1390" w:right="339" w:bottom="1440" w:gutter="0" w:footer="0" w:header="0"/>
        </w:sectPr>
      </w:pPr>
    </w:p>
    <w:bookmarkStart w:id="133" w:name="page134"/>
    <w:bookmarkEnd w:id="133"/>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Expiration Date </w:t>
      </w:r>
      <w:r>
        <w:rPr>
          <w:rFonts w:ascii="Times New Roman" w:cs="Times New Roman" w:eastAsia="Times New Roman" w:hAnsi="Times New Roman"/>
          <w:sz w:val="19"/>
          <w:szCs w:val="19"/>
          <w:color w:val="auto"/>
        </w:rPr>
        <w:t>means the day that is seven (7) days prior to the Termination Date for the Revolver Facility then in effect (or, if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such day is not a Business Day, the next preceding Business Day).</w:t>
      </w:r>
    </w:p>
    <w:p>
      <w:pPr>
        <w:spacing w:after="0" w:line="123"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Exposure </w:t>
      </w:r>
      <w:r>
        <w:rPr>
          <w:rFonts w:ascii="Times New Roman" w:cs="Times New Roman" w:eastAsia="Times New Roman" w:hAnsi="Times New Roman"/>
          <w:sz w:val="19"/>
          <w:szCs w:val="19"/>
          <w:color w:val="auto"/>
        </w:rPr>
        <w:t>means, on any date of determination, without duplication,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sum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(a) the aggregate amount available to be drawn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under all outstanding L/Cs (including, without limitation, any reinstatement of or increase in the face amount thereof effected pursuant to the terms of any Bond L/C),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aggregate unpaid reimbursement obligations of Borrower with respect to drawings, drafts, or other forms of demand honored under any L/C (including, without limitation, all L/C Borrowings and unpaid reimbursement obligations under any Bond L/C). For purposes of computing the amount available to be drawn under any L/C, the amount of such L/C shall be determined in accordance with </w:t>
      </w:r>
      <w:r>
        <w:rPr>
          <w:rFonts w:ascii="Times New Roman" w:cs="Times New Roman" w:eastAsia="Times New Roman" w:hAnsi="Times New Roman"/>
          <w:sz w:val="19"/>
          <w:szCs w:val="19"/>
          <w:b w:val="1"/>
          <w:bCs w:val="1"/>
          <w:i w:val="1"/>
          <w:iCs w:val="1"/>
          <w:color w:val="auto"/>
        </w:rPr>
        <w:t>Section 1.7</w:t>
      </w:r>
      <w:r>
        <w:rPr>
          <w:rFonts w:ascii="Times New Roman" w:cs="Times New Roman" w:eastAsia="Times New Roman" w:hAnsi="Times New Roman"/>
          <w:sz w:val="19"/>
          <w:szCs w:val="19"/>
          <w:color w:val="auto"/>
        </w:rPr>
        <w:t xml:space="preserve">. For all purposes of this Agreement, if on any date of determination an L/C has expired by its terms but any amount may still be drawn thereunder by reason of the operation of </w:t>
      </w:r>
      <w:r>
        <w:rPr>
          <w:rFonts w:ascii="Times New Roman" w:cs="Times New Roman" w:eastAsia="Times New Roman" w:hAnsi="Times New Roman"/>
          <w:sz w:val="19"/>
          <w:szCs w:val="19"/>
          <w:i w:val="1"/>
          <w:iCs w:val="1"/>
          <w:color w:val="auto"/>
        </w:rPr>
        <w:t>Rule 3.14</w:t>
      </w:r>
      <w:r>
        <w:rPr>
          <w:rFonts w:ascii="Times New Roman" w:cs="Times New Roman" w:eastAsia="Times New Roman" w:hAnsi="Times New Roman"/>
          <w:sz w:val="19"/>
          <w:szCs w:val="19"/>
          <w:color w:val="auto"/>
        </w:rPr>
        <w:t xml:space="preserve"> of the ISP, such L/C shall be deemed to be “</w:t>
      </w:r>
      <w:r>
        <w:rPr>
          <w:rFonts w:ascii="Times New Roman" w:cs="Times New Roman" w:eastAsia="Times New Roman" w:hAnsi="Times New Roman"/>
          <w:sz w:val="19"/>
          <w:szCs w:val="19"/>
          <w:i w:val="1"/>
          <w:iCs w:val="1"/>
          <w:color w:val="auto"/>
        </w:rPr>
        <w:t>outstanding</w:t>
      </w:r>
      <w:r>
        <w:rPr>
          <w:rFonts w:ascii="Times New Roman" w:cs="Times New Roman" w:eastAsia="Times New Roman" w:hAnsi="Times New Roman"/>
          <w:sz w:val="19"/>
          <w:szCs w:val="19"/>
          <w:color w:val="auto"/>
        </w:rPr>
        <w:t>” in the amount so remaining available to be drawn.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L/C Fees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3.10(b)</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Issuers </w:t>
      </w:r>
      <w:r>
        <w:rPr>
          <w:rFonts w:ascii="Times New Roman" w:cs="Times New Roman" w:eastAsia="Times New Roman" w:hAnsi="Times New Roman"/>
          <w:sz w:val="19"/>
          <w:szCs w:val="19"/>
          <w:color w:val="auto"/>
        </w:rPr>
        <w:t>means Bank of America, Wells Fargo Bank, National Association and the Australian L/C Issuer, in their respective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capacities as issuers of L/Cs hereunder, and any additional Lender approved by Administrative Agent and Borrower that has agreed to act as an “</w:t>
      </w:r>
      <w:r>
        <w:rPr>
          <w:rFonts w:ascii="Times New Roman" w:cs="Times New Roman" w:eastAsia="Times New Roman" w:hAnsi="Times New Roman"/>
          <w:sz w:val="19"/>
          <w:szCs w:val="19"/>
          <w:i w:val="1"/>
          <w:iCs w:val="1"/>
          <w:color w:val="auto"/>
        </w:rPr>
        <w:t>L/C Issuer</w:t>
      </w:r>
      <w:r>
        <w:rPr>
          <w:rFonts w:ascii="Times New Roman" w:cs="Times New Roman" w:eastAsia="Times New Roman" w:hAnsi="Times New Roman"/>
          <w:sz w:val="19"/>
          <w:szCs w:val="19"/>
          <w:color w:val="auto"/>
        </w:rPr>
        <w:t xml:space="preserve">”, or any successor issuer of L/Cs hereunder; and </w:t>
      </w:r>
      <w:r>
        <w:rPr>
          <w:rFonts w:ascii="Times New Roman" w:cs="Times New Roman" w:eastAsia="Times New Roman" w:hAnsi="Times New Roman"/>
          <w:sz w:val="19"/>
          <w:szCs w:val="19"/>
          <w:b w:val="1"/>
          <w:bCs w:val="1"/>
          <w:i w:val="1"/>
          <w:iCs w:val="1"/>
          <w:color w:val="auto"/>
        </w:rPr>
        <w:t>L/C Issuer</w:t>
      </w:r>
      <w:r>
        <w:rPr>
          <w:rFonts w:ascii="Times New Roman" w:cs="Times New Roman" w:eastAsia="Times New Roman" w:hAnsi="Times New Roman"/>
          <w:sz w:val="19"/>
          <w:szCs w:val="19"/>
          <w:color w:val="auto"/>
        </w:rPr>
        <w:t xml:space="preserve"> means one of the L/C Issuers.</w:t>
      </w:r>
    </w:p>
    <w:p>
      <w:pPr>
        <w:spacing w:after="0" w:line="148"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Subfacility </w:t>
      </w:r>
      <w:r>
        <w:rPr>
          <w:rFonts w:ascii="Times New Roman" w:cs="Times New Roman" w:eastAsia="Times New Roman" w:hAnsi="Times New Roman"/>
          <w:sz w:val="19"/>
          <w:szCs w:val="19"/>
          <w:color w:val="auto"/>
        </w:rPr>
        <w:t>means a subfacility under the Agreement for the issuance of L/Cs, as described in</w:t>
      </w:r>
      <w:r>
        <w:rPr>
          <w:rFonts w:ascii="Times New Roman" w:cs="Times New Roman" w:eastAsia="Times New Roman" w:hAnsi="Times New Roman"/>
          <w:sz w:val="19"/>
          <w:szCs w:val="19"/>
          <w:b w:val="1"/>
          <w:bCs w:val="1"/>
          <w:i w:val="1"/>
          <w:iCs w:val="1"/>
          <w:color w:val="auto"/>
        </w:rPr>
        <w:t xml:space="preserve"> Section 2.3</w:t>
      </w:r>
      <w:r>
        <w:rPr>
          <w:rFonts w:ascii="Times New Roman" w:cs="Times New Roman" w:eastAsia="Times New Roman" w:hAnsi="Times New Roman"/>
          <w:sz w:val="19"/>
          <w:szCs w:val="19"/>
          <w:color w:val="auto"/>
        </w:rPr>
        <w:t>, under which the L/C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Exposure may never exceed the L/C Sublimit.</w:t>
      </w:r>
    </w:p>
    <w:p>
      <w:pPr>
        <w:spacing w:after="0" w:line="136"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Sublimit </w:t>
      </w:r>
      <w:r>
        <w:rPr>
          <w:rFonts w:ascii="Times New Roman" w:cs="Times New Roman" w:eastAsia="Times New Roman" w:hAnsi="Times New Roman"/>
          <w:sz w:val="19"/>
          <w:szCs w:val="19"/>
          <w:color w:val="auto"/>
        </w:rPr>
        <w:t>means the lesser of (a) $200,000,000 and (b) the Revolver Commitment (as the same may be increased or reduced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accordance with the Loan Papers). The L/C Sublimit is part of, and not in addition to, the Revolver Commitment.</w:t>
      </w:r>
    </w:p>
    <w:p>
      <w:pPr>
        <w:spacing w:after="0" w:line="149"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Lenders </w:t>
      </w:r>
      <w:r>
        <w:rPr>
          <w:rFonts w:ascii="Times New Roman" w:cs="Times New Roman" w:eastAsia="Times New Roman" w:hAnsi="Times New Roman"/>
          <w:sz w:val="19"/>
          <w:szCs w:val="19"/>
          <w:color w:val="auto"/>
        </w:rPr>
        <w:t>means (a) each of the lenders named on the attached</w:t>
      </w:r>
      <w:r>
        <w:rPr>
          <w:rFonts w:ascii="Times New Roman" w:cs="Times New Roman" w:eastAsia="Times New Roman" w:hAnsi="Times New Roman"/>
          <w:sz w:val="19"/>
          <w:szCs w:val="19"/>
          <w:b w:val="1"/>
          <w:bCs w:val="1"/>
          <w:i w:val="1"/>
          <w:iCs w:val="1"/>
          <w:color w:val="auto"/>
        </w:rPr>
        <w:t xml:space="preserve"> Schedule 1 </w:t>
      </w:r>
      <w:r>
        <w:rPr>
          <w:rFonts w:ascii="Times New Roman" w:cs="Times New Roman" w:eastAsia="Times New Roman" w:hAnsi="Times New Roman"/>
          <w:sz w:val="19"/>
          <w:szCs w:val="19"/>
          <w:color w:val="auto"/>
        </w:rPr>
        <w:t>and, subject to this Agreement, their respective successors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assigns (but not any Participant who is not otherwise a party to this Agreement), and (b) additional lenders who become party to this Agreement in accordance with </w:t>
      </w:r>
      <w:r>
        <w:rPr>
          <w:rFonts w:ascii="Times New Roman" w:cs="Times New Roman" w:eastAsia="Times New Roman" w:hAnsi="Times New Roman"/>
          <w:sz w:val="19"/>
          <w:szCs w:val="19"/>
          <w:b w:val="1"/>
          <w:bCs w:val="1"/>
          <w:i w:val="1"/>
          <w:iCs w:val="1"/>
          <w:color w:val="auto"/>
        </w:rPr>
        <w:t>Section 2.5</w:t>
      </w:r>
      <w:r>
        <w:rPr>
          <w:rFonts w:ascii="Times New Roman" w:cs="Times New Roman" w:eastAsia="Times New Roman" w:hAnsi="Times New Roman"/>
          <w:sz w:val="19"/>
          <w:szCs w:val="19"/>
          <w:color w:val="auto"/>
        </w:rPr>
        <w:t xml:space="preserve"> hereof.</w:t>
      </w:r>
    </w:p>
    <w:p>
      <w:pPr>
        <w:spacing w:after="0" w:line="148"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Lending Office </w:t>
      </w:r>
      <w:r>
        <w:rPr>
          <w:rFonts w:ascii="Times New Roman" w:cs="Times New Roman" w:eastAsia="Times New Roman" w:hAnsi="Times New Roman"/>
          <w:sz w:val="19"/>
          <w:szCs w:val="19"/>
          <w:color w:val="auto"/>
        </w:rPr>
        <w:t>means as to any Lender, the office or offices of such Lender described as such in such Lender’s Administrative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Questionnaire, or such other office or offices as a Lender may from time to time notify Borrower and Administrative Agent.</w:t>
      </w:r>
    </w:p>
    <w:p>
      <w:pPr>
        <w:spacing w:after="0" w:line="136"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 xml:space="preserve">Lien </w:t>
      </w:r>
      <w:r>
        <w:rPr>
          <w:rFonts w:ascii="Times New Roman" w:cs="Times New Roman" w:eastAsia="Times New Roman" w:hAnsi="Times New Roman"/>
          <w:sz w:val="19"/>
          <w:szCs w:val="19"/>
          <w:color w:val="auto"/>
        </w:rPr>
        <w:t>means, with respect to any asset, any mortgage, lien, pledge, charge, security interest, or encumbrance of any kind in respect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such asset. For the purposes of this Agreement, a Person shall be deemed to own subject to a Lien any asset which it has acquired or holds subject to the interest of a vendor or lessor under any conditional sale agreement, capital lease, or other title retention agreement relating to such asset.</w:t>
      </w: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Litigation </w:t>
      </w:r>
      <w:r>
        <w:rPr>
          <w:rFonts w:ascii="Times New Roman" w:cs="Times New Roman" w:eastAsia="Times New Roman" w:hAnsi="Times New Roman"/>
          <w:sz w:val="19"/>
          <w:szCs w:val="19"/>
          <w:color w:val="auto"/>
        </w:rPr>
        <w:t>means any action, suit, proceeding, claim, or dispute by or before any Governmental Authority.</w:t>
      </w:r>
    </w:p>
    <w:p>
      <w:pPr>
        <w:spacing w:after="0" w:line="233"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Loan </w:t>
      </w:r>
      <w:r>
        <w:rPr>
          <w:rFonts w:ascii="Times New Roman" w:cs="Times New Roman" w:eastAsia="Times New Roman" w:hAnsi="Times New Roman"/>
          <w:sz w:val="19"/>
          <w:szCs w:val="19"/>
          <w:color w:val="auto"/>
        </w:rPr>
        <w:t>means any amount disbursed by any Lender to Borrower or on behalf of any Company under the Loan Papers, either as 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original disbursement of funds, the continuation of an amount outstanding, or payment under an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1240"/>
          </w:cols>
          <w:pgMar w:left="320" w:top="1386" w:right="339" w:bottom="1440" w:gutter="0" w:footer="0" w:header="0"/>
        </w:sectPr>
      </w:pPr>
    </w:p>
    <w:bookmarkStart w:id="134" w:name="page135"/>
    <w:bookmarkEnd w:id="134"/>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Loan Date </w:t>
      </w:r>
      <w:r>
        <w:rPr>
          <w:rFonts w:ascii="Times New Roman" w:cs="Times New Roman" w:eastAsia="Times New Roman" w:hAnsi="Times New Roman"/>
          <w:sz w:val="19"/>
          <w:szCs w:val="19"/>
          <w:color w:val="auto"/>
        </w:rPr>
        <w:t>is defined in</w:t>
      </w:r>
      <w:r>
        <w:rPr>
          <w:rFonts w:ascii="Times New Roman" w:cs="Times New Roman" w:eastAsia="Times New Roman" w:hAnsi="Times New Roman"/>
          <w:sz w:val="19"/>
          <w:szCs w:val="19"/>
          <w:b w:val="1"/>
          <w:bCs w:val="1"/>
          <w:i w:val="1"/>
          <w:iCs w:val="1"/>
          <w:color w:val="auto"/>
        </w:rPr>
        <w:t xml:space="preserve"> Section 2.2(a)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Loan Notice </w:t>
      </w:r>
      <w:r>
        <w:rPr>
          <w:rFonts w:ascii="Times New Roman" w:cs="Times New Roman" w:eastAsia="Times New Roman" w:hAnsi="Times New Roman"/>
          <w:sz w:val="19"/>
          <w:szCs w:val="19"/>
          <w:color w:val="auto"/>
        </w:rPr>
        <w:t>means a request executed by a Responsible Officer substantially in the form of</w:t>
      </w:r>
      <w:r>
        <w:rPr>
          <w:rFonts w:ascii="Times New Roman" w:cs="Times New Roman" w:eastAsia="Times New Roman" w:hAnsi="Times New Roman"/>
          <w:sz w:val="19"/>
          <w:szCs w:val="19"/>
          <w:b w:val="1"/>
          <w:bCs w:val="1"/>
          <w:i w:val="1"/>
          <w:iCs w:val="1"/>
          <w:color w:val="auto"/>
        </w:rPr>
        <w:t xml:space="preserve"> Exhibit C </w:t>
      </w:r>
      <w:r>
        <w:rPr>
          <w:rFonts w:ascii="Times New Roman" w:cs="Times New Roman" w:eastAsia="Times New Roman" w:hAnsi="Times New Roman"/>
          <w:sz w:val="19"/>
          <w:szCs w:val="19"/>
          <w:color w:val="auto"/>
        </w:rPr>
        <w:t>or such other form as may be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approved by Administrative Agent (including any form on an electronic platform or electronic transmission system as shall be approved by Administrative Agent).</w:t>
      </w:r>
    </w:p>
    <w:p>
      <w:pPr>
        <w:spacing w:after="0" w:line="148" w:lineRule="exact"/>
        <w:rPr>
          <w:sz w:val="20"/>
          <w:szCs w:val="20"/>
          <w:color w:val="auto"/>
        </w:rPr>
      </w:pPr>
    </w:p>
    <w:p>
      <w:pPr>
        <w:jc w:val="both"/>
        <w:ind w:firstLine="637"/>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 xml:space="preserve">Loan Papers </w:t>
      </w:r>
      <w:r>
        <w:rPr>
          <w:rFonts w:ascii="Times New Roman" w:cs="Times New Roman" w:eastAsia="Times New Roman" w:hAnsi="Times New Roman"/>
          <w:sz w:val="19"/>
          <w:szCs w:val="19"/>
          <w:color w:val="auto"/>
        </w:rPr>
        <w:t>means (a) this Agreement, (b) the Notes, (c) each Guaranty, (d) all L/Cs and L/C Agreements, (e) the Security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Documents, and (f) all renewals, extensions, restatements of, amendments and supplements to, and confirmations or ratifications of, any of the foregoing.</w:t>
      </w:r>
    </w:p>
    <w:p>
      <w:pPr>
        <w:spacing w:after="0" w:line="373"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Material Adverse Event </w:t>
      </w:r>
      <w:r>
        <w:rPr>
          <w:rFonts w:ascii="Times New Roman" w:cs="Times New Roman" w:eastAsia="Times New Roman" w:hAnsi="Times New Roman"/>
          <w:sz w:val="19"/>
          <w:szCs w:val="19"/>
          <w:color w:val="auto"/>
        </w:rPr>
        <w:t>means any (a) material impairment of the ability of the Restricted Companies as a whole to perform their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payment or other material obligations under the Loan Papers or material impairment of the ability of Administrative Agent or any Lender to enforce any of the material obligations of the Restricted Companies as a whole under the Loan Papers; (b) material and adverse effect on the operations, business, properties, liabilities (actual or contingent), or condition (financial or otherwise) of the Restricted Companies as a whole; or (c) a material adverse effect upon the legality, validity, or binding effect against the Restricted Companies of any Loan Paper to which such Restricted Companies are parties (determined with respect to the Loan Papers of the Restricted Companies taken as a whole).</w:t>
      </w:r>
    </w:p>
    <w:p>
      <w:pPr>
        <w:spacing w:after="0" w:line="176"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Material Agreement </w:t>
      </w:r>
      <w:r>
        <w:rPr>
          <w:rFonts w:ascii="Times New Roman" w:cs="Times New Roman" w:eastAsia="Times New Roman" w:hAnsi="Times New Roman"/>
          <w:sz w:val="19"/>
          <w:szCs w:val="19"/>
          <w:color w:val="auto"/>
        </w:rPr>
        <w:t>means, for any Person, any agreement (excluding purchase orders for material, services, or inventory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ordinary course of business) to which that Person is a party, by which that Person is bound, or to which any assets of that Person may be subject, that is not cancelable by that Person upon 30 or fewer days’ notice without liability for further payment,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nominal penalty, and that requires that Person to pay more than $2,000,000 during any 12-month period.</w:t>
      </w:r>
    </w:p>
    <w:p>
      <w:pPr>
        <w:spacing w:after="0" w:line="154"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Maximum Amount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i w:val="1"/>
          <w:iCs w:val="1"/>
          <w:color w:val="auto"/>
        </w:rPr>
        <w:t xml:space="preserve"> Maximum Rate </w:t>
      </w:r>
      <w:r>
        <w:rPr>
          <w:rFonts w:ascii="Times New Roman" w:cs="Times New Roman" w:eastAsia="Times New Roman" w:hAnsi="Times New Roman"/>
          <w:sz w:val="19"/>
          <w:szCs w:val="19"/>
          <w:color w:val="auto"/>
        </w:rPr>
        <w:t>respectively mean, for a Lender, the maximum non-usurious amount and the maximum non-usurious rate of interest that, under applicable Law, such Lender is permitted to contract for, charge, take, reserve, or receive on the Obligation held by such Lender.</w:t>
      </w:r>
    </w:p>
    <w:p>
      <w:pPr>
        <w:spacing w:after="0" w:line="162"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Maximum Facility Amount </w:t>
      </w:r>
      <w:r>
        <w:rPr>
          <w:rFonts w:ascii="Times New Roman" w:cs="Times New Roman" w:eastAsia="Times New Roman" w:hAnsi="Times New Roman"/>
          <w:sz w:val="19"/>
          <w:szCs w:val="19"/>
          <w:color w:val="auto"/>
        </w:rPr>
        <w:t>means, on any date of determination, the greater of (a) $2,750,000,000, and (b) the product of (i) 3.50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(ii) Adjusted EBITDA for the four fiscal quarters ending on the last day of the immediately preceding fiscal quarter.</w:t>
      </w:r>
    </w:p>
    <w:p>
      <w:pPr>
        <w:spacing w:after="0" w:line="149"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Metro Districts </w:t>
      </w:r>
      <w:r>
        <w:rPr>
          <w:rFonts w:ascii="Times New Roman" w:cs="Times New Roman" w:eastAsia="Times New Roman" w:hAnsi="Times New Roman"/>
          <w:sz w:val="19"/>
          <w:szCs w:val="19"/>
          <w:color w:val="auto"/>
        </w:rPr>
        <w:t>means, collectively, (a) the Existing Metro Districts, and (b) any other Person which issues Bonds after the Closing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Date to finance the operation, construction, and maintenance of infrastructure projects in municipalities, which projects are related to the Companies’ business activities in the region in which the projects are being developed; and </w:t>
      </w:r>
      <w:r>
        <w:rPr>
          <w:rFonts w:ascii="Times New Roman" w:cs="Times New Roman" w:eastAsia="Times New Roman" w:hAnsi="Times New Roman"/>
          <w:sz w:val="19"/>
          <w:szCs w:val="19"/>
          <w:b w:val="1"/>
          <w:bCs w:val="1"/>
          <w:i w:val="1"/>
          <w:iCs w:val="1"/>
          <w:color w:val="auto"/>
        </w:rPr>
        <w:t>Metro District</w:t>
      </w:r>
      <w:r>
        <w:rPr>
          <w:rFonts w:ascii="Times New Roman" w:cs="Times New Roman" w:eastAsia="Times New Roman" w:hAnsi="Times New Roman"/>
          <w:sz w:val="19"/>
          <w:szCs w:val="19"/>
          <w:color w:val="auto"/>
        </w:rPr>
        <w:t xml:space="preserve"> means one of the Metro Districts.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Moody’s </w:t>
      </w:r>
      <w:r>
        <w:rPr>
          <w:rFonts w:ascii="Times New Roman" w:cs="Times New Roman" w:eastAsia="Times New Roman" w:hAnsi="Times New Roman"/>
          <w:sz w:val="19"/>
          <w:szCs w:val="19"/>
          <w:color w:val="auto"/>
        </w:rPr>
        <w:t>means Moody’s Investor’s Service, Inc.</w:t>
      </w:r>
    </w:p>
    <w:p>
      <w:pPr>
        <w:spacing w:after="0" w:line="219"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Multiemployer Plan </w:t>
      </w:r>
      <w:r>
        <w:rPr>
          <w:rFonts w:ascii="Times New Roman" w:cs="Times New Roman" w:eastAsia="Times New Roman" w:hAnsi="Times New Roman"/>
          <w:sz w:val="19"/>
          <w:szCs w:val="19"/>
          <w:color w:val="auto"/>
        </w:rPr>
        <w:t>means a multiemployer plan as defined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Sections 3(37)</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4001(a)(3)</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ERISA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Section 414(f)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Code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which any Company or any ERISA Affiliate is making, or has made, or is accruing, or has accrued, an obligation to make contributions.</w:t>
      </w:r>
    </w:p>
    <w:p>
      <w:pPr>
        <w:spacing w:after="0" w:line="136"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Net Funded Debt </w:t>
      </w:r>
      <w:r>
        <w:rPr>
          <w:rFonts w:ascii="Times New Roman" w:cs="Times New Roman" w:eastAsia="Times New Roman" w:hAnsi="Times New Roman"/>
          <w:sz w:val="19"/>
          <w:szCs w:val="19"/>
          <w:color w:val="auto"/>
        </w:rPr>
        <w:t>means, on any date of determination, an amount equal to (a) Funded Debt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 the amount of Unrestricted Cash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excess of $10,000,000.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11240"/>
          </w:cols>
          <w:pgMar w:left="320" w:top="1386" w:right="339" w:bottom="1440" w:gutter="0" w:footer="0" w:header="0"/>
        </w:sectPr>
      </w:pPr>
    </w:p>
    <w:bookmarkStart w:id="135" w:name="page136"/>
    <w:bookmarkEnd w:id="135"/>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Net Income </w:t>
      </w:r>
      <w:r>
        <w:rPr>
          <w:rFonts w:ascii="Times New Roman" w:cs="Times New Roman" w:eastAsia="Times New Roman" w:hAnsi="Times New Roman"/>
          <w:sz w:val="19"/>
          <w:szCs w:val="19"/>
          <w:color w:val="auto"/>
        </w:rPr>
        <w:t>means, for any period with respect to any Person (or group of Persons whose Financial Statements are consolidated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accordance with GAAP), the net income of such Person or Persons from continuing operations after extraordinary items (excluding gains or losses from the disposition of assets) for that period determined in accordance with GAAP; </w:t>
      </w:r>
      <w:r>
        <w:rPr>
          <w:rFonts w:ascii="Times New Roman" w:cs="Times New Roman" w:eastAsia="Times New Roman" w:hAnsi="Times New Roman"/>
          <w:sz w:val="19"/>
          <w:szCs w:val="19"/>
          <w:i w:val="1"/>
          <w:iCs w:val="1"/>
          <w:color w:val="auto"/>
        </w:rPr>
        <w:t>provided however, that</w:t>
      </w:r>
      <w:r>
        <w:rPr>
          <w:rFonts w:ascii="Times New Roman" w:cs="Times New Roman" w:eastAsia="Times New Roman" w:hAnsi="Times New Roman"/>
          <w:sz w:val="19"/>
          <w:szCs w:val="19"/>
          <w:color w:val="auto"/>
        </w:rPr>
        <w:t xml:space="preserve"> for purposes of calculating Net Income of the Restricted Companies under this Agreement:</w:t>
      </w:r>
    </w:p>
    <w:p>
      <w:pPr>
        <w:spacing w:after="0" w:line="158" w:lineRule="exact"/>
        <w:rPr>
          <w:sz w:val="20"/>
          <w:szCs w:val="20"/>
          <w:color w:val="auto"/>
        </w:rPr>
      </w:pPr>
    </w:p>
    <w:p>
      <w:pPr>
        <w:jc w:val="both"/>
        <w:ind w:left="640" w:firstLine="640"/>
        <w:spacing w:after="0" w:line="264" w:lineRule="auto"/>
        <w:tabs>
          <w:tab w:leader="none" w:pos="1696"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Restricted Company owns an interest in a Person that is not consolidated in the consolidated financial statements of VRI and its Restricted Subsidiaries in accordance with GAAP (a “</w:t>
      </w:r>
      <w:r>
        <w:rPr>
          <w:rFonts w:ascii="Times New Roman" w:cs="Times New Roman" w:eastAsia="Times New Roman" w:hAnsi="Times New Roman"/>
          <w:sz w:val="19"/>
          <w:szCs w:val="19"/>
          <w:b w:val="1"/>
          <w:bCs w:val="1"/>
          <w:i w:val="1"/>
          <w:iCs w:val="1"/>
          <w:color w:val="auto"/>
        </w:rPr>
        <w:t>Non-Consolidated Entity</w:t>
      </w:r>
      <w:r>
        <w:rPr>
          <w:rFonts w:ascii="Times New Roman" w:cs="Times New Roman" w:eastAsia="Times New Roman" w:hAnsi="Times New Roman"/>
          <w:sz w:val="19"/>
          <w:szCs w:val="19"/>
          <w:color w:val="auto"/>
        </w:rPr>
        <w:t>”), then such equity interest shall not be accounted for under the equity method of accounting, but the “</w:t>
      </w:r>
      <w:r>
        <w:rPr>
          <w:rFonts w:ascii="Times New Roman" w:cs="Times New Roman" w:eastAsia="Times New Roman" w:hAnsi="Times New Roman"/>
          <w:sz w:val="19"/>
          <w:szCs w:val="19"/>
          <w:b w:val="1"/>
          <w:bCs w:val="1"/>
          <w:i w:val="1"/>
          <w:iCs w:val="1"/>
          <w:color w:val="auto"/>
        </w:rPr>
        <w:t>Net Income</w:t>
      </w:r>
      <w:r>
        <w:rPr>
          <w:rFonts w:ascii="Times New Roman" w:cs="Times New Roman" w:eastAsia="Times New Roman" w:hAnsi="Times New Roman"/>
          <w:sz w:val="19"/>
          <w:szCs w:val="19"/>
          <w:color w:val="auto"/>
        </w:rPr>
        <w:t>” of such Restricted Company shall be increased to the extent cash is distributed to such Restricted Company by any such Non-Consolidated Entity during such period and shall be decreased to the extent cash is contributed in the form of equity to such Non-Consolidated Entity in order to fund losses of such Non-Consolidated Entity during such period;</w:t>
      </w:r>
    </w:p>
    <w:p>
      <w:pPr>
        <w:spacing w:after="0" w:line="176" w:lineRule="exact"/>
        <w:rPr>
          <w:rFonts w:ascii="Times New Roman" w:cs="Times New Roman" w:eastAsia="Times New Roman" w:hAnsi="Times New Roman"/>
          <w:sz w:val="19"/>
          <w:szCs w:val="19"/>
          <w:color w:val="auto"/>
        </w:rPr>
      </w:pPr>
    </w:p>
    <w:p>
      <w:pPr>
        <w:jc w:val="both"/>
        <w:ind w:left="640" w:firstLine="640"/>
        <w:spacing w:after="0" w:line="274" w:lineRule="auto"/>
        <w:tabs>
          <w:tab w:leader="none" w:pos="1746"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premiums paid and the write-off of any unamortized balance of original issue discount in connection with a redemption of, or tender offer for, debt that is consummated in accordance with the Loan Papers, and the amortization and write-off of any unamortized balance of debt issuance costs, shall be excluded; and</w:t>
      </w:r>
    </w:p>
    <w:p>
      <w:pPr>
        <w:spacing w:after="0" w:line="167" w:lineRule="exact"/>
        <w:rPr>
          <w:rFonts w:ascii="Times New Roman" w:cs="Times New Roman" w:eastAsia="Times New Roman" w:hAnsi="Times New Roman"/>
          <w:sz w:val="19"/>
          <w:szCs w:val="19"/>
          <w:color w:val="auto"/>
        </w:rPr>
      </w:pPr>
    </w:p>
    <w:p>
      <w:pPr>
        <w:ind w:left="640" w:firstLine="640"/>
        <w:spacing w:after="0" w:line="285" w:lineRule="auto"/>
        <w:tabs>
          <w:tab w:leader="none" w:pos="177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income or expense that increases or decreases Net Income and occurs as a result of any change in the amount of contingent consideration reflected on the balance sheet of VRI shall be excluded.</w:t>
      </w:r>
    </w:p>
    <w:p>
      <w:pPr>
        <w:spacing w:after="0" w:line="154"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Non-Cash Operating Charges </w:t>
      </w:r>
      <w:r>
        <w:rPr>
          <w:rFonts w:ascii="Times New Roman" w:cs="Times New Roman" w:eastAsia="Times New Roman" w:hAnsi="Times New Roman"/>
          <w:sz w:val="19"/>
          <w:szCs w:val="19"/>
          <w:color w:val="auto"/>
        </w:rPr>
        <w:t>means depreciation expense, amortization expense, and any other non-cash charges determined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accordance with GAAP (including, without limitation, non-cash compensation expenses incurred in respect of stock option plans, including, without limitation, pursuant to FAS 123R).</w:t>
      </w:r>
    </w:p>
    <w:p>
      <w:pPr>
        <w:spacing w:after="0" w:line="162"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Non-Consenting Lender </w:t>
      </w:r>
      <w:r>
        <w:rPr>
          <w:rFonts w:ascii="Times New Roman" w:cs="Times New Roman" w:eastAsia="Times New Roman" w:hAnsi="Times New Roman"/>
          <w:sz w:val="19"/>
          <w:szCs w:val="19"/>
          <w:color w:val="auto"/>
        </w:rPr>
        <w:t>means any Lender that does not approve any consent, waiver or amendment that (a) requires the approval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all Lenders or all affected Lenders, in accordance with the terms of </w:t>
      </w:r>
      <w:r>
        <w:rPr>
          <w:rFonts w:ascii="Times New Roman" w:cs="Times New Roman" w:eastAsia="Times New Roman" w:hAnsi="Times New Roman"/>
          <w:sz w:val="19"/>
          <w:szCs w:val="19"/>
          <w:b w:val="1"/>
          <w:bCs w:val="1"/>
          <w:i w:val="1"/>
          <w:iCs w:val="1"/>
          <w:color w:val="auto"/>
        </w:rPr>
        <w:t>Section 15.9</w:t>
      </w:r>
      <w:r>
        <w:rPr>
          <w:rFonts w:ascii="Times New Roman" w:cs="Times New Roman" w:eastAsia="Times New Roman" w:hAnsi="Times New Roman"/>
          <w:sz w:val="19"/>
          <w:szCs w:val="19"/>
          <w:color w:val="auto"/>
        </w:rPr>
        <w:t xml:space="preserve"> and (b) has been approved by the Required Lenders.</w:t>
      </w:r>
    </w:p>
    <w:p>
      <w:pPr>
        <w:spacing w:after="0" w:line="149"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Non-Recourse Debt </w:t>
      </w:r>
      <w:r>
        <w:rPr>
          <w:rFonts w:ascii="Times New Roman" w:cs="Times New Roman" w:eastAsia="Times New Roman" w:hAnsi="Times New Roman"/>
          <w:sz w:val="19"/>
          <w:szCs w:val="19"/>
          <w:color w:val="auto"/>
        </w:rPr>
        <w:t>means, for any Unrestricted Subsidiary, any Debt of such Unrestricted Subsidiary with respect to which the holder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of such Debt (a) may not look to such Unrestricted Subsidiary directly for repayment, other than to the extent of any security therefor, or (b) may look to such Unrestricted Subsidiary directly for repayment (but not to any direct or indirect constituent equity holder of such Unrestricted Subsidiary,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with respect to Permitted Recourse Obligations entered into by such direct or indirect constituent equity holder).</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Nonextension Notice Date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2.3(b)(iii)</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Northstar Leases </w:t>
      </w:r>
      <w:r>
        <w:rPr>
          <w:rFonts w:ascii="Times New Roman" w:cs="Times New Roman" w:eastAsia="Times New Roman" w:hAnsi="Times New Roman"/>
          <w:sz w:val="19"/>
          <w:szCs w:val="19"/>
          <w:color w:val="auto"/>
        </w:rPr>
        <w:t>means, collectively, (a) that certain Amended and Restated Lease Agreement, dated as of October 25, 2010, by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between CNL Income Northstar, LLC, as lessor, and Trimont Land Company, a California corporation, as lessee, (b) that certain Amended and Restated Personal Property Lease Agreement by and between CNL Income Northstar TRS Corp., a Delaware corporation, as lessor, and Trimont Land Company, a California corporation, as lessee, dated as of October 25, 2010, and (c) that certain Amended and Restated Lease Agreement, dated as of October 25, 2010, by and between CNL Income Northstar Commercial, LLC, a Delaware limited liability company, as lessor, and Northstar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1240"/>
          </w:cols>
          <w:pgMar w:left="320" w:top="1386"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9"/>
          <w:szCs w:val="19"/>
          <w:color w:val="auto"/>
        </w:rPr>
        <w:t>Group Commercial Properties, LLC, a Delaware limited liability company, as lessee, each as amended from time to time.</w:t>
      </w:r>
    </w:p>
    <w:p>
      <w:pPr>
        <w:spacing w:after="0" w:line="229"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Northstar Subsidiaries </w:t>
      </w:r>
      <w:r>
        <w:rPr>
          <w:rFonts w:ascii="Times New Roman" w:cs="Times New Roman" w:eastAsia="Times New Roman" w:hAnsi="Times New Roman"/>
          <w:sz w:val="19"/>
          <w:szCs w:val="19"/>
          <w:color w:val="auto"/>
        </w:rPr>
        <w:t>means, collectively, VR Acquisition, Inc., a California corporation, BCRP, Inc., a Delaware corporation, Booth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Creek Ski Holdings, Inc., a Delaware corporation, Trimont Land Company, a California corporation, Northstar Group Commercial Properties, LLC, a Delaware limited liability company, and Northstar Group Restaurant Properties, LLC, a Delaware limited liability company.</w:t>
      </w:r>
    </w:p>
    <w:p>
      <w:pPr>
        <w:spacing w:after="0" w:line="148"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Notes </w:t>
      </w:r>
      <w:r>
        <w:rPr>
          <w:rFonts w:ascii="Times New Roman" w:cs="Times New Roman" w:eastAsia="Times New Roman" w:hAnsi="Times New Roman"/>
          <w:sz w:val="19"/>
          <w:szCs w:val="19"/>
          <w:color w:val="auto"/>
        </w:rPr>
        <w:t>means, collectively, the Revolver Notes</w:t>
      </w:r>
      <w:r>
        <w:rPr>
          <w:rFonts w:ascii="Times New Roman" w:cs="Times New Roman" w:eastAsia="Times New Roman" w:hAnsi="Times New Roman"/>
          <w:sz w:val="19"/>
          <w:szCs w:val="19"/>
          <w:u w:val="single" w:color="auto"/>
          <w:color w:val="3051F2"/>
        </w:rPr>
        <w:t>, the Term Loan Notes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Term Loan Notes, and</w:t>
      </w:r>
      <w:r>
        <w:rPr>
          <w:rFonts w:ascii="Times New Roman" w:cs="Times New Roman" w:eastAsia="Times New Roman" w:hAnsi="Times New Roman"/>
          <w:sz w:val="19"/>
          <w:szCs w:val="19"/>
          <w:b w:val="1"/>
          <w:bCs w:val="1"/>
          <w:i w:val="1"/>
          <w:iCs w:val="1"/>
          <w:color w:val="auto"/>
        </w:rPr>
        <w:t xml:space="preserve"> Note </w:t>
      </w:r>
      <w:r>
        <w:rPr>
          <w:rFonts w:ascii="Times New Roman" w:cs="Times New Roman" w:eastAsia="Times New Roman" w:hAnsi="Times New Roman"/>
          <w:sz w:val="19"/>
          <w:szCs w:val="19"/>
          <w:color w:val="auto"/>
        </w:rPr>
        <w:t>means any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Notes.</w:t>
      </w:r>
    </w:p>
    <w:p>
      <w:pPr>
        <w:spacing w:after="0" w:line="136"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Obligation </w:t>
      </w:r>
      <w:r>
        <w:rPr>
          <w:rFonts w:ascii="Times New Roman" w:cs="Times New Roman" w:eastAsia="Times New Roman" w:hAnsi="Times New Roman"/>
          <w:sz w:val="19"/>
          <w:szCs w:val="19"/>
          <w:color w:val="auto"/>
        </w:rPr>
        <w:t>means all present and future indebtedness and obligations, and all renewals, increases, and extensions thereof, or any part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thereof, now or hereafter owed to Administrative Agent, the L/C Issuers, and any Lender by the Companies under the Loan Papers, </w:t>
      </w:r>
      <w:r>
        <w:rPr>
          <w:rFonts w:ascii="Times New Roman" w:cs="Times New Roman" w:eastAsia="Times New Roman" w:hAnsi="Times New Roman"/>
          <w:sz w:val="19"/>
          <w:szCs w:val="19"/>
          <w:i w:val="1"/>
          <w:iCs w:val="1"/>
          <w:color w:val="auto"/>
        </w:rPr>
        <w:t>together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with </w:t>
      </w:r>
      <w:r>
        <w:rPr>
          <w:rFonts w:ascii="Times New Roman" w:cs="Times New Roman" w:eastAsia="Times New Roman" w:hAnsi="Times New Roman"/>
          <w:sz w:val="19"/>
          <w:szCs w:val="19"/>
          <w:color w:val="auto"/>
        </w:rPr>
        <w:t>all interest accruing thereon, fees, costs, and expenses (including, without limitation, all attorneys’ fees and expenses incurred 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enforcement or collection thereof) payable under the Loan Papers or in connection with the protection of Rights under the Loan Papers;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w:t>
      </w:r>
      <w:r>
        <w:rPr>
          <w:rFonts w:ascii="Times New Roman" w:cs="Times New Roman" w:eastAsia="Times New Roman" w:hAnsi="Times New Roman"/>
          <w:sz w:val="19"/>
          <w:szCs w:val="19"/>
          <w:color w:val="auto"/>
        </w:rPr>
        <w:t>, all references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Obligation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the Security Documents, the Guaranty,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Section 3.10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herein shall, in addition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foregoing, also include all present and future indebtedness, liabilities, and obligations (and all renewals and extensions thereof or any part thereof) now or hereafter owed to any Lender or any Affiliate of a Lender arising from, by virtue of, or pursuant to any Financial Hedge entered into by any Restricted Company;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Obligation shall exclude any Excluded Swap Obligations.</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OFAC </w:t>
      </w:r>
      <w:r>
        <w:rPr>
          <w:rFonts w:ascii="Times New Roman" w:cs="Times New Roman" w:eastAsia="Times New Roman" w:hAnsi="Times New Roman"/>
          <w:sz w:val="19"/>
          <w:szCs w:val="19"/>
          <w:color w:val="auto"/>
        </w:rPr>
        <w:t>means the Office of Foreign Assets Control of the United States Department of the Treasury.</w:t>
      </w:r>
    </w:p>
    <w:p>
      <w:pPr>
        <w:spacing w:after="0" w:line="233"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Other Connection Taxes </w:t>
      </w:r>
      <w:r>
        <w:rPr>
          <w:rFonts w:ascii="Times New Roman" w:cs="Times New Roman" w:eastAsia="Times New Roman" w:hAnsi="Times New Roman"/>
          <w:sz w:val="19"/>
          <w:szCs w:val="19"/>
          <w:color w:val="auto"/>
        </w:rPr>
        <w:t>means, with respect to any Recipient, Taxes imposed as a result of a present or former connection between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Paper, or sold or assigned an interest in any Loan or Loan Papers).</w:t>
      </w:r>
    </w:p>
    <w:p>
      <w:pPr>
        <w:spacing w:after="0" w:line="154"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Other Taxes </w:t>
      </w:r>
      <w:r>
        <w:rPr>
          <w:rFonts w:ascii="Times New Roman" w:cs="Times New Roman" w:eastAsia="Times New Roman" w:hAnsi="Times New Roman"/>
          <w:sz w:val="19"/>
          <w:szCs w:val="19"/>
          <w:color w:val="auto"/>
        </w:rPr>
        <w:t>means all present or future stamp, court or documentary, intangible, recording, filing or similar Taxes that arise from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payment made under, from the execution, delivery, performance, enforcement or registration of, from the receipt or perfection of a security interest under, or otherwise with respect to, any Loan Papers, except any such Taxes that are Other Connection Taxes imposed with respect to an assignment (other than an assignment made pursuant to </w:t>
      </w:r>
      <w:r>
        <w:rPr>
          <w:rFonts w:ascii="Times New Roman" w:cs="Times New Roman" w:eastAsia="Times New Roman" w:hAnsi="Times New Roman"/>
          <w:sz w:val="19"/>
          <w:szCs w:val="19"/>
          <w:b w:val="1"/>
          <w:bCs w:val="1"/>
          <w:i w:val="1"/>
          <w:iCs w:val="1"/>
          <w:color w:val="auto"/>
        </w:rPr>
        <w:t>Section 4.6</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Outstanding Amount </w:t>
      </w:r>
      <w:r>
        <w:rPr>
          <w:rFonts w:ascii="Times New Roman" w:cs="Times New Roman" w:eastAsia="Times New Roman" w:hAnsi="Times New Roman"/>
          <w:sz w:val="19"/>
          <w:szCs w:val="19"/>
          <w:color w:val="auto"/>
        </w:rPr>
        <w:t>means (a) with respect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3051F2"/>
        </w:rPr>
        <w:t>Term Loans, Delayed Draw</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Term Loans and Revolver Loans on any date, the aggregate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outstanding principal amount thereof after giving effect to any borrowings and prepayments or repayments of Term Loans</w:t>
      </w:r>
      <w:r>
        <w:rPr>
          <w:rFonts w:ascii="Times New Roman" w:cs="Times New Roman" w:eastAsia="Times New Roman" w:hAnsi="Times New Roman"/>
          <w:sz w:val="19"/>
          <w:szCs w:val="19"/>
          <w:u w:val="single" w:color="auto"/>
          <w:color w:val="3051F2"/>
        </w:rPr>
        <w:t>, Delayed Draw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Loans</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and Revolver Loans, as the case may be, occurring on such date; and (b) with respect to any L/C Exposure on any date, the Dollar</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Equivalent amount of the aggregate outstanding amount of such L/C Exposure on such date after giving effect to any L/C Credit Extension occurring on such date and any other changes in the aggregate amount of the L/C Exposure as of such date, including as a result of any reimbursements by Borrower of Unreimbursed Amounts.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Participant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15.11(d)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1900" w:h="16838" w:orient="portrait"/>
          <w:cols w:equalWidth="0" w:num="1">
            <w:col w:w="11240"/>
          </w:cols>
          <w:pgMar w:left="320" w:top="1390" w:right="339" w:bottom="1440" w:gutter="0" w:footer="0" w:header="0"/>
        </w:sectPr>
      </w:pPr>
    </w:p>
    <w:bookmarkStart w:id="137" w:name="page138"/>
    <w:bookmarkEnd w:id="137"/>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Participant Register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15.11(d)</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PBGC </w:t>
      </w:r>
      <w:r>
        <w:rPr>
          <w:rFonts w:ascii="Times New Roman" w:cs="Times New Roman" w:eastAsia="Times New Roman" w:hAnsi="Times New Roman"/>
          <w:sz w:val="19"/>
          <w:szCs w:val="19"/>
          <w:color w:val="auto"/>
        </w:rPr>
        <w:t>means the Pension Benefit Guaranty Corporation, or any successor thereof, established under ERISA.</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Peak Resorts </w:t>
      </w:r>
      <w:r>
        <w:rPr>
          <w:rFonts w:ascii="Times New Roman" w:cs="Times New Roman" w:eastAsia="Times New Roman" w:hAnsi="Times New Roman"/>
          <w:sz w:val="19"/>
          <w:szCs w:val="19"/>
          <w:color w:val="auto"/>
        </w:rPr>
        <w:t>means Peak Resorts, Inc., a corporation existing under the Laws of the State of Missouri.</w:t>
      </w:r>
    </w:p>
    <w:p>
      <w:pPr>
        <w:spacing w:after="0" w:line="233" w:lineRule="exact"/>
        <w:rPr>
          <w:sz w:val="20"/>
          <w:szCs w:val="20"/>
          <w:color w:val="auto"/>
        </w:rPr>
      </w:pPr>
    </w:p>
    <w:p>
      <w:pPr>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Peak Resorts Acquisition </w:t>
      </w:r>
      <w:r>
        <w:rPr>
          <w:rFonts w:ascii="Times New Roman" w:cs="Times New Roman" w:eastAsia="Times New Roman" w:hAnsi="Times New Roman"/>
          <w:sz w:val="19"/>
          <w:szCs w:val="19"/>
          <w:color w:val="auto"/>
        </w:rPr>
        <w:t>means the acquisition of the Peak Resorts Acquisition Subsidiaries by the Company pursuant to the Peak</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Resorts Acquisition Agreement and repayment of certain indebtedness of the Peak Resorts Acquisition Subsidiaries.</w:t>
      </w:r>
    </w:p>
    <w:p>
      <w:pPr>
        <w:spacing w:after="0" w:line="149" w:lineRule="exact"/>
        <w:rPr>
          <w:sz w:val="20"/>
          <w:szCs w:val="20"/>
          <w:color w:val="auto"/>
        </w:rPr>
      </w:pPr>
    </w:p>
    <w:p>
      <w:pPr>
        <w:ind w:right="20"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Peak Resorts Acquisition Agreement </w:t>
      </w:r>
      <w:r>
        <w:rPr>
          <w:rFonts w:ascii="Times New Roman" w:cs="Times New Roman" w:eastAsia="Times New Roman" w:hAnsi="Times New Roman"/>
          <w:sz w:val="19"/>
          <w:szCs w:val="19"/>
          <w:color w:val="auto"/>
        </w:rPr>
        <w:t>means the Agreement and Plan of Merger, dated as of July 20, 2019, by and among the Company,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VRAD Holdings, Inc., Peak Resorts and, solely with respect to Section 9.14 thereof, VRI.</w:t>
      </w:r>
    </w:p>
    <w:p>
      <w:pPr>
        <w:spacing w:after="0" w:line="123" w:lineRule="exact"/>
        <w:rPr>
          <w:sz w:val="20"/>
          <w:szCs w:val="20"/>
          <w:color w:val="auto"/>
        </w:rPr>
      </w:pPr>
    </w:p>
    <w:p>
      <w:pPr>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Peak Resorts Acquisition Subsidiaries </w:t>
      </w:r>
      <w:r>
        <w:rPr>
          <w:rFonts w:ascii="Times New Roman" w:cs="Times New Roman" w:eastAsia="Times New Roman" w:hAnsi="Times New Roman"/>
          <w:sz w:val="19"/>
          <w:szCs w:val="19"/>
          <w:color w:val="auto"/>
        </w:rPr>
        <w:t>means, collectively, Peak Resorts and any direct or indirect Subsidiary of Peak Resorts existing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on September 23, 2019.</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Permitted Debt </w:t>
      </w:r>
      <w:r>
        <w:rPr>
          <w:rFonts w:ascii="Times New Roman" w:cs="Times New Roman" w:eastAsia="Times New Roman" w:hAnsi="Times New Roman"/>
          <w:sz w:val="19"/>
          <w:szCs w:val="19"/>
          <w:color w:val="auto"/>
        </w:rPr>
        <w:t>means:</w:t>
      </w:r>
    </w:p>
    <w:p>
      <w:pPr>
        <w:spacing w:after="0" w:line="237" w:lineRule="exact"/>
        <w:rPr>
          <w:sz w:val="20"/>
          <w:szCs w:val="20"/>
          <w:color w:val="auto"/>
        </w:rPr>
      </w:pPr>
    </w:p>
    <w:p>
      <w:pPr>
        <w:ind w:left="1680" w:hanging="400"/>
        <w:spacing w:after="0"/>
        <w:tabs>
          <w:tab w:leader="none" w:pos="168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w:t>
      </w:r>
    </w:p>
    <w:p>
      <w:pPr>
        <w:spacing w:after="0" w:line="228" w:lineRule="exact"/>
        <w:rPr>
          <w:rFonts w:ascii="Times New Roman" w:cs="Times New Roman" w:eastAsia="Times New Roman" w:hAnsi="Times New Roman"/>
          <w:sz w:val="19"/>
          <w:szCs w:val="19"/>
          <w:color w:val="auto"/>
        </w:rPr>
      </w:pPr>
    </w:p>
    <w:p>
      <w:pPr>
        <w:ind w:left="1700" w:hanging="420"/>
        <w:spacing w:after="0"/>
        <w:tabs>
          <w:tab w:leader="none" w:pos="170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any Restricted Company which is listed on </w:t>
      </w:r>
      <w:r>
        <w:rPr>
          <w:rFonts w:ascii="Times New Roman" w:cs="Times New Roman" w:eastAsia="Times New Roman" w:hAnsi="Times New Roman"/>
          <w:sz w:val="19"/>
          <w:szCs w:val="19"/>
          <w:b w:val="1"/>
          <w:bCs w:val="1"/>
          <w:i w:val="1"/>
          <w:iCs w:val="1"/>
          <w:color w:val="auto"/>
        </w:rPr>
        <w:t>Part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i w:val="1"/>
          <w:iCs w:val="1"/>
          <w:color w:val="auto"/>
        </w:rPr>
        <w:t>Schedule 2.3</w:t>
      </w:r>
      <w:r>
        <w:rPr>
          <w:rFonts w:ascii="Times New Roman" w:cs="Times New Roman" w:eastAsia="Times New Roman" w:hAnsi="Times New Roman"/>
          <w:sz w:val="19"/>
          <w:szCs w:val="19"/>
          <w:color w:val="auto"/>
        </w:rPr>
        <w:t>;</w:t>
      </w:r>
    </w:p>
    <w:p>
      <w:pPr>
        <w:spacing w:after="0" w:line="223" w:lineRule="exact"/>
        <w:rPr>
          <w:rFonts w:ascii="Times New Roman" w:cs="Times New Roman" w:eastAsia="Times New Roman" w:hAnsi="Times New Roman"/>
          <w:sz w:val="19"/>
          <w:szCs w:val="19"/>
          <w:color w:val="auto"/>
        </w:rPr>
      </w:pPr>
    </w:p>
    <w:p>
      <w:pPr>
        <w:ind w:left="1760" w:hanging="480"/>
        <w:spacing w:after="0"/>
        <w:tabs>
          <w:tab w:leader="none" w:pos="176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of any Restricted Company arising from endorsing negotiable instruments for collection in the ordinary course of</w:t>
      </w:r>
    </w:p>
    <w:p>
      <w:pPr>
        <w:spacing w:after="0" w:line="34"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w:t>
      </w:r>
    </w:p>
    <w:p>
      <w:pPr>
        <w:spacing w:after="0" w:line="204" w:lineRule="exact"/>
        <w:rPr>
          <w:rFonts w:ascii="Times New Roman" w:cs="Times New Roman" w:eastAsia="Times New Roman" w:hAnsi="Times New Roman"/>
          <w:sz w:val="19"/>
          <w:szCs w:val="19"/>
          <w:color w:val="auto"/>
        </w:rPr>
      </w:pPr>
    </w:p>
    <w:p>
      <w:pPr>
        <w:jc w:val="both"/>
        <w:ind w:left="640" w:firstLine="640"/>
        <w:spacing w:after="0" w:line="268" w:lineRule="auto"/>
        <w:tabs>
          <w:tab w:leader="none" w:pos="1712"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Subordinated Debt (and guaranties by Restricted Companies of Subordinated Debt of other Restricted Companies, if such guaranties are subordinated to the payment and collection of the Obligation on the same terms as such Subordinated Debt or otherwise upon terms satisfactory to Administrative Agent),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after giving effect to the incurrence of such Debt, the Companies are in pro forma compliance with the financial covenants set forth in </w:t>
      </w:r>
      <w:r>
        <w:rPr>
          <w:rFonts w:ascii="Times New Roman" w:cs="Times New Roman" w:eastAsia="Times New Roman" w:hAnsi="Times New Roman"/>
          <w:sz w:val="19"/>
          <w:szCs w:val="19"/>
          <w:b w:val="1"/>
          <w:bCs w:val="1"/>
          <w:i w:val="1"/>
          <w:iCs w:val="1"/>
          <w:color w:val="auto"/>
        </w:rPr>
        <w:t>Section 11</w:t>
      </w:r>
      <w:r>
        <w:rPr>
          <w:rFonts w:ascii="Times New Roman" w:cs="Times New Roman" w:eastAsia="Times New Roman" w:hAnsi="Times New Roman"/>
          <w:sz w:val="19"/>
          <w:szCs w:val="19"/>
          <w:color w:val="auto"/>
        </w:rPr>
        <w:t xml:space="preserve"> herein and no Default or Potential Default exists or would result after giving effect thereto;</w:t>
      </w:r>
    </w:p>
    <w:p>
      <w:pPr>
        <w:spacing w:after="0" w:line="159" w:lineRule="exact"/>
        <w:rPr>
          <w:rFonts w:ascii="Times New Roman" w:cs="Times New Roman" w:eastAsia="Times New Roman" w:hAnsi="Times New Roman"/>
          <w:sz w:val="19"/>
          <w:szCs w:val="19"/>
          <w:color w:val="auto"/>
        </w:rPr>
      </w:pPr>
    </w:p>
    <w:p>
      <w:pPr>
        <w:ind w:left="640" w:right="20" w:firstLine="640"/>
        <w:spacing w:after="0" w:line="300" w:lineRule="auto"/>
        <w:tabs>
          <w:tab w:leader="none" w:pos="1733"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of any Restricted Company arising under or pursuant to the Existing Housing Bonds to which any such Restricted Company is a party;</w:t>
      </w:r>
    </w:p>
    <w:p>
      <w:pPr>
        <w:spacing w:after="0" w:line="130" w:lineRule="exact"/>
        <w:rPr>
          <w:rFonts w:ascii="Times New Roman" w:cs="Times New Roman" w:eastAsia="Times New Roman" w:hAnsi="Times New Roman"/>
          <w:sz w:val="19"/>
          <w:szCs w:val="19"/>
          <w:color w:val="auto"/>
        </w:rPr>
      </w:pPr>
    </w:p>
    <w:p>
      <w:pPr>
        <w:jc w:val="both"/>
        <w:ind w:left="640" w:firstLine="640"/>
        <w:spacing w:after="0" w:line="270" w:lineRule="auto"/>
        <w:tabs>
          <w:tab w:leader="none" w:pos="1721"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any Restricted Company arising under or pursuant to Bonds (other than Existing Housing Bonds) to which any such Restricted Company is a party,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after giving effect to the incurrence of such Debt and, without duplication, Debt incurred by Borrower or any other Restricted Company in support thereof, (i) the Restricted Companies are in pro forma compliance with the financial covenants set forth in </w:t>
      </w:r>
      <w:r>
        <w:rPr>
          <w:rFonts w:ascii="Times New Roman" w:cs="Times New Roman" w:eastAsia="Times New Roman" w:hAnsi="Times New Roman"/>
          <w:sz w:val="19"/>
          <w:szCs w:val="19"/>
          <w:b w:val="1"/>
          <w:bCs w:val="1"/>
          <w:i w:val="1"/>
          <w:iCs w:val="1"/>
          <w:color w:val="auto"/>
        </w:rPr>
        <w:t>Section 11</w:t>
      </w:r>
      <w:r>
        <w:rPr>
          <w:rFonts w:ascii="Times New Roman" w:cs="Times New Roman" w:eastAsia="Times New Roman" w:hAnsi="Times New Roman"/>
          <w:sz w:val="19"/>
          <w:szCs w:val="19"/>
          <w:color w:val="auto"/>
        </w:rPr>
        <w:t xml:space="preserve"> herein, and (ii) no Default or Potential Default exists or would result after giving effect thereto;</w:t>
      </w:r>
    </w:p>
    <w:p>
      <w:pPr>
        <w:spacing w:after="0" w:line="396" w:lineRule="exact"/>
        <w:rPr>
          <w:rFonts w:ascii="Times New Roman" w:cs="Times New Roman" w:eastAsia="Times New Roman" w:hAnsi="Times New Roman"/>
          <w:sz w:val="19"/>
          <w:szCs w:val="19"/>
          <w:color w:val="auto"/>
        </w:rPr>
      </w:pPr>
    </w:p>
    <w:p>
      <w:pPr>
        <w:ind w:left="1700" w:hanging="420"/>
        <w:spacing w:after="0"/>
        <w:tabs>
          <w:tab w:leader="none" w:pos="170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32" w:lineRule="exact"/>
        <w:rPr>
          <w:rFonts w:ascii="Times New Roman" w:cs="Times New Roman" w:eastAsia="Times New Roman" w:hAnsi="Times New Roman"/>
          <w:sz w:val="19"/>
          <w:szCs w:val="19"/>
          <w:color w:val="auto"/>
        </w:rPr>
      </w:pPr>
    </w:p>
    <w:p>
      <w:pPr>
        <w:ind w:left="640" w:firstLine="640"/>
        <w:spacing w:after="0" w:line="300" w:lineRule="auto"/>
        <w:tabs>
          <w:tab w:leader="none" w:pos="1709"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guaranties and other contingent obligations of Restricted Companies with respect to (i) Debt of Restricted Companies, (ii) Debt of Unrestricted Subsidiaries in an amount 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1900" w:h="16838" w:orient="portrait"/>
          <w:cols w:equalWidth="0" w:num="1">
            <w:col w:w="11240"/>
          </w:cols>
          <w:pgMar w:left="320" w:top="1386" w:right="339" w:bottom="1440" w:gutter="0" w:footer="0" w:header="0"/>
        </w:sectPr>
      </w:pPr>
    </w:p>
    <w:bookmarkStart w:id="138" w:name="page139"/>
    <w:bookmarkEnd w:id="138"/>
    <w:p>
      <w:pPr>
        <w:spacing w:after="0" w:line="300" w:lineRule="auto"/>
        <w:rPr>
          <w:sz w:val="20"/>
          <w:szCs w:val="20"/>
          <w:color w:val="auto"/>
        </w:rPr>
      </w:pPr>
      <w:r>
        <w:rPr>
          <w:rFonts w:ascii="Times New Roman" w:cs="Times New Roman" w:eastAsia="Times New Roman" w:hAnsi="Times New Roman"/>
          <w:sz w:val="19"/>
          <w:szCs w:val="19"/>
          <w:color w:val="auto"/>
        </w:rPr>
        <w:t xml:space="preserve">exceed the Investment Limit (Similar Businesses), and (iii) Debt of joint ventures in which a Restricted Company has made an investment permitted under </w:t>
      </w:r>
      <w:r>
        <w:rPr>
          <w:rFonts w:ascii="Times New Roman" w:cs="Times New Roman" w:eastAsia="Times New Roman" w:hAnsi="Times New Roman"/>
          <w:sz w:val="19"/>
          <w:szCs w:val="19"/>
          <w:b w:val="1"/>
          <w:bCs w:val="1"/>
          <w:i w:val="1"/>
          <w:iCs w:val="1"/>
          <w:color w:val="auto"/>
        </w:rPr>
        <w:t>Section 10.8(m)</w:t>
      </w:r>
      <w:r>
        <w:rPr>
          <w:rFonts w:ascii="Times New Roman" w:cs="Times New Roman" w:eastAsia="Times New Roman" w:hAnsi="Times New Roman"/>
          <w:sz w:val="19"/>
          <w:szCs w:val="19"/>
          <w:color w:val="auto"/>
        </w:rPr>
        <w:t xml:space="preserve"> in an amount not to exceed the Investment Limit (Joint Ventures);</w:t>
      </w:r>
    </w:p>
    <w:p>
      <w:pPr>
        <w:spacing w:after="0" w:line="130" w:lineRule="exact"/>
        <w:rPr>
          <w:sz w:val="20"/>
          <w:szCs w:val="20"/>
          <w:color w:val="auto"/>
        </w:rPr>
      </w:pPr>
    </w:p>
    <w:p>
      <w:pPr>
        <w:ind w:left="1020" w:hanging="380"/>
        <w:spacing w:after="0"/>
        <w:tabs>
          <w:tab w:leader="none" w:pos="102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fees and other amounts payable under the Forest Service Permits in the ordinary course of business;</w:t>
      </w:r>
    </w:p>
    <w:p>
      <w:pPr>
        <w:spacing w:after="0" w:line="232" w:lineRule="exact"/>
        <w:rPr>
          <w:rFonts w:ascii="Times New Roman" w:cs="Times New Roman" w:eastAsia="Times New Roman" w:hAnsi="Times New Roman"/>
          <w:sz w:val="19"/>
          <w:szCs w:val="19"/>
          <w:color w:val="auto"/>
        </w:rPr>
      </w:pPr>
    </w:p>
    <w:p>
      <w:pPr>
        <w:ind w:left="1020" w:hanging="380"/>
        <w:spacing w:after="0"/>
        <w:tabs>
          <w:tab w:leader="none" w:pos="102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inter-company Debt between Restricted Companies;</w:t>
      </w:r>
    </w:p>
    <w:p>
      <w:pPr>
        <w:spacing w:after="0" w:line="219" w:lineRule="exact"/>
        <w:rPr>
          <w:rFonts w:ascii="Times New Roman" w:cs="Times New Roman" w:eastAsia="Times New Roman" w:hAnsi="Times New Roman"/>
          <w:sz w:val="19"/>
          <w:szCs w:val="19"/>
          <w:color w:val="auto"/>
        </w:rPr>
      </w:pPr>
    </w:p>
    <w:p>
      <w:pPr>
        <w:jc w:val="both"/>
        <w:ind w:firstLine="640"/>
        <w:spacing w:after="0" w:line="281" w:lineRule="auto"/>
        <w:tabs>
          <w:tab w:leader="none" w:pos="110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the Restricted Companies in a maximum aggregate amount not to exceed 5% of Total Assets at any time for (i) Capital Lease obligations (excluding, for the avoidance of doubt, Capital Lease obligations permitted under </w:t>
      </w:r>
      <w:r>
        <w:rPr>
          <w:rFonts w:ascii="Times New Roman" w:cs="Times New Roman" w:eastAsia="Times New Roman" w:hAnsi="Times New Roman"/>
          <w:sz w:val="19"/>
          <w:szCs w:val="19"/>
          <w:b w:val="1"/>
          <w:bCs w:val="1"/>
          <w:i w:val="1"/>
          <w:iCs w:val="1"/>
          <w:color w:val="auto"/>
        </w:rPr>
        <w:t>clause (m)</w:t>
      </w:r>
      <w:r>
        <w:rPr>
          <w:rFonts w:ascii="Times New Roman" w:cs="Times New Roman" w:eastAsia="Times New Roman" w:hAnsi="Times New Roman"/>
          <w:sz w:val="19"/>
          <w:szCs w:val="19"/>
          <w:color w:val="auto"/>
        </w:rPr>
        <w:t xml:space="preserve"> below), (ii) obligations to pay the deferred purchase price of property or services, and (iii) obligations under surety bonds or similar instruments;</w:t>
      </w:r>
    </w:p>
    <w:p>
      <w:pPr>
        <w:spacing w:after="0" w:line="147" w:lineRule="exact"/>
        <w:rPr>
          <w:rFonts w:ascii="Times New Roman" w:cs="Times New Roman" w:eastAsia="Times New Roman" w:hAnsi="Times New Roman"/>
          <w:sz w:val="19"/>
          <w:szCs w:val="19"/>
          <w:color w:val="auto"/>
        </w:rPr>
      </w:pPr>
    </w:p>
    <w:p>
      <w:pPr>
        <w:jc w:val="both"/>
        <w:ind w:firstLine="640"/>
        <w:spacing w:after="0" w:line="270" w:lineRule="auto"/>
        <w:tabs>
          <w:tab w:leader="none" w:pos="1164"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Secured Debt in a maximum aggregate amount (after giving effect to any such Debt previously incurred and then outstanding) not to exceed the difference between the Maximum Facility Amount and the Facility Amount when incurred,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Borrower, Administrative Agent, and the lender thereof (or applicable agent or trustee therefor) have entered into intercreditor arrangements in form and substance reasonably satisfactory to Administrative Agent;</w:t>
      </w:r>
    </w:p>
    <w:p>
      <w:pPr>
        <w:spacing w:after="0" w:line="170" w:lineRule="exact"/>
        <w:rPr>
          <w:rFonts w:ascii="Times New Roman" w:cs="Times New Roman" w:eastAsia="Times New Roman" w:hAnsi="Times New Roman"/>
          <w:sz w:val="19"/>
          <w:szCs w:val="19"/>
          <w:color w:val="auto"/>
        </w:rPr>
      </w:pPr>
    </w:p>
    <w:p>
      <w:pPr>
        <w:jc w:val="both"/>
        <w:ind w:firstLine="640"/>
        <w:spacing w:after="0" w:line="264" w:lineRule="auto"/>
        <w:tabs>
          <w:tab w:leader="none" w:pos="1135"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if the Northstar Leases and Canyons-Park City Lease are Capital Leases, the obligations of the Northstar Subsidiaries and VR CPC Holdings, Inc., respectively, thereunder, and (ii) obligations of Restricted Subsidiaries under other Capital Leases of assets or properties owned by any Restricted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 such Restricted Subsidiary has complied with the terms of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9.10</w:t>
      </w:r>
      <w:r>
        <w:rPr>
          <w:rFonts w:ascii="Times New Roman" w:cs="Times New Roman" w:eastAsia="Times New Roman" w:hAnsi="Times New Roman"/>
          <w:sz w:val="19"/>
          <w:szCs w:val="19"/>
          <w:color w:val="auto"/>
        </w:rPr>
        <w:t>, (B) no Default or Potential Default exists or would result after giving effect thereto, (C) the Companies are in pro forma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compliance with the financial covenants set forth in </w:t>
      </w:r>
      <w:r>
        <w:rPr>
          <w:rFonts w:ascii="Times New Roman" w:cs="Times New Roman" w:eastAsia="Times New Roman" w:hAnsi="Times New Roman"/>
          <w:sz w:val="19"/>
          <w:szCs w:val="19"/>
          <w:b w:val="1"/>
          <w:bCs w:val="1"/>
          <w:i w:val="1"/>
          <w:iCs w:val="1"/>
          <w:color w:val="auto"/>
        </w:rPr>
        <w:t>Section 11</w:t>
      </w:r>
      <w:r>
        <w:rPr>
          <w:rFonts w:ascii="Times New Roman" w:cs="Times New Roman" w:eastAsia="Times New Roman" w:hAnsi="Times New Roman"/>
          <w:sz w:val="19"/>
          <w:szCs w:val="19"/>
          <w:color w:val="auto"/>
        </w:rPr>
        <w:t>, and (D) such Restricted Subsidiary did not own such assets or property or Critical Assets on the Closing Date;</w:t>
      </w:r>
    </w:p>
    <w:p>
      <w:pPr>
        <w:spacing w:after="0" w:line="163" w:lineRule="exact"/>
        <w:rPr>
          <w:rFonts w:ascii="Times New Roman" w:cs="Times New Roman" w:eastAsia="Times New Roman" w:hAnsi="Times New Roman"/>
          <w:sz w:val="19"/>
          <w:szCs w:val="19"/>
          <w:color w:val="auto"/>
        </w:rPr>
      </w:pPr>
    </w:p>
    <w:p>
      <w:pPr>
        <w:jc w:val="both"/>
        <w:ind w:firstLine="640"/>
        <w:spacing w:after="0" w:line="270" w:lineRule="auto"/>
        <w:tabs>
          <w:tab w:leader="none" w:pos="1101"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the Restricted Companies in connection with the acquisition of assets or a new Restricted Subsidiary (including Debt that was incurred by the prior owner of such assets or by such Restricted Subsidiary prior to such acquisition by the Restricted Companies);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the aggregate principal amount of Debt pursuant to this </w:t>
      </w:r>
      <w:r>
        <w:rPr>
          <w:rFonts w:ascii="Times New Roman" w:cs="Times New Roman" w:eastAsia="Times New Roman" w:hAnsi="Times New Roman"/>
          <w:sz w:val="19"/>
          <w:szCs w:val="19"/>
          <w:b w:val="1"/>
          <w:bCs w:val="1"/>
          <w:i w:val="1"/>
          <w:iCs w:val="1"/>
          <w:color w:val="auto"/>
        </w:rPr>
        <w:t>clause (n)</w:t>
      </w:r>
      <w:r>
        <w:rPr>
          <w:rFonts w:ascii="Times New Roman" w:cs="Times New Roman" w:eastAsia="Times New Roman" w:hAnsi="Times New Roman"/>
          <w:sz w:val="19"/>
          <w:szCs w:val="19"/>
          <w:color w:val="auto"/>
        </w:rPr>
        <w:t xml:space="preserve"> does not exceed $100,000,000 at any time outstanding;</w:t>
      </w:r>
    </w:p>
    <w:p>
      <w:pPr>
        <w:spacing w:after="0" w:line="157" w:lineRule="exact"/>
        <w:rPr>
          <w:rFonts w:ascii="Times New Roman" w:cs="Times New Roman" w:eastAsia="Times New Roman" w:hAnsi="Times New Roman"/>
          <w:sz w:val="19"/>
          <w:szCs w:val="19"/>
          <w:color w:val="auto"/>
        </w:rPr>
      </w:pPr>
    </w:p>
    <w:p>
      <w:pPr>
        <w:ind w:firstLine="640"/>
        <w:spacing w:after="0" w:line="300" w:lineRule="auto"/>
        <w:tabs>
          <w:tab w:leader="none" w:pos="1124"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of any Restricted Company organized outside the United States in an aggregate principal amount which does not exceed $50,000,000 at any time outstanding; and</w:t>
      </w:r>
    </w:p>
    <w:p>
      <w:pPr>
        <w:spacing w:after="0" w:line="139" w:lineRule="exact"/>
        <w:rPr>
          <w:rFonts w:ascii="Times New Roman" w:cs="Times New Roman" w:eastAsia="Times New Roman" w:hAnsi="Times New Roman"/>
          <w:sz w:val="19"/>
          <w:szCs w:val="19"/>
          <w:color w:val="auto"/>
        </w:rPr>
      </w:pPr>
    </w:p>
    <w:p>
      <w:pPr>
        <w:jc w:val="both"/>
        <w:ind w:firstLine="640"/>
        <w:spacing w:after="0" w:line="265" w:lineRule="auto"/>
        <w:tabs>
          <w:tab w:leader="none" w:pos="1074"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Debt permitted under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b w:val="1"/>
          <w:bCs w:val="1"/>
          <w:i w:val="1"/>
          <w:iCs w:val="1"/>
          <w:color w:val="auto"/>
        </w:rPr>
        <w:t>(o)</w:t>
      </w:r>
      <w:r>
        <w:rPr>
          <w:rFonts w:ascii="Times New Roman" w:cs="Times New Roman" w:eastAsia="Times New Roman" w:hAnsi="Times New Roman"/>
          <w:sz w:val="19"/>
          <w:szCs w:val="19"/>
          <w:color w:val="auto"/>
        </w:rPr>
        <w:t xml:space="preserve"> above, the 2020 VRI Senior Notes, the 2020 VRI Convertible Notes and other senior unsecured Debt (including High-Yield Debt and Convertible Debt Securities) of the Restricted Companies;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 </w:t>
      </w:r>
      <w:r>
        <w:rPr>
          <w:rFonts w:ascii="Times New Roman" w:cs="Times New Roman" w:eastAsia="Times New Roman" w:hAnsi="Times New Roman"/>
          <w:sz w:val="19"/>
          <w:szCs w:val="19"/>
          <w:color w:val="auto"/>
        </w:rPr>
        <w:t>(x) the maximum aggregate amount of such Debt (other than Debt evidenced by the 2020 VRI Senior Notes) that has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stated maturity prior to the Termination Date for the Revolver Facility shall not exceed $600,000,000 at any time; and </w:t>
      </w:r>
      <w:r>
        <w:rPr>
          <w:rFonts w:ascii="Times New Roman" w:cs="Times New Roman" w:eastAsia="Times New Roman" w:hAnsi="Times New Roman"/>
          <w:sz w:val="19"/>
          <w:szCs w:val="19"/>
          <w:i w:val="1"/>
          <w:iCs w:val="1"/>
          <w:color w:val="auto"/>
        </w:rPr>
        <w:t>(y)</w:t>
      </w:r>
      <w:r>
        <w:rPr>
          <w:rFonts w:ascii="Times New Roman" w:cs="Times New Roman" w:eastAsia="Times New Roman" w:hAnsi="Times New Roman"/>
          <w:sz w:val="19"/>
          <w:szCs w:val="19"/>
          <w:color w:val="auto"/>
        </w:rPr>
        <w:t xml:space="preserve"> the maximum aggregate amount of such Debt incurred by Restricted Subsidiaries other than Borrower shall not exceed $50,000,000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25</w:t>
      </w:r>
    </w:p>
    <w:p>
      <w:pPr>
        <w:sectPr>
          <w:pgSz w:w="11900" w:h="16838" w:orient="portrait"/>
          <w:cols w:equalWidth="0" w:num="1">
            <w:col w:w="10600"/>
          </w:cols>
          <w:pgMar w:left="960" w:top="1390"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Permitted Liens </w:t>
      </w:r>
      <w:r>
        <w:rPr>
          <w:rFonts w:ascii="Times New Roman" w:cs="Times New Roman" w:eastAsia="Times New Roman" w:hAnsi="Times New Roman"/>
          <w:sz w:val="19"/>
          <w:szCs w:val="19"/>
          <w:color w:val="auto"/>
        </w:rPr>
        <w:t>means:</w:t>
      </w:r>
    </w:p>
    <w:p>
      <w:pPr>
        <w:spacing w:after="0" w:line="235" w:lineRule="exact"/>
        <w:rPr>
          <w:sz w:val="20"/>
          <w:szCs w:val="20"/>
          <w:color w:val="auto"/>
        </w:rPr>
      </w:pPr>
    </w:p>
    <w:p>
      <w:pPr>
        <w:jc w:val="both"/>
        <w:ind w:firstLine="640"/>
        <w:spacing w:after="0" w:line="275" w:lineRule="auto"/>
        <w:tabs>
          <w:tab w:leader="none" w:pos="1078"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created by the Security Documents or other Liens securing the Obligation, and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the Obligation is ratably secured therewith, Liens securing Debt incurred by any Company under any Financial Hedge with any Lender or an Affiliate of any Lender to the extent permitted under </w:t>
      </w:r>
      <w:r>
        <w:rPr>
          <w:rFonts w:ascii="Times New Roman" w:cs="Times New Roman" w:eastAsia="Times New Roman" w:hAnsi="Times New Roman"/>
          <w:sz w:val="19"/>
          <w:szCs w:val="19"/>
          <w:b w:val="1"/>
          <w:bCs w:val="1"/>
          <w:i w:val="1"/>
          <w:iCs w:val="1"/>
          <w:color w:val="auto"/>
        </w:rPr>
        <w:t>Section 10.8(i)</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jc w:val="both"/>
        <w:ind w:firstLine="640"/>
        <w:spacing w:after="0" w:line="270" w:lineRule="auto"/>
        <w:tabs>
          <w:tab w:leader="none" w:pos="106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created by, or pursuant to, the Forest Service Permit Agreements for the benefit of the holders of the Vail Bonds and Liens on the amounts in the “</w:t>
      </w:r>
      <w:r>
        <w:rPr>
          <w:rFonts w:ascii="Times New Roman" w:cs="Times New Roman" w:eastAsia="Times New Roman" w:hAnsi="Times New Roman"/>
          <w:sz w:val="19"/>
          <w:szCs w:val="19"/>
          <w:i w:val="1"/>
          <w:iCs w:val="1"/>
          <w:color w:val="auto"/>
        </w:rPr>
        <w:t>Bond Fund</w:t>
      </w:r>
      <w:r>
        <w:rPr>
          <w:rFonts w:ascii="Times New Roman" w:cs="Times New Roman" w:eastAsia="Times New Roman" w:hAnsi="Times New Roman"/>
          <w:sz w:val="19"/>
          <w:szCs w:val="19"/>
          <w:color w:val="auto"/>
        </w:rPr>
        <w:t>” established and maintained in accordance with the provisions of the documents executed in connection with the issuance of the Vail Bonds (and Liens created on all or any portion of the same assets in connection with any refinancing of such bonds in accordance with the terms of this Agreement);</w:t>
      </w:r>
    </w:p>
    <w:p>
      <w:pPr>
        <w:spacing w:after="0" w:line="170" w:lineRule="exact"/>
        <w:rPr>
          <w:rFonts w:ascii="Times New Roman" w:cs="Times New Roman" w:eastAsia="Times New Roman" w:hAnsi="Times New Roman"/>
          <w:sz w:val="19"/>
          <w:szCs w:val="19"/>
          <w:color w:val="auto"/>
        </w:rPr>
      </w:pPr>
    </w:p>
    <w:p>
      <w:pPr>
        <w:ind w:left="1040" w:hanging="400"/>
        <w:spacing w:after="0"/>
        <w:tabs>
          <w:tab w:leader="none" w:pos="104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5" w:lineRule="exact"/>
        <w:rPr>
          <w:rFonts w:ascii="Times New Roman" w:cs="Times New Roman" w:eastAsia="Times New Roman" w:hAnsi="Times New Roman"/>
          <w:sz w:val="19"/>
          <w:szCs w:val="19"/>
          <w:color w:val="auto"/>
        </w:rPr>
      </w:pPr>
    </w:p>
    <w:p>
      <w:pPr>
        <w:ind w:left="1060" w:hanging="420"/>
        <w:spacing w:after="0"/>
        <w:tabs>
          <w:tab w:leader="none" w:pos="106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the Collateral securing Debt of Borrower permitted by </w:t>
      </w:r>
      <w:r>
        <w:rPr>
          <w:rFonts w:ascii="Times New Roman" w:cs="Times New Roman" w:eastAsia="Times New Roman" w:hAnsi="Times New Roman"/>
          <w:sz w:val="19"/>
          <w:szCs w:val="19"/>
          <w:b w:val="1"/>
          <w:bCs w:val="1"/>
          <w:i w:val="1"/>
          <w:iCs w:val="1"/>
          <w:color w:val="auto"/>
        </w:rPr>
        <w:t>clause (l)</w:t>
      </w:r>
      <w:r>
        <w:rPr>
          <w:rFonts w:ascii="Times New Roman" w:cs="Times New Roman" w:eastAsia="Times New Roman" w:hAnsi="Times New Roman"/>
          <w:sz w:val="19"/>
          <w:szCs w:val="19"/>
          <w:color w:val="auto"/>
        </w:rPr>
        <w:t xml:space="preserve"> of the definition of “</w:t>
      </w:r>
      <w:r>
        <w:rPr>
          <w:rFonts w:ascii="Times New Roman" w:cs="Times New Roman" w:eastAsia="Times New Roman" w:hAnsi="Times New Roman"/>
          <w:sz w:val="19"/>
          <w:szCs w:val="19"/>
          <w:i w:val="1"/>
          <w:iCs w:val="1"/>
          <w:color w:val="auto"/>
        </w:rPr>
        <w:t>Permitted Debt</w:t>
      </w:r>
      <w:r>
        <w:rPr>
          <w:rFonts w:ascii="Times New Roman" w:cs="Times New Roman" w:eastAsia="Times New Roman" w:hAnsi="Times New Roman"/>
          <w:sz w:val="19"/>
          <w:szCs w:val="19"/>
          <w:color w:val="auto"/>
        </w:rPr>
        <w:t>”;</w:t>
      </w:r>
    </w:p>
    <w:p>
      <w:pPr>
        <w:spacing w:after="0" w:line="236" w:lineRule="exact"/>
        <w:rPr>
          <w:rFonts w:ascii="Times New Roman" w:cs="Times New Roman" w:eastAsia="Times New Roman" w:hAnsi="Times New Roman"/>
          <w:sz w:val="19"/>
          <w:szCs w:val="19"/>
          <w:color w:val="auto"/>
        </w:rPr>
      </w:pPr>
    </w:p>
    <w:p>
      <w:pPr>
        <w:ind w:firstLine="640"/>
        <w:spacing w:after="0" w:line="300" w:lineRule="auto"/>
        <w:tabs>
          <w:tab w:leader="none" w:pos="1065"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assets of any Company securing Permitted Debt arising under or pursuant to any Bond Documents to which any such Company is a party, but only to the extent such Liens secure the assets financed by such Permitted Debt (and proceeds thereof);</w:t>
      </w:r>
    </w:p>
    <w:p>
      <w:pPr>
        <w:spacing w:after="0" w:line="130" w:lineRule="exact"/>
        <w:rPr>
          <w:rFonts w:ascii="Times New Roman" w:cs="Times New Roman" w:eastAsia="Times New Roman" w:hAnsi="Times New Roman"/>
          <w:sz w:val="19"/>
          <w:szCs w:val="19"/>
          <w:color w:val="auto"/>
        </w:rPr>
      </w:pPr>
    </w:p>
    <w:p>
      <w:pPr>
        <w:ind w:left="1020" w:hanging="380"/>
        <w:spacing w:after="0"/>
        <w:tabs>
          <w:tab w:leader="none" w:pos="102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 money liens which encumber only the assets acquired;</w:t>
      </w:r>
    </w:p>
    <w:p>
      <w:pPr>
        <w:spacing w:after="0" w:line="232" w:lineRule="exact"/>
        <w:rPr>
          <w:rFonts w:ascii="Times New Roman" w:cs="Times New Roman" w:eastAsia="Times New Roman" w:hAnsi="Times New Roman"/>
          <w:sz w:val="19"/>
          <w:szCs w:val="19"/>
          <w:color w:val="auto"/>
        </w:rPr>
      </w:pPr>
    </w:p>
    <w:p>
      <w:pPr>
        <w:jc w:val="both"/>
        <w:ind w:firstLine="640"/>
        <w:spacing w:after="0" w:line="274" w:lineRule="auto"/>
        <w:tabs>
          <w:tab w:leader="none" w:pos="1186"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pledges or deposits made to secure payment of workers’ compensation, unemployment insurance or other forms of governmental insurance or benefits (other than ERISA) or to participate in any fund in connection with workers’ compensation, unemployment insurance, pensions (other than ERISA) or other social security programs;</w:t>
      </w:r>
    </w:p>
    <w:p>
      <w:pPr>
        <w:spacing w:after="0" w:line="165" w:lineRule="exact"/>
        <w:rPr>
          <w:rFonts w:ascii="Times New Roman" w:cs="Times New Roman" w:eastAsia="Times New Roman" w:hAnsi="Times New Roman"/>
          <w:sz w:val="19"/>
          <w:szCs w:val="19"/>
          <w:color w:val="auto"/>
        </w:rPr>
      </w:pPr>
    </w:p>
    <w:p>
      <w:pPr>
        <w:jc w:val="both"/>
        <w:ind w:firstLine="640"/>
        <w:spacing w:after="0" w:line="275" w:lineRule="auto"/>
        <w:tabs>
          <w:tab w:leader="none" w:pos="1121"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good-faith pledges or deposits made to secure performance of bids, tenders, contracts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for the repayment of borrowed money), or leases, or to secure statutory obligations, surety or appeal bonds, or indemnity, performance, or other similar bonds in the ordinary course of business;</w:t>
      </w:r>
    </w:p>
    <w:p>
      <w:pPr>
        <w:spacing w:after="0" w:line="153" w:lineRule="exact"/>
        <w:rPr>
          <w:rFonts w:ascii="Times New Roman" w:cs="Times New Roman" w:eastAsia="Times New Roman" w:hAnsi="Times New Roman"/>
          <w:sz w:val="19"/>
          <w:szCs w:val="19"/>
          <w:color w:val="auto"/>
        </w:rPr>
      </w:pPr>
    </w:p>
    <w:p>
      <w:pPr>
        <w:ind w:left="1020" w:hanging="380"/>
        <w:spacing w:after="0"/>
        <w:tabs>
          <w:tab w:leader="none" w:pos="102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encumbrances and restrictions on the use of real property which do not materially impair the use thereof;</w:t>
      </w:r>
    </w:p>
    <w:p>
      <w:pPr>
        <w:spacing w:after="0" w:line="232" w:lineRule="exact"/>
        <w:rPr>
          <w:rFonts w:ascii="Times New Roman" w:cs="Times New Roman" w:eastAsia="Times New Roman" w:hAnsi="Times New Roman"/>
          <w:sz w:val="19"/>
          <w:szCs w:val="19"/>
          <w:color w:val="auto"/>
        </w:rPr>
      </w:pPr>
    </w:p>
    <w:p>
      <w:pPr>
        <w:jc w:val="both"/>
        <w:ind w:firstLine="640"/>
        <w:spacing w:after="0" w:line="261" w:lineRule="auto"/>
        <w:tabs>
          <w:tab w:leader="none" w:pos="1051"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if either (1) no amounts are due and payable and no Lien has been filed or agreed to, or (2) the validity or amount thereof is being contested in good faith by lawful proceedings diligently conducted, reserve or other provision required by GAAP has been made, levy and execution thereon have been (and continue to be) stayed or payment thereof is covered in full (subject to the customary deductible) by insurance: (i) Liens for Taxes; (ii) Liens upon, and defects of title to, property, including any attachment of property or other legal process prior to adjudication of a dispute on the merits; (iii) Liens imposed by operation of Law (including, without limitation, Liens of mechanics, materialmen, warehousemen, carriers, and landlords, and similar Liens); and (iv) adverse judgments on appeal;</w:t>
      </w:r>
    </w:p>
    <w:p>
      <w:pPr>
        <w:spacing w:after="0" w:line="180" w:lineRule="exact"/>
        <w:rPr>
          <w:rFonts w:ascii="Times New Roman" w:cs="Times New Roman" w:eastAsia="Times New Roman" w:hAnsi="Times New Roman"/>
          <w:sz w:val="19"/>
          <w:szCs w:val="19"/>
          <w:color w:val="auto"/>
        </w:rPr>
      </w:pPr>
    </w:p>
    <w:p>
      <w:pPr>
        <w:ind w:left="1060" w:hanging="420"/>
        <w:spacing w:after="0"/>
        <w:tabs>
          <w:tab w:leader="none" w:pos="106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or title of a lessor or licensor in assets being leased or licensed to a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26</w:t>
      </w:r>
    </w:p>
    <w:p>
      <w:pPr>
        <w:sectPr>
          <w:pgSz w:w="11900" w:h="16838" w:orient="portrait"/>
          <w:cols w:equalWidth="0" w:num="1">
            <w:col w:w="10600"/>
          </w:cols>
          <w:pgMar w:left="960" w:top="1386" w:right="339" w:bottom="1440" w:gutter="0" w:footer="0" w:header="0"/>
        </w:sectPr>
      </w:pPr>
    </w:p>
    <w:bookmarkStart w:id="140" w:name="page141"/>
    <w:bookmarkEnd w:id="140"/>
    <w:p>
      <w:pPr>
        <w:ind w:left="640" w:firstLine="640"/>
        <w:spacing w:after="0" w:line="300" w:lineRule="auto"/>
        <w:tabs>
          <w:tab w:leader="none" w:pos="1744"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licenses, leases, or subleases granted to third Persons which do not interfere in any material respect with the business conducted by the Companies;</w:t>
      </w:r>
    </w:p>
    <w:p>
      <w:pPr>
        <w:spacing w:after="0" w:line="130" w:lineRule="exact"/>
        <w:rPr>
          <w:rFonts w:ascii="Times New Roman" w:cs="Times New Roman" w:eastAsia="Times New Roman" w:hAnsi="Times New Roman"/>
          <w:sz w:val="19"/>
          <w:szCs w:val="19"/>
          <w:color w:val="auto"/>
        </w:rPr>
      </w:pPr>
    </w:p>
    <w:p>
      <w:pPr>
        <w:ind w:left="1780" w:hanging="500"/>
        <w:spacing w:after="0"/>
        <w:tabs>
          <w:tab w:leader="none" w:pos="178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Lien on any asset of any entity that becomes a Subsidiary of VRI, which Lien exists at the time such entity becomes</w:t>
      </w:r>
    </w:p>
    <w:p>
      <w:pPr>
        <w:spacing w:after="0" w:line="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a Subsidiary of VRI,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(i) any such Lien was not created in contemplation of such acquisition, merger, or consolidation, and</w:t>
      </w:r>
    </w:p>
    <w:p>
      <w:pPr>
        <w:spacing w:after="0" w:line="15" w:lineRule="exact"/>
        <w:rPr>
          <w:sz w:val="20"/>
          <w:szCs w:val="20"/>
          <w:color w:val="auto"/>
        </w:rPr>
      </w:pPr>
    </w:p>
    <w:p>
      <w:pPr>
        <w:ind w:left="640" w:firstLine="3"/>
        <w:spacing w:after="0" w:line="276" w:lineRule="auto"/>
        <w:tabs>
          <w:tab w:leader="none" w:pos="954"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such Lien does not and shall not extend to any asset other than the assets secured immediately prior to the acquisition in formation of such Subsidiary;</w:t>
      </w:r>
    </w:p>
    <w:p>
      <w:pPr>
        <w:spacing w:after="0" w:line="165" w:lineRule="exact"/>
        <w:rPr>
          <w:rFonts w:ascii="Times New Roman" w:cs="Times New Roman" w:eastAsia="Times New Roman" w:hAnsi="Times New Roman"/>
          <w:sz w:val="19"/>
          <w:szCs w:val="19"/>
          <w:color w:val="auto"/>
        </w:rPr>
      </w:pPr>
    </w:p>
    <w:p>
      <w:pPr>
        <w:jc w:val="both"/>
        <w:ind w:left="640" w:firstLine="640"/>
        <w:spacing w:after="0" w:line="264" w:lineRule="auto"/>
        <w:tabs>
          <w:tab w:leader="none" w:pos="1724"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Water Rights, the provisions of the instruments evidencing such Water Rights and any matter affecting such Water Rights which does not affect the Companies’ rights to sufficient quantity and quality of water to conduct business as in effect on the date hereof or any expansion planned as of the date hereof (including, without limitation, any Lien of the Colorado Water Conservation Board, or its successors and assigns, on stock owned by any Company in a Colorado ditch and reservoir company formed in accordance with the Colorado Corporation Code, as amended);</w:t>
      </w:r>
    </w:p>
    <w:p>
      <w:pPr>
        <w:spacing w:after="0" w:line="177" w:lineRule="exact"/>
        <w:rPr>
          <w:rFonts w:ascii="Times New Roman" w:cs="Times New Roman" w:eastAsia="Times New Roman" w:hAnsi="Times New Roman"/>
          <w:sz w:val="19"/>
          <w:szCs w:val="19"/>
          <w:color w:val="auto"/>
        </w:rPr>
      </w:pPr>
    </w:p>
    <w:p>
      <w:pPr>
        <w:ind w:left="640" w:firstLine="640"/>
        <w:spacing w:after="0" w:line="285" w:lineRule="auto"/>
        <w:tabs>
          <w:tab w:leader="none" w:pos="1756"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the Forest Service Permits, the provisions of the instruments evidencing such permits and all rights of the U.S. and its agencies with respect thereto or with respect to the land affected thereby;</w:t>
      </w:r>
    </w:p>
    <w:p>
      <w:pPr>
        <w:spacing w:after="0" w:line="157" w:lineRule="exact"/>
        <w:rPr>
          <w:rFonts w:ascii="Times New Roman" w:cs="Times New Roman" w:eastAsia="Times New Roman" w:hAnsi="Times New Roman"/>
          <w:sz w:val="19"/>
          <w:szCs w:val="19"/>
          <w:color w:val="auto"/>
        </w:rPr>
      </w:pPr>
    </w:p>
    <w:p>
      <w:pPr>
        <w:jc w:val="both"/>
        <w:ind w:left="640" w:firstLine="640"/>
        <w:spacing w:after="0" w:line="274" w:lineRule="auto"/>
        <w:tabs>
          <w:tab w:leader="none" w:pos="1753"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cash accounts not to exceed $250,000 in the aggregate at the FirstBank of Vail established in connection with collateralizing a portion, if any, of certain second mortgage loans made by such bank, and guaranteed by Borrower, as part of the Vail Associates Home Mortgage Program for Borrower’s employees; and</w:t>
      </w:r>
    </w:p>
    <w:p>
      <w:pPr>
        <w:spacing w:after="0" w:line="163" w:lineRule="exact"/>
        <w:rPr>
          <w:rFonts w:ascii="Times New Roman" w:cs="Times New Roman" w:eastAsia="Times New Roman" w:hAnsi="Times New Roman"/>
          <w:sz w:val="19"/>
          <w:szCs w:val="19"/>
          <w:color w:val="auto"/>
        </w:rPr>
      </w:pPr>
    </w:p>
    <w:p>
      <w:pPr>
        <w:ind w:left="640" w:firstLine="640"/>
        <w:spacing w:after="0" w:line="290" w:lineRule="auto"/>
        <w:tabs>
          <w:tab w:leader="none" w:pos="1722"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assets of any Restricted Company organized outside the United States securing Debt permitted under </w:t>
      </w:r>
      <w:r>
        <w:rPr>
          <w:rFonts w:ascii="Times New Roman" w:cs="Times New Roman" w:eastAsia="Times New Roman" w:hAnsi="Times New Roman"/>
          <w:sz w:val="19"/>
          <w:szCs w:val="19"/>
          <w:b w:val="1"/>
          <w:bCs w:val="1"/>
          <w:i w:val="1"/>
          <w:iCs w:val="1"/>
          <w:color w:val="auto"/>
        </w:rPr>
        <w:t>clause (o)</w:t>
      </w:r>
      <w:r>
        <w:rPr>
          <w:rFonts w:ascii="Times New Roman" w:cs="Times New Roman" w:eastAsia="Times New Roman" w:hAnsi="Times New Roman"/>
          <w:sz w:val="19"/>
          <w:szCs w:val="19"/>
          <w:color w:val="auto"/>
        </w:rPr>
        <w:t xml:space="preserve"> of the definition of “</w:t>
      </w:r>
      <w:r>
        <w:rPr>
          <w:rFonts w:ascii="Times New Roman" w:cs="Times New Roman" w:eastAsia="Times New Roman" w:hAnsi="Times New Roman"/>
          <w:sz w:val="19"/>
          <w:szCs w:val="19"/>
          <w:b w:val="1"/>
          <w:bCs w:val="1"/>
          <w:i w:val="1"/>
          <w:iCs w:val="1"/>
          <w:color w:val="auto"/>
        </w:rPr>
        <w:t>Permitted Debt</w:t>
      </w:r>
      <w:r>
        <w:rPr>
          <w:rFonts w:ascii="Times New Roman" w:cs="Times New Roman" w:eastAsia="Times New Roman" w:hAnsi="Times New Roman"/>
          <w:sz w:val="19"/>
          <w:szCs w:val="19"/>
          <w:color w:val="auto"/>
        </w:rPr>
        <w:t>”.</w:t>
      </w:r>
    </w:p>
    <w:p>
      <w:pPr>
        <w:spacing w:after="0" w:line="149"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Permitted Recourse Obligations </w:t>
      </w:r>
      <w:r>
        <w:rPr>
          <w:rFonts w:ascii="Times New Roman" w:cs="Times New Roman" w:eastAsia="Times New Roman" w:hAnsi="Times New Roman"/>
          <w:sz w:val="19"/>
          <w:szCs w:val="19"/>
          <w:color w:val="auto"/>
        </w:rPr>
        <w:t>means, collectively, for any Restricted Company, obligations or liabilities arising with respect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Customary Recourse Exceptions, Completion Guaranties, and letters of credit or similar arrangements entered into in support of obligations of an Unrestricted Subsidiary with respect to its Real Estate Project.</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Person </w:t>
      </w:r>
      <w:r>
        <w:rPr>
          <w:rFonts w:ascii="Times New Roman" w:cs="Times New Roman" w:eastAsia="Times New Roman" w:hAnsi="Times New Roman"/>
          <w:sz w:val="19"/>
          <w:szCs w:val="19"/>
          <w:color w:val="auto"/>
        </w:rPr>
        <w:t>means any individual, partnership, joint venture, other entity, or Governmental Authority.</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Platform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9.1</w:t>
      </w:r>
    </w:p>
    <w:p>
      <w:pPr>
        <w:spacing w:after="0" w:line="23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Pledge Agreement </w:t>
      </w:r>
      <w:r>
        <w:rPr>
          <w:rFonts w:ascii="Times New Roman" w:cs="Times New Roman" w:eastAsia="Times New Roman" w:hAnsi="Times New Roman"/>
          <w:sz w:val="19"/>
          <w:szCs w:val="19"/>
          <w:color w:val="auto"/>
        </w:rPr>
        <w:t>means, a pledge agreement substantially in the form of</w:t>
      </w:r>
      <w:r>
        <w:rPr>
          <w:rFonts w:ascii="Times New Roman" w:cs="Times New Roman" w:eastAsia="Times New Roman" w:hAnsi="Times New Roman"/>
          <w:sz w:val="19"/>
          <w:szCs w:val="19"/>
          <w:b w:val="1"/>
          <w:bCs w:val="1"/>
          <w:i w:val="1"/>
          <w:iCs w:val="1"/>
          <w:color w:val="auto"/>
        </w:rPr>
        <w:t xml:space="preserve"> Exhibit F</w:t>
      </w:r>
      <w:r>
        <w:rPr>
          <w:rFonts w:ascii="Times New Roman" w:cs="Times New Roman" w:eastAsia="Times New Roman" w:hAnsi="Times New Roman"/>
          <w:sz w:val="19"/>
          <w:szCs w:val="19"/>
          <w:color w:val="auto"/>
        </w:rPr>
        <w:t>, executed and delivered by any Person pursuant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requirements of the Loan Papers, and any amendment, modification, supplement, restatement, ratification, or reaffirmation of any Pledge Agreement made in accordance with the Loan Papers.</w:t>
      </w:r>
    </w:p>
    <w:p>
      <w:pPr>
        <w:spacing w:after="0" w:line="148"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Potential Default </w:t>
      </w:r>
      <w:r>
        <w:rPr>
          <w:rFonts w:ascii="Times New Roman" w:cs="Times New Roman" w:eastAsia="Times New Roman" w:hAnsi="Times New Roman"/>
          <w:sz w:val="19"/>
          <w:szCs w:val="19"/>
          <w:color w:val="auto"/>
        </w:rPr>
        <w:t>means the occurrence of any event or existence of any circumstance that would, upon notice or lapse of time or both,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become a Default.</w:t>
      </w:r>
    </w:p>
    <w:p>
      <w:pPr>
        <w:spacing w:after="0" w:line="136"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Principal Debt </w:t>
      </w:r>
      <w:r>
        <w:rPr>
          <w:rFonts w:ascii="Times New Roman" w:cs="Times New Roman" w:eastAsia="Times New Roman" w:hAnsi="Times New Roman"/>
          <w:sz w:val="19"/>
          <w:szCs w:val="19"/>
          <w:color w:val="auto"/>
        </w:rPr>
        <w:t>means, at any time, the sum of the Revolver Principal Debt</w:t>
      </w:r>
      <w:r>
        <w:rPr>
          <w:rFonts w:ascii="Times New Roman" w:cs="Times New Roman" w:eastAsia="Times New Roman" w:hAnsi="Times New Roman"/>
          <w:sz w:val="19"/>
          <w:szCs w:val="19"/>
          <w:u w:val="single" w:color="auto"/>
          <w:color w:val="3051F2"/>
        </w:rPr>
        <w:t>, Term Loan Principal Debt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Term Loan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Principal Debt.</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Public Lender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9.1</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900" w:h="16838" w:orient="portrait"/>
          <w:cols w:equalWidth="0" w:num="1">
            <w:col w:w="11240"/>
          </w:cols>
          <w:pgMar w:left="320" w:top="1390" w:right="339" w:bottom="1440" w:gutter="0" w:footer="0" w:header="0"/>
        </w:sectPr>
      </w:pPr>
    </w:p>
    <w:bookmarkStart w:id="141" w:name="page142"/>
    <w:bookmarkEnd w:id="141"/>
    <w:p>
      <w:pPr>
        <w:jc w:val="both"/>
        <w:ind w:firstLine="637"/>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Purchase Price </w:t>
      </w:r>
      <w:r>
        <w:rPr>
          <w:rFonts w:ascii="Times New Roman" w:cs="Times New Roman" w:eastAsia="Times New Roman" w:hAnsi="Times New Roman"/>
          <w:sz w:val="19"/>
          <w:szCs w:val="19"/>
          <w:color w:val="auto"/>
        </w:rPr>
        <w:t>means, with respect to any acquisition or merger consummated in accordance with the provisions of</w:t>
      </w:r>
      <w:r>
        <w:rPr>
          <w:rFonts w:ascii="Times New Roman" w:cs="Times New Roman" w:eastAsia="Times New Roman" w:hAnsi="Times New Roman"/>
          <w:sz w:val="19"/>
          <w:szCs w:val="19"/>
          <w:b w:val="1"/>
          <w:bCs w:val="1"/>
          <w:i w:val="1"/>
          <w:iCs w:val="1"/>
          <w:color w:val="auto"/>
        </w:rPr>
        <w:t xml:space="preserve"> Section 10.11 </w:t>
      </w:r>
      <w:r>
        <w:rPr>
          <w:rFonts w:ascii="Times New Roman" w:cs="Times New Roman" w:eastAsia="Times New Roman" w:hAnsi="Times New Roman"/>
          <w:sz w:val="19"/>
          <w:szCs w:val="19"/>
          <w:color w:val="auto"/>
        </w:rPr>
        <w:t xml:space="preserve">herein, all (a) direct and indirect cash payments, and (b) deferred cash payments determined by Borrower to be reasonably likely to be payable following the closing date of such acquisition or merger, which payments pursuant to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herein are made to or for the benefit of the Person being acquired (or whose assets are being acquired), its shareholders, or its Affiliates in connection with such acquisition or merger, including, without limitation, the amount of any Debt being assumed in connection with such acquisition or merger (and subject to the limitations on Permitted Debt hereunder) or seller financing, and excluding, without limitation, payments to Affiliates of the Person being acquired (or whose assets are being acquired) for usual and customary transitional services or other operating services provided by such Affiliates of the Person being acquired (or whose assets are being acquired) pursuant to agreements that have been entered into in good faith by the parties thereto.</w:t>
      </w:r>
    </w:p>
    <w:p>
      <w:pPr>
        <w:spacing w:after="0" w:line="400" w:lineRule="exact"/>
        <w:rPr>
          <w:sz w:val="20"/>
          <w:szCs w:val="20"/>
          <w:color w:val="auto"/>
        </w:rPr>
      </w:pPr>
    </w:p>
    <w:p>
      <w:pPr>
        <w:jc w:val="both"/>
        <w:ind w:firstLine="637"/>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 xml:space="preserve">Qualified ECP Guarantor </w:t>
      </w:r>
      <w:r>
        <w:rPr>
          <w:rFonts w:ascii="Times New Roman" w:cs="Times New Roman" w:eastAsia="Times New Roman" w:hAnsi="Times New Roman"/>
          <w:sz w:val="19"/>
          <w:szCs w:val="19"/>
          <w:color w:val="auto"/>
        </w:rPr>
        <w:t>means, in respect of any Swap Obligation, Borrower and each Guarantor with total assets exceeding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$10,000,000 at the time the relevant guaranty or grant of the relevant security interest became effective with respect to such Swap Obligation or that qualifies at such time as an “</w:t>
      </w:r>
      <w:r>
        <w:rPr>
          <w:rFonts w:ascii="Times New Roman" w:cs="Times New Roman" w:eastAsia="Times New Roman" w:hAnsi="Times New Roman"/>
          <w:sz w:val="19"/>
          <w:szCs w:val="19"/>
          <w:i w:val="1"/>
          <w:iCs w:val="1"/>
          <w:color w:val="auto"/>
        </w:rPr>
        <w:t>eligible contract participant</w:t>
      </w:r>
      <w:r>
        <w:rPr>
          <w:rFonts w:ascii="Times New Roman" w:cs="Times New Roman" w:eastAsia="Times New Roman" w:hAnsi="Times New Roman"/>
          <w:sz w:val="19"/>
          <w:szCs w:val="19"/>
          <w:color w:val="auto"/>
        </w:rPr>
        <w:t>” under the Commodity Exchange Act or any regulation promulgated thereunder and can cause another person to qualify as an “</w:t>
      </w:r>
      <w:r>
        <w:rPr>
          <w:rFonts w:ascii="Times New Roman" w:cs="Times New Roman" w:eastAsia="Times New Roman" w:hAnsi="Times New Roman"/>
          <w:sz w:val="19"/>
          <w:szCs w:val="19"/>
          <w:i w:val="1"/>
          <w:iCs w:val="1"/>
          <w:color w:val="auto"/>
        </w:rPr>
        <w:t>eligible contract participant</w:t>
      </w:r>
      <w:r>
        <w:rPr>
          <w:rFonts w:ascii="Times New Roman" w:cs="Times New Roman" w:eastAsia="Times New Roman" w:hAnsi="Times New Roman"/>
          <w:sz w:val="19"/>
          <w:szCs w:val="19"/>
          <w:color w:val="auto"/>
        </w:rPr>
        <w:t xml:space="preserve">” at such time by entering into a keepwell under </w:t>
      </w:r>
      <w:r>
        <w:rPr>
          <w:rFonts w:ascii="Times New Roman" w:cs="Times New Roman" w:eastAsia="Times New Roman" w:hAnsi="Times New Roman"/>
          <w:sz w:val="19"/>
          <w:szCs w:val="19"/>
          <w:i w:val="1"/>
          <w:iCs w:val="1"/>
          <w:color w:val="auto"/>
        </w:rPr>
        <w:t>§1a(18)(A)(v)(II)</w:t>
      </w:r>
      <w:r>
        <w:rPr>
          <w:rFonts w:ascii="Times New Roman" w:cs="Times New Roman" w:eastAsia="Times New Roman" w:hAnsi="Times New Roman"/>
          <w:sz w:val="19"/>
          <w:szCs w:val="19"/>
          <w:color w:val="auto"/>
        </w:rPr>
        <w:t xml:space="preserve"> of the Commodity Exchange Act.</w:t>
      </w:r>
    </w:p>
    <w:p>
      <w:pPr>
        <w:spacing w:after="0" w:line="155"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Quarterly Date </w:t>
      </w:r>
      <w:r>
        <w:rPr>
          <w:rFonts w:ascii="Times New Roman" w:cs="Times New Roman" w:eastAsia="Times New Roman" w:hAnsi="Times New Roman"/>
          <w:sz w:val="19"/>
          <w:szCs w:val="19"/>
          <w:color w:val="auto"/>
        </w:rPr>
        <w:t>means each January 31, April 30, July 31, and October 31;</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if any such Quarterly Date is not a Business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Day, the provisions of </w:t>
      </w:r>
      <w:r>
        <w:rPr>
          <w:rFonts w:ascii="Times New Roman" w:cs="Times New Roman" w:eastAsia="Times New Roman" w:hAnsi="Times New Roman"/>
          <w:sz w:val="19"/>
          <w:szCs w:val="19"/>
          <w:b w:val="1"/>
          <w:bCs w:val="1"/>
          <w:i w:val="1"/>
          <w:iCs w:val="1"/>
          <w:color w:val="auto"/>
        </w:rPr>
        <w:t>Section 15.2</w:t>
      </w:r>
      <w:r>
        <w:rPr>
          <w:rFonts w:ascii="Times New Roman" w:cs="Times New Roman" w:eastAsia="Times New Roman" w:hAnsi="Times New Roman"/>
          <w:sz w:val="19"/>
          <w:szCs w:val="19"/>
          <w:color w:val="auto"/>
        </w:rPr>
        <w:t xml:space="preserve"> shall apply to payments required on such day.</w:t>
      </w:r>
    </w:p>
    <w:p>
      <w:pPr>
        <w:spacing w:after="0" w:line="136"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Real Estate Project </w:t>
      </w:r>
      <w:r>
        <w:rPr>
          <w:rFonts w:ascii="Times New Roman" w:cs="Times New Roman" w:eastAsia="Times New Roman" w:hAnsi="Times New Roman"/>
          <w:sz w:val="19"/>
          <w:szCs w:val="19"/>
          <w:color w:val="auto"/>
        </w:rPr>
        <w:t>means the acquisition, development, and operation or resale of any real estate asset or group of related real estate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assets (and directly related activities) by any Unrestricted Subsidiary.</w:t>
      </w:r>
    </w:p>
    <w:p>
      <w:pPr>
        <w:spacing w:after="0" w:line="149"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Recipient </w:t>
      </w:r>
      <w:r>
        <w:rPr>
          <w:rFonts w:ascii="Times New Roman" w:cs="Times New Roman" w:eastAsia="Times New Roman" w:hAnsi="Times New Roman"/>
          <w:sz w:val="19"/>
          <w:szCs w:val="19"/>
          <w:color w:val="auto"/>
        </w:rPr>
        <w:t>means Administrative Agent, any Lender, any L/C Issuer or any other recipient of any payment to be made by or on account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any obligation of any Restricted Company hereunder.</w:t>
      </w:r>
    </w:p>
    <w:p>
      <w:pPr>
        <w:spacing w:after="0" w:line="149" w:lineRule="exact"/>
        <w:rPr>
          <w:sz w:val="20"/>
          <w:szCs w:val="20"/>
          <w:color w:val="auto"/>
        </w:rPr>
      </w:pPr>
    </w:p>
    <w:p>
      <w:pPr>
        <w:jc w:val="both"/>
        <w:ind w:right="20"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Related Parties </w:t>
      </w:r>
      <w:r>
        <w:rPr>
          <w:rFonts w:ascii="Times New Roman" w:cs="Times New Roman" w:eastAsia="Times New Roman" w:hAnsi="Times New Roman"/>
          <w:sz w:val="19"/>
          <w:szCs w:val="19"/>
          <w:color w:val="auto"/>
        </w:rPr>
        <w:t>means, with respect to any Person, such Person’s Affiliates and the partners, directors, officers, employees, agents,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trustees, and advisors of such Person and of such Person’s Affiliates.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Representatives </w:t>
      </w:r>
      <w:r>
        <w:rPr>
          <w:rFonts w:ascii="Times New Roman" w:cs="Times New Roman" w:eastAsia="Times New Roman" w:hAnsi="Times New Roman"/>
          <w:sz w:val="19"/>
          <w:szCs w:val="19"/>
          <w:color w:val="auto"/>
        </w:rPr>
        <w:t>means representatives, officers, directors, employees, attorneys, and agents.</w:t>
      </w:r>
    </w:p>
    <w:p>
      <w:pPr>
        <w:spacing w:after="0" w:line="233"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b w:val="1"/>
          <w:bCs w:val="1"/>
          <w:i w:val="1"/>
          <w:iCs w:val="1"/>
          <w:u w:val="single" w:color="auto"/>
          <w:color w:val="3051F2"/>
        </w:rPr>
        <w:t xml:space="preserve">Required Delayed Draw Term Loan Lenders </w:t>
      </w:r>
      <w:r>
        <w:rPr>
          <w:rFonts w:ascii="Times New Roman" w:cs="Times New Roman" w:eastAsia="Times New Roman" w:hAnsi="Times New Roman"/>
          <w:sz w:val="19"/>
          <w:szCs w:val="19"/>
          <w:u w:val="single" w:color="auto"/>
          <w:color w:val="3051F2"/>
        </w:rPr>
        <w:t>means at least two (2) Delayed Draw Term Loan Lenders holding more than (a) 50% of</w:t>
      </w:r>
      <w:r>
        <w:rPr>
          <w:rFonts w:ascii="Times New Roman" w:cs="Times New Roman" w:eastAsia="Times New Roman" w:hAnsi="Times New Roman"/>
          <w:sz w:val="19"/>
          <w:szCs w:val="19"/>
          <w:b w:val="1"/>
          <w:bCs w:val="1"/>
          <w:i w:val="1"/>
          <w:iCs w:val="1"/>
          <w:u w:val="single" w:color="auto"/>
          <w:color w:val="3051F2"/>
        </w:rPr>
        <w:t xml:space="preserve"> </w:t>
      </w:r>
      <w:r>
        <w:rPr>
          <w:rFonts w:ascii="Times New Roman" w:cs="Times New Roman" w:eastAsia="Times New Roman" w:hAnsi="Times New Roman"/>
          <w:sz w:val="19"/>
          <w:szCs w:val="19"/>
          <w:u w:val="single" w:color="auto"/>
          <w:color w:val="3051F2"/>
        </w:rPr>
        <w:t xml:space="preserve">the Delayed Draw Term Loan Commitment, prior to the termination of the Delayed Draw Term Loan Commitment, or (b) 50% of the Delayed Draw Term Loan Principal Debt, after the termination of the Delayed Draw Term Loan Commitment; </w:t>
      </w:r>
      <w:r>
        <w:rPr>
          <w:rFonts w:ascii="Times New Roman" w:cs="Times New Roman" w:eastAsia="Times New Roman" w:hAnsi="Times New Roman"/>
          <w:sz w:val="19"/>
          <w:szCs w:val="19"/>
          <w:i w:val="1"/>
          <w:iCs w:val="1"/>
          <w:u w:val="single" w:color="auto"/>
          <w:color w:val="3051F2"/>
        </w:rPr>
        <w:t>provided, that</w:t>
      </w:r>
      <w:r>
        <w:rPr>
          <w:rFonts w:ascii="Times New Roman" w:cs="Times New Roman" w:eastAsia="Times New Roman" w:hAnsi="Times New Roman"/>
          <w:sz w:val="19"/>
          <w:szCs w:val="19"/>
          <w:u w:val="single" w:color="auto"/>
          <w:color w:val="3051F2"/>
        </w:rPr>
        <w:t xml:space="preserve"> the Delayed Draw Term Loan Commitment of, and the portion of the Delayed Draw Term Loan Principal Debt held or deemed held by, any Defaulting Lender shall be excluded for purposes of making a determination of Required Delayed Draw Term Loan Lenders.</w:t>
      </w:r>
    </w:p>
    <w:p>
      <w:pPr>
        <w:spacing w:after="0" w:line="173"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Required Lenders </w:t>
      </w:r>
      <w:r>
        <w:rPr>
          <w:rFonts w:ascii="Times New Roman" w:cs="Times New Roman" w:eastAsia="Times New Roman" w:hAnsi="Times New Roman"/>
          <w:sz w:val="19"/>
          <w:szCs w:val="19"/>
          <w:color w:val="auto"/>
        </w:rPr>
        <w:t>means Lenders holding more than (a) 50% of the Total Commitment, prior to the termination of the Total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Commitment, or (b) 50% of the Principal Debt, after the termination of the Total Commitment (with the aggregate amount of each Revolver Lender’s risk participation and funded participation in L/Cs being deemed “</w:t>
      </w:r>
      <w:r>
        <w:rPr>
          <w:rFonts w:ascii="Times New Roman" w:cs="Times New Roman" w:eastAsia="Times New Roman" w:hAnsi="Times New Roman"/>
          <w:sz w:val="19"/>
          <w:szCs w:val="19"/>
          <w:i w:val="1"/>
          <w:iCs w:val="1"/>
          <w:color w:val="auto"/>
        </w:rPr>
        <w:t>held</w:t>
      </w:r>
      <w:r>
        <w:rPr>
          <w:rFonts w:ascii="Times New Roman" w:cs="Times New Roman" w:eastAsia="Times New Roman" w:hAnsi="Times New Roman"/>
          <w:sz w:val="19"/>
          <w:szCs w:val="19"/>
          <w:color w:val="auto"/>
        </w:rPr>
        <w:t xml:space="preserve">” by such Revolver Lender for purposes of this definition);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 </w:t>
      </w:r>
      <w:r>
        <w:rPr>
          <w:rFonts w:ascii="Times New Roman" w:cs="Times New Roman" w:eastAsia="Times New Roman" w:hAnsi="Times New Roman"/>
          <w:sz w:val="19"/>
          <w:szCs w:val="19"/>
          <w:color w:val="auto"/>
        </w:rPr>
        <w:t>the Commitment of, and the portion of the Principal Debt held or deemed held by, any Defaulting Lender shall be excluded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purposes of making a determination of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1900" w:h="16838" w:orient="portrait"/>
          <w:cols w:equalWidth="0" w:num="1">
            <w:col w:w="11240"/>
          </w:cols>
          <w:pgMar w:left="320" w:top="1386" w:right="339" w:bottom="1440" w:gutter="0" w:footer="0" w:header="0"/>
        </w:sectPr>
      </w:pPr>
    </w:p>
    <w:bookmarkStart w:id="142" w:name="page143"/>
    <w:bookmarkEnd w:id="142"/>
    <w:p>
      <w:pPr>
        <w:jc w:val="both"/>
        <w:ind w:firstLine="637"/>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Required Revolver Lenders </w:t>
      </w:r>
      <w:r>
        <w:rPr>
          <w:rFonts w:ascii="Times New Roman" w:cs="Times New Roman" w:eastAsia="Times New Roman" w:hAnsi="Times New Roman"/>
          <w:sz w:val="19"/>
          <w:szCs w:val="19"/>
          <w:color w:val="auto"/>
        </w:rPr>
        <w:t>means Revolver Lenders holding more than (a) 50% of the Revolver Commitment, prior to the termination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Revolver Commitment, or (b) 50% of the Revolver Principal Debt, after the termination of the Revolver Commitment (with the aggregate amount of each Revolver Lender’s risk participation and funded participation in L/Cs being deemed “</w:t>
      </w:r>
      <w:r>
        <w:rPr>
          <w:rFonts w:ascii="Times New Roman" w:cs="Times New Roman" w:eastAsia="Times New Roman" w:hAnsi="Times New Roman"/>
          <w:sz w:val="19"/>
          <w:szCs w:val="19"/>
          <w:i w:val="1"/>
          <w:iCs w:val="1"/>
          <w:color w:val="auto"/>
        </w:rPr>
        <w:t>held</w:t>
      </w:r>
      <w:r>
        <w:rPr>
          <w:rFonts w:ascii="Times New Roman" w:cs="Times New Roman" w:eastAsia="Times New Roman" w:hAnsi="Times New Roman"/>
          <w:sz w:val="19"/>
          <w:szCs w:val="19"/>
          <w:color w:val="auto"/>
        </w:rPr>
        <w:t xml:space="preserve">” by such Revolver Lender for purposes of this definition);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the Revolver Commitment of, and the portion of the Revolver Principal Debt held or deemed held by, any Defaulting Lender shall be excluded for purposes of making a determination of Required Revolver Lenders.</w:t>
      </w:r>
    </w:p>
    <w:p>
      <w:pPr>
        <w:spacing w:after="0" w:line="17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Required Term Loan Lenders </w:t>
      </w:r>
      <w:r>
        <w:rPr>
          <w:rFonts w:ascii="Times New Roman" w:cs="Times New Roman" w:eastAsia="Times New Roman" w:hAnsi="Times New Roman"/>
          <w:sz w:val="19"/>
          <w:szCs w:val="19"/>
          <w:color w:val="auto"/>
        </w:rPr>
        <w:t>means at least two (2) Term Loan Lenders holding more than 50% of the Term Loan Principal Debt;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 </w:t>
      </w:r>
      <w:r>
        <w:rPr>
          <w:rFonts w:ascii="Times New Roman" w:cs="Times New Roman" w:eastAsia="Times New Roman" w:hAnsi="Times New Roman"/>
          <w:sz w:val="19"/>
          <w:szCs w:val="19"/>
          <w:color w:val="auto"/>
        </w:rPr>
        <w:t>the Term Loan Commitment of, and the portion of the Term Loan Principal Debt held or deemed held by, any Defaulting Lender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be excluded for purposes of making a determination of Required Term Loan Lenders.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Rescindable Amount </w:t>
      </w:r>
      <w:r>
        <w:rPr>
          <w:rFonts w:ascii="Times New Roman" w:cs="Times New Roman" w:eastAsia="Times New Roman" w:hAnsi="Times New Roman"/>
          <w:sz w:val="19"/>
          <w:szCs w:val="19"/>
          <w:color w:val="auto"/>
        </w:rPr>
        <w:t>has the meaning as defined in</w:t>
      </w:r>
      <w:r>
        <w:rPr>
          <w:rFonts w:ascii="Times New Roman" w:cs="Times New Roman" w:eastAsia="Times New Roman" w:hAnsi="Times New Roman"/>
          <w:sz w:val="19"/>
          <w:szCs w:val="19"/>
          <w:b w:val="1"/>
          <w:bCs w:val="1"/>
          <w:i w:val="1"/>
          <w:iCs w:val="1"/>
          <w:color w:val="auto"/>
        </w:rPr>
        <w:t xml:space="preserve"> Section 2.2(d)</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Resolution Authority </w:t>
      </w:r>
      <w:r>
        <w:rPr>
          <w:rFonts w:ascii="Times New Roman" w:cs="Times New Roman" w:eastAsia="Times New Roman" w:hAnsi="Times New Roman"/>
          <w:sz w:val="19"/>
          <w:szCs w:val="19"/>
          <w:color w:val="auto"/>
        </w:rPr>
        <w:t>means an EEA Resolution Authority or, with respect to any UK Financial Institution, a UK Resolution Authority.</w:t>
      </w:r>
    </w:p>
    <w:p>
      <w:pPr>
        <w:spacing w:after="0" w:line="233"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Responsible Officer </w:t>
      </w:r>
      <w:r>
        <w:rPr>
          <w:rFonts w:ascii="Times New Roman" w:cs="Times New Roman" w:eastAsia="Times New Roman" w:hAnsi="Times New Roman"/>
          <w:sz w:val="19"/>
          <w:szCs w:val="19"/>
          <w:color w:val="auto"/>
        </w:rPr>
        <w:t>means (a) the Chairman, President, Chief Executive Officer, Chief Financial Officer or Executive Vice President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and Chief Financial Officer, Executive Vice President, General Counsel and Secretary, or Senior Vice President, Controller and Chief Accounting Officer of Borrower (including any person holding any such position on an interim basis), (b) solely for purposes of the delivery of Loan Notices or L/C Agreements pursuant to </w:t>
      </w:r>
      <w:r>
        <w:rPr>
          <w:rFonts w:ascii="Times New Roman" w:cs="Times New Roman" w:eastAsia="Times New Roman" w:hAnsi="Times New Roman"/>
          <w:sz w:val="19"/>
          <w:szCs w:val="19"/>
          <w:b w:val="1"/>
          <w:bCs w:val="1"/>
          <w:i w:val="1"/>
          <w:iCs w:val="1"/>
          <w:color w:val="auto"/>
        </w:rPr>
        <w:t>Section 2</w:t>
      </w:r>
      <w:r>
        <w:rPr>
          <w:rFonts w:ascii="Times New Roman" w:cs="Times New Roman" w:eastAsia="Times New Roman" w:hAnsi="Times New Roman"/>
          <w:sz w:val="19"/>
          <w:szCs w:val="19"/>
          <w:color w:val="auto"/>
        </w:rPr>
        <w:t xml:space="preserve">, any officer of Borrower so designated by any officer referenced in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xml:space="preserve"> above in a notice to Administrative Agent, and (c) solely for purposes of the delivery of any incumbency certificates, any Secretary or Assistant Secretary of the applicable Restricted Company.</w:t>
      </w:r>
    </w:p>
    <w:p>
      <w:pPr>
        <w:spacing w:after="0" w:line="176"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Restricted Companies </w:t>
      </w:r>
      <w:r>
        <w:rPr>
          <w:rFonts w:ascii="Times New Roman" w:cs="Times New Roman" w:eastAsia="Times New Roman" w:hAnsi="Times New Roman"/>
          <w:sz w:val="19"/>
          <w:szCs w:val="19"/>
          <w:color w:val="auto"/>
        </w:rPr>
        <w:t>means VRI and all of VRI’s Restricted Subsidiaries; and</w:t>
      </w:r>
      <w:r>
        <w:rPr>
          <w:rFonts w:ascii="Times New Roman" w:cs="Times New Roman" w:eastAsia="Times New Roman" w:hAnsi="Times New Roman"/>
          <w:sz w:val="19"/>
          <w:szCs w:val="19"/>
          <w:b w:val="1"/>
          <w:bCs w:val="1"/>
          <w:i w:val="1"/>
          <w:iCs w:val="1"/>
          <w:color w:val="auto"/>
        </w:rPr>
        <w:t xml:space="preserve"> Restricted Company </w:t>
      </w:r>
      <w:r>
        <w:rPr>
          <w:rFonts w:ascii="Times New Roman" w:cs="Times New Roman" w:eastAsia="Times New Roman" w:hAnsi="Times New Roman"/>
          <w:sz w:val="19"/>
          <w:szCs w:val="19"/>
          <w:color w:val="auto"/>
        </w:rPr>
        <w:t>means any of the Restricted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Companies.</w:t>
      </w:r>
    </w:p>
    <w:p>
      <w:pPr>
        <w:spacing w:after="0" w:line="149"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Restricted Subsidiaries </w:t>
      </w:r>
      <w:r>
        <w:rPr>
          <w:rFonts w:ascii="Times New Roman" w:cs="Times New Roman" w:eastAsia="Times New Roman" w:hAnsi="Times New Roman"/>
          <w:sz w:val="19"/>
          <w:szCs w:val="19"/>
          <w:color w:val="auto"/>
        </w:rPr>
        <w:t>means (a) Gillett, (b) Borrower and (c) all of Borrower’s Subsidiaries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Unrestricted Subsidiaries);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b w:val="1"/>
          <w:bCs w:val="1"/>
          <w:i w:val="1"/>
          <w:iCs w:val="1"/>
          <w:color w:val="auto"/>
        </w:rPr>
        <w:t>Restricted Subsidiary</w:t>
      </w:r>
      <w:r>
        <w:rPr>
          <w:rFonts w:ascii="Times New Roman" w:cs="Times New Roman" w:eastAsia="Times New Roman" w:hAnsi="Times New Roman"/>
          <w:sz w:val="19"/>
          <w:szCs w:val="19"/>
          <w:color w:val="auto"/>
        </w:rPr>
        <w:t xml:space="preserve"> means any of the Restricted Subsidiaries.</w:t>
      </w:r>
    </w:p>
    <w:p>
      <w:pPr>
        <w:spacing w:after="0" w:line="149"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Revaluation Date </w:t>
      </w:r>
      <w:r>
        <w:rPr>
          <w:rFonts w:ascii="Times New Roman" w:cs="Times New Roman" w:eastAsia="Times New Roman" w:hAnsi="Times New Roman"/>
          <w:sz w:val="19"/>
          <w:szCs w:val="19"/>
          <w:color w:val="auto"/>
        </w:rPr>
        <w:t>means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EE2724"/>
          <w:strike w:val="1"/>
        </w:rPr>
        <w:t>(a)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with respect to any L/C, each of the following: (</w:t>
      </w:r>
      <w:r>
        <w:rPr>
          <w:rFonts w:ascii="Times New Roman" w:cs="Times New Roman" w:eastAsia="Times New Roman" w:hAnsi="Times New Roman"/>
          <w:sz w:val="19"/>
          <w:szCs w:val="19"/>
          <w:color w:val="EE2724"/>
          <w:strike w:val="1"/>
        </w:rPr>
        <w:t>i</w:t>
      </w:r>
      <w:r>
        <w:rPr>
          <w:rFonts w:ascii="Times New Roman" w:cs="Times New Roman" w:eastAsia="Times New Roman" w:hAnsi="Times New Roman"/>
          <w:sz w:val="19"/>
          <w:szCs w:val="19"/>
          <w:u w:val="single" w:color="auto"/>
          <w:color w:val="3051F2"/>
        </w:rPr>
        <w:t>a</w:t>
      </w:r>
      <w:r>
        <w:rPr>
          <w:rFonts w:ascii="Times New Roman" w:cs="Times New Roman" w:eastAsia="Times New Roman" w:hAnsi="Times New Roman"/>
          <w:sz w:val="19"/>
          <w:szCs w:val="19"/>
          <w:color w:val="auto"/>
        </w:rPr>
        <w:t>) each date of issuance, amendment and/or extension of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L/C denominated in the Alternative Currency, (</w:t>
      </w:r>
      <w:r>
        <w:rPr>
          <w:rFonts w:ascii="Times New Roman" w:cs="Times New Roman" w:eastAsia="Times New Roman" w:hAnsi="Times New Roman"/>
          <w:sz w:val="19"/>
          <w:szCs w:val="19"/>
          <w:color w:val="EE2724"/>
          <w:strike w:val="1"/>
        </w:rPr>
        <w:t>ii</w:t>
      </w:r>
      <w:r>
        <w:rPr>
          <w:rFonts w:ascii="Times New Roman" w:cs="Times New Roman" w:eastAsia="Times New Roman" w:hAnsi="Times New Roman"/>
          <w:sz w:val="19"/>
          <w:szCs w:val="19"/>
          <w:u w:val="single" w:color="auto"/>
          <w:color w:val="3051F2"/>
        </w:rPr>
        <w:t>b</w:t>
      </w:r>
      <w:r>
        <w:rPr>
          <w:rFonts w:ascii="Times New Roman" w:cs="Times New Roman" w:eastAsia="Times New Roman" w:hAnsi="Times New Roman"/>
          <w:sz w:val="19"/>
          <w:szCs w:val="19"/>
          <w:color w:val="auto"/>
        </w:rPr>
        <w:t>) each date of any payment by the Australian L/C Issuer under any L/C denominated in the Alternative Currency, and (</w:t>
      </w:r>
      <w:r>
        <w:rPr>
          <w:rFonts w:ascii="Times New Roman" w:cs="Times New Roman" w:eastAsia="Times New Roman" w:hAnsi="Times New Roman"/>
          <w:sz w:val="19"/>
          <w:szCs w:val="19"/>
          <w:color w:val="EE2724"/>
          <w:strike w:val="1"/>
        </w:rPr>
        <w:t>iii</w:t>
      </w:r>
      <w:r>
        <w:rPr>
          <w:rFonts w:ascii="Times New Roman" w:cs="Times New Roman" w:eastAsia="Times New Roman" w:hAnsi="Times New Roman"/>
          <w:sz w:val="19"/>
          <w:szCs w:val="19"/>
          <w:u w:val="single" w:color="auto"/>
          <w:color w:val="3051F2"/>
        </w:rPr>
        <w:t>c</w:t>
      </w:r>
      <w:r>
        <w:rPr>
          <w:rFonts w:ascii="Times New Roman" w:cs="Times New Roman" w:eastAsia="Times New Roman" w:hAnsi="Times New Roman"/>
          <w:sz w:val="19"/>
          <w:szCs w:val="19"/>
          <w:color w:val="auto"/>
        </w:rPr>
        <w:t>) such additional dates as Administrative Agent or the Australian L/C Issuer shall determine or the Required Revolver Lenders shall require</w:t>
      </w:r>
      <w:r>
        <w:rPr>
          <w:rFonts w:ascii="Times New Roman" w:cs="Times New Roman" w:eastAsia="Times New Roman" w:hAnsi="Times New Roman"/>
          <w:sz w:val="19"/>
          <w:szCs w:val="19"/>
          <w:color w:val="EE2724"/>
          <w:strike w:val="1"/>
        </w:rPr>
        <w:t>, and (b) with respect to any Term Loan, each of the following: (i) each date of a borrowing of a Term Reference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EE2724"/>
          <w:strike w:val="1"/>
        </w:rPr>
        <w:t xml:space="preserve">Rate Loan denominated in an Alternative Currency, (ii) each date of a continuation of a Term Reference Rate Loan denominated in an Alternative Currency pursuant to </w:t>
      </w:r>
      <w:r>
        <w:rPr>
          <w:rFonts w:ascii="Times New Roman" w:cs="Times New Roman" w:eastAsia="Times New Roman" w:hAnsi="Times New Roman"/>
          <w:sz w:val="19"/>
          <w:szCs w:val="19"/>
          <w:b w:val="1"/>
          <w:bCs w:val="1"/>
          <w:i w:val="1"/>
          <w:iCs w:val="1"/>
          <w:color w:val="EE2724"/>
          <w:strike w:val="1"/>
        </w:rPr>
        <w:t>Section 2.2</w:t>
      </w:r>
      <w:r>
        <w:rPr>
          <w:rFonts w:ascii="Times New Roman" w:cs="Times New Roman" w:eastAsia="Times New Roman" w:hAnsi="Times New Roman"/>
          <w:sz w:val="19"/>
          <w:szCs w:val="19"/>
          <w:color w:val="EE2724"/>
          <w:strike w:val="1"/>
        </w:rPr>
        <w:t>, and (iii) such additional dates as Administrative Agent shall determine or the Required Lenders shall require.</w:t>
      </w:r>
      <w:r>
        <w:rPr>
          <w:rFonts w:ascii="Times New Roman" w:cs="Times New Roman" w:eastAsia="Times New Roman" w:hAnsi="Times New Roman"/>
          <w:sz w:val="19"/>
          <w:szCs w:val="19"/>
          <w:u w:val="single" w:color="auto"/>
          <w:color w:val="3051F2"/>
          <w:strike w:val="1"/>
        </w:rPr>
        <w:t>.</w:t>
      </w:r>
    </w:p>
    <w:p>
      <w:pPr>
        <w:spacing w:after="0" w:line="200" w:lineRule="exact"/>
        <w:rPr>
          <w:sz w:val="20"/>
          <w:szCs w:val="20"/>
          <w:color w:val="auto"/>
        </w:rPr>
      </w:pPr>
    </w:p>
    <w:p>
      <w:pPr>
        <w:spacing w:after="0" w:line="213"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Revolver Commitment </w:t>
      </w:r>
      <w:r>
        <w:rPr>
          <w:rFonts w:ascii="Times New Roman" w:cs="Times New Roman" w:eastAsia="Times New Roman" w:hAnsi="Times New Roman"/>
          <w:sz w:val="19"/>
          <w:szCs w:val="19"/>
          <w:color w:val="auto"/>
        </w:rPr>
        <w:t>means, as to each Revolver Lender, its obligation to (a) make Revolver Loans to Borrower pursuant to</w:t>
      </w:r>
      <w:r>
        <w:rPr>
          <w:rFonts w:ascii="Times New Roman" w:cs="Times New Roman" w:eastAsia="Times New Roman" w:hAnsi="Times New Roman"/>
          <w:sz w:val="19"/>
          <w:szCs w:val="19"/>
          <w:b w:val="1"/>
          <w:bCs w:val="1"/>
          <w:i w:val="1"/>
          <w:iCs w:val="1"/>
          <w:color w:val="auto"/>
        </w:rPr>
        <w:t xml:space="preserve"> Section 2.1</w:t>
      </w:r>
      <w:r>
        <w:rPr>
          <w:rFonts w:ascii="Times New Roman" w:cs="Times New Roman" w:eastAsia="Times New Roman" w:hAnsi="Times New Roman"/>
          <w:sz w:val="19"/>
          <w:szCs w:val="19"/>
          <w:color w:val="auto"/>
        </w:rPr>
        <w:t>, and (b) purchase participations in the L/C Exposure, in an aggregate principal amount at any one time outstanding not to exceed the amount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set forth opposite such Revolver Lender’s name on </w:t>
      </w:r>
      <w:r>
        <w:rPr>
          <w:rFonts w:ascii="Times New Roman" w:cs="Times New Roman" w:eastAsia="Times New Roman" w:hAnsi="Times New Roman"/>
          <w:sz w:val="19"/>
          <w:szCs w:val="19"/>
          <w:b w:val="1"/>
          <w:bCs w:val="1"/>
          <w:i w:val="1"/>
          <w:iCs w:val="1"/>
          <w:color w:val="auto"/>
        </w:rPr>
        <w:t>Schedule 1</w:t>
      </w:r>
      <w:r>
        <w:rPr>
          <w:rFonts w:ascii="Times New Roman" w:cs="Times New Roman" w:eastAsia="Times New Roman" w:hAnsi="Times New Roman"/>
          <w:sz w:val="19"/>
          <w:szCs w:val="19"/>
          <w:color w:val="auto"/>
        </w:rPr>
        <w:t xml:space="preserve"> under the caption “</w:t>
      </w:r>
      <w:r>
        <w:rPr>
          <w:rFonts w:ascii="Times New Roman" w:cs="Times New Roman" w:eastAsia="Times New Roman" w:hAnsi="Times New Roman"/>
          <w:sz w:val="19"/>
          <w:szCs w:val="19"/>
          <w:i w:val="1"/>
          <w:iCs w:val="1"/>
          <w:color w:val="auto"/>
        </w:rPr>
        <w:t>Revolver Commitment</w:t>
      </w:r>
      <w:r>
        <w:rPr>
          <w:rFonts w:ascii="Times New Roman" w:cs="Times New Roman" w:eastAsia="Times New Roman" w:hAnsi="Times New Roman"/>
          <w:sz w:val="19"/>
          <w:szCs w:val="19"/>
          <w:color w:val="auto"/>
        </w:rPr>
        <w:t>” or opposite such caption in the Assignment and Assumption pursuant to which such Revolver Lender becomes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1900" w:h="16838" w:orient="portrait"/>
          <w:cols w:equalWidth="0" w:num="1">
            <w:col w:w="11240"/>
          </w:cols>
          <w:pgMar w:left="320" w:top="1386"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9"/>
          <w:szCs w:val="19"/>
          <w:color w:val="auto"/>
        </w:rPr>
        <w:t>hereto, as applicable (which amount is subject to increase, reduction, or cancellation in accordance with the Loan Papers).</w:t>
      </w:r>
    </w:p>
    <w:p>
      <w:pPr>
        <w:spacing w:after="0" w:line="229"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Revolver Commitment Usage </w:t>
      </w:r>
      <w:r>
        <w:rPr>
          <w:rFonts w:ascii="Times New Roman" w:cs="Times New Roman" w:eastAsia="Times New Roman" w:hAnsi="Times New Roman"/>
          <w:sz w:val="19"/>
          <w:szCs w:val="19"/>
          <w:color w:val="auto"/>
        </w:rPr>
        <w:t>means, at the time of any determination thereof,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sum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(a) the aggregate Outstanding Amount of all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Revolver Loans,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without duplication</w:t>
      </w:r>
      <w:r>
        <w:rPr>
          <w:rFonts w:ascii="Times New Roman" w:cs="Times New Roman" w:eastAsia="Times New Roman" w:hAnsi="Times New Roman"/>
          <w:sz w:val="19"/>
          <w:szCs w:val="19"/>
          <w:color w:val="auto"/>
        </w:rPr>
        <w:t>, (b) the L/C Exposure.</w:t>
      </w:r>
    </w:p>
    <w:p>
      <w:pPr>
        <w:spacing w:after="0" w:line="149"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Revolver Facility </w:t>
      </w:r>
      <w:r>
        <w:rPr>
          <w:rFonts w:ascii="Times New Roman" w:cs="Times New Roman" w:eastAsia="Times New Roman" w:hAnsi="Times New Roman"/>
          <w:sz w:val="19"/>
          <w:szCs w:val="19"/>
          <w:color w:val="auto"/>
        </w:rPr>
        <w:t>means the credit facility as described in and subject to the limitations set forth in</w:t>
      </w:r>
      <w:r>
        <w:rPr>
          <w:rFonts w:ascii="Times New Roman" w:cs="Times New Roman" w:eastAsia="Times New Roman" w:hAnsi="Times New Roman"/>
          <w:sz w:val="19"/>
          <w:szCs w:val="19"/>
          <w:b w:val="1"/>
          <w:bCs w:val="1"/>
          <w:i w:val="1"/>
          <w:iCs w:val="1"/>
          <w:color w:val="auto"/>
        </w:rPr>
        <w:t xml:space="preserve"> Section 2.1(a) </w:t>
      </w:r>
      <w:r>
        <w:rPr>
          <w:rFonts w:ascii="Times New Roman" w:cs="Times New Roman" w:eastAsia="Times New Roman" w:hAnsi="Times New Roman"/>
          <w:sz w:val="19"/>
          <w:szCs w:val="19"/>
          <w:color w:val="auto"/>
        </w:rPr>
        <w:t>hereof, including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L/C Subfacility.</w:t>
      </w:r>
    </w:p>
    <w:p>
      <w:pPr>
        <w:spacing w:after="0" w:line="149"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Revolver Lenders </w:t>
      </w:r>
      <w:r>
        <w:rPr>
          <w:rFonts w:ascii="Times New Roman" w:cs="Times New Roman" w:eastAsia="Times New Roman" w:hAnsi="Times New Roman"/>
          <w:sz w:val="19"/>
          <w:szCs w:val="19"/>
          <w:color w:val="auto"/>
        </w:rPr>
        <w:t>means, collectively, on any date of determination, Lenders having a Revolver Commitment under the Revolver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Facility or that are owed Revolver Principal Debt, and </w:t>
      </w:r>
      <w:r>
        <w:rPr>
          <w:rFonts w:ascii="Times New Roman" w:cs="Times New Roman" w:eastAsia="Times New Roman" w:hAnsi="Times New Roman"/>
          <w:sz w:val="19"/>
          <w:szCs w:val="19"/>
          <w:b w:val="1"/>
          <w:bCs w:val="1"/>
          <w:i w:val="1"/>
          <w:iCs w:val="1"/>
          <w:color w:val="auto"/>
        </w:rPr>
        <w:t>Revolver Lender</w:t>
      </w:r>
      <w:r>
        <w:rPr>
          <w:rFonts w:ascii="Times New Roman" w:cs="Times New Roman" w:eastAsia="Times New Roman" w:hAnsi="Times New Roman"/>
          <w:sz w:val="19"/>
          <w:szCs w:val="19"/>
          <w:color w:val="auto"/>
        </w:rPr>
        <w:t xml:space="preserve"> means any one of the Revolver Lenders.</w:t>
      </w:r>
    </w:p>
    <w:p>
      <w:pPr>
        <w:spacing w:after="0" w:line="123"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Revolver Loan </w:t>
      </w:r>
      <w:r>
        <w:rPr>
          <w:rFonts w:ascii="Times New Roman" w:cs="Times New Roman" w:eastAsia="Times New Roman" w:hAnsi="Times New Roman"/>
          <w:sz w:val="19"/>
          <w:szCs w:val="19"/>
          <w:color w:val="auto"/>
        </w:rPr>
        <w:t>means any Loan made under the Revolver Facility,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 L/C Borrowing. All Revolver Loans shall be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denominated in Dollars.</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Revolver Note </w:t>
      </w:r>
      <w:r>
        <w:rPr>
          <w:rFonts w:ascii="Times New Roman" w:cs="Times New Roman" w:eastAsia="Times New Roman" w:hAnsi="Times New Roman"/>
          <w:sz w:val="19"/>
          <w:szCs w:val="19"/>
          <w:color w:val="auto"/>
        </w:rPr>
        <w:t>means a promissory note in substantially the form of</w:t>
      </w:r>
      <w:r>
        <w:rPr>
          <w:rFonts w:ascii="Times New Roman" w:cs="Times New Roman" w:eastAsia="Times New Roman" w:hAnsi="Times New Roman"/>
          <w:sz w:val="19"/>
          <w:szCs w:val="19"/>
          <w:b w:val="1"/>
          <w:bCs w:val="1"/>
          <w:i w:val="1"/>
          <w:iCs w:val="1"/>
          <w:color w:val="auto"/>
        </w:rPr>
        <w:t xml:space="preserve"> Exhibit A-1</w:t>
      </w:r>
      <w:r>
        <w:rPr>
          <w:rFonts w:ascii="Times New Roman" w:cs="Times New Roman" w:eastAsia="Times New Roman" w:hAnsi="Times New Roman"/>
          <w:sz w:val="19"/>
          <w:szCs w:val="19"/>
          <w:color w:val="auto"/>
        </w:rPr>
        <w:t>, and all renewals and extensions of all or any part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thereof.</w:t>
      </w:r>
    </w:p>
    <w:p>
      <w:pPr>
        <w:spacing w:after="0" w:line="214"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Revolver Principal Debt </w:t>
      </w:r>
      <w:r>
        <w:rPr>
          <w:rFonts w:ascii="Times New Roman" w:cs="Times New Roman" w:eastAsia="Times New Roman" w:hAnsi="Times New Roman"/>
          <w:sz w:val="19"/>
          <w:szCs w:val="19"/>
          <w:color w:val="auto"/>
        </w:rPr>
        <w:t>means, at any time, the aggregate unpaid principal balance of all Revolver Loans, together with the aggregate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unpaid reimbursement obligations of Borrower in respect of drawings under any L/C (including, without limitation, any L/C Borrowing).</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Rights </w:t>
      </w:r>
      <w:r>
        <w:rPr>
          <w:rFonts w:ascii="Times New Roman" w:cs="Times New Roman" w:eastAsia="Times New Roman" w:hAnsi="Times New Roman"/>
          <w:sz w:val="19"/>
          <w:szCs w:val="19"/>
          <w:color w:val="auto"/>
        </w:rPr>
        <w:t>means rights, remedies, powers, privileges, and benefits.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S&amp;P </w:t>
      </w:r>
      <w:r>
        <w:rPr>
          <w:rFonts w:ascii="Times New Roman" w:cs="Times New Roman" w:eastAsia="Times New Roman" w:hAnsi="Times New Roman"/>
          <w:sz w:val="19"/>
          <w:szCs w:val="19"/>
          <w:color w:val="auto"/>
        </w:rPr>
        <w:t>means Standard &amp; Poor’s Ratings Group (a division of The McGraw Hill Companies, Inc.).</w:t>
      </w:r>
    </w:p>
    <w:p>
      <w:pPr>
        <w:spacing w:after="0" w:line="233"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Same Day Funds </w:t>
      </w:r>
      <w:r>
        <w:rPr>
          <w:rFonts w:ascii="Times New Roman" w:cs="Times New Roman" w:eastAsia="Times New Roman" w:hAnsi="Times New Roman"/>
          <w:sz w:val="19"/>
          <w:szCs w:val="19"/>
          <w:color w:val="auto"/>
        </w:rPr>
        <w:t>means (a) with respect to disbursements and payments in Dollars, immediately available funds, and (b) with respect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 disbursements and payments in an Alternative Currency, same day or other funds as may be determined by Administrative Agent or the L/C Issuer, as the case may be, to be customary in the place of disbursement or payment for the settlement of international banking transactions in the relevant Alternative Currency.</w:t>
      </w:r>
    </w:p>
    <w:p>
      <w:pPr>
        <w:spacing w:after="0" w:line="154"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Sanction </w:t>
      </w:r>
      <w:r>
        <w:rPr>
          <w:rFonts w:ascii="Times New Roman" w:cs="Times New Roman" w:eastAsia="Times New Roman" w:hAnsi="Times New Roman"/>
          <w:sz w:val="19"/>
          <w:szCs w:val="19"/>
          <w:color w:val="auto"/>
        </w:rPr>
        <w:t>means any international economic sanction administered or enforced by a United States Governmental Authority (including,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without limitation, OFAC), a Canadian Governmental Authority, an Australian Governmental Authority, the United Nations Security Council, the European Union, His Majesty’s Treasury (“</w:t>
      </w:r>
      <w:r>
        <w:rPr>
          <w:rFonts w:ascii="Times New Roman" w:cs="Times New Roman" w:eastAsia="Times New Roman" w:hAnsi="Times New Roman"/>
          <w:sz w:val="19"/>
          <w:szCs w:val="19"/>
          <w:b w:val="1"/>
          <w:bCs w:val="1"/>
          <w:i w:val="1"/>
          <w:iCs w:val="1"/>
          <w:color w:val="auto"/>
        </w:rPr>
        <w:t>HMT</w:t>
      </w:r>
      <w:r>
        <w:rPr>
          <w:rFonts w:ascii="Times New Roman" w:cs="Times New Roman" w:eastAsia="Times New Roman" w:hAnsi="Times New Roman"/>
          <w:sz w:val="19"/>
          <w:szCs w:val="19"/>
          <w:color w:val="auto"/>
        </w:rPr>
        <w:t>”), the Hong Kong Monetary Authority or other relevant sanctions authority.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Scheduled Unavailability Date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4.3</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Capital Lease Obligation </w:t>
      </w:r>
      <w:r>
        <w:rPr>
          <w:rFonts w:ascii="Times New Roman" w:cs="Times New Roman" w:eastAsia="Times New Roman" w:hAnsi="Times New Roman"/>
          <w:sz w:val="19"/>
          <w:szCs w:val="19"/>
          <w:color w:val="auto"/>
        </w:rPr>
        <w:t>means, at the time any determination thereof is to be made, the amount of the liability in respect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a capital lease that would at such time be required to be capitalized on a balance sheet in accordance with GAAP.</w:t>
      </w:r>
    </w:p>
    <w:p>
      <w:pPr>
        <w:spacing w:after="0" w:line="149"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Capital Stock </w:t>
      </w:r>
      <w:r>
        <w:rPr>
          <w:rFonts w:ascii="Times New Roman" w:cs="Times New Roman" w:eastAsia="Times New Roman" w:hAnsi="Times New Roman"/>
          <w:sz w:val="19"/>
          <w:szCs w:val="19"/>
          <w:color w:val="auto"/>
        </w:rPr>
        <w:t>means (a) in the case of a corporation, corporate stock, (b) in the case of an association or business entity,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any and all shares, interests, participations, rights or other equivalents (however designated) of corporate stock, (c) in the case of a partnership or limited liability company, partnership or membership interests (whether general or limited) and (d) any other interest or participation that confers on a Person the right to receive a share of the profits and losses of, or distributions of assets of, the issuing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1900" w:h="16838" w:orient="portrait"/>
          <w:cols w:equalWidth="0" w:num="1">
            <w:col w:w="11240"/>
          </w:cols>
          <w:pgMar w:left="320" w:top="1390" w:right="339" w:bottom="1440" w:gutter="0" w:footer="0" w:header="0"/>
        </w:sectPr>
      </w:pPr>
    </w:p>
    <w:bookmarkStart w:id="144" w:name="page145"/>
    <w:bookmarkEnd w:id="144"/>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Guarantee </w:t>
      </w:r>
      <w:r>
        <w:rPr>
          <w:rFonts w:ascii="Times New Roman" w:cs="Times New Roman" w:eastAsia="Times New Roman" w:hAnsi="Times New Roman"/>
          <w:sz w:val="19"/>
          <w:szCs w:val="19"/>
          <w:color w:val="auto"/>
        </w:rPr>
        <w:t>means a guarantee (other than by endorsement of negotiable instruments for collection in the ordinary course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business), direct or indirect, in any manner (including, without limitation, letters of credit and reimbursement agreements in respect thereof), of all or any part of any Section 10.9 Indebtedness.</w:t>
      </w:r>
    </w:p>
    <w:p>
      <w:pPr>
        <w:spacing w:after="0" w:line="162"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Hedging Obligations </w:t>
      </w:r>
      <w:r>
        <w:rPr>
          <w:rFonts w:ascii="Times New Roman" w:cs="Times New Roman" w:eastAsia="Times New Roman" w:hAnsi="Times New Roman"/>
          <w:sz w:val="19"/>
          <w:szCs w:val="19"/>
          <w:color w:val="auto"/>
        </w:rPr>
        <w:t>means, with respect to any Person, the obligations of such Person under (a) currency exchange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interest rate swap, cap or collar agreements and (b) other agreements or arrangements designed to protect such Person against fluctuations in currency exchange or interest rates.</w:t>
      </w:r>
    </w:p>
    <w:p>
      <w:pPr>
        <w:spacing w:after="0" w:line="162" w:lineRule="exact"/>
        <w:rPr>
          <w:sz w:val="20"/>
          <w:szCs w:val="20"/>
          <w:color w:val="auto"/>
        </w:rPr>
      </w:pPr>
    </w:p>
    <w:p>
      <w:pPr>
        <w:jc w:val="both"/>
        <w:ind w:firstLine="637"/>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Indebtedness </w:t>
      </w:r>
      <w:r>
        <w:rPr>
          <w:rFonts w:ascii="Times New Roman" w:cs="Times New Roman" w:eastAsia="Times New Roman" w:hAnsi="Times New Roman"/>
          <w:sz w:val="19"/>
          <w:szCs w:val="19"/>
          <w:color w:val="auto"/>
        </w:rPr>
        <w:t>means, with respect to any Person, without duplication, (a) any indebtedness of such Person, whether or not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contingent, in respect of borrowed money or evidenced by bonds, notes, debentures or similar instruments or letters of credit (or reimbursement agreements in respect thereof) or bankers’ acceptances or representing Section 10.9 Capital Lease Obligations or the balance deferred and unpaid of the purchase price of any property (which purchase price is due more than one year after taking title to such property) or services or representing any Section 10.9 Hedging Obligations, except any such balance that constitutes an accrued expense or trade payable, if and to the extent any of the foregoing indebtedness (other than letters of credit and Section 10.9 Hedging Obligations) would appear as a liability upon a balance sheet of such Person prepared in accordance with GAAP; (b) all indebtedness of others secured by a Lien on any asset of such Person (whether or not such indebtedness is assumed by such Person the amount of such obligation, to the extent it is without recourse to such Person, being deemed to be the lesser of the value of such property or assets or the amount of the obligation so secured); (c) to the extent not otherwise included, the Section 10.9 Guarantee by such Person of any Section 10.9 Indebtedness of any other Person;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 the amount outstanding at any time of any Section 10.9 Indebtedness issued with original issue discount is the face amount of such indebtedness less the remaining unamortized portion of the original issue discount of such Section 10.9 Indebtedness at such time as determined in conformity with GAAP; (ii) Section 10.9 Indebtedness shall not include any liability for federal, state, local or other taxes; and (iii) obligations of VRI or any Restricted Subsidiary with respect to Permitted Recourse Obligations shall not constitute Section 10.9 Indebtedness unless and until an event or circumstance occurs that triggers VRI’s or a Restricted Subsidiary’s direct payment liability or reimbursement obligation (as opposed to contingent or performance obligations) to the lender or other party to whom such Permitted Recourse Obligation is actually owed, in which case the amount of such direct payment liability to such lender or other party shall constitute Section 10.9 Indebtedness; and (d) with respect to any Restricted Subsidiary of VRI, Section 10.9 Preferred Stock of such Person (in an amount equal to the greater of (x) the sum of all obligations of such Person with respect to redemption, repayment or repurchase thereof and (y) the book value of such Section 10.9 Preferred Stock as reflected on the most recent financial statements of such Person).</w:t>
      </w:r>
    </w:p>
    <w:p>
      <w:pPr>
        <w:spacing w:after="0" w:line="171"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Net Income </w:t>
      </w:r>
      <w:r>
        <w:rPr>
          <w:rFonts w:ascii="Times New Roman" w:cs="Times New Roman" w:eastAsia="Times New Roman" w:hAnsi="Times New Roman"/>
          <w:sz w:val="19"/>
          <w:szCs w:val="19"/>
          <w:color w:val="auto"/>
        </w:rPr>
        <w:t>means, with respect to any Person, the net income (or loss) of such Person, determined in accordance with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GAAP and before any reduction in respect of Section 10.9 Preferred Stock dividends, excluding, however, (a) any gain (or loss), together with any related provision for taxes on such gain (or loss), realized in connection with (i) any disposition of assets (including, without limitation, dispositions pursuant to Section 10.9 Sale and Leaseback Transactions) or (ii) the disposition of any securities by such Person or any of its Subsidiaries or the extinguishment of any Section 10.9 Indebtedness of such Person or any of its Subsidiaries and (b) any extraordinary or nonrecurring gain or income (or loss, expense or charge), together with any related provision for taxes on such extraordinary or nonrecurring gain or income (or loss, expense or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1900" w:h="16838" w:orient="portrait"/>
          <w:cols w:equalWidth="0" w:num="1">
            <w:col w:w="11240"/>
          </w:cols>
          <w:pgMar w:left="320" w:top="1386" w:right="339" w:bottom="1440" w:gutter="0" w:footer="0" w:header="0"/>
        </w:sectPr>
      </w:pPr>
    </w:p>
    <w:bookmarkStart w:id="145" w:name="page146"/>
    <w:bookmarkEnd w:id="145"/>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Preferred Stock </w:t>
      </w:r>
      <w:r>
        <w:rPr>
          <w:rFonts w:ascii="Times New Roman" w:cs="Times New Roman" w:eastAsia="Times New Roman" w:hAnsi="Times New Roman"/>
          <w:sz w:val="19"/>
          <w:szCs w:val="19"/>
          <w:color w:val="auto"/>
        </w:rPr>
        <w:t>of any Person means Section 10.9 Capital Stock of such Person of any class or classes (however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designated) that ranks prior, as to the payment of dividends or as to the distribution of assets upon any voluntary or involuntary liquidation, dissolution or winding up of such Person, to shares of Section 10.9 Capital Stock of any other class of such Person.</w:t>
      </w:r>
    </w:p>
    <w:p>
      <w:pPr>
        <w:spacing w:after="0" w:line="162"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Sale and Leaseback Transaction </w:t>
      </w:r>
      <w:r>
        <w:rPr>
          <w:rFonts w:ascii="Times New Roman" w:cs="Times New Roman" w:eastAsia="Times New Roman" w:hAnsi="Times New Roman"/>
          <w:sz w:val="19"/>
          <w:szCs w:val="19"/>
          <w:color w:val="auto"/>
        </w:rPr>
        <w:t>means an arrangement relating to property now owned or hereafter acquired whereby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VRI or a Restricted Subsidiary transfers such property to a Person and VRI or a Restricted Subsidiary leases it from such Person.</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Secured Debt </w:t>
      </w:r>
      <w:r>
        <w:rPr>
          <w:rFonts w:ascii="Times New Roman" w:cs="Times New Roman" w:eastAsia="Times New Roman" w:hAnsi="Times New Roman"/>
          <w:sz w:val="19"/>
          <w:szCs w:val="19"/>
          <w:color w:val="auto"/>
        </w:rPr>
        <w:t>means Debt of a Restricted Company that is secured by the Collateral on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basis.</w:t>
      </w:r>
    </w:p>
    <w:p>
      <w:pPr>
        <w:spacing w:after="0" w:line="233" w:lineRule="exact"/>
        <w:rPr>
          <w:sz w:val="20"/>
          <w:szCs w:val="20"/>
          <w:color w:val="auto"/>
        </w:rPr>
      </w:pPr>
    </w:p>
    <w:p>
      <w:pPr>
        <w:jc w:val="both"/>
        <w:ind w:firstLine="637"/>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Securities Laws </w:t>
      </w:r>
      <w:r>
        <w:rPr>
          <w:rFonts w:ascii="Times New Roman" w:cs="Times New Roman" w:eastAsia="Times New Roman" w:hAnsi="Times New Roman"/>
          <w:sz w:val="19"/>
          <w:szCs w:val="19"/>
          <w:color w:val="auto"/>
        </w:rPr>
        <w:t>means the Securities Act of 1933, the Securities Exchange Act of 1934, and the applicable accounting and auditing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principles, rules, standards, and practices promulgated, approved, or incorporated by the Securities and Exchange Commission, or any Governmental Authority succeeding to any of its principal functions, or the Public Company Accounting Oversight Board, as each of the foregoing may be amended and in effect on any applicable date hereunder.</w:t>
      </w:r>
    </w:p>
    <w:p>
      <w:pPr>
        <w:spacing w:after="0" w:line="172"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Security Documents </w:t>
      </w:r>
      <w:r>
        <w:rPr>
          <w:rFonts w:ascii="Times New Roman" w:cs="Times New Roman" w:eastAsia="Times New Roman" w:hAnsi="Times New Roman"/>
          <w:sz w:val="19"/>
          <w:szCs w:val="19"/>
          <w:color w:val="auto"/>
        </w:rPr>
        <w:t>means, collectively, (a) each Pledge Agreement, any security agreement, mortgage, deed of trust, control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agreement, or other agreement or document, together with all related financing statements and stock powers, in form and substance reasonably satisfactory to Administrative Agent and its legal counsel, executed and delivered by any Person in connection with this Agreement to create a Lien in favor of Lenders on any of its real or personal property, as amended, modified, supplemented, restated, ratified, or reaffirmed; and (b) with respect to each Bond L/C, the trust indenture entered into in connection with such Bond L/C, and such other agreements and documents delivered by the Issuer (as defined in the applicable Bond L/C) and the applicable Trustee, pursuant to which such Issuer’s interest in the Trust Estate (as defined in the applicable trust indenture) and, upon payment in full of the applicable Bonds, such Trustee’s interest in the applicable Bond Documents, are assigned to the applicable L/C Issuer as security for payment of such Bonds.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Service </w:t>
      </w:r>
      <w:r>
        <w:rPr>
          <w:rFonts w:ascii="Times New Roman" w:cs="Times New Roman" w:eastAsia="Times New Roman" w:hAnsi="Times New Roman"/>
          <w:sz w:val="19"/>
          <w:szCs w:val="19"/>
          <w:color w:val="auto"/>
        </w:rPr>
        <w:t>means the U.S. Department of Agriculture Forest Service or any successor agency.</w:t>
      </w:r>
    </w:p>
    <w:p>
      <w:pPr>
        <w:spacing w:after="0" w:line="219"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Similar Business </w:t>
      </w:r>
      <w:r>
        <w:rPr>
          <w:rFonts w:ascii="Times New Roman" w:cs="Times New Roman" w:eastAsia="Times New Roman" w:hAnsi="Times New Roman"/>
          <w:sz w:val="19"/>
          <w:szCs w:val="19"/>
          <w:color w:val="auto"/>
        </w:rPr>
        <w:t>means any business conducted by VRI or any of its Subsidiaries on the Closing Date or any other recreation, leisure,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and/or hospitality business, including, without limitation, ski mountain resort operations or any business or activity that is reasonably similar thereto, a reasonable extension, development, or expansion thereof, or reasonably ancillary thereto.</w:t>
      </w:r>
    </w:p>
    <w:p>
      <w:pPr>
        <w:spacing w:after="0" w:line="162"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SOFR </w:t>
      </w:r>
      <w:r>
        <w:rPr>
          <w:rFonts w:ascii="Times New Roman" w:cs="Times New Roman" w:eastAsia="Times New Roman" w:hAnsi="Times New Roman"/>
          <w:sz w:val="19"/>
          <w:szCs w:val="19"/>
          <w:color w:val="auto"/>
        </w:rPr>
        <w:t>means the Secured Overnight Financing Rate as administered by the Federal Reserve Bank of New York (or a successor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administrator).</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SOFR Adjustment </w:t>
      </w:r>
      <w:r>
        <w:rPr>
          <w:rFonts w:ascii="Times New Roman" w:cs="Times New Roman" w:eastAsia="Times New Roman" w:hAnsi="Times New Roman"/>
          <w:sz w:val="19"/>
          <w:szCs w:val="19"/>
          <w:color w:val="auto"/>
        </w:rPr>
        <w:t>means 0.10%.</w:t>
      </w:r>
    </w:p>
    <w:p>
      <w:pPr>
        <w:spacing w:after="0" w:line="233"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SOFR Administrator </w:t>
      </w:r>
      <w:r>
        <w:rPr>
          <w:rFonts w:ascii="Times New Roman" w:cs="Times New Roman" w:eastAsia="Times New Roman" w:hAnsi="Times New Roman"/>
          <w:sz w:val="19"/>
          <w:szCs w:val="19"/>
          <w:color w:val="auto"/>
        </w:rPr>
        <w:t>means the Federal Reserve Bank of New York, as the administrator of SOFR, or any successor administrator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SOFR designated by the Federal Reserve Bank of New York or other person acting as the SOFR Administrator at such time.</w:t>
      </w:r>
    </w:p>
    <w:p>
      <w:pPr>
        <w:spacing w:after="0" w:line="149"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Solvent </w:t>
      </w:r>
      <w:r>
        <w:rPr>
          <w:rFonts w:ascii="Times New Roman" w:cs="Times New Roman" w:eastAsia="Times New Roman" w:hAnsi="Times New Roman"/>
          <w:sz w:val="19"/>
          <w:szCs w:val="19"/>
          <w:color w:val="auto"/>
        </w:rPr>
        <w:t>means, as to a Person, that (a) the aggregate fair market value of its assets exceeds its liabilities (whether contingent,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subordinated, unmatured, unliquidated, or otherwise), (b) it has sufficient cash flow to enable it to pay its Debts as they mature, and (c) it does not have unreasonably small capital to conduct its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1900" w:h="16838" w:orient="portrait"/>
          <w:cols w:equalWidth="0" w:num="1">
            <w:col w:w="11240"/>
          </w:cols>
          <w:pgMar w:left="320" w:top="1386" w:right="339" w:bottom="1440" w:gutter="0" w:footer="0" w:header="0"/>
        </w:sectPr>
      </w:pPr>
    </w:p>
    <w:bookmarkStart w:id="146" w:name="page147"/>
    <w:bookmarkEnd w:id="146"/>
    <w:p>
      <w:pPr>
        <w:jc w:val="both"/>
        <w:ind w:firstLine="637"/>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Spot Rate </w:t>
      </w:r>
      <w:r>
        <w:rPr>
          <w:rFonts w:ascii="Times New Roman" w:cs="Times New Roman" w:eastAsia="Times New Roman" w:hAnsi="Times New Roman"/>
          <w:sz w:val="19"/>
          <w:szCs w:val="19"/>
          <w:color w:val="auto"/>
        </w:rPr>
        <w:t>for a currency means the rate determined by Administrative Agent or Australian L/C Issuer, as the case may be, to be the rate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Administrative Agent or Australian L/C Issuer, as the case may be, may obtain such spot rate from another financial institution designated by Administrative Agent or Australian L/C Issuer, as the case may be, if the Person acting in such capacity does not have as of the date of determination a spot buying rate for any such currency;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Administrative Agent or Australian L/C Issuer, as the case may be, may use such spot rate quoted on the date as of which the foreign exchange computation is made in the case of any </w:t>
      </w:r>
      <w:r>
        <w:rPr>
          <w:rFonts w:ascii="Times New Roman" w:cs="Times New Roman" w:eastAsia="Times New Roman" w:hAnsi="Times New Roman"/>
          <w:sz w:val="19"/>
          <w:szCs w:val="19"/>
          <w:color w:val="EE2724"/>
          <w:strike w:val="1"/>
        </w:rPr>
        <w:t>Term Loan or</w:t>
      </w:r>
      <w:r>
        <w:rPr>
          <w:rFonts w:ascii="Times New Roman" w:cs="Times New Roman" w:eastAsia="Times New Roman" w:hAnsi="Times New Roman"/>
          <w:sz w:val="19"/>
          <w:szCs w:val="19"/>
          <w:color w:val="auto"/>
        </w:rPr>
        <w:t xml:space="preserve"> L/C denominated in the Alternative Currency.</w:t>
      </w:r>
    </w:p>
    <w:p>
      <w:pPr>
        <w:spacing w:after="0" w:line="175"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Springing Termination Date </w:t>
      </w:r>
      <w:r>
        <w:rPr>
          <w:rFonts w:ascii="Times New Roman" w:cs="Times New Roman" w:eastAsia="Times New Roman" w:hAnsi="Times New Roman"/>
          <w:sz w:val="19"/>
          <w:szCs w:val="19"/>
          <w:color w:val="auto"/>
        </w:rPr>
        <w:t>means, at any time, so long as the 2020 VRI Senior Notes are outstanding, the date that is 90 days prior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maturity 2020 VRI Senior Notes. For the avoidance of doubt, if the 2020 VRI Senior Notes have been discharged under the provisions of the indenture governing the 2020 VRI Senior Notes, they shall not be considered to be outstanding.</w:t>
      </w:r>
    </w:p>
    <w:p>
      <w:pPr>
        <w:spacing w:after="0" w:line="162"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Subordinated Debt </w:t>
      </w:r>
      <w:r>
        <w:rPr>
          <w:rFonts w:ascii="Times New Roman" w:cs="Times New Roman" w:eastAsia="Times New Roman" w:hAnsi="Times New Roman"/>
          <w:sz w:val="19"/>
          <w:szCs w:val="19"/>
          <w:color w:val="auto"/>
        </w:rPr>
        <w:t>means any unsecured indebtedness for borrowed money for which a Company is directly and primarily obligated,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 xml:space="preserve">so long as </w:t>
      </w:r>
      <w:r>
        <w:rPr>
          <w:rFonts w:ascii="Times New Roman" w:cs="Times New Roman" w:eastAsia="Times New Roman" w:hAnsi="Times New Roman"/>
          <w:sz w:val="19"/>
          <w:szCs w:val="19"/>
          <w:color w:val="auto"/>
        </w:rPr>
        <w:t>such Debt (a) does not have any stated maturity before the latest maturity of any part of the Obligation, and (b) is subordinated, upon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terms satisfactory to Administrative Agent, to the payment and collection of the Obligation.</w:t>
      </w:r>
    </w:p>
    <w:p>
      <w:pPr>
        <w:spacing w:after="0" w:line="148" w:lineRule="exact"/>
        <w:rPr>
          <w:sz w:val="20"/>
          <w:szCs w:val="20"/>
          <w:color w:val="auto"/>
        </w:rPr>
      </w:pPr>
    </w:p>
    <w:p>
      <w:pPr>
        <w:jc w:val="both"/>
        <w:ind w:firstLine="637"/>
        <w:spacing w:after="0" w:line="283" w:lineRule="auto"/>
        <w:rPr>
          <w:sz w:val="20"/>
          <w:szCs w:val="20"/>
          <w:color w:val="auto"/>
        </w:rPr>
      </w:pPr>
      <w:r>
        <w:rPr>
          <w:rFonts w:ascii="Times New Roman" w:cs="Times New Roman" w:eastAsia="Times New Roman" w:hAnsi="Times New Roman"/>
          <w:sz w:val="19"/>
          <w:szCs w:val="19"/>
          <w:b w:val="1"/>
          <w:bCs w:val="1"/>
          <w:i w:val="1"/>
          <w:iCs w:val="1"/>
          <w:color w:val="auto"/>
        </w:rPr>
        <w:t xml:space="preserve">Subsidiary </w:t>
      </w:r>
      <w:r>
        <w:rPr>
          <w:rFonts w:ascii="Times New Roman" w:cs="Times New Roman" w:eastAsia="Times New Roman" w:hAnsi="Times New Roman"/>
          <w:sz w:val="19"/>
          <w:szCs w:val="19"/>
          <w:color w:val="auto"/>
        </w:rPr>
        <w:t>means, with respect to any Person, any corporation, or other entity of which securities or other ownership interests having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ordinary voting power to elect a majority of the board of directors or other persons performing similar functions are at the time directly or indirectly owned by such Person.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Successor Rate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4.3</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Swap Obligations </w:t>
      </w:r>
      <w:r>
        <w:rPr>
          <w:rFonts w:ascii="Times New Roman" w:cs="Times New Roman" w:eastAsia="Times New Roman" w:hAnsi="Times New Roman"/>
          <w:sz w:val="19"/>
          <w:szCs w:val="19"/>
          <w:color w:val="auto"/>
        </w:rPr>
        <w:t>means with respect to any Guarantor any obligation to pay or perform under any agreement, contract or transaction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constitutes a “</w:t>
      </w:r>
      <w:r>
        <w:rPr>
          <w:rFonts w:ascii="Times New Roman" w:cs="Times New Roman" w:eastAsia="Times New Roman" w:hAnsi="Times New Roman"/>
          <w:sz w:val="19"/>
          <w:szCs w:val="19"/>
          <w:i w:val="1"/>
          <w:iCs w:val="1"/>
          <w:color w:val="auto"/>
        </w:rPr>
        <w:t>swap</w:t>
      </w:r>
      <w:r>
        <w:rPr>
          <w:rFonts w:ascii="Times New Roman" w:cs="Times New Roman" w:eastAsia="Times New Roman" w:hAnsi="Times New Roman"/>
          <w:sz w:val="19"/>
          <w:szCs w:val="19"/>
          <w:color w:val="auto"/>
        </w:rPr>
        <w:t xml:space="preserve">” within the meaning of </w:t>
      </w:r>
      <w:r>
        <w:rPr>
          <w:rFonts w:ascii="Times New Roman" w:cs="Times New Roman" w:eastAsia="Times New Roman" w:hAnsi="Times New Roman"/>
          <w:sz w:val="19"/>
          <w:szCs w:val="19"/>
          <w:i w:val="1"/>
          <w:iCs w:val="1"/>
          <w:color w:val="auto"/>
        </w:rPr>
        <w:t>Section 1a(47)</w:t>
      </w:r>
      <w:r>
        <w:rPr>
          <w:rFonts w:ascii="Times New Roman" w:cs="Times New Roman" w:eastAsia="Times New Roman" w:hAnsi="Times New Roman"/>
          <w:sz w:val="19"/>
          <w:szCs w:val="19"/>
          <w:color w:val="auto"/>
        </w:rPr>
        <w:t xml:space="preserve"> of the Commodity Exchange Act.</w:t>
      </w:r>
    </w:p>
    <w:p>
      <w:pPr>
        <w:spacing w:after="0" w:line="149"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Taxes </w:t>
      </w:r>
      <w:r>
        <w:rPr>
          <w:rFonts w:ascii="Times New Roman" w:cs="Times New Roman" w:eastAsia="Times New Roman" w:hAnsi="Times New Roman"/>
          <w:sz w:val="19"/>
          <w:szCs w:val="19"/>
          <w:color w:val="auto"/>
        </w:rPr>
        <w:t>means all present or future taxes, levies, imposts, duties, deductions, withholdings (including backup withholding), assessments,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fees, or other charges imposed by any Governmental Authority, including any interest, additions to tax, or penalties applicable thereto.</w:t>
      </w:r>
    </w:p>
    <w:p>
      <w:pPr>
        <w:spacing w:after="0" w:line="149"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Temporary Cash Investments </w:t>
      </w:r>
      <w:r>
        <w:rPr>
          <w:rFonts w:ascii="Times New Roman" w:cs="Times New Roman" w:eastAsia="Times New Roman" w:hAnsi="Times New Roman"/>
          <w:sz w:val="19"/>
          <w:szCs w:val="19"/>
          <w:color w:val="auto"/>
        </w:rPr>
        <w:t>means investments of the Restricted Companies permitted under</w:t>
      </w:r>
      <w:r>
        <w:rPr>
          <w:rFonts w:ascii="Times New Roman" w:cs="Times New Roman" w:eastAsia="Times New Roman" w:hAnsi="Times New Roman"/>
          <w:sz w:val="19"/>
          <w:szCs w:val="19"/>
          <w:b w:val="1"/>
          <w:bCs w:val="1"/>
          <w:i w:val="1"/>
          <w:iCs w:val="1"/>
          <w:color w:val="auto"/>
        </w:rPr>
        <w:t xml:space="preserve"> clauses (b) </w:t>
      </w:r>
      <w:r>
        <w:rPr>
          <w:rFonts w:ascii="Times New Roman" w:cs="Times New Roman" w:eastAsia="Times New Roman" w:hAnsi="Times New Roman"/>
          <w:sz w:val="19"/>
          <w:szCs w:val="19"/>
          <w:color w:val="auto"/>
        </w:rPr>
        <w:t>through</w:t>
      </w:r>
      <w:r>
        <w:rPr>
          <w:rFonts w:ascii="Times New Roman" w:cs="Times New Roman" w:eastAsia="Times New Roman" w:hAnsi="Times New Roman"/>
          <w:sz w:val="19"/>
          <w:szCs w:val="19"/>
          <w:b w:val="1"/>
          <w:bCs w:val="1"/>
          <w:i w:val="1"/>
          <w:iCs w:val="1"/>
          <w:color w:val="auto"/>
        </w:rPr>
        <w:t xml:space="preserve"> (g)</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(p)</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b w:val="1"/>
          <w:bCs w:val="1"/>
          <w:i w:val="1"/>
          <w:iCs w:val="1"/>
          <w:color w:val="auto"/>
        </w:rPr>
        <w:t xml:space="preserve"> (q) </w:t>
      </w:r>
      <w:r>
        <w:rPr>
          <w:rFonts w:ascii="Times New Roman" w:cs="Times New Roman" w:eastAsia="Times New Roman" w:hAnsi="Times New Roman"/>
          <w:sz w:val="19"/>
          <w:szCs w:val="19"/>
          <w:color w:val="auto"/>
        </w:rPr>
        <w:t>of</w:t>
      </w:r>
      <w:r>
        <w:rPr>
          <w:rFonts w:ascii="Times New Roman" w:cs="Times New Roman" w:eastAsia="Times New Roman" w:hAnsi="Times New Roman"/>
          <w:sz w:val="19"/>
          <w:szCs w:val="19"/>
          <w:b w:val="1"/>
          <w:bCs w:val="1"/>
          <w:i w:val="1"/>
          <w:iCs w:val="1"/>
          <w:color w:val="auto"/>
        </w:rPr>
        <w:t xml:space="preserve"> Section 10.8 </w:t>
      </w:r>
      <w:r>
        <w:rPr>
          <w:rFonts w:ascii="Times New Roman" w:cs="Times New Roman" w:eastAsia="Times New Roman" w:hAnsi="Times New Roman"/>
          <w:sz w:val="19"/>
          <w:szCs w:val="19"/>
          <w:color w:val="auto"/>
        </w:rPr>
        <w:t>hereof.</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Term Loan </w:t>
      </w:r>
      <w:r>
        <w:rPr>
          <w:rFonts w:ascii="Times New Roman" w:cs="Times New Roman" w:eastAsia="Times New Roman" w:hAnsi="Times New Roman"/>
          <w:sz w:val="19"/>
          <w:szCs w:val="19"/>
          <w:color w:val="auto"/>
        </w:rPr>
        <w:t>means any Loan made under the Term Loan Facility. All Term Loans shall be denominated in Dollars.</w:t>
      </w:r>
    </w:p>
    <w:p>
      <w:pPr>
        <w:spacing w:after="0" w:line="233"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Term Loan Borrowing </w:t>
      </w:r>
      <w:r>
        <w:rPr>
          <w:rFonts w:ascii="Times New Roman" w:cs="Times New Roman" w:eastAsia="Times New Roman" w:hAnsi="Times New Roman"/>
          <w:sz w:val="19"/>
          <w:szCs w:val="19"/>
          <w:color w:val="auto"/>
        </w:rPr>
        <w:t>means a borrowing consisting of simultaneous Term Loans of the same Type and, in the case of Term Reference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Rate Loans, having the same Interest Period made by each of the Term Loan Lenders pursuant to </w:t>
      </w:r>
      <w:r>
        <w:rPr>
          <w:rFonts w:ascii="Times New Roman" w:cs="Times New Roman" w:eastAsia="Times New Roman" w:hAnsi="Times New Roman"/>
          <w:sz w:val="19"/>
          <w:szCs w:val="19"/>
          <w:b w:val="1"/>
          <w:bCs w:val="1"/>
          <w:i w:val="1"/>
          <w:iCs w:val="1"/>
          <w:color w:val="auto"/>
        </w:rPr>
        <w:t>Section 2.1(b)</w:t>
      </w:r>
      <w:r>
        <w:rPr>
          <w:rFonts w:ascii="Times New Roman" w:cs="Times New Roman" w:eastAsia="Times New Roman" w:hAnsi="Times New Roman"/>
          <w:sz w:val="19"/>
          <w:szCs w:val="19"/>
          <w:color w:val="auto"/>
        </w:rPr>
        <w:t>.</w:t>
      </w:r>
    </w:p>
    <w:p>
      <w:pPr>
        <w:spacing w:after="0" w:line="149"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Term Loan Commitment </w:t>
      </w:r>
      <w:r>
        <w:rPr>
          <w:rFonts w:ascii="Times New Roman" w:cs="Times New Roman" w:eastAsia="Times New Roman" w:hAnsi="Times New Roman"/>
          <w:sz w:val="19"/>
          <w:szCs w:val="19"/>
          <w:color w:val="auto"/>
        </w:rPr>
        <w:t>means, as to each Term Loan Lender, its obligation to make Term Loans to Borrower pursuant to</w:t>
      </w:r>
      <w:r>
        <w:rPr>
          <w:rFonts w:ascii="Times New Roman" w:cs="Times New Roman" w:eastAsia="Times New Roman" w:hAnsi="Times New Roman"/>
          <w:sz w:val="19"/>
          <w:szCs w:val="19"/>
          <w:b w:val="1"/>
          <w:bCs w:val="1"/>
          <w:i w:val="1"/>
          <w:iCs w:val="1"/>
          <w:color w:val="auto"/>
        </w:rPr>
        <w:t xml:space="preserve"> Section 2.1(b) </w:t>
      </w:r>
      <w:r>
        <w:rPr>
          <w:rFonts w:ascii="Times New Roman" w:cs="Times New Roman" w:eastAsia="Times New Roman" w:hAnsi="Times New Roman"/>
          <w:sz w:val="19"/>
          <w:szCs w:val="19"/>
          <w:color w:val="auto"/>
        </w:rPr>
        <w:t>in an aggregate principal amount at any one time outstanding not to exceed the amount set forth opposite such Term Loan Lender’s name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on </w:t>
      </w:r>
      <w:r>
        <w:rPr>
          <w:rFonts w:ascii="Times New Roman" w:cs="Times New Roman" w:eastAsia="Times New Roman" w:hAnsi="Times New Roman"/>
          <w:sz w:val="19"/>
          <w:szCs w:val="19"/>
          <w:b w:val="1"/>
          <w:bCs w:val="1"/>
          <w:i w:val="1"/>
          <w:iCs w:val="1"/>
          <w:color w:val="auto"/>
        </w:rPr>
        <w:t>Schedule 1</w:t>
      </w:r>
      <w:r>
        <w:rPr>
          <w:rFonts w:ascii="Times New Roman" w:cs="Times New Roman" w:eastAsia="Times New Roman" w:hAnsi="Times New Roman"/>
          <w:sz w:val="19"/>
          <w:szCs w:val="19"/>
          <w:color w:val="auto"/>
        </w:rPr>
        <w:t xml:space="preserve"> under the caption “</w:t>
      </w:r>
      <w:r>
        <w:rPr>
          <w:rFonts w:ascii="Times New Roman" w:cs="Times New Roman" w:eastAsia="Times New Roman" w:hAnsi="Times New Roman"/>
          <w:sz w:val="19"/>
          <w:szCs w:val="19"/>
          <w:i w:val="1"/>
          <w:iCs w:val="1"/>
          <w:color w:val="auto"/>
        </w:rPr>
        <w:t>Term Loan Commitment</w:t>
      </w:r>
      <w:r>
        <w:rPr>
          <w:rFonts w:ascii="Times New Roman" w:cs="Times New Roman" w:eastAsia="Times New Roman" w:hAnsi="Times New Roman"/>
          <w:sz w:val="19"/>
          <w:szCs w:val="19"/>
          <w:color w:val="auto"/>
        </w:rPr>
        <w:t>” or opposite such caption in the Assignment and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1900" w:h="16838" w:orient="portrait"/>
          <w:cols w:equalWidth="0" w:num="1">
            <w:col w:w="11240"/>
          </w:cols>
          <w:pgMar w:left="320" w:top="1386" w:right="339" w:bottom="1440" w:gutter="0" w:footer="0" w:header="0"/>
        </w:sectPr>
      </w:pPr>
    </w:p>
    <w:bookmarkStart w:id="147" w:name="page148"/>
    <w:bookmarkEnd w:id="147"/>
    <w:p>
      <w:pPr>
        <w:spacing w:after="0" w:line="300" w:lineRule="auto"/>
        <w:rPr>
          <w:sz w:val="20"/>
          <w:szCs w:val="20"/>
          <w:color w:val="auto"/>
        </w:rPr>
      </w:pPr>
      <w:r>
        <w:rPr>
          <w:rFonts w:ascii="Times New Roman" w:cs="Times New Roman" w:eastAsia="Times New Roman" w:hAnsi="Times New Roman"/>
          <w:sz w:val="19"/>
          <w:szCs w:val="19"/>
          <w:color w:val="auto"/>
        </w:rPr>
        <w:t>pursuant to which such Term Loan Lender becomes a party hereto, as applicable, as such amount may be adjusted from time to time in accordance with this Agreement.</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Term Loan Facility </w:t>
      </w:r>
      <w:r>
        <w:rPr>
          <w:rFonts w:ascii="Times New Roman" w:cs="Times New Roman" w:eastAsia="Times New Roman" w:hAnsi="Times New Roman"/>
          <w:sz w:val="19"/>
          <w:szCs w:val="19"/>
          <w:color w:val="auto"/>
        </w:rPr>
        <w:t>means the credit facility as described in and subject to the limitations set forth in</w:t>
      </w:r>
      <w:r>
        <w:rPr>
          <w:rFonts w:ascii="Times New Roman" w:cs="Times New Roman" w:eastAsia="Times New Roman" w:hAnsi="Times New Roman"/>
          <w:sz w:val="19"/>
          <w:szCs w:val="19"/>
          <w:b w:val="1"/>
          <w:bCs w:val="1"/>
          <w:i w:val="1"/>
          <w:iCs w:val="1"/>
          <w:color w:val="auto"/>
        </w:rPr>
        <w:t xml:space="preserve"> Section 2.1(b) </w:t>
      </w:r>
      <w:r>
        <w:rPr>
          <w:rFonts w:ascii="Times New Roman" w:cs="Times New Roman" w:eastAsia="Times New Roman" w:hAnsi="Times New Roman"/>
          <w:sz w:val="19"/>
          <w:szCs w:val="19"/>
          <w:color w:val="auto"/>
        </w:rPr>
        <w:t>hereof.</w:t>
      </w:r>
    </w:p>
    <w:p>
      <w:pPr>
        <w:spacing w:after="0" w:line="233" w:lineRule="exact"/>
        <w:rPr>
          <w:sz w:val="20"/>
          <w:szCs w:val="20"/>
          <w:color w:val="auto"/>
        </w:rPr>
      </w:pPr>
    </w:p>
    <w:p>
      <w:pPr>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Term Loan Lenders </w:t>
      </w:r>
      <w:r>
        <w:rPr>
          <w:rFonts w:ascii="Times New Roman" w:cs="Times New Roman" w:eastAsia="Times New Roman" w:hAnsi="Times New Roman"/>
          <w:sz w:val="19"/>
          <w:szCs w:val="19"/>
          <w:color w:val="auto"/>
        </w:rPr>
        <w:t>means, collectively, on any date of determination, Lenders having a Term Loan Commitment under the Term Loan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Facility or that are owed any Term Loan Principal Debt, and </w:t>
      </w:r>
      <w:r>
        <w:rPr>
          <w:rFonts w:ascii="Times New Roman" w:cs="Times New Roman" w:eastAsia="Times New Roman" w:hAnsi="Times New Roman"/>
          <w:sz w:val="19"/>
          <w:szCs w:val="19"/>
          <w:b w:val="1"/>
          <w:bCs w:val="1"/>
          <w:i w:val="1"/>
          <w:iCs w:val="1"/>
          <w:color w:val="auto"/>
        </w:rPr>
        <w:t>Term Loan Lender</w:t>
      </w:r>
      <w:r>
        <w:rPr>
          <w:rFonts w:ascii="Times New Roman" w:cs="Times New Roman" w:eastAsia="Times New Roman" w:hAnsi="Times New Roman"/>
          <w:sz w:val="19"/>
          <w:szCs w:val="19"/>
          <w:color w:val="auto"/>
        </w:rPr>
        <w:t xml:space="preserve"> means any one of the Term Loan Lenders.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Term Loan Note </w:t>
      </w:r>
      <w:r>
        <w:rPr>
          <w:rFonts w:ascii="Times New Roman" w:cs="Times New Roman" w:eastAsia="Times New Roman" w:hAnsi="Times New Roman"/>
          <w:sz w:val="19"/>
          <w:szCs w:val="19"/>
          <w:color w:val="auto"/>
        </w:rPr>
        <w:t>means a promissory note substantially in the form of</w:t>
      </w:r>
      <w:r>
        <w:rPr>
          <w:rFonts w:ascii="Times New Roman" w:cs="Times New Roman" w:eastAsia="Times New Roman" w:hAnsi="Times New Roman"/>
          <w:sz w:val="19"/>
          <w:szCs w:val="19"/>
          <w:b w:val="1"/>
          <w:bCs w:val="1"/>
          <w:i w:val="1"/>
          <w:iCs w:val="1"/>
          <w:color w:val="auto"/>
        </w:rPr>
        <w:t xml:space="preserve"> Exhibit A-2</w:t>
      </w:r>
      <w:r>
        <w:rPr>
          <w:rFonts w:ascii="Times New Roman" w:cs="Times New Roman" w:eastAsia="Times New Roman" w:hAnsi="Times New Roman"/>
          <w:sz w:val="19"/>
          <w:szCs w:val="19"/>
          <w:color w:val="auto"/>
        </w:rPr>
        <w:t>, and all renewals and extensions of all or any part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thereof.</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Term Loan Principal Debt </w:t>
      </w:r>
      <w:r>
        <w:rPr>
          <w:rFonts w:ascii="Times New Roman" w:cs="Times New Roman" w:eastAsia="Times New Roman" w:hAnsi="Times New Roman"/>
          <w:sz w:val="19"/>
          <w:szCs w:val="19"/>
          <w:color w:val="auto"/>
        </w:rPr>
        <w:t>means, at any time, the aggregate unpaid principal balance of all Loans under the Term Loan Facility.</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Term Reference Rate </w:t>
      </w:r>
      <w:r>
        <w:rPr>
          <w:rFonts w:ascii="Times New Roman" w:cs="Times New Roman" w:eastAsia="Times New Roman" w:hAnsi="Times New Roman"/>
          <w:sz w:val="19"/>
          <w:szCs w:val="19"/>
          <w:color w:val="auto"/>
        </w:rPr>
        <w:t>means:</w:t>
      </w:r>
    </w:p>
    <w:p>
      <w:pPr>
        <w:spacing w:after="0" w:line="223" w:lineRule="exact"/>
        <w:rPr>
          <w:sz w:val="20"/>
          <w:szCs w:val="20"/>
          <w:color w:val="auto"/>
        </w:rPr>
      </w:pPr>
    </w:p>
    <w:p>
      <w:pPr>
        <w:jc w:val="both"/>
        <w:ind w:firstLine="643"/>
        <w:spacing w:after="0" w:line="270" w:lineRule="auto"/>
        <w:tabs>
          <w:tab w:leader="none" w:pos="1264"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Interest Period with respect to a Term SOFR Rate Loan, the rate per annum equal to the Term SOFR Screen Rate two U.S. Government Securities Business Days (“</w:t>
      </w:r>
      <w:r>
        <w:rPr>
          <w:rFonts w:ascii="Times New Roman" w:cs="Times New Roman" w:eastAsia="Times New Roman" w:hAnsi="Times New Roman"/>
          <w:sz w:val="19"/>
          <w:szCs w:val="19"/>
          <w:b w:val="1"/>
          <w:bCs w:val="1"/>
          <w:i w:val="1"/>
          <w:iCs w:val="1"/>
          <w:color w:val="auto"/>
        </w:rPr>
        <w:t>Term SOFR</w:t>
      </w:r>
      <w:r>
        <w:rPr>
          <w:rFonts w:ascii="Times New Roman" w:cs="Times New Roman" w:eastAsia="Times New Roman" w:hAnsi="Times New Roman"/>
          <w:sz w:val="19"/>
          <w:szCs w:val="19"/>
          <w:color w:val="auto"/>
        </w:rPr>
        <w:t xml:space="preserve">”) prior to the commencement of such Interest Period with a term equivalent to such Interest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rate is not published prior to 11:00 a.m. Eastern Time on such determination date then Term SOFR means the Term SOFR Screen Rate on the first U.S. Government Securities Business Day immediately prior thereto, in each case, plus the SOFR Adjustment; and</w:t>
      </w:r>
    </w:p>
    <w:p>
      <w:pPr>
        <w:spacing w:after="0" w:line="396" w:lineRule="exact"/>
        <w:rPr>
          <w:rFonts w:ascii="Times New Roman" w:cs="Times New Roman" w:eastAsia="Times New Roman" w:hAnsi="Times New Roman"/>
          <w:sz w:val="19"/>
          <w:szCs w:val="19"/>
          <w:color w:val="auto"/>
        </w:rPr>
      </w:pPr>
    </w:p>
    <w:p>
      <w:pPr>
        <w:jc w:val="both"/>
        <w:ind w:firstLine="643"/>
        <w:spacing w:after="0" w:line="270" w:lineRule="auto"/>
        <w:tabs>
          <w:tab w:leader="none" w:pos="1261"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any interest calculation with respect to a Base Rate Loan on any date, the rate per annum equal to the Term SOFR Screen Rate two U.S. Government Securities Business Days with a term of one month commencing that day;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rate is not published prior to 11:00 a.m. on such determination date then Term SOFR means the Term SOFR Screen Rate on the first U.S. Government Securities Business Day immediately prior thereto, in each case, plus the SOFR Adjustment;</w:t>
      </w:r>
    </w:p>
    <w:p>
      <w:pPr>
        <w:spacing w:after="0" w:line="169"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 </w:t>
      </w:r>
      <w:r>
        <w:rPr>
          <w:rFonts w:ascii="Times New Roman" w:cs="Times New Roman" w:eastAsia="Times New Roman" w:hAnsi="Times New Roman"/>
          <w:sz w:val="19"/>
          <w:szCs w:val="19"/>
          <w:color w:val="auto"/>
        </w:rPr>
        <w:t>to the extent a comparable or successor rate is approved by Administrative Agent in connection herewith, the approved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rate shall be applied in a manner consistent with market practice;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to the extent such market practice is not administratively feasible for Administrative Agent, such approved rate shall be applied in a manner as otherwise reasonably determined by Administrative Agent and disclosed to Borrower;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if the Term Reference Rate shall be less than 0.00%, such rate shall be deemed to be 0.00% for purposes of this Agreement.</w:t>
      </w:r>
    </w:p>
    <w:p>
      <w:pPr>
        <w:spacing w:after="0" w:line="171"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Term Reference Rate Loan </w:t>
      </w:r>
      <w:r>
        <w:rPr>
          <w:rFonts w:ascii="Times New Roman" w:cs="Times New Roman" w:eastAsia="Times New Roman" w:hAnsi="Times New Roman"/>
          <w:sz w:val="19"/>
          <w:szCs w:val="19"/>
          <w:color w:val="auto"/>
        </w:rPr>
        <w:t>means a Loan bearing interest at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sum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Term Reference Rate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Applicable Margin. All Loans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denominated in an Alternative Currency must be Term Reference Rate Loans.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Term SOFR </w:t>
      </w:r>
      <w:r>
        <w:rPr>
          <w:rFonts w:ascii="Times New Roman" w:cs="Times New Roman" w:eastAsia="Times New Roman" w:hAnsi="Times New Roman"/>
          <w:sz w:val="19"/>
          <w:szCs w:val="19"/>
          <w:color w:val="auto"/>
        </w:rPr>
        <w:t>has the meaning specified in the definition of “</w:t>
      </w:r>
      <w:r>
        <w:rPr>
          <w:rFonts w:ascii="Times New Roman" w:cs="Times New Roman" w:eastAsia="Times New Roman" w:hAnsi="Times New Roman"/>
          <w:sz w:val="19"/>
          <w:szCs w:val="19"/>
          <w:i w:val="1"/>
          <w:iCs w:val="1"/>
          <w:color w:val="auto"/>
        </w:rPr>
        <w:t>Term Reference Rate</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Term SOFR Rate Loan </w:t>
      </w:r>
      <w:r>
        <w:rPr>
          <w:rFonts w:ascii="Times New Roman" w:cs="Times New Roman" w:eastAsia="Times New Roman" w:hAnsi="Times New Roman"/>
          <w:sz w:val="19"/>
          <w:szCs w:val="19"/>
          <w:color w:val="auto"/>
        </w:rPr>
        <w:t>means a Loan made hereunder with respect to which the interest rate is calculated by reference to clause (a)</w:t>
      </w:r>
      <w:r>
        <w:rPr>
          <w:rFonts w:ascii="Times New Roman" w:cs="Times New Roman" w:eastAsia="Times New Roman" w:hAnsi="Times New Roman"/>
          <w:sz w:val="19"/>
          <w:szCs w:val="19"/>
          <w:color w:val="EE2724"/>
          <w:strike w:val="1"/>
        </w:rPr>
        <w:t>(i)</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definition of “</w:t>
      </w:r>
      <w:r>
        <w:rPr>
          <w:rFonts w:ascii="Times New Roman" w:cs="Times New Roman" w:eastAsia="Times New Roman" w:hAnsi="Times New Roman"/>
          <w:sz w:val="19"/>
          <w:szCs w:val="19"/>
          <w:i w:val="1"/>
          <w:iCs w:val="1"/>
          <w:color w:val="auto"/>
        </w:rPr>
        <w:t>Term Reference Rate</w:t>
      </w:r>
      <w:r>
        <w:rPr>
          <w:rFonts w:ascii="Times New Roman" w:cs="Times New Roman" w:eastAsia="Times New Roman" w:hAnsi="Times New Roman"/>
          <w:sz w:val="19"/>
          <w:szCs w:val="19"/>
          <w:color w:val="auto"/>
        </w:rPr>
        <w:t>.”</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Term SOFR Replacement Date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4.3</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1900" w:h="16838" w:orient="portrait"/>
          <w:cols w:equalWidth="0" w:num="1">
            <w:col w:w="11240"/>
          </w:cols>
          <w:pgMar w:left="320" w:top="1390" w:right="339" w:bottom="1440" w:gutter="0" w:footer="0" w:header="0"/>
        </w:sectPr>
      </w:pPr>
    </w:p>
    <w:bookmarkStart w:id="148" w:name="page149"/>
    <w:bookmarkEnd w:id="148"/>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Term SOFR Screen Rate </w:t>
      </w:r>
      <w:r>
        <w:rPr>
          <w:rFonts w:ascii="Times New Roman" w:cs="Times New Roman" w:eastAsia="Times New Roman" w:hAnsi="Times New Roman"/>
          <w:sz w:val="19"/>
          <w:szCs w:val="19"/>
          <w:color w:val="auto"/>
        </w:rPr>
        <w:t>means the forward-looking SOFR term rate administered by CME (or any successor administrator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satisfactory to Administrative Agent) and published on the applicable Reuters screen page (or such other commercially available source providing such quotations as may be designated by Administrative Agent from time to time).</w:t>
      </w:r>
    </w:p>
    <w:p>
      <w:pPr>
        <w:spacing w:after="0" w:line="162"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Termination Date </w:t>
      </w:r>
      <w:r>
        <w:rPr>
          <w:rFonts w:ascii="Times New Roman" w:cs="Times New Roman" w:eastAsia="Times New Roman" w:hAnsi="Times New Roman"/>
          <w:sz w:val="19"/>
          <w:szCs w:val="19"/>
          <w:color w:val="auto"/>
        </w:rPr>
        <w:t>means (a) for purposes of the Revolver Facility, the earliest of (i) April 24, 2029; (ii) the effective date upon which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Revolver Lenders’ Revolver Commitments are otherwise canceled or terminated; and (iii) the Springing Termination Date, and (b) for purposes of the Term Loan Facility </w:t>
      </w:r>
      <w:r>
        <w:rPr>
          <w:rFonts w:ascii="Times New Roman" w:cs="Times New Roman" w:eastAsia="Times New Roman" w:hAnsi="Times New Roman"/>
          <w:sz w:val="19"/>
          <w:szCs w:val="19"/>
          <w:color w:val="3051F2"/>
        </w:rPr>
        <w:t>and the Delayed Draw Term Loan Facility</w:t>
      </w:r>
      <w:r>
        <w:rPr>
          <w:rFonts w:ascii="Times New Roman" w:cs="Times New Roman" w:eastAsia="Times New Roman" w:hAnsi="Times New Roman"/>
          <w:sz w:val="19"/>
          <w:szCs w:val="19"/>
          <w:color w:val="auto"/>
        </w:rPr>
        <w:t xml:space="preserve">, the earliest of (i) April 24, 2029, (ii) the effective date of any other termination, cancellation or acceleration of the Term Loan Facility </w:t>
      </w:r>
      <w:r>
        <w:rPr>
          <w:rFonts w:ascii="Times New Roman" w:cs="Times New Roman" w:eastAsia="Times New Roman" w:hAnsi="Times New Roman"/>
          <w:sz w:val="19"/>
          <w:szCs w:val="19"/>
          <w:color w:val="3051F2"/>
        </w:rPr>
        <w:t>or the Delayed Draw Term Loan Facility, as applicable</w:t>
      </w:r>
      <w:r>
        <w:rPr>
          <w:rFonts w:ascii="Times New Roman" w:cs="Times New Roman" w:eastAsia="Times New Roman" w:hAnsi="Times New Roman"/>
          <w:sz w:val="19"/>
          <w:szCs w:val="19"/>
          <w:color w:val="auto"/>
        </w:rPr>
        <w:t>; and (iii) the Springing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1329690</wp:posOffset>
            </wp:positionH>
            <wp:positionV relativeFrom="paragraph">
              <wp:posOffset>-335280</wp:posOffset>
            </wp:positionV>
            <wp:extent cx="22294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229485" cy="825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-184150</wp:posOffset>
            </wp:positionV>
            <wp:extent cx="2950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950210" cy="825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Threshold Amount </w:t>
      </w:r>
      <w:r>
        <w:rPr>
          <w:rFonts w:ascii="Times New Roman" w:cs="Times New Roman" w:eastAsia="Times New Roman" w:hAnsi="Times New Roman"/>
          <w:sz w:val="19"/>
          <w:szCs w:val="19"/>
          <w:color w:val="auto"/>
        </w:rPr>
        <w:t>means $25,000,000.</w:t>
      </w:r>
    </w:p>
    <w:p>
      <w:pPr>
        <w:spacing w:after="0" w:line="219"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Total Assets </w:t>
      </w:r>
      <w:r>
        <w:rPr>
          <w:rFonts w:ascii="Times New Roman" w:cs="Times New Roman" w:eastAsia="Times New Roman" w:hAnsi="Times New Roman"/>
          <w:sz w:val="19"/>
          <w:szCs w:val="19"/>
          <w:color w:val="auto"/>
        </w:rPr>
        <w:t>means, as of any date of determination for the Restricted Companies on a consolidated basis, the book value of all assets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Restricted Companies (as determined in accordance with GAAP).</w:t>
      </w:r>
    </w:p>
    <w:p>
      <w:pPr>
        <w:spacing w:after="0" w:line="136"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Total Commitment </w:t>
      </w:r>
      <w:r>
        <w:rPr>
          <w:rFonts w:ascii="Times New Roman" w:cs="Times New Roman" w:eastAsia="Times New Roman" w:hAnsi="Times New Roman"/>
          <w:sz w:val="19"/>
          <w:szCs w:val="19"/>
          <w:color w:val="auto"/>
        </w:rPr>
        <w:t>means, at any time,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sum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all Commitments in effect for all Lenders in respect of the Revolver Facility</w:t>
      </w:r>
      <w:r>
        <w:rPr>
          <w:rFonts w:ascii="Times New Roman" w:cs="Times New Roman" w:eastAsia="Times New Roman" w:hAnsi="Times New Roman"/>
          <w:sz w:val="19"/>
          <w:szCs w:val="19"/>
          <w:u w:val="single" w:color="auto"/>
          <w:color w:val="3051F2"/>
        </w:rPr>
        <w: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3051F2"/>
        </w:rPr>
        <w:t>Term Loan Facility</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and the</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Term Loan Facility (as reduced or canceled under this Agreement).</w:t>
      </w:r>
    </w:p>
    <w:p>
      <w:pPr>
        <w:spacing w:after="0" w:line="149"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Total Leverage Ratio </w:t>
      </w:r>
      <w:r>
        <w:rPr>
          <w:rFonts w:ascii="Times New Roman" w:cs="Times New Roman" w:eastAsia="Times New Roman" w:hAnsi="Times New Roman"/>
          <w:sz w:val="19"/>
          <w:szCs w:val="19"/>
          <w:color w:val="auto"/>
        </w:rPr>
        <w:t>means, as of any date of determination, the ratio of (a) Funded Debt on the last day of the fiscal quarter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immediately preceding such date,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proceeds from the issuance of Permitted Debt held by the trustee of the 2020 VRI Senior Notes for purposes of their redemption, to (b) Adjusted EBITDA for the four fiscal quarters ending on such last day.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Trustee </w:t>
      </w:r>
      <w:r>
        <w:rPr>
          <w:rFonts w:ascii="Times New Roman" w:cs="Times New Roman" w:eastAsia="Times New Roman" w:hAnsi="Times New Roman"/>
          <w:sz w:val="19"/>
          <w:szCs w:val="19"/>
          <w:color w:val="auto"/>
        </w:rPr>
        <w:t>means any Trustee designated as the beneficiary of a Bond L/C.</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Type </w:t>
      </w:r>
      <w:r>
        <w:rPr>
          <w:rFonts w:ascii="Times New Roman" w:cs="Times New Roman" w:eastAsia="Times New Roman" w:hAnsi="Times New Roman"/>
          <w:sz w:val="19"/>
          <w:szCs w:val="19"/>
          <w:color w:val="auto"/>
        </w:rPr>
        <w:t>means any type of Loan determined with respect to the applicable interest option.</w:t>
      </w:r>
    </w:p>
    <w:p>
      <w:pPr>
        <w:spacing w:after="0" w:line="233" w:lineRule="exact"/>
        <w:rPr>
          <w:sz w:val="20"/>
          <w:szCs w:val="20"/>
          <w:color w:val="auto"/>
        </w:rPr>
      </w:pPr>
    </w:p>
    <w:p>
      <w:pPr>
        <w:jc w:val="both"/>
        <w:ind w:firstLine="637"/>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UK Financial Institution </w:t>
      </w:r>
      <w:r>
        <w:rPr>
          <w:rFonts w:ascii="Times New Roman" w:cs="Times New Roman" w:eastAsia="Times New Roman" w:hAnsi="Times New Roman"/>
          <w:sz w:val="19"/>
          <w:szCs w:val="19"/>
          <w:color w:val="auto"/>
        </w:rPr>
        <w:t>means any BRRD Undertaking (as such term is defined under the PRA Rulebook (as amended form time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2"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UK Resolution Authority </w:t>
      </w:r>
      <w:r>
        <w:rPr>
          <w:rFonts w:ascii="Times New Roman" w:cs="Times New Roman" w:eastAsia="Times New Roman" w:hAnsi="Times New Roman"/>
          <w:sz w:val="19"/>
          <w:szCs w:val="19"/>
          <w:color w:val="auto"/>
        </w:rPr>
        <w:t>means the Bank of England or any other public administrative authority having responsibility for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resolution of any UK Financial Institution.</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Unreimbursed Amount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2.3(c)(i)</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Unrestricted Cash </w:t>
      </w:r>
      <w:r>
        <w:rPr>
          <w:rFonts w:ascii="Times New Roman" w:cs="Times New Roman" w:eastAsia="Times New Roman" w:hAnsi="Times New Roman"/>
          <w:sz w:val="19"/>
          <w:szCs w:val="19"/>
          <w:color w:val="auto"/>
        </w:rPr>
        <w:t>means, on any date of determination, the aggregate amount of all cash and Temporary Cash Investments of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Restricted Companies not subject to any Lien or restriction (except for Liens of depository institutions securing payment of customary service charges, transfer fees, account maintenance fees, and charges for returned or dishonored items, and restrictions with respect to compensating balances). For purposes hereof, proceeds from the issuance of Permitted Debt held by the trustee of the 2020 VRI Senior Notes for purpose of their redemption shall be deemed Unrestricted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1900" w:h="16838" w:orient="portrait"/>
          <w:cols w:equalWidth="0" w:num="1">
            <w:col w:w="11240"/>
          </w:cols>
          <w:pgMar w:left="320" w:top="1386" w:right="339" w:bottom="1440" w:gutter="0" w:footer="0" w:header="0"/>
        </w:sectPr>
      </w:pPr>
    </w:p>
    <w:bookmarkStart w:id="149" w:name="page150"/>
    <w:bookmarkEnd w:id="149"/>
    <w:p>
      <w:pPr>
        <w:jc w:val="both"/>
        <w:ind w:firstLine="637"/>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Unrestricted Subsidiary </w:t>
      </w:r>
      <w:r>
        <w:rPr>
          <w:rFonts w:ascii="Times New Roman" w:cs="Times New Roman" w:eastAsia="Times New Roman" w:hAnsi="Times New Roman"/>
          <w:sz w:val="19"/>
          <w:szCs w:val="19"/>
          <w:color w:val="auto"/>
        </w:rPr>
        <w:t>means any existing Subsidiary or newly-formed Subsidiary created by Borrower pursuant to</w:t>
      </w:r>
      <w:r>
        <w:rPr>
          <w:rFonts w:ascii="Times New Roman" w:cs="Times New Roman" w:eastAsia="Times New Roman" w:hAnsi="Times New Roman"/>
          <w:sz w:val="19"/>
          <w:szCs w:val="19"/>
          <w:b w:val="1"/>
          <w:bCs w:val="1"/>
          <w:i w:val="1"/>
          <w:iCs w:val="1"/>
          <w:color w:val="auto"/>
        </w:rPr>
        <w:t xml:space="preserve"> Section 9.10 </w:t>
      </w:r>
      <w:r>
        <w:rPr>
          <w:rFonts w:ascii="Times New Roman" w:cs="Times New Roman" w:eastAsia="Times New Roman" w:hAnsi="Times New Roman"/>
          <w:sz w:val="19"/>
          <w:szCs w:val="19"/>
          <w:color w:val="auto"/>
        </w:rPr>
        <w:t xml:space="preserve">(which may be a partnership, joint venture, corporation, limited liability company, or other entity) (a) which does not own any Forest Service Permit, the stock of any Restricted Company, or any Critical Assets (except as permitted under </w:t>
      </w:r>
      <w:r>
        <w:rPr>
          <w:rFonts w:ascii="Times New Roman" w:cs="Times New Roman" w:eastAsia="Times New Roman" w:hAnsi="Times New Roman"/>
          <w:sz w:val="19"/>
          <w:szCs w:val="19"/>
          <w:b w:val="1"/>
          <w:bCs w:val="1"/>
          <w:i w:val="1"/>
          <w:iCs w:val="1"/>
          <w:color w:val="auto"/>
        </w:rPr>
        <w:t>Section 9.7(b)</w:t>
      </w:r>
      <w:r>
        <w:rPr>
          <w:rFonts w:ascii="Times New Roman" w:cs="Times New Roman" w:eastAsia="Times New Roman" w:hAnsi="Times New Roman"/>
          <w:sz w:val="19"/>
          <w:szCs w:val="19"/>
          <w:color w:val="auto"/>
        </w:rPr>
        <w:t xml:space="preserve"> hereof), (b) which has (and whose other partners, joint venturers, members, or shareholders have) no Debt or other material obligation which is recourse to any Restricted Company or to the assets of any Restricted Company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(i) pursuant to Permitted Recourse Obligations and (ii) as otherwise permitted in </w:t>
      </w:r>
      <w:r>
        <w:rPr>
          <w:rFonts w:ascii="Times New Roman" w:cs="Times New Roman" w:eastAsia="Times New Roman" w:hAnsi="Times New Roman"/>
          <w:sz w:val="19"/>
          <w:szCs w:val="19"/>
          <w:b w:val="1"/>
          <w:bCs w:val="1"/>
          <w:i w:val="1"/>
          <w:iCs w:val="1"/>
          <w:color w:val="auto"/>
        </w:rPr>
        <w:t>clause (g)</w:t>
      </w:r>
      <w:r>
        <w:rPr>
          <w:rFonts w:ascii="Times New Roman" w:cs="Times New Roman" w:eastAsia="Times New Roman" w:hAnsi="Times New Roman"/>
          <w:sz w:val="19"/>
          <w:szCs w:val="19"/>
          <w:color w:val="auto"/>
        </w:rPr>
        <w:t xml:space="preserve"> of the definition of “</w:t>
      </w:r>
      <w:r>
        <w:rPr>
          <w:rFonts w:ascii="Times New Roman" w:cs="Times New Roman" w:eastAsia="Times New Roman" w:hAnsi="Times New Roman"/>
          <w:sz w:val="19"/>
          <w:szCs w:val="19"/>
          <w:i w:val="1"/>
          <w:iCs w:val="1"/>
          <w:color w:val="auto"/>
        </w:rPr>
        <w:t>Permitted Debt</w:t>
      </w:r>
      <w:r>
        <w:rPr>
          <w:rFonts w:ascii="Times New Roman" w:cs="Times New Roman" w:eastAsia="Times New Roman" w:hAnsi="Times New Roman"/>
          <w:sz w:val="19"/>
          <w:szCs w:val="19"/>
          <w:color w:val="auto"/>
        </w:rPr>
        <w:t xml:space="preserve">”), and (c) which is specifically identified in this definition or has been designated by Borrower as an Unrestricted Subsidiary by notice to Administrative Agent under </w:t>
      </w:r>
      <w:r>
        <w:rPr>
          <w:rFonts w:ascii="Times New Roman" w:cs="Times New Roman" w:eastAsia="Times New Roman" w:hAnsi="Times New Roman"/>
          <w:sz w:val="19"/>
          <w:szCs w:val="19"/>
          <w:b w:val="1"/>
          <w:bCs w:val="1"/>
          <w:i w:val="1"/>
          <w:iCs w:val="1"/>
          <w:color w:val="auto"/>
        </w:rPr>
        <w:t>Section 9.11</w:t>
      </w:r>
      <w:r>
        <w:rPr>
          <w:rFonts w:ascii="Times New Roman" w:cs="Times New Roman" w:eastAsia="Times New Roman" w:hAnsi="Times New Roman"/>
          <w:sz w:val="19"/>
          <w:szCs w:val="19"/>
          <w:color w:val="auto"/>
        </w:rPr>
        <w:t xml:space="preserve"> hereof. The Unrestricted Subsidiaries are reflected on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hereto (as the same may be updated from time to time).</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U.S. </w:t>
      </w:r>
      <w:r>
        <w:rPr>
          <w:rFonts w:ascii="Times New Roman" w:cs="Times New Roman" w:eastAsia="Times New Roman" w:hAnsi="Times New Roman"/>
          <w:sz w:val="19"/>
          <w:szCs w:val="19"/>
          <w:color w:val="auto"/>
        </w:rPr>
        <w:t>means the United States of America.</w:t>
      </w:r>
    </w:p>
    <w:p>
      <w:pPr>
        <w:spacing w:after="0" w:line="219" w:lineRule="exact"/>
        <w:rPr>
          <w:sz w:val="20"/>
          <w:szCs w:val="20"/>
          <w:color w:val="auto"/>
        </w:rPr>
      </w:pPr>
    </w:p>
    <w:p>
      <w:pPr>
        <w:jc w:val="both"/>
        <w:ind w:firstLine="637"/>
        <w:spacing w:after="0" w:line="283" w:lineRule="auto"/>
        <w:rPr>
          <w:sz w:val="20"/>
          <w:szCs w:val="20"/>
          <w:color w:val="auto"/>
        </w:rPr>
      </w:pPr>
      <w:r>
        <w:rPr>
          <w:rFonts w:ascii="Times New Roman" w:cs="Times New Roman" w:eastAsia="Times New Roman" w:hAnsi="Times New Roman"/>
          <w:sz w:val="19"/>
          <w:szCs w:val="19"/>
          <w:b w:val="1"/>
          <w:bCs w:val="1"/>
          <w:i w:val="1"/>
          <w:iCs w:val="1"/>
          <w:color w:val="auto"/>
        </w:rPr>
        <w:t xml:space="preserve">U.S. Government Securities Business Day </w:t>
      </w:r>
      <w:r>
        <w:rPr>
          <w:rFonts w:ascii="Times New Roman" w:cs="Times New Roman" w:eastAsia="Times New Roman" w:hAnsi="Times New Roman"/>
          <w:sz w:val="19"/>
          <w:szCs w:val="19"/>
          <w:color w:val="auto"/>
        </w:rPr>
        <w:t>means any day except for (a) a Saturday, (b) a Sunday or (c) a day on which the Securities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Industry and Financial Markets Association recommends that the fixed income departments of its members be closed for the entire day for purposes of trading in United States government securities.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U.S. Person </w:t>
      </w:r>
      <w:r>
        <w:rPr>
          <w:rFonts w:ascii="Times New Roman" w:cs="Times New Roman" w:eastAsia="Times New Roman" w:hAnsi="Times New Roman"/>
          <w:sz w:val="19"/>
          <w:szCs w:val="19"/>
          <w:color w:val="auto"/>
        </w:rPr>
        <w:t>means any Person that is a “</w:t>
      </w:r>
      <w:r>
        <w:rPr>
          <w:rFonts w:ascii="Times New Roman" w:cs="Times New Roman" w:eastAsia="Times New Roman" w:hAnsi="Times New Roman"/>
          <w:sz w:val="19"/>
          <w:szCs w:val="19"/>
          <w:i w:val="1"/>
          <w:iCs w:val="1"/>
          <w:color w:val="auto"/>
        </w:rPr>
        <w:t>United States Person</w:t>
      </w:r>
      <w:r>
        <w:rPr>
          <w:rFonts w:ascii="Times New Roman" w:cs="Times New Roman" w:eastAsia="Times New Roman" w:hAnsi="Times New Roman"/>
          <w:sz w:val="19"/>
          <w:szCs w:val="19"/>
          <w:color w:val="auto"/>
        </w:rPr>
        <w:t>” as defined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Section 7701(a)(30)</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Code</w:t>
      </w:r>
      <w:r>
        <w:rPr>
          <w:rFonts w:ascii="Times New Roman" w:cs="Times New Roman" w:eastAsia="Times New Roman" w:hAnsi="Times New Roman"/>
          <w:sz w:val="19"/>
          <w:szCs w:val="19"/>
          <w:i w:val="1"/>
          <w:iCs w:val="1"/>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U.S. Tax Compliance Certificate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4.1(e)(ii)(B)(III)</w:t>
      </w:r>
      <w:r>
        <w:rPr>
          <w:rFonts w:ascii="Times New Roman" w:cs="Times New Roman" w:eastAsia="Times New Roman" w:hAnsi="Times New Roman"/>
          <w:sz w:val="19"/>
          <w:szCs w:val="19"/>
          <w:i w:val="1"/>
          <w:iCs w:val="1"/>
          <w:color w:val="auto"/>
        </w:rPr>
        <w:t>.</w:t>
      </w:r>
    </w:p>
    <w:p>
      <w:pPr>
        <w:spacing w:after="0" w:line="219" w:lineRule="exact"/>
        <w:rPr>
          <w:sz w:val="20"/>
          <w:szCs w:val="20"/>
          <w:color w:val="auto"/>
        </w:rPr>
      </w:pPr>
    </w:p>
    <w:p>
      <w:pPr>
        <w:jc w:val="both"/>
        <w:ind w:firstLine="637"/>
        <w:spacing w:after="0" w:line="283" w:lineRule="auto"/>
        <w:rPr>
          <w:sz w:val="20"/>
          <w:szCs w:val="20"/>
          <w:color w:val="auto"/>
        </w:rPr>
      </w:pPr>
      <w:r>
        <w:rPr>
          <w:rFonts w:ascii="Times New Roman" w:cs="Times New Roman" w:eastAsia="Times New Roman" w:hAnsi="Times New Roman"/>
          <w:sz w:val="19"/>
          <w:szCs w:val="19"/>
          <w:b w:val="1"/>
          <w:bCs w:val="1"/>
          <w:i w:val="1"/>
          <w:iCs w:val="1"/>
          <w:color w:val="auto"/>
        </w:rPr>
        <w:t xml:space="preserve">Vail Bonds </w:t>
      </w:r>
      <w:r>
        <w:rPr>
          <w:rFonts w:ascii="Times New Roman" w:cs="Times New Roman" w:eastAsia="Times New Roman" w:hAnsi="Times New Roman"/>
          <w:sz w:val="19"/>
          <w:szCs w:val="19"/>
          <w:color w:val="auto"/>
        </w:rPr>
        <w:t>means the Eagle County, Colorado Sports Facilities Revenue Refunding Bonds Series 1998, in the original principal amount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$41,200,000, and any refinancing thereof to the extent the structure of any such refinancing is substantially similar to the structure of the Debt refinanced thereby, and the principal amount refinanced does not exceed the original principal amount of such Debt.</w:t>
      </w:r>
    </w:p>
    <w:p>
      <w:pPr>
        <w:spacing w:after="0" w:line="142" w:lineRule="exact"/>
        <w:rPr>
          <w:sz w:val="20"/>
          <w:szCs w:val="20"/>
          <w:color w:val="auto"/>
        </w:rPr>
      </w:pPr>
    </w:p>
    <w:p>
      <w:pPr>
        <w:jc w:val="both"/>
        <w:ind w:firstLine="637"/>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 xml:space="preserve">Vail Summit Resorts </w:t>
      </w:r>
      <w:r>
        <w:rPr>
          <w:rFonts w:ascii="Times New Roman" w:cs="Times New Roman" w:eastAsia="Times New Roman" w:hAnsi="Times New Roman"/>
          <w:sz w:val="19"/>
          <w:szCs w:val="19"/>
          <w:color w:val="auto"/>
        </w:rPr>
        <w:t>means Vail Summit Resorts, Inc. (f/k/a “</w:t>
      </w:r>
      <w:r>
        <w:rPr>
          <w:rFonts w:ascii="Times New Roman" w:cs="Times New Roman" w:eastAsia="Times New Roman" w:hAnsi="Times New Roman"/>
          <w:sz w:val="19"/>
          <w:szCs w:val="19"/>
          <w:i w:val="1"/>
          <w:iCs w:val="1"/>
          <w:color w:val="auto"/>
        </w:rPr>
        <w:t>Ralston Resorts, Inc.</w:t>
      </w:r>
      <w:r>
        <w:rPr>
          <w:rFonts w:ascii="Times New Roman" w:cs="Times New Roman" w:eastAsia="Times New Roman" w:hAnsi="Times New Roman"/>
          <w:sz w:val="19"/>
          <w:szCs w:val="19"/>
          <w:color w:val="auto"/>
        </w:rPr>
        <w:t>”), a Colorado corporation and a Wholly Owned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Subsidiary of Borrower.</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VHF B.V. </w:t>
      </w:r>
      <w:r>
        <w:rPr>
          <w:rFonts w:ascii="Times New Roman" w:cs="Times New Roman" w:eastAsia="Times New Roman" w:hAnsi="Times New Roman"/>
          <w:sz w:val="19"/>
          <w:szCs w:val="19"/>
          <w:color w:val="auto"/>
        </w:rPr>
        <w:t>means Vail Holdings Finance, B.V., a besloten vennootschap existing under the Laws of The Netherlands.</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VRI </w:t>
      </w:r>
      <w:r>
        <w:rPr>
          <w:rFonts w:ascii="Times New Roman" w:cs="Times New Roman" w:eastAsia="Times New Roman" w:hAnsi="Times New Roman"/>
          <w:sz w:val="19"/>
          <w:szCs w:val="19"/>
          <w:color w:val="auto"/>
        </w:rPr>
        <w:t>means Vail Resorts, Inc., a Delaware corporation and the direct owner of Borrower.</w:t>
      </w:r>
    </w:p>
    <w:p>
      <w:pPr>
        <w:spacing w:after="0" w:line="219"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Water Rights </w:t>
      </w:r>
      <w:r>
        <w:rPr>
          <w:rFonts w:ascii="Times New Roman" w:cs="Times New Roman" w:eastAsia="Times New Roman" w:hAnsi="Times New Roman"/>
          <w:sz w:val="19"/>
          <w:szCs w:val="19"/>
          <w:color w:val="auto"/>
        </w:rPr>
        <w:t>means all water rights and conditional water rights that are appurtenant to real property owned by the Companies or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have been used or are intended for use in connection with the conduct of the business of the Companies, including but not limited to (a) ditch, well, pipeline, spring, and reservoir rights, whether or not adjudicated or evidenced by any well or other permit, (b) all rights with respect to groundwater underlying any real property owned by the Companies, (c) any permit to construct any water well, water from which is intended to be used in connection with such real property, and (d) all right, title, and interest of the Companies under any decreed or pending plan of augmentation or water exchange plan.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WBHI </w:t>
      </w:r>
      <w:r>
        <w:rPr>
          <w:rFonts w:ascii="Times New Roman" w:cs="Times New Roman" w:eastAsia="Times New Roman" w:hAnsi="Times New Roman"/>
          <w:sz w:val="19"/>
          <w:szCs w:val="19"/>
          <w:color w:val="auto"/>
        </w:rPr>
        <w:t>means Whistler Blackcomb Holdings Inc., a corporation existing under the Laws of the Province of British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1900" w:h="16838" w:orient="portrait"/>
          <w:cols w:equalWidth="0" w:num="1">
            <w:col w:w="11240"/>
          </w:cols>
          <w:pgMar w:left="320" w:top="1386" w:right="339" w:bottom="1440" w:gutter="0" w:footer="0" w:header="0"/>
        </w:sectPr>
      </w:pPr>
    </w:p>
    <w:bookmarkStart w:id="150" w:name="page151"/>
    <w:bookmarkEnd w:id="150"/>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Whistler Acquisition </w:t>
      </w:r>
      <w:r>
        <w:rPr>
          <w:rFonts w:ascii="Times New Roman" w:cs="Times New Roman" w:eastAsia="Times New Roman" w:hAnsi="Times New Roman"/>
          <w:sz w:val="19"/>
          <w:szCs w:val="19"/>
          <w:color w:val="auto"/>
        </w:rPr>
        <w:t>means the acquisition of WBHI by VRI pursuant to the Whistler Acquisition Agreement.</w:t>
      </w:r>
    </w:p>
    <w:p>
      <w:pPr>
        <w:spacing w:after="0" w:line="233"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Whistler Acquisition Agreement </w:t>
      </w:r>
      <w:r>
        <w:rPr>
          <w:rFonts w:ascii="Times New Roman" w:cs="Times New Roman" w:eastAsia="Times New Roman" w:hAnsi="Times New Roman"/>
          <w:sz w:val="19"/>
          <w:szCs w:val="19"/>
          <w:color w:val="auto"/>
        </w:rPr>
        <w:t>means the Arrangement Agreement, dated as of August 5, 2016 by and among WBHI, VRI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Exchangeco.</w:t>
      </w:r>
    </w:p>
    <w:p>
      <w:pPr>
        <w:spacing w:after="0" w:line="149"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Whistler Acquisition Subsidiaries </w:t>
      </w:r>
      <w:r>
        <w:rPr>
          <w:rFonts w:ascii="Times New Roman" w:cs="Times New Roman" w:eastAsia="Times New Roman" w:hAnsi="Times New Roman"/>
          <w:sz w:val="19"/>
          <w:szCs w:val="19"/>
          <w:color w:val="auto"/>
        </w:rPr>
        <w:t>means, collectively, VHF B.V. and any direct or indirect Subsidiary of Borrower not organized under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Laws of the United States that owns a direct or indirect Equity Interest in WBHI.</w:t>
      </w:r>
    </w:p>
    <w:p>
      <w:pPr>
        <w:spacing w:after="0" w:line="149"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Wholly Owned </w:t>
      </w:r>
      <w:r>
        <w:rPr>
          <w:rFonts w:ascii="Times New Roman" w:cs="Times New Roman" w:eastAsia="Times New Roman" w:hAnsi="Times New Roman"/>
          <w:sz w:val="19"/>
          <w:szCs w:val="19"/>
          <w:color w:val="auto"/>
        </w:rPr>
        <w:t>when used in connection with any Subsidiary means any corporation, partnership, limited liability company, or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entity of which all of the equity securities or other ownership interests are owned, directly or indirectly, by VRI, Borrower, or one or more of their Wholly Owned Restricted Subsidiaries.</w:t>
      </w:r>
    </w:p>
    <w:p>
      <w:pPr>
        <w:spacing w:after="0" w:line="162"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Write-Down and Conversion Powers </w:t>
      </w:r>
      <w:r>
        <w:rPr>
          <w:rFonts w:ascii="Times New Roman" w:cs="Times New Roman" w:eastAsia="Times New Roman" w:hAnsi="Times New Roman"/>
          <w:sz w:val="19"/>
          <w:szCs w:val="19"/>
          <w:color w:val="auto"/>
        </w:rPr>
        <w:t>means, (a) with respect to any EEA Resolution Authority, the write-down and conversion powers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1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1.2.</w:t>
      </w:r>
      <w:r>
        <w:rPr>
          <w:sz w:val="20"/>
          <w:szCs w:val="20"/>
          <w:color w:val="auto"/>
        </w:rPr>
        <w:tab/>
      </w:r>
      <w:r>
        <w:rPr>
          <w:rFonts w:ascii="Times New Roman" w:cs="Times New Roman" w:eastAsia="Times New Roman" w:hAnsi="Times New Roman"/>
          <w:sz w:val="19"/>
          <w:szCs w:val="19"/>
          <w:u w:val="single" w:color="auto"/>
          <w:color w:val="auto"/>
        </w:rPr>
        <w:t>Number and Gender of Words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680" w:hanging="400"/>
        <w:spacing w:after="0"/>
        <w:tabs>
          <w:tab w:leader="none" w:pos="168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meanings of defined terms are equally applicable to the singular and plural forms of the defined terms.</w:t>
      </w:r>
    </w:p>
    <w:p>
      <w:pPr>
        <w:spacing w:after="0" w:line="230" w:lineRule="exact"/>
        <w:rPr>
          <w:rFonts w:ascii="Times New Roman" w:cs="Times New Roman" w:eastAsia="Times New Roman" w:hAnsi="Times New Roman"/>
          <w:sz w:val="19"/>
          <w:szCs w:val="19"/>
          <w:color w:val="auto"/>
        </w:rPr>
      </w:pPr>
    </w:p>
    <w:p>
      <w:pPr>
        <w:ind w:left="640" w:firstLine="640"/>
        <w:spacing w:after="0" w:line="288" w:lineRule="auto"/>
        <w:tabs>
          <w:tab w:leader="none" w:pos="1719"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words “</w:t>
      </w:r>
      <w:r>
        <w:rPr>
          <w:rFonts w:ascii="Times New Roman" w:cs="Times New Roman" w:eastAsia="Times New Roman" w:hAnsi="Times New Roman"/>
          <w:sz w:val="19"/>
          <w:szCs w:val="19"/>
          <w:i w:val="1"/>
          <w:iCs w:val="1"/>
          <w:color w:val="auto"/>
        </w:rPr>
        <w:t>herein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hereto</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hereof,</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hereunder</w:t>
      </w:r>
      <w:r>
        <w:rPr>
          <w:rFonts w:ascii="Times New Roman" w:cs="Times New Roman" w:eastAsia="Times New Roman" w:hAnsi="Times New Roman"/>
          <w:sz w:val="19"/>
          <w:szCs w:val="19"/>
          <w:color w:val="auto"/>
        </w:rPr>
        <w:t>” and words of similar import when used in any Loan Paper shall refer to such Loan Paper as a whole and not to any particular provision thereof.</w:t>
      </w:r>
    </w:p>
    <w:p>
      <w:pPr>
        <w:spacing w:after="0" w:line="154" w:lineRule="exact"/>
        <w:rPr>
          <w:rFonts w:ascii="Times New Roman" w:cs="Times New Roman" w:eastAsia="Times New Roman" w:hAnsi="Times New Roman"/>
          <w:sz w:val="19"/>
          <w:szCs w:val="19"/>
          <w:color w:val="auto"/>
        </w:rPr>
      </w:pPr>
    </w:p>
    <w:p>
      <w:pPr>
        <w:ind w:left="2340" w:hanging="424"/>
        <w:spacing w:after="0"/>
        <w:tabs>
          <w:tab w:leader="none" w:pos="234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Article, Section, Exhibit, and Schedule references are to the Loan Papers in which such reference appears.</w:t>
      </w:r>
    </w:p>
    <w:p>
      <w:pPr>
        <w:spacing w:after="0" w:line="217" w:lineRule="exact"/>
        <w:rPr>
          <w:rFonts w:ascii="Times New Roman" w:cs="Times New Roman" w:eastAsia="Times New Roman" w:hAnsi="Times New Roman"/>
          <w:sz w:val="19"/>
          <w:szCs w:val="19"/>
          <w:color w:val="auto"/>
        </w:rPr>
      </w:pPr>
    </w:p>
    <w:p>
      <w:pPr>
        <w:ind w:left="2400" w:hanging="484"/>
        <w:spacing w:after="0"/>
        <w:tabs>
          <w:tab w:leader="none" w:pos="240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i w:val="1"/>
          <w:iCs w:val="1"/>
          <w:color w:val="auto"/>
        </w:rPr>
        <w:t>including</w:t>
      </w:r>
      <w:r>
        <w:rPr>
          <w:rFonts w:ascii="Times New Roman" w:cs="Times New Roman" w:eastAsia="Times New Roman" w:hAnsi="Times New Roman"/>
          <w:sz w:val="19"/>
          <w:szCs w:val="19"/>
          <w:color w:val="auto"/>
        </w:rPr>
        <w:t>” is by way of example and not limitation.</w:t>
      </w:r>
    </w:p>
    <w:p>
      <w:pPr>
        <w:spacing w:after="0" w:line="232" w:lineRule="exact"/>
        <w:rPr>
          <w:rFonts w:ascii="Times New Roman" w:cs="Times New Roman" w:eastAsia="Times New Roman" w:hAnsi="Times New Roman"/>
          <w:sz w:val="19"/>
          <w:szCs w:val="19"/>
          <w:color w:val="auto"/>
        </w:rPr>
      </w:pPr>
    </w:p>
    <w:p>
      <w:pPr>
        <w:ind w:left="1280" w:firstLine="636"/>
        <w:spacing w:after="0" w:line="302" w:lineRule="auto"/>
        <w:tabs>
          <w:tab w:leader="none" w:pos="2503"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w:t>
      </w:r>
      <w:r>
        <w:rPr>
          <w:rFonts w:ascii="Times New Roman" w:cs="Times New Roman" w:eastAsia="Times New Roman" w:hAnsi="Times New Roman"/>
          <w:sz w:val="19"/>
          <w:szCs w:val="19"/>
          <w:i w:val="1"/>
          <w:iCs w:val="1"/>
          <w:color w:val="auto"/>
        </w:rPr>
        <w:t>documents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papers</w:t>
      </w:r>
      <w:r>
        <w:rPr>
          <w:rFonts w:ascii="Times New Roman" w:cs="Times New Roman" w:eastAsia="Times New Roman" w:hAnsi="Times New Roman"/>
          <w:sz w:val="19"/>
          <w:szCs w:val="19"/>
          <w:color w:val="auto"/>
        </w:rPr>
        <w:t>” includes any and all instruments, documents, agreements, certificates, notices, reports, financial statements, and other writings, however evidenced, whether in physical or electronic form.</w:t>
      </w:r>
    </w:p>
    <w:p>
      <w:pPr>
        <w:spacing w:after="0" w:line="126" w:lineRule="exact"/>
        <w:rPr>
          <w:rFonts w:ascii="Times New Roman" w:cs="Times New Roman" w:eastAsia="Times New Roman" w:hAnsi="Times New Roman"/>
          <w:sz w:val="19"/>
          <w:szCs w:val="19"/>
          <w:color w:val="auto"/>
        </w:rPr>
      </w:pPr>
    </w:p>
    <w:p>
      <w:pPr>
        <w:ind w:left="640" w:firstLine="640"/>
        <w:spacing w:after="0" w:line="302" w:lineRule="auto"/>
        <w:tabs>
          <w:tab w:leader="none" w:pos="1745"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computation of periods of time from a specified date to a later specified date, the word “</w:t>
      </w:r>
      <w:r>
        <w:rPr>
          <w:rFonts w:ascii="Times New Roman" w:cs="Times New Roman" w:eastAsia="Times New Roman" w:hAnsi="Times New Roman"/>
          <w:sz w:val="19"/>
          <w:szCs w:val="19"/>
          <w:i w:val="1"/>
          <w:iCs w:val="1"/>
          <w:color w:val="auto"/>
        </w:rPr>
        <w:t>from</w:t>
      </w:r>
      <w:r>
        <w:rPr>
          <w:rFonts w:ascii="Times New Roman" w:cs="Times New Roman" w:eastAsia="Times New Roman" w:hAnsi="Times New Roman"/>
          <w:sz w:val="19"/>
          <w:szCs w:val="19"/>
          <w:color w:val="auto"/>
        </w:rPr>
        <w:t>” means “</w:t>
      </w:r>
      <w:r>
        <w:rPr>
          <w:rFonts w:ascii="Times New Roman" w:cs="Times New Roman" w:eastAsia="Times New Roman" w:hAnsi="Times New Roman"/>
          <w:sz w:val="19"/>
          <w:szCs w:val="19"/>
          <w:i w:val="1"/>
          <w:iCs w:val="1"/>
          <w:color w:val="auto"/>
        </w:rPr>
        <w:t>from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including</w:t>
      </w:r>
      <w:r>
        <w:rPr>
          <w:rFonts w:ascii="Times New Roman" w:cs="Times New Roman" w:eastAsia="Times New Roman" w:hAnsi="Times New Roman"/>
          <w:sz w:val="19"/>
          <w:szCs w:val="19"/>
          <w:color w:val="auto"/>
        </w:rPr>
        <w:t>”; the words “</w:t>
      </w:r>
      <w:r>
        <w:rPr>
          <w:rFonts w:ascii="Times New Roman" w:cs="Times New Roman" w:eastAsia="Times New Roman" w:hAnsi="Times New Roman"/>
          <w:sz w:val="19"/>
          <w:szCs w:val="19"/>
          <w:i w:val="1"/>
          <w:iCs w:val="1"/>
          <w:color w:val="auto"/>
        </w:rPr>
        <w:t>to</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until</w:t>
      </w:r>
      <w:r>
        <w:rPr>
          <w:rFonts w:ascii="Times New Roman" w:cs="Times New Roman" w:eastAsia="Times New Roman" w:hAnsi="Times New Roman"/>
          <w:sz w:val="19"/>
          <w:szCs w:val="19"/>
          <w:color w:val="auto"/>
        </w:rPr>
        <w:t>” each mean “</w:t>
      </w:r>
      <w:r>
        <w:rPr>
          <w:rFonts w:ascii="Times New Roman" w:cs="Times New Roman" w:eastAsia="Times New Roman" w:hAnsi="Times New Roman"/>
          <w:sz w:val="19"/>
          <w:szCs w:val="19"/>
          <w:i w:val="1"/>
          <w:iCs w:val="1"/>
          <w:color w:val="auto"/>
        </w:rPr>
        <w:t>to but excluding</w:t>
      </w:r>
      <w:r>
        <w:rPr>
          <w:rFonts w:ascii="Times New Roman" w:cs="Times New Roman" w:eastAsia="Times New Roman" w:hAnsi="Times New Roman"/>
          <w:sz w:val="19"/>
          <w:szCs w:val="19"/>
          <w:color w:val="auto"/>
        </w:rPr>
        <w:t>”; and the word “</w:t>
      </w:r>
      <w:r>
        <w:rPr>
          <w:rFonts w:ascii="Times New Roman" w:cs="Times New Roman" w:eastAsia="Times New Roman" w:hAnsi="Times New Roman"/>
          <w:sz w:val="19"/>
          <w:szCs w:val="19"/>
          <w:i w:val="1"/>
          <w:iCs w:val="1"/>
          <w:color w:val="auto"/>
        </w:rPr>
        <w:t>through</w:t>
      </w:r>
      <w:r>
        <w:rPr>
          <w:rFonts w:ascii="Times New Roman" w:cs="Times New Roman" w:eastAsia="Times New Roman" w:hAnsi="Times New Roman"/>
          <w:sz w:val="19"/>
          <w:szCs w:val="19"/>
          <w:color w:val="auto"/>
        </w:rPr>
        <w:t>” means “</w:t>
      </w:r>
      <w:r>
        <w:rPr>
          <w:rFonts w:ascii="Times New Roman" w:cs="Times New Roman" w:eastAsia="Times New Roman" w:hAnsi="Times New Roman"/>
          <w:sz w:val="19"/>
          <w:szCs w:val="19"/>
          <w:i w:val="1"/>
          <w:iCs w:val="1"/>
          <w:color w:val="auto"/>
        </w:rPr>
        <w:t>to and including</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1900" w:h="16838" w:orient="portrait"/>
          <w:cols w:equalWidth="0" w:num="1">
            <w:col w:w="11240"/>
          </w:cols>
          <w:pgMar w:left="320" w:top="1386" w:right="339" w:bottom="1440" w:gutter="0" w:footer="0" w:header="0"/>
        </w:sectPr>
      </w:pPr>
    </w:p>
    <w:bookmarkStart w:id="151" w:name="page152"/>
    <w:bookmarkEnd w:id="151"/>
    <w:p>
      <w:pPr>
        <w:ind w:firstLine="640"/>
        <w:spacing w:after="0" w:line="300" w:lineRule="auto"/>
        <w:tabs>
          <w:tab w:leader="none" w:pos="1093"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headings herein and in the other Loan Papers are included for convenience of reference only and shall not affect the interpretation of this Agreement or any other Loan Papers.</w:t>
      </w:r>
    </w:p>
    <w:p>
      <w:pPr>
        <w:spacing w:after="0" w:line="13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color w:val="auto"/>
        </w:rPr>
        <w:t>1.3.</w:t>
      </w:r>
      <w:r>
        <w:rPr>
          <w:sz w:val="20"/>
          <w:szCs w:val="20"/>
          <w:color w:val="auto"/>
        </w:rPr>
        <w:tab/>
      </w:r>
      <w:r>
        <w:rPr>
          <w:rFonts w:ascii="Times New Roman" w:cs="Times New Roman" w:eastAsia="Times New Roman" w:hAnsi="Times New Roman"/>
          <w:sz w:val="19"/>
          <w:szCs w:val="19"/>
          <w:u w:val="single" w:color="auto"/>
          <w:color w:val="auto"/>
        </w:rPr>
        <w:t>Accounting Principles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0"/>
        <w:spacing w:after="0" w:line="260" w:lineRule="auto"/>
        <w:tabs>
          <w:tab w:leader="none" w:pos="1143"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Under the Loan Papers and any documents delivered thereunder, unless otherwise stated, (i)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delivered pursuant to </w:t>
      </w:r>
      <w:r>
        <w:rPr>
          <w:rFonts w:ascii="Times New Roman" w:cs="Times New Roman" w:eastAsia="Times New Roman" w:hAnsi="Times New Roman"/>
          <w:sz w:val="19"/>
          <w:szCs w:val="19"/>
          <w:b w:val="1"/>
          <w:bCs w:val="1"/>
          <w:i w:val="1"/>
          <w:iCs w:val="1"/>
          <w:color w:val="auto"/>
        </w:rPr>
        <w:t>Section 9.1</w:t>
      </w:r>
      <w:r>
        <w:rPr>
          <w:rFonts w:ascii="Times New Roman" w:cs="Times New Roman" w:eastAsia="Times New Roman" w:hAnsi="Times New Roman"/>
          <w:sz w:val="19"/>
          <w:szCs w:val="19"/>
          <w:color w:val="auto"/>
        </w:rPr>
        <w:t>, (ii) all accounting principles applied in a current period must be comparable in all material respects to those applied during the preceding comparable period, and (iii) while VRI has any consolidated Restricted Subsidiaries, all accounting and financial terms and compliance with financial covenants must be on a consolidating and consolidated basis, as applicable. Notwithstanding the foregoing, for purposes of determining compliance with any covenant (including the computation of any financial covenant) contained herein, Debt of the Companies shall be deemed to be carried at 100% of the outstanding principal amount thereof, and the effects of FASB ASC 825 and FASB ASC 470-20 on financial liabilities shall be disregarded.</w:t>
      </w:r>
    </w:p>
    <w:p>
      <w:pPr>
        <w:spacing w:after="0" w:line="200" w:lineRule="exact"/>
        <w:rPr>
          <w:rFonts w:ascii="Times New Roman" w:cs="Times New Roman" w:eastAsia="Times New Roman" w:hAnsi="Times New Roman"/>
          <w:sz w:val="19"/>
          <w:szCs w:val="19"/>
          <w:color w:val="auto"/>
        </w:rPr>
      </w:pPr>
    </w:p>
    <w:p>
      <w:pPr>
        <w:spacing w:after="0" w:line="205" w:lineRule="exact"/>
        <w:rPr>
          <w:rFonts w:ascii="Times New Roman" w:cs="Times New Roman" w:eastAsia="Times New Roman" w:hAnsi="Times New Roman"/>
          <w:sz w:val="19"/>
          <w:szCs w:val="19"/>
          <w:color w:val="auto"/>
        </w:rPr>
      </w:pPr>
    </w:p>
    <w:p>
      <w:pPr>
        <w:jc w:val="both"/>
        <w:ind w:firstLine="640"/>
        <w:spacing w:after="0" w:line="263" w:lineRule="auto"/>
        <w:tabs>
          <w:tab w:leader="none" w:pos="1117"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at any time any change in GAAP would affect the computation of any financial ratio or requirement set forth in any Loan Paper, and either Borrower or Required Lenders shall so request, Administrative Agent, Lenders, and Borrower shall negotiate in good faith to amend such ratio or requirement to preserve the original intent thereof in light of such change in GAAP (subject to the approval of Required Lenders);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until so amended, (i) such ratio or requirement shall continue to be computed in accordance with GAAP prior to such change therein, and (ii) Borrower shall provide to Administrative Agent and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67" w:lineRule="exact"/>
        <w:rPr>
          <w:rFonts w:ascii="Times New Roman" w:cs="Times New Roman" w:eastAsia="Times New Roman" w:hAnsi="Times New Roman"/>
          <w:sz w:val="19"/>
          <w:szCs w:val="19"/>
          <w:color w:val="auto"/>
        </w:rPr>
      </w:pPr>
    </w:p>
    <w:p>
      <w:pPr>
        <w:jc w:val="both"/>
        <w:ind w:firstLine="640"/>
        <w:spacing w:after="0" w:line="263" w:lineRule="auto"/>
        <w:tabs>
          <w:tab w:leader="none" w:pos="1074"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references herein to consolidated financial statements of VRI and its Subsidiaries or its Restricted Subsidiaries, or to the determination of “</w:t>
      </w:r>
      <w:r>
        <w:rPr>
          <w:rFonts w:ascii="Times New Roman" w:cs="Times New Roman" w:eastAsia="Times New Roman" w:hAnsi="Times New Roman"/>
          <w:sz w:val="19"/>
          <w:szCs w:val="19"/>
          <w:i w:val="1"/>
          <w:iCs w:val="1"/>
          <w:color w:val="auto"/>
        </w:rPr>
        <w:t>Adjusted EBITDA</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i w:val="1"/>
          <w:iCs w:val="1"/>
          <w:color w:val="auto"/>
        </w:rPr>
        <w:t>Funded Debt</w:t>
      </w:r>
      <w:r>
        <w:rPr>
          <w:rFonts w:ascii="Times New Roman" w:cs="Times New Roman" w:eastAsia="Times New Roman" w:hAnsi="Times New Roman"/>
          <w:sz w:val="19"/>
          <w:szCs w:val="19"/>
          <w:color w:val="auto"/>
        </w:rPr>
        <w:t xml:space="preserve">” for VRI and its Subsidiaries or its Restricted Subsidiaries on a consolidated basis, or any similar reference, shall, in each case, be deemed to include each variable interest entity that VRI is required to consolidate pursuant to FASB Interpretation No. 46 – Consolidation of Variable Interest Entities: an interpretation of ARB No. 51 (January 2003) or is otherwise required to consolidate in accordance with GAAP;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in determining such amounts, (i) the Funded Debt and Adjusted EBITDA of the Existing Housing Districts in respect of the Existing Housing Bonds shall be excluded, and (ii) the Funded Debt and Adjusted EBITDA of the Existing Metro Districts in respect of any Bonds issued prior to January 28, 2005 (the date of the Existing Agreement) shall be excluded.</w:t>
      </w:r>
    </w:p>
    <w:p>
      <w:pPr>
        <w:spacing w:after="0" w:line="167" w:lineRule="exact"/>
        <w:rPr>
          <w:rFonts w:ascii="Times New Roman" w:cs="Times New Roman" w:eastAsia="Times New Roman" w:hAnsi="Times New Roman"/>
          <w:sz w:val="19"/>
          <w:szCs w:val="19"/>
          <w:color w:val="auto"/>
        </w:rPr>
      </w:pPr>
    </w:p>
    <w:p>
      <w:pPr>
        <w:jc w:val="both"/>
        <w:ind w:firstLine="640"/>
        <w:spacing w:after="0" w:line="274" w:lineRule="auto"/>
        <w:tabs>
          <w:tab w:leader="none" w:pos="1091"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non-cash reduction in Net Income as a result of an increase in the liability of participating rent under the Canyons-Park City Lease will be treated as a Non-Cash Operating Charge for purposes of the calculation of “</w:t>
      </w:r>
      <w:r>
        <w:rPr>
          <w:rFonts w:ascii="Times New Roman" w:cs="Times New Roman" w:eastAsia="Times New Roman" w:hAnsi="Times New Roman"/>
          <w:sz w:val="19"/>
          <w:szCs w:val="19"/>
          <w:i w:val="1"/>
          <w:iCs w:val="1"/>
          <w:color w:val="auto"/>
        </w:rPr>
        <w:t>EBITDA</w:t>
      </w:r>
      <w:r>
        <w:rPr>
          <w:rFonts w:ascii="Times New Roman" w:cs="Times New Roman" w:eastAsia="Times New Roman" w:hAnsi="Times New Roman"/>
          <w:sz w:val="19"/>
          <w:szCs w:val="19"/>
          <w:color w:val="auto"/>
        </w:rPr>
        <w:t>” and shall not be considered interest expense for any purpose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38</w:t>
      </w:r>
    </w:p>
    <w:p>
      <w:pPr>
        <w:sectPr>
          <w:pgSz w:w="11900" w:h="16838" w:orient="portrait"/>
          <w:cols w:equalWidth="0" w:num="1">
            <w:col w:w="10600"/>
          </w:cols>
          <w:pgMar w:left="960" w:top="1390" w:right="339" w:bottom="1440" w:gutter="0" w:footer="0" w:header="0"/>
        </w:sectPr>
      </w:pPr>
    </w:p>
    <w:bookmarkStart w:id="152" w:name="page153"/>
    <w:bookmarkEnd w:id="152"/>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1.4. </w:t>
      </w:r>
      <w:r>
        <w:rPr>
          <w:rFonts w:ascii="Times New Roman" w:cs="Times New Roman" w:eastAsia="Times New Roman" w:hAnsi="Times New Roman"/>
          <w:sz w:val="19"/>
          <w:szCs w:val="19"/>
          <w:u w:val="single" w:color="auto"/>
          <w:color w:val="auto"/>
        </w:rPr>
        <w:t>Rounding</w:t>
      </w:r>
      <w:r>
        <w:rPr>
          <w:rFonts w:ascii="Times New Roman" w:cs="Times New Roman" w:eastAsia="Times New Roman" w:hAnsi="Times New Roman"/>
          <w:sz w:val="19"/>
          <w:szCs w:val="19"/>
          <w:color w:val="auto"/>
        </w:rPr>
        <w:t>. Any financial ratios required to be maintained by the Companies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7"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1.5. </w:t>
      </w:r>
      <w:r>
        <w:rPr>
          <w:rFonts w:ascii="Times New Roman" w:cs="Times New Roman" w:eastAsia="Times New Roman" w:hAnsi="Times New Roman"/>
          <w:sz w:val="19"/>
          <w:szCs w:val="19"/>
          <w:u w:val="single" w:color="auto"/>
          <w:color w:val="auto"/>
        </w:rPr>
        <w:t>References to Agreements and Laws</w:t>
      </w:r>
      <w:r>
        <w:rPr>
          <w:rFonts w:ascii="Times New Roman" w:cs="Times New Roman" w:eastAsia="Times New Roman" w:hAnsi="Times New Roman"/>
          <w:sz w:val="19"/>
          <w:szCs w:val="19"/>
          <w:color w:val="auto"/>
        </w:rPr>
        <w:t>. Unless otherwise expressly provided herein, (a) references to organization documents, agreements (including the Loan Papers),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Papers, and (b) references to any Law shall include all statutory and regulatory provisions consolidating, amending, replacing, supplementing, or interpreting such Law.</w:t>
      </w:r>
    </w:p>
    <w:p>
      <w:pPr>
        <w:spacing w:after="0" w:line="178" w:lineRule="exact"/>
        <w:rPr>
          <w:sz w:val="20"/>
          <w:szCs w:val="20"/>
          <w:color w:val="auto"/>
        </w:rPr>
      </w:pPr>
    </w:p>
    <w:p>
      <w:pPr>
        <w:jc w:val="both"/>
        <w:ind w:firstLine="637"/>
        <w:spacing w:after="0" w:line="285" w:lineRule="auto"/>
        <w:rPr>
          <w:sz w:val="20"/>
          <w:szCs w:val="20"/>
          <w:color w:val="auto"/>
        </w:rPr>
      </w:pPr>
      <w:r>
        <w:rPr>
          <w:rFonts w:ascii="Times New Roman" w:cs="Times New Roman" w:eastAsia="Times New Roman" w:hAnsi="Times New Roman"/>
          <w:sz w:val="19"/>
          <w:szCs w:val="19"/>
          <w:color w:val="auto"/>
        </w:rPr>
        <w:t xml:space="preserve">1.6. </w:t>
      </w:r>
      <w:r>
        <w:rPr>
          <w:rFonts w:ascii="Times New Roman" w:cs="Times New Roman" w:eastAsia="Times New Roman" w:hAnsi="Times New Roman"/>
          <w:sz w:val="19"/>
          <w:szCs w:val="19"/>
          <w:u w:val="single" w:color="auto"/>
          <w:color w:val="auto"/>
        </w:rPr>
        <w:t>Times of Day</w:t>
      </w:r>
      <w:r>
        <w:rPr>
          <w:rFonts w:ascii="Times New Roman" w:cs="Times New Roman" w:eastAsia="Times New Roman" w:hAnsi="Times New Roman"/>
          <w:sz w:val="19"/>
          <w:szCs w:val="19"/>
          <w:color w:val="auto"/>
        </w:rPr>
        <w:t>. Unless otherwise specified, all references herein to times of day shall be references to Central time (daylight or standard, as applicable).</w:t>
      </w:r>
    </w:p>
    <w:p>
      <w:pPr>
        <w:spacing w:after="0" w:line="158"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1.7. </w:t>
      </w:r>
      <w:r>
        <w:rPr>
          <w:rFonts w:ascii="Times New Roman" w:cs="Times New Roman" w:eastAsia="Times New Roman" w:hAnsi="Times New Roman"/>
          <w:sz w:val="19"/>
          <w:szCs w:val="19"/>
          <w:u w:val="single" w:color="auto"/>
          <w:color w:val="auto"/>
        </w:rPr>
        <w:t>L/C Amounts</w:t>
      </w:r>
      <w:r>
        <w:rPr>
          <w:rFonts w:ascii="Times New Roman" w:cs="Times New Roman" w:eastAsia="Times New Roman" w:hAnsi="Times New Roman"/>
          <w:sz w:val="19"/>
          <w:szCs w:val="19"/>
          <w:color w:val="auto"/>
        </w:rPr>
        <w:t xml:space="preserve">. Unless otherwise specified, all references herein to the amount of an L/C at any time shall be deemed to mean the Dollar Equivalent of the stated amount of such L/C in effect at such time;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with respect to any L/C that, by its terms or the terms of any Issuer Document related thereto, provides for one or more automatic increases in the stated amount thereof, the amount of such L/C shall be deemed to be the Dollar Equivalent of the maximum stated amount of such L/C after giving effect to all such increases, whether or not such maximum stated amount is in effect at such time.</w:t>
      </w:r>
    </w:p>
    <w:p>
      <w:pPr>
        <w:spacing w:after="0" w:line="178"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1.8. </w:t>
      </w:r>
      <w:r>
        <w:rPr>
          <w:rFonts w:ascii="Times New Roman" w:cs="Times New Roman" w:eastAsia="Times New Roman" w:hAnsi="Times New Roman"/>
          <w:sz w:val="19"/>
          <w:szCs w:val="19"/>
          <w:u w:val="single" w:color="auto"/>
          <w:color w:val="auto"/>
        </w:rPr>
        <w:t>Whistler Acquisition Subsidiaries and Peak Acquisition Subsidiaries</w:t>
      </w:r>
      <w:r>
        <w:rPr>
          <w:rFonts w:ascii="Times New Roman" w:cs="Times New Roman" w:eastAsia="Times New Roman" w:hAnsi="Times New Roman"/>
          <w:sz w:val="19"/>
          <w:szCs w:val="19"/>
          <w:color w:val="auto"/>
        </w:rPr>
        <w:t>. Notwithstanding any requirement to the contrary in this Agreement, the Whistler Acquisition Subsidiaries and the Peak Resorts Acquisition Subsidiaries shall be deemed “</w:t>
      </w:r>
      <w:r>
        <w:rPr>
          <w:rFonts w:ascii="Times New Roman" w:cs="Times New Roman" w:eastAsia="Times New Roman" w:hAnsi="Times New Roman"/>
          <w:sz w:val="19"/>
          <w:szCs w:val="19"/>
          <w:i w:val="1"/>
          <w:iCs w:val="1"/>
          <w:color w:val="auto"/>
        </w:rPr>
        <w:t>Unrestricted Subsidiaries</w:t>
      </w:r>
      <w:r>
        <w:rPr>
          <w:rFonts w:ascii="Times New Roman" w:cs="Times New Roman" w:eastAsia="Times New Roman" w:hAnsi="Times New Roman"/>
          <w:sz w:val="19"/>
          <w:szCs w:val="19"/>
          <w:color w:val="auto"/>
        </w:rPr>
        <w:t>”; provided that the Whistler Acquisition Subsidiaries and the Peak Resorts Acquisition Subsidiaries shall be treated as “</w:t>
      </w:r>
      <w:r>
        <w:rPr>
          <w:rFonts w:ascii="Times New Roman" w:cs="Times New Roman" w:eastAsia="Times New Roman" w:hAnsi="Times New Roman"/>
          <w:sz w:val="19"/>
          <w:szCs w:val="19"/>
          <w:i w:val="1"/>
          <w:iCs w:val="1"/>
          <w:color w:val="auto"/>
        </w:rPr>
        <w:t>Restricted Subsidiaries</w:t>
      </w:r>
      <w:r>
        <w:rPr>
          <w:rFonts w:ascii="Times New Roman" w:cs="Times New Roman" w:eastAsia="Times New Roman" w:hAnsi="Times New Roman"/>
          <w:sz w:val="19"/>
          <w:szCs w:val="19"/>
          <w:color w:val="auto"/>
        </w:rPr>
        <w:t xml:space="preserve">” for the purposes of the definition of Adjusted EBITDA for all purposes under this Agreement and Net Funded Debt and interest on Funded Debt attributable to the Whistler Acquisition Subsidiaries and the Peak Resorts Acquisition Subsidiaries shall be included in the calculation of the financial covenants set forth in </w:t>
      </w:r>
      <w:r>
        <w:rPr>
          <w:rFonts w:ascii="Times New Roman" w:cs="Times New Roman" w:eastAsia="Times New Roman" w:hAnsi="Times New Roman"/>
          <w:sz w:val="19"/>
          <w:szCs w:val="19"/>
          <w:b w:val="1"/>
          <w:bCs w:val="1"/>
          <w:i w:val="1"/>
          <w:iCs w:val="1"/>
          <w:color w:val="auto"/>
        </w:rPr>
        <w:t>Sections 11.1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11.2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11.3</w:t>
      </w:r>
      <w:r>
        <w:rPr>
          <w:rFonts w:ascii="Times New Roman" w:cs="Times New Roman" w:eastAsia="Times New Roman" w:hAnsi="Times New Roman"/>
          <w:sz w:val="19"/>
          <w:szCs w:val="19"/>
          <w:color w:val="auto"/>
        </w:rPr>
        <w:t xml:space="preserve"> (provided, in each case, only Borrower’s equity ownership percentage of Adjusted EBITDA, Net Funded Debt and interest on Funded Debt attributable to the Whistler Acquisition Subsidiaries shall be included in such calculation). Borrower shall pledge 65% of the Equity Interest of VHF B.V. and 100% of the Equity Interests of Peak Resorts to Administrative Agent, for the benefit of Lenders.</w:t>
      </w:r>
    </w:p>
    <w:p>
      <w:pPr>
        <w:spacing w:after="0" w:line="17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1.9.</w:t>
      </w:r>
      <w:r>
        <w:rPr>
          <w:sz w:val="20"/>
          <w:szCs w:val="20"/>
          <w:color w:val="auto"/>
        </w:rPr>
        <w:tab/>
      </w:r>
      <w:r>
        <w:rPr>
          <w:rFonts w:ascii="Times New Roman" w:cs="Times New Roman" w:eastAsia="Times New Roman" w:hAnsi="Times New Roman"/>
          <w:sz w:val="19"/>
          <w:szCs w:val="19"/>
          <w:u w:val="single" w:color="auto"/>
          <w:color w:val="auto"/>
        </w:rPr>
        <w:t>Rates; Currency Equivalents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left="640" w:firstLine="640"/>
        <w:spacing w:after="0" w:line="261" w:lineRule="auto"/>
        <w:tabs>
          <w:tab w:leader="none" w:pos="1739"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Australian L/C Issuer shall determine the Spot Rates as of each Revaluation Date to be used for calculating Dollar Equivalent amounts of L/C Credit Extensions and Outstanding Amounts denominated in the Alternative Currency. Such Spot Rates shall become effective as of such Revaluation Date and shall be the Spot Rates employed in converting any amounts between the applicable currencies until the next Revaluation Date to occur. Except for purposes of financial statements delivered by Borrower hereunder or calculating financial covenants hereunder or except as otherwise provided herein, the applicable amount of any currency (other than Dollars) for purposes of the Loan Papers shall be such Dollar Equivalent amount as so determined by the Australian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1900" w:h="16838" w:orient="portrait"/>
          <w:cols w:equalWidth="0" w:num="1">
            <w:col w:w="11240"/>
          </w:cols>
          <w:pgMar w:left="320" w:top="1390" w:right="339" w:bottom="1440" w:gutter="0" w:footer="0" w:header="0"/>
        </w:sectPr>
      </w:pPr>
    </w:p>
    <w:bookmarkStart w:id="153" w:name="page154"/>
    <w:bookmarkEnd w:id="153"/>
    <w:p>
      <w:pPr>
        <w:jc w:val="both"/>
        <w:ind w:left="640" w:firstLine="640"/>
        <w:spacing w:after="0" w:line="270" w:lineRule="auto"/>
        <w:tabs>
          <w:tab w:leader="none" w:pos="1752"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Wherever in this Agreement in connection with the issuance, amendment or extension of an L/C, an amount, such as a required minimum or multiple amount, is expressed in Dollars, but such L/C is denominated in the Alternative Currency, such amount shall be the relevant Alternative Currency Equivalent of such Dollar amount (rounded to the nearest unit of the Alternative Currency, with 0.5 of a unit being rounded upward), as determined by the Australian L/C Issuer.</w:t>
      </w:r>
    </w:p>
    <w:p>
      <w:pPr>
        <w:spacing w:after="0" w:line="158"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color w:val="auto"/>
        </w:rPr>
        <w:t xml:space="preserve">1.10. </w:t>
      </w:r>
      <w:r>
        <w:rPr>
          <w:rFonts w:ascii="Times New Roman" w:cs="Times New Roman" w:eastAsia="Times New Roman" w:hAnsi="Times New Roman"/>
          <w:sz w:val="19"/>
          <w:szCs w:val="19"/>
          <w:u w:val="single" w:color="auto"/>
          <w:color w:val="auto"/>
        </w:rPr>
        <w:t>Interest Rates</w:t>
      </w:r>
      <w:r>
        <w:rPr>
          <w:rFonts w:ascii="Times New Roman" w:cs="Times New Roman" w:eastAsia="Times New Roman" w:hAnsi="Times New Roman"/>
          <w:sz w:val="19"/>
          <w:szCs w:val="19"/>
          <w:color w:val="auto"/>
        </w:rPr>
        <w:t xml:space="preserve">. Administrative Agent does not warrant, nor accept responsibility, nor shall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any Successor Rate) (or any component of any of the foregoing) or the effect of any of the foregoing, or of any Conforming Changes. Administrative Agent and its affiliates or other related entities may engage in transactions or other activities that affect any reference rate referred to herein, or any alternative, successor or replacement rate (including any Successor Rate) (or any component of any of the foregoing) or any related spread or other adjustments thereto, in each case, in a manner adverse to Borrower. Administrative Agent may select information sources or services in its reasonable discretion to ascertain any reference rate referred to herein or any alternative, successor or replacement rate (including any Successor Rate)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or any component of any of the foregoing), in each case pursuant to the terms of this Agreement, and shall have no liability to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6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9"/>
          <w:szCs w:val="19"/>
          <w:b w:val="1"/>
          <w:bCs w:val="1"/>
          <w:u w:val="single" w:color="auto"/>
          <w:color w:val="auto"/>
        </w:rPr>
        <w:t>SECTION 2</w:t>
      </w:r>
      <w:r>
        <w:rPr>
          <w:sz w:val="20"/>
          <w:szCs w:val="20"/>
          <w:color w:val="auto"/>
        </w:rPr>
        <w:tab/>
      </w:r>
      <w:r>
        <w:rPr>
          <w:rFonts w:ascii="Times New Roman" w:cs="Times New Roman" w:eastAsia="Times New Roman" w:hAnsi="Times New Roman"/>
          <w:sz w:val="19"/>
          <w:szCs w:val="19"/>
          <w:b w:val="1"/>
          <w:bCs w:val="1"/>
          <w:u w:val="single" w:color="auto"/>
          <w:color w:val="auto"/>
        </w:rPr>
        <w:t>COMMITMENT</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Credit Facility</w:t>
      </w:r>
      <w:r>
        <w:rPr>
          <w:rFonts w:ascii="Times New Roman" w:cs="Times New Roman" w:eastAsia="Times New Roman" w:hAnsi="Times New Roman"/>
          <w:sz w:val="19"/>
          <w:szCs w:val="19"/>
          <w:color w:val="auto"/>
        </w:rPr>
        <w:t xml:space="preserve">. (a) Subject to the provisions in the Loan Papers, each Revolver Lender hereby severally and not jointly agrees to lend to Borrower its Commitment Percentage of one or more Revolver Loans in an aggregate principal amount outstanding at any time up to such Revolver Lender’s Revolver Commitment;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(i) each Revolver Loan must occur on a Business Day and no later than the Business Day immediately preceding the Termination Date for the Revolver Facility; (ii) each Revolver Loan must be in an amount not less than (A) $500,000 or a greater integral multiple of $100,000 (if a Daily SOFR Rate Loan), or (B) $1,000,000 or a greater integral multiple of $100,000 (if a Term Reference Rate Loan); and (iii) on any date of determination, after giving effect to the requested Revolver Loan, (A) the Revolver Commitment Usage may not exceed the Revolver Commitment then in effect, and (B) the aggregate Outstanding Amount of the Revolver Loans of any Revolver Lender,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such Revolver Lender’s Commitment Percentage of the Outstanding Amount of all L/C Exposure shall not exceed such Revolver Lender’s Revolver Commitment. Revolver Loans may be repaid or reborrowed from time to time in accordance with the terms and provisions of the Loan Papers.</w:t>
      </w:r>
    </w:p>
    <w:p>
      <w:pPr>
        <w:spacing w:after="0" w:line="180" w:lineRule="exact"/>
        <w:rPr>
          <w:sz w:val="20"/>
          <w:szCs w:val="20"/>
          <w:color w:val="auto"/>
        </w:rPr>
      </w:pPr>
    </w:p>
    <w:p>
      <w:pPr>
        <w:jc w:val="both"/>
        <w:ind w:left="640" w:firstLine="640"/>
        <w:spacing w:after="0" w:line="264" w:lineRule="auto"/>
        <w:tabs>
          <w:tab w:leader="none" w:pos="1712"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and in reliance upon the terms, conditions, representations, and warranties in the Loan Papers, each Term Loan Lender severally, but not jointly, made one or more Term Loans in Dollars to Borrower on the Closing Date, in an aggregate amount not to exceed such Term Loan Lender’s Commitment Percentage of the Term Loan Facility. Each Term Loan Borrowing shall consist of Term Loans made simultaneously by the Term Loan Lenders in accordance with their respective Commitment Percentage of the Term Loan Facility. Amounts borrowed under this </w:t>
      </w:r>
      <w:r>
        <w:rPr>
          <w:rFonts w:ascii="Times New Roman" w:cs="Times New Roman" w:eastAsia="Times New Roman" w:hAnsi="Times New Roman"/>
          <w:sz w:val="19"/>
          <w:szCs w:val="19"/>
          <w:b w:val="1"/>
          <w:bCs w:val="1"/>
          <w:i w:val="1"/>
          <w:iCs w:val="1"/>
          <w:color w:val="auto"/>
        </w:rPr>
        <w:t>Section 2.1(b)</w:t>
      </w:r>
      <w:r>
        <w:rPr>
          <w:rFonts w:ascii="Times New Roman" w:cs="Times New Roman" w:eastAsia="Times New Roman" w:hAnsi="Times New Roman"/>
          <w:sz w:val="19"/>
          <w:szCs w:val="19"/>
          <w:color w:val="auto"/>
        </w:rPr>
        <w:t xml:space="preserve"> and repaid or prepaid may not be reborrowed.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1900" w:h="16838" w:orient="portrait"/>
          <w:cols w:equalWidth="0" w:num="1">
            <w:col w:w="11240"/>
          </w:cols>
          <w:pgMar w:left="320" w:top="1390" w:right="339" w:bottom="1440" w:gutter="0" w:footer="0" w:header="0"/>
        </w:sectPr>
      </w:pPr>
    </w:p>
    <w:bookmarkStart w:id="154" w:name="page155"/>
    <w:bookmarkEnd w:id="154"/>
    <w:p>
      <w:pPr>
        <w:jc w:val="both"/>
        <w:ind w:firstLine="640"/>
        <w:spacing w:after="0" w:line="264" w:lineRule="auto"/>
        <w:tabs>
          <w:tab w:leader="none" w:pos="1100" w:val="left"/>
        </w:tabs>
        <w:numPr>
          <w:ilvl w:val="0"/>
          <w:numId w:val="94"/>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u w:val="single" w:color="auto"/>
          <w:color w:val="3051F2"/>
        </w:rPr>
        <w:t xml:space="preserve">Subject to and in reliance upon the terms, conditions, representations, and warranties in the Loan Papers, each Delayed Draw Term Loan Lender severally, but not jointly, agrees to make to Borrower a single advance on a Business Day during the Delayed Draw Term Loan Availability Period, in an aggregate amount not to exceed such Delayed Draw Term Loan Lender’s Commitment Percentage of the Delayed Draw Term Loan Facility. Each Delayed Draw Term Loan Borrowing shall consist of Delayed Draw Term Loans made simultaneously by the Delayed Draw Term Loan Lenders in accordance with their respective Commitment Percentage of the Delayed Draw Term Loan Facility. Amounts borrowed under this </w:t>
      </w:r>
      <w:r>
        <w:rPr>
          <w:rFonts w:ascii="Times New Roman" w:cs="Times New Roman" w:eastAsia="Times New Roman" w:hAnsi="Times New Roman"/>
          <w:sz w:val="19"/>
          <w:szCs w:val="19"/>
          <w:b w:val="1"/>
          <w:bCs w:val="1"/>
          <w:i w:val="1"/>
          <w:iCs w:val="1"/>
          <w:u w:val="single" w:color="auto"/>
          <w:color w:val="3051F2"/>
        </w:rPr>
        <w:t>Section 2.1(c)</w:t>
      </w:r>
      <w:r>
        <w:rPr>
          <w:rFonts w:ascii="Times New Roman" w:cs="Times New Roman" w:eastAsia="Times New Roman" w:hAnsi="Times New Roman"/>
          <w:sz w:val="19"/>
          <w:szCs w:val="19"/>
          <w:u w:val="single" w:color="auto"/>
          <w:color w:val="3051F2"/>
        </w:rPr>
        <w:t xml:space="preserve"> and repaid or prepaid may not be reborrowed.</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9"/>
          <w:szCs w:val="19"/>
          <w:u w:val="single" w:color="auto"/>
          <w:color w:val="auto"/>
        </w:rPr>
        <w:t>Loan Procedure</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40"/>
        <w:spacing w:after="0" w:line="258" w:lineRule="auto"/>
        <w:tabs>
          <w:tab w:leader="none" w:pos="1074"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borrowing of Revolver Loans</w:t>
      </w:r>
      <w:r>
        <w:rPr>
          <w:rFonts w:ascii="Times New Roman" w:cs="Times New Roman" w:eastAsia="Times New Roman" w:hAnsi="Times New Roman"/>
          <w:sz w:val="19"/>
          <w:szCs w:val="19"/>
          <w:u w:val="single" w:color="auto"/>
          <w:color w:val="3051F2"/>
        </w:rPr>
        <w:t>, Term Loans</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Loans hereunder, conversion of Revolver Loans </w:t>
      </w:r>
      <w:r>
        <w:rPr>
          <w:rFonts w:ascii="Times New Roman" w:cs="Times New Roman" w:eastAsia="Times New Roman" w:hAnsi="Times New Roman"/>
          <w:sz w:val="19"/>
          <w:szCs w:val="19"/>
          <w:color w:val="EE2724"/>
          <w:strike w:val="1"/>
        </w:rPr>
        <w:t>or</w:t>
      </w:r>
      <w:r>
        <w:rPr>
          <w:rFonts w:ascii="Times New Roman" w:cs="Times New Roman" w:eastAsia="Times New Roman" w:hAnsi="Times New Roman"/>
          <w:sz w:val="19"/>
          <w:szCs w:val="19"/>
          <w:u w:val="single" w:color="auto"/>
          <w:color w:val="3051F2"/>
        </w:rPr>
        <w:t>,</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Term</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u w:val="single" w:color="auto"/>
          <w:color w:val="3051F2"/>
        </w:rPr>
        <w:t>Loans or Delayed Draw Term</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Loans from one Type to the other, and continuation of Revolver Loans</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EE2724"/>
          <w:strike w:val="1"/>
        </w:rPr>
        <w:t>or</w:t>
      </w:r>
      <w:r>
        <w:rPr>
          <w:rFonts w:ascii="Times New Roman" w:cs="Times New Roman" w:eastAsia="Times New Roman" w:hAnsi="Times New Roman"/>
          <w:sz w:val="19"/>
          <w:szCs w:val="19"/>
          <w:u w:val="single" w:color="auto"/>
          <w:color w:val="3051F2"/>
        </w:rPr>
        <w:t>,</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Term</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u w:val="single" w:color="auto"/>
          <w:color w:val="3051F2"/>
        </w:rPr>
        <w:t>Loans or</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u w:val="single" w:color="auto"/>
          <w:color w:val="3051F2"/>
        </w:rPr>
        <w:t>Delayed Draw Term</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Loans that are Term Reference Rate Loans shall be made upon Borrower’s irrevocable notice to Administrative</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Agent, which may be given by (A) telephone or (B) a Loan Notice; provided that any telephone notice must be confirmed immediately by delivery to Administrative Agent of a Loan Notice. Each Loan Notice must be received by Administrative Agent not later than 11:00 a.m. (i) three Business Days prior to the requested date of any Revolver Loans</w:t>
      </w:r>
      <w:r>
        <w:rPr>
          <w:rFonts w:ascii="Times New Roman" w:cs="Times New Roman" w:eastAsia="Times New Roman" w:hAnsi="Times New Roman"/>
          <w:sz w:val="19"/>
          <w:szCs w:val="19"/>
          <w:u w:val="single" w:color="auto"/>
          <w:color w:val="3051F2"/>
        </w:rPr>
        <w:t>, Term Loans</w:t>
      </w:r>
      <w:r>
        <w:rPr>
          <w:rFonts w:ascii="Times New Roman" w:cs="Times New Roman" w:eastAsia="Times New Roman" w:hAnsi="Times New Roman"/>
          <w:sz w:val="19"/>
          <w:szCs w:val="19"/>
          <w:color w:val="000000"/>
        </w:rPr>
        <w:t xml:space="preserve"> or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000000"/>
        </w:rPr>
        <w:t xml:space="preserve"> Term Loans of, conversion to, or continuation of Revolver Loans </w:t>
      </w:r>
      <w:r>
        <w:rPr>
          <w:rFonts w:ascii="Times New Roman" w:cs="Times New Roman" w:eastAsia="Times New Roman" w:hAnsi="Times New Roman"/>
          <w:sz w:val="19"/>
          <w:szCs w:val="19"/>
          <w:color w:val="EE2724"/>
          <w:strike w:val="1"/>
        </w:rPr>
        <w:t>or</w:t>
      </w:r>
      <w:r>
        <w:rPr>
          <w:rFonts w:ascii="Times New Roman" w:cs="Times New Roman" w:eastAsia="Times New Roman" w:hAnsi="Times New Roman"/>
          <w:sz w:val="19"/>
          <w:szCs w:val="19"/>
          <w:u w:val="single" w:color="auto"/>
          <w:color w:val="3051F2"/>
        </w:rPr>
        <w:t>,</w:t>
      </w:r>
      <w:r>
        <w:rPr>
          <w:rFonts w:ascii="Times New Roman" w:cs="Times New Roman" w:eastAsia="Times New Roman" w:hAnsi="Times New Roman"/>
          <w:sz w:val="19"/>
          <w:szCs w:val="19"/>
          <w:color w:val="000000"/>
        </w:rPr>
        <w:t xml:space="preserve"> Term </w:t>
      </w:r>
      <w:r>
        <w:rPr>
          <w:rFonts w:ascii="Times New Roman" w:cs="Times New Roman" w:eastAsia="Times New Roman" w:hAnsi="Times New Roman"/>
          <w:sz w:val="19"/>
          <w:szCs w:val="19"/>
          <w:u w:val="single" w:color="auto"/>
          <w:color w:val="3051F2"/>
        </w:rPr>
        <w:t>Loans or Delayed Draw Term</w:t>
      </w:r>
      <w:r>
        <w:rPr>
          <w:rFonts w:ascii="Times New Roman" w:cs="Times New Roman" w:eastAsia="Times New Roman" w:hAnsi="Times New Roman"/>
          <w:sz w:val="19"/>
          <w:szCs w:val="19"/>
          <w:color w:val="000000"/>
        </w:rPr>
        <w:t xml:space="preserve"> Loans that are Term Reference Rate Loans or of any conversion of Revolver Loans</w:t>
      </w:r>
      <w:r>
        <w:rPr>
          <w:rFonts w:ascii="Times New Roman" w:cs="Times New Roman" w:eastAsia="Times New Roman" w:hAnsi="Times New Roman"/>
          <w:sz w:val="19"/>
          <w:szCs w:val="19"/>
          <w:u w:val="single" w:color="auto"/>
          <w:color w:val="3051F2"/>
        </w:rPr>
        <w:t>, Term Loans</w:t>
      </w:r>
      <w:r>
        <w:rPr>
          <w:rFonts w:ascii="Times New Roman" w:cs="Times New Roman" w:eastAsia="Times New Roman" w:hAnsi="Times New Roman"/>
          <w:sz w:val="19"/>
          <w:szCs w:val="19"/>
          <w:color w:val="000000"/>
        </w:rPr>
        <w:t xml:space="preserve"> or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000000"/>
        </w:rPr>
        <w:t xml:space="preserve"> Term Loans that are Term Reference Rate Loans to Daily SOFR Rate Loans, and (ii) on the requested date of any Daily SOFR Rate Loan. Each borrowing of, conversion to, or continuation of Revolver Loans</w:t>
      </w:r>
      <w:r>
        <w:rPr>
          <w:rFonts w:ascii="Times New Roman" w:cs="Times New Roman" w:eastAsia="Times New Roman" w:hAnsi="Times New Roman"/>
          <w:sz w:val="19"/>
          <w:szCs w:val="19"/>
          <w:u w:val="single" w:color="auto"/>
          <w:color w:val="3051F2"/>
        </w:rPr>
        <w:t>, Term Loans</w:t>
      </w:r>
      <w:r>
        <w:rPr>
          <w:rFonts w:ascii="Times New Roman" w:cs="Times New Roman" w:eastAsia="Times New Roman" w:hAnsi="Times New Roman"/>
          <w:sz w:val="19"/>
          <w:szCs w:val="19"/>
          <w:color w:val="000000"/>
        </w:rPr>
        <w:t xml:space="preserve"> or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000000"/>
        </w:rPr>
        <w:t xml:space="preserve"> Term Loans that are Term Reference Rate Loans shall be in amounts set forth in </w:t>
      </w:r>
      <w:r>
        <w:rPr>
          <w:rFonts w:ascii="Times New Roman" w:cs="Times New Roman" w:eastAsia="Times New Roman" w:hAnsi="Times New Roman"/>
          <w:sz w:val="19"/>
          <w:szCs w:val="19"/>
          <w:b w:val="1"/>
          <w:bCs w:val="1"/>
          <w:i w:val="1"/>
          <w:iCs w:val="1"/>
          <w:color w:val="000000"/>
        </w:rPr>
        <w:t>Section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i w:val="1"/>
          <w:iCs w:val="1"/>
          <w:color w:val="000000"/>
        </w:rPr>
        <w:t>2.1</w:t>
      </w:r>
      <w:r>
        <w:rPr>
          <w:rFonts w:ascii="Times New Roman" w:cs="Times New Roman" w:eastAsia="Times New Roman" w:hAnsi="Times New Roman"/>
          <w:sz w:val="19"/>
          <w:szCs w:val="19"/>
          <w:color w:val="000000"/>
        </w:rPr>
        <w:t>. Each Loan Notice shall specify (i) whether Borrower is requesting a Revolver Loan</w:t>
      </w:r>
      <w:r>
        <w:rPr>
          <w:rFonts w:ascii="Times New Roman" w:cs="Times New Roman" w:eastAsia="Times New Roman" w:hAnsi="Times New Roman"/>
          <w:sz w:val="19"/>
          <w:szCs w:val="19"/>
          <w:u w:val="single" w:color="auto"/>
          <w:color w:val="3051F2"/>
        </w:rPr>
        <w:t>, Term Loan</w:t>
      </w:r>
      <w:r>
        <w:rPr>
          <w:rFonts w:ascii="Times New Roman" w:cs="Times New Roman" w:eastAsia="Times New Roman" w:hAnsi="Times New Roman"/>
          <w:sz w:val="19"/>
          <w:szCs w:val="19"/>
          <w:b w:val="1"/>
          <w:bCs w:val="1"/>
          <w:i w:val="1"/>
          <w:iCs w:val="1"/>
          <w:color w:val="000000"/>
        </w:rPr>
        <w:t xml:space="preserve"> </w:t>
      </w:r>
      <w:r>
        <w:rPr>
          <w:rFonts w:ascii="Times New Roman" w:cs="Times New Roman" w:eastAsia="Times New Roman" w:hAnsi="Times New Roman"/>
          <w:sz w:val="19"/>
          <w:szCs w:val="19"/>
          <w:color w:val="000000"/>
        </w:rPr>
        <w:t>or a</w:t>
      </w:r>
      <w:r>
        <w:rPr>
          <w:rFonts w:ascii="Times New Roman" w:cs="Times New Roman" w:eastAsia="Times New Roman" w:hAnsi="Times New Roman"/>
          <w:sz w:val="19"/>
          <w:szCs w:val="19"/>
          <w:b w:val="1"/>
          <w:bCs w:val="1"/>
          <w:i w:val="1"/>
          <w:iCs w:val="1"/>
          <w:color w:val="000000"/>
        </w:rPr>
        <w:t xml:space="preserve">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b w:val="1"/>
          <w:bCs w:val="1"/>
          <w:i w:val="1"/>
          <w:iCs w:val="1"/>
          <w:color w:val="000000"/>
        </w:rPr>
        <w:t xml:space="preserve"> </w:t>
      </w:r>
      <w:r>
        <w:rPr>
          <w:rFonts w:ascii="Times New Roman" w:cs="Times New Roman" w:eastAsia="Times New Roman" w:hAnsi="Times New Roman"/>
          <w:sz w:val="19"/>
          <w:szCs w:val="19"/>
          <w:color w:val="000000"/>
        </w:rPr>
        <w:t>Term Loan, (ii)</w:t>
      </w:r>
      <w:r>
        <w:rPr>
          <w:rFonts w:ascii="Times New Roman" w:cs="Times New Roman" w:eastAsia="Times New Roman" w:hAnsi="Times New Roman"/>
          <w:sz w:val="19"/>
          <w:szCs w:val="19"/>
          <w:b w:val="1"/>
          <w:bCs w:val="1"/>
          <w:i w:val="1"/>
          <w:iCs w:val="1"/>
          <w:color w:val="000000"/>
        </w:rPr>
        <w:t xml:space="preserve"> </w:t>
      </w:r>
      <w:r>
        <w:rPr>
          <w:rFonts w:ascii="Times New Roman" w:cs="Times New Roman" w:eastAsia="Times New Roman" w:hAnsi="Times New Roman"/>
          <w:sz w:val="19"/>
          <w:szCs w:val="19"/>
          <w:color w:val="000000"/>
        </w:rPr>
        <w:t>whether Borrower is requesting a Loan, a conversion of Loans from one Type to the other, or a continuation of Loans as either Term Reference Rate Loans or Daily SOFR Rate Loans, (iii) the requested date of the borrowing (such date, a “</w:t>
      </w:r>
      <w:r>
        <w:rPr>
          <w:rFonts w:ascii="Times New Roman" w:cs="Times New Roman" w:eastAsia="Times New Roman" w:hAnsi="Times New Roman"/>
          <w:sz w:val="19"/>
          <w:szCs w:val="19"/>
          <w:b w:val="1"/>
          <w:bCs w:val="1"/>
          <w:i w:val="1"/>
          <w:iCs w:val="1"/>
          <w:color w:val="000000"/>
        </w:rPr>
        <w:t>Loan Date</w:t>
      </w:r>
      <w:r>
        <w:rPr>
          <w:rFonts w:ascii="Times New Roman" w:cs="Times New Roman" w:eastAsia="Times New Roman" w:hAnsi="Times New Roman"/>
          <w:sz w:val="19"/>
          <w:szCs w:val="19"/>
          <w:color w:val="000000"/>
        </w:rPr>
        <w:t>”), conversion, or continuation, as the case may be (which shall be a Business Day), (iv) the principal amount of Loans to be borrowed, converted, or continued, (v) the Type of Loans to be borrowed or to which existing Revolver Loans</w:t>
      </w:r>
      <w:r>
        <w:rPr>
          <w:rFonts w:ascii="Times New Roman" w:cs="Times New Roman" w:eastAsia="Times New Roman" w:hAnsi="Times New Roman"/>
          <w:sz w:val="19"/>
          <w:szCs w:val="19"/>
          <w:u w:val="single" w:color="auto"/>
          <w:color w:val="3051F2"/>
        </w:rPr>
        <w:t>, Term Loans</w:t>
      </w:r>
      <w:r>
        <w:rPr>
          <w:rFonts w:ascii="Times New Roman" w:cs="Times New Roman" w:eastAsia="Times New Roman" w:hAnsi="Times New Roman"/>
          <w:sz w:val="19"/>
          <w:szCs w:val="19"/>
          <w:color w:val="000000"/>
        </w:rPr>
        <w:t xml:space="preserve"> or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000000"/>
        </w:rPr>
        <w:t xml:space="preserve"> Term Loans are to be converted, and (vi) if applicable, the duration of the Interest Period with respect thereto. If Borrower fails to specify a Type of Loan in a Loan Notice or if Borrower fails to give a timely notice requesting a conversion or continuation, then the applicable Revolver Loans</w:t>
      </w:r>
      <w:r>
        <w:rPr>
          <w:rFonts w:ascii="Times New Roman" w:cs="Times New Roman" w:eastAsia="Times New Roman" w:hAnsi="Times New Roman"/>
          <w:sz w:val="19"/>
          <w:szCs w:val="19"/>
          <w:u w:val="single" w:color="auto"/>
          <w:color w:val="3051F2"/>
        </w:rPr>
        <w:t>, Term Loans</w:t>
      </w:r>
      <w:r>
        <w:rPr>
          <w:rFonts w:ascii="Times New Roman" w:cs="Times New Roman" w:eastAsia="Times New Roman" w:hAnsi="Times New Roman"/>
          <w:sz w:val="19"/>
          <w:szCs w:val="19"/>
          <w:color w:val="000000"/>
        </w:rPr>
        <w:t xml:space="preserve"> or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000000"/>
        </w:rPr>
        <w:t xml:space="preserve"> Term Loans shall be made as, or converted to, Daily SOFR Rate Loans;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however</w:t>
      </w:r>
      <w:r>
        <w:rPr>
          <w:rFonts w:ascii="Times New Roman" w:cs="Times New Roman" w:eastAsia="Times New Roman" w:hAnsi="Times New Roman"/>
          <w:sz w:val="19"/>
          <w:szCs w:val="19"/>
          <w:color w:val="000000"/>
        </w:rPr>
        <w:t>, that in the case of a failure to timely request a continuation of Loans denominated in an Alternative Currency, such Loans shall be continued as Term Reference Rate Loans in their original currency with an Interest Period of one month. Any such automatic conversion to Daily SOFR Rate Loans shall be effective as of the last day of the Interest Period then in effect with respect to the applicable Revolver Loans that are Term Reference Rate Loans. If Borrower requests a borrowing of, conversion to, or continuation of Loans that are Term Reference Rate Loans in any such Loan Notice, but fails to specify an Interest Period, it will be deemed to have specified an Interest Period of one month. Administrative Agent shall promptly notify each Lender of its receipt of any Loan Notice and its contents.</w:t>
      </w:r>
    </w:p>
    <w:p>
      <w:pPr>
        <w:spacing w:after="0" w:line="173" w:lineRule="exact"/>
        <w:rPr>
          <w:rFonts w:ascii="Times New Roman" w:cs="Times New Roman" w:eastAsia="Times New Roman" w:hAnsi="Times New Roman"/>
          <w:sz w:val="19"/>
          <w:szCs w:val="19"/>
          <w:color w:val="auto"/>
        </w:rPr>
      </w:pPr>
    </w:p>
    <w:p>
      <w:pPr>
        <w:ind w:firstLine="640"/>
        <w:spacing w:after="0" w:line="300" w:lineRule="auto"/>
        <w:tabs>
          <w:tab w:leader="none" w:pos="1069"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shall remit its Commitment Percentage of each requested Revolver Loan</w:t>
      </w:r>
      <w:r>
        <w:rPr>
          <w:rFonts w:ascii="Times New Roman" w:cs="Times New Roman" w:eastAsia="Times New Roman" w:hAnsi="Times New Roman"/>
          <w:sz w:val="19"/>
          <w:szCs w:val="19"/>
          <w:u w:val="single" w:color="auto"/>
          <w:color w:val="3051F2"/>
        </w:rPr>
        <w:t>, Term Loan</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 to Administrative Agent’s principal office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41</w:t>
      </w:r>
    </w:p>
    <w:p>
      <w:pPr>
        <w:sectPr>
          <w:pgSz w:w="11900" w:h="16838" w:orient="portrait"/>
          <w:cols w:equalWidth="0" w:num="1">
            <w:col w:w="10600"/>
          </w:cols>
          <w:pgMar w:left="960" w:top="1390" w:right="339" w:bottom="1440" w:gutter="0" w:footer="0" w:header="0"/>
        </w:sectPr>
      </w:pPr>
    </w:p>
    <w:bookmarkStart w:id="155" w:name="page156"/>
    <w:bookmarkEnd w:id="155"/>
    <w:p>
      <w:pPr>
        <w:jc w:val="both"/>
        <w:spacing w:after="0" w:line="261" w:lineRule="auto"/>
        <w:rPr>
          <w:sz w:val="20"/>
          <w:szCs w:val="20"/>
          <w:color w:val="auto"/>
        </w:rPr>
      </w:pPr>
      <w:r>
        <w:rPr>
          <w:rFonts w:ascii="Times New Roman" w:cs="Times New Roman" w:eastAsia="Times New Roman" w:hAnsi="Times New Roman"/>
          <w:sz w:val="19"/>
          <w:szCs w:val="19"/>
          <w:color w:val="auto"/>
        </w:rPr>
        <w:t>Dallas, Texas, in funds that are available for immediate use by Administrative Agent by 12:00 noon on the applicable Loan Date, in the case of any Loan denominated in Dollars, and not later than the Applicable Time specified by Administrative Agent in the case of any Loan in an Alternative Currency, in each case on the Business Day specified in the applicable Loan Notice. Subject to receipt of such funds, Administrative Agent shall (unless to its actual knowledge any of the applicable conditions precedent have not been satisfied by Borrower or waived by Required Lenders, Required Revolver Lenders</w:t>
      </w:r>
      <w:r>
        <w:rPr>
          <w:rFonts w:ascii="Times New Roman" w:cs="Times New Roman" w:eastAsia="Times New Roman" w:hAnsi="Times New Roman"/>
          <w:sz w:val="19"/>
          <w:szCs w:val="19"/>
          <w:u w:val="single" w:color="auto"/>
          <w:color w:val="3051F2"/>
        </w:rPr>
        <w:t>, Required Term Loan Lenders</w:t>
      </w:r>
      <w:r>
        <w:rPr>
          <w:rFonts w:ascii="Times New Roman" w:cs="Times New Roman" w:eastAsia="Times New Roman" w:hAnsi="Times New Roman"/>
          <w:sz w:val="19"/>
          <w:szCs w:val="19"/>
          <w:color w:val="auto"/>
        </w:rPr>
        <w:t xml:space="preserve"> or Required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 Lenders, as applicable) make such funds available to Borrower as directed in the Loan Notice;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on the date of such Loan Notice with respect to a Revolver Loan, there are L/C Borrowings outstanding, then the proceeds of such Revolver Loans shall be provided,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in full of any such L/C Borrowing, and </w:t>
      </w:r>
      <w:r>
        <w:rPr>
          <w:rFonts w:ascii="Times New Roman" w:cs="Times New Roman" w:eastAsia="Times New Roman" w:hAnsi="Times New Roman"/>
          <w:sz w:val="19"/>
          <w:szCs w:val="19"/>
          <w:i w:val="1"/>
          <w:iCs w:val="1"/>
          <w:color w:val="auto"/>
        </w:rPr>
        <w:t>then</w:t>
      </w:r>
      <w:r>
        <w:rPr>
          <w:rFonts w:ascii="Times New Roman" w:cs="Times New Roman" w:eastAsia="Times New Roman" w:hAnsi="Times New Roman"/>
          <w:sz w:val="19"/>
          <w:szCs w:val="19"/>
          <w:color w:val="auto"/>
        </w:rPr>
        <w:t>, to Borrower as provided herein.</w:t>
      </w:r>
    </w:p>
    <w:p>
      <w:pPr>
        <w:spacing w:after="0" w:line="182" w:lineRule="exact"/>
        <w:rPr>
          <w:sz w:val="20"/>
          <w:szCs w:val="20"/>
          <w:color w:val="auto"/>
        </w:rPr>
      </w:pPr>
    </w:p>
    <w:p>
      <w:pPr>
        <w:jc w:val="both"/>
        <w:ind w:firstLine="640"/>
        <w:spacing w:after="0" w:line="258" w:lineRule="auto"/>
        <w:tabs>
          <w:tab w:leader="none" w:pos="1095"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Administrative Agent shall have received notice from a Lender prior to the proposed date of any Loan that such Lender will not make available to Administrative Agent such Lender’s share of such Loan (or, in the case of any Daily SOFR Rate Loan, prior to 12:00 noon on the date of such Daily SOFR Rate Loan), Administrative Agent may assume that such Lender has made such share available on such date in accordance with </w:t>
      </w:r>
      <w:r>
        <w:rPr>
          <w:rFonts w:ascii="Times New Roman" w:cs="Times New Roman" w:eastAsia="Times New Roman" w:hAnsi="Times New Roman"/>
          <w:sz w:val="19"/>
          <w:szCs w:val="19"/>
          <w:b w:val="1"/>
          <w:bCs w:val="1"/>
          <w:i w:val="1"/>
          <w:iCs w:val="1"/>
          <w:color w:val="auto"/>
        </w:rPr>
        <w:t>Section 2.2(b)</w:t>
      </w:r>
      <w:r>
        <w:rPr>
          <w:rFonts w:ascii="Times New Roman" w:cs="Times New Roman" w:eastAsia="Times New Roman" w:hAnsi="Times New Roman"/>
          <w:sz w:val="19"/>
          <w:szCs w:val="19"/>
          <w:color w:val="auto"/>
        </w:rPr>
        <w:t xml:space="preserve"> and may, in reliance upon such assumption, make available to Borrower a corresponding amount. In such event, if a Lender has not in fact made its share of the applicable Loan available to Administrative Agent, then the applicable Lender and Borrower severally agree to pay to Administrative Agent forthwith on demand such corresponding amount in immediately available funds with interest thereon, for each day from and including the date such amount is made available to Borrower to but excluding the date of payment to Administrative Agent, at (A) in the case of a payment to be made by such Lender, the greater of the Federal Funds Rate and a rate determined by Administrative Agent in accordance with banking industry rules on interbank compensation, plus any administrative, processing, or similar fees customarily charged by Administrative Agent in connection with the foregoing, and (B) in the case of a payment to be made by Borrower, the interest rate applicable to Daily SOFR Rate Loans. If Borrower and such Lender shall pay such interest to Administrative Agent for the same or an overlapping period, Administrative Agent shall promptly remit to Borrower the amount of such interest paid by Borrower for such period. If such Lender pays its share of the applicable Revolver Loan</w:t>
      </w:r>
      <w:r>
        <w:rPr>
          <w:rFonts w:ascii="Times New Roman" w:cs="Times New Roman" w:eastAsia="Times New Roman" w:hAnsi="Times New Roman"/>
          <w:sz w:val="19"/>
          <w:szCs w:val="19"/>
          <w:u w:val="single" w:color="auto"/>
          <w:color w:val="3051F2"/>
        </w:rPr>
        <w:t>, Term Loan</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 to Administrative Agent, then the amount so paid shall constitute such Lender’s Loan included in such Loan. Any payment by Borrower shall be without prejudice to any claim Borrower may have against a Lender that shall have failed to make such payment to Administrative Agent. A notice of Administrative Agent to any Lender or Borrower with respect to any amount owing under this </w:t>
      </w:r>
      <w:r>
        <w:rPr>
          <w:rFonts w:ascii="Times New Roman" w:cs="Times New Roman" w:eastAsia="Times New Roman" w:hAnsi="Times New Roman"/>
          <w:sz w:val="19"/>
          <w:szCs w:val="19"/>
          <w:b w:val="1"/>
          <w:bCs w:val="1"/>
          <w:i w:val="1"/>
          <w:iCs w:val="1"/>
          <w:color w:val="auto"/>
        </w:rPr>
        <w:t>subsection (c)</w:t>
      </w:r>
      <w:r>
        <w:rPr>
          <w:rFonts w:ascii="Times New Roman" w:cs="Times New Roman" w:eastAsia="Times New Roman" w:hAnsi="Times New Roman"/>
          <w:sz w:val="19"/>
          <w:szCs w:val="19"/>
          <w:color w:val="auto"/>
        </w:rPr>
        <w:t xml:space="preserve"> shall be conclusive, absent manifest error.</w:t>
      </w:r>
    </w:p>
    <w:p>
      <w:pPr>
        <w:spacing w:after="0" w:line="185" w:lineRule="exact"/>
        <w:rPr>
          <w:rFonts w:ascii="Times New Roman" w:cs="Times New Roman" w:eastAsia="Times New Roman" w:hAnsi="Times New Roman"/>
          <w:sz w:val="19"/>
          <w:szCs w:val="19"/>
          <w:color w:val="auto"/>
        </w:rPr>
      </w:pPr>
    </w:p>
    <w:p>
      <w:pPr>
        <w:jc w:val="both"/>
        <w:ind w:firstLine="640"/>
        <w:spacing w:after="0" w:line="261" w:lineRule="auto"/>
        <w:tabs>
          <w:tab w:leader="none" w:pos="1088"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Administrative Agent shall have received notice from Borrower prior to the date on which any payment is due to Administrative Agent for the account of Lenders or any L/C Issuer hereunder that Borrower will not make such payment, Administrative Agent may assume that Borrower has made such payment on such date in accordance herewith and may, in reliance upon such assumption, distribute to Lenders or the applicable L/C Issuer, as the case may be, the amount due. With respect to any payment that Administrative Agent makes for the account of the Lenders or any L/C Issuer hereunder as to which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9"/>
          <w:szCs w:val="19"/>
          <w:b w:val="1"/>
          <w:bCs w:val="1"/>
          <w:i w:val="1"/>
          <w:iCs w:val="1"/>
          <w:color w:val="auto"/>
        </w:rPr>
        <w:t>Rescindable Amount</w:t>
      </w:r>
      <w:r>
        <w:rPr>
          <w:rFonts w:ascii="Times New Roman" w:cs="Times New Roman" w:eastAsia="Times New Roman" w:hAnsi="Times New Roman"/>
          <w:sz w:val="19"/>
          <w:szCs w:val="19"/>
          <w:color w:val="auto"/>
        </w:rPr>
        <w:t>”): (1) Borrower has not in fact made such payment; (2) Administrative Agent has made a payment in excess of the amount so paid by Borrower (whether or not then owed); or (3) Administrative agent has for any reason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42</w:t>
      </w:r>
    </w:p>
    <w:p>
      <w:pPr>
        <w:sectPr>
          <w:pgSz w:w="11900" w:h="16838" w:orient="portrait"/>
          <w:cols w:equalWidth="0" w:num="1">
            <w:col w:w="10600"/>
          </w:cols>
          <w:pgMar w:left="960" w:top="1390" w:right="339" w:bottom="1440" w:gutter="0" w:footer="0" w:header="0"/>
        </w:sectPr>
      </w:pPr>
    </w:p>
    <w:bookmarkStart w:id="156" w:name="page157"/>
    <w:bookmarkEnd w:id="156"/>
    <w:p>
      <w:pPr>
        <w:jc w:val="both"/>
        <w:ind w:left="640"/>
        <w:spacing w:after="0" w:line="264" w:lineRule="auto"/>
        <w:rPr>
          <w:sz w:val="20"/>
          <w:szCs w:val="20"/>
          <w:color w:val="auto"/>
        </w:rPr>
      </w:pPr>
      <w:r>
        <w:rPr>
          <w:rFonts w:ascii="Times New Roman" w:cs="Times New Roman" w:eastAsia="Times New Roman" w:hAnsi="Times New Roman"/>
          <w:sz w:val="19"/>
          <w:szCs w:val="19"/>
          <w:color w:val="auto"/>
        </w:rPr>
        <w:t xml:space="preserve">erroneously made such payment; then each Lender or such L/C Issuer, as the case may be, severally agrees to repay to Administrative Agent forthwith on demand the Rescindable Amount so distributed to such Lender or such L/C Issuer, in immediately available funds with interest thereon, for each day from and including the date such amount is distributed to it to but excluding the date of payment to Administrative Agent, at the greater of the Federal Funds Rate and a rate determined by Administrative Agent in accordance with banking industry rules on interbank compensation. A notice of Administrative Agent to any Lender or Borrower with respect to any amount owing under this </w:t>
      </w:r>
      <w:r>
        <w:rPr>
          <w:rFonts w:ascii="Times New Roman" w:cs="Times New Roman" w:eastAsia="Times New Roman" w:hAnsi="Times New Roman"/>
          <w:sz w:val="19"/>
          <w:szCs w:val="19"/>
          <w:b w:val="1"/>
          <w:bCs w:val="1"/>
          <w:i w:val="1"/>
          <w:iCs w:val="1"/>
          <w:color w:val="auto"/>
        </w:rPr>
        <w:t>subsection (d)</w:t>
      </w:r>
      <w:r>
        <w:rPr>
          <w:rFonts w:ascii="Times New Roman" w:cs="Times New Roman" w:eastAsia="Times New Roman" w:hAnsi="Times New Roman"/>
          <w:sz w:val="19"/>
          <w:szCs w:val="19"/>
          <w:color w:val="auto"/>
        </w:rPr>
        <w:t xml:space="preserve"> shall be conclusive, absent manifest error.</w:t>
      </w:r>
    </w:p>
    <w:p>
      <w:pPr>
        <w:spacing w:after="0" w:line="176" w:lineRule="exact"/>
        <w:rPr>
          <w:sz w:val="20"/>
          <w:szCs w:val="20"/>
          <w:color w:val="auto"/>
        </w:rPr>
      </w:pPr>
    </w:p>
    <w:p>
      <w:pPr>
        <w:jc w:val="both"/>
        <w:ind w:left="640" w:firstLine="640"/>
        <w:spacing w:after="0" w:line="264" w:lineRule="auto"/>
        <w:tabs>
          <w:tab w:leader="none" w:pos="1776"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Lenders hereunder to make Revolver Loans</w:t>
      </w:r>
      <w:r>
        <w:rPr>
          <w:rFonts w:ascii="Times New Roman" w:cs="Times New Roman" w:eastAsia="Times New Roman" w:hAnsi="Times New Roman"/>
          <w:sz w:val="19"/>
          <w:szCs w:val="19"/>
          <w:u w:val="single" w:color="auto"/>
          <w:color w:val="3051F2"/>
        </w:rPr>
        <w:t>, Term Loans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Loans, to fund participations in L/Cs and to make payments pursuant to </w:t>
      </w:r>
      <w:r>
        <w:rPr>
          <w:rFonts w:ascii="Times New Roman" w:cs="Times New Roman" w:eastAsia="Times New Roman" w:hAnsi="Times New Roman"/>
          <w:sz w:val="19"/>
          <w:szCs w:val="19"/>
          <w:b w:val="1"/>
          <w:bCs w:val="1"/>
          <w:i w:val="1"/>
          <w:iCs w:val="1"/>
          <w:color w:val="auto"/>
        </w:rPr>
        <w:t>Section 15.4(c)</w:t>
      </w:r>
      <w:r>
        <w:rPr>
          <w:rFonts w:ascii="Times New Roman" w:cs="Times New Roman" w:eastAsia="Times New Roman" w:hAnsi="Times New Roman"/>
          <w:sz w:val="19"/>
          <w:szCs w:val="19"/>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19"/>
          <w:szCs w:val="19"/>
          <w:b w:val="1"/>
          <w:bCs w:val="1"/>
          <w:i w:val="1"/>
          <w:iCs w:val="1"/>
          <w:color w:val="auto"/>
        </w:rPr>
        <w:t>Section 15.4(c)</w:t>
      </w:r>
      <w:r>
        <w:rPr>
          <w:rFonts w:ascii="Times New Roman" w:cs="Times New Roman" w:eastAsia="Times New Roman" w:hAnsi="Times New Roman"/>
          <w:sz w:val="19"/>
          <w:szCs w:val="19"/>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9"/>
          <w:szCs w:val="19"/>
          <w:b w:val="1"/>
          <w:bCs w:val="1"/>
          <w:i w:val="1"/>
          <w:iCs w:val="1"/>
          <w:color w:val="auto"/>
        </w:rPr>
        <w:t>Section 15.4(c)</w:t>
      </w:r>
      <w:r>
        <w:rPr>
          <w:rFonts w:ascii="Times New Roman" w:cs="Times New Roman" w:eastAsia="Times New Roman" w:hAnsi="Times New Roman"/>
          <w:sz w:val="19"/>
          <w:szCs w:val="19"/>
          <w:color w:val="auto"/>
        </w:rPr>
        <w:t>.</w:t>
      </w:r>
    </w:p>
    <w:p>
      <w:pPr>
        <w:spacing w:after="0" w:line="177" w:lineRule="exact"/>
        <w:rPr>
          <w:rFonts w:ascii="Times New Roman" w:cs="Times New Roman" w:eastAsia="Times New Roman" w:hAnsi="Times New Roman"/>
          <w:sz w:val="19"/>
          <w:szCs w:val="19"/>
          <w:color w:val="auto"/>
        </w:rPr>
      </w:pPr>
    </w:p>
    <w:p>
      <w:pPr>
        <w:ind w:left="640" w:firstLine="640"/>
        <w:spacing w:after="0" w:line="285" w:lineRule="auto"/>
        <w:tabs>
          <w:tab w:leader="none" w:pos="1669"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limitation of any other conditions herein, a Loan or continuation of or conversion to Term SOFR Rate Loans shall not be permitted if:</w:t>
      </w:r>
    </w:p>
    <w:p>
      <w:pPr>
        <w:spacing w:after="0" w:line="157" w:lineRule="exact"/>
        <w:rPr>
          <w:rFonts w:ascii="Times New Roman" w:cs="Times New Roman" w:eastAsia="Times New Roman" w:hAnsi="Times New Roman"/>
          <w:sz w:val="19"/>
          <w:szCs w:val="19"/>
          <w:color w:val="auto"/>
        </w:rPr>
      </w:pPr>
    </w:p>
    <w:p>
      <w:pPr>
        <w:ind w:left="1280" w:firstLine="636"/>
        <w:spacing w:after="0" w:line="285" w:lineRule="auto"/>
        <w:tabs>
          <w:tab w:leader="none" w:pos="2551"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Event of Default or a Default has occurred and is continuing and has not been waived by the Required Lenders or all Lenders, as applicable;</w:t>
      </w:r>
    </w:p>
    <w:p>
      <w:pPr>
        <w:spacing w:after="0" w:line="157" w:lineRule="exact"/>
        <w:rPr>
          <w:rFonts w:ascii="Times New Roman" w:cs="Times New Roman" w:eastAsia="Times New Roman" w:hAnsi="Times New Roman"/>
          <w:sz w:val="19"/>
          <w:szCs w:val="19"/>
          <w:color w:val="auto"/>
        </w:rPr>
      </w:pPr>
    </w:p>
    <w:p>
      <w:pPr>
        <w:jc w:val="both"/>
        <w:ind w:left="1280" w:firstLine="636"/>
        <w:spacing w:after="0" w:line="274" w:lineRule="auto"/>
        <w:tabs>
          <w:tab w:leader="none" w:pos="2552"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after giving effect to the requested Loan or continuation of or conversion to Term SOFR Rate Loans under the Revolver Facility </w:t>
      </w:r>
      <w:r>
        <w:rPr>
          <w:rFonts w:ascii="Times New Roman" w:cs="Times New Roman" w:eastAsia="Times New Roman" w:hAnsi="Times New Roman"/>
          <w:sz w:val="19"/>
          <w:szCs w:val="19"/>
          <w:color w:val="EE2724"/>
        </w:rPr>
        <w:t>or</w:t>
      </w:r>
      <w:r>
        <w:rPr>
          <w:rFonts w:ascii="Times New Roman" w:cs="Times New Roman" w:eastAsia="Times New Roman" w:hAnsi="Times New Roman"/>
          <w:sz w:val="19"/>
          <w:szCs w:val="19"/>
          <w:u w:val="single" w:color="auto"/>
          <w:color w:val="3051F2"/>
        </w:rPr>
        <w:t>, Term Loan Facility or Delayed Draw</w:t>
      </w:r>
      <w:r>
        <w:rPr>
          <w:rFonts w:ascii="Times New Roman" w:cs="Times New Roman" w:eastAsia="Times New Roman" w:hAnsi="Times New Roman"/>
          <w:sz w:val="19"/>
          <w:szCs w:val="19"/>
          <w:color w:val="auto"/>
        </w:rPr>
        <w:t xml:space="preserve"> Term Loan Facility, as applicable, the sum of all Loans under such facility would exceed the Commitments under such facility;</w:t>
      </w:r>
    </w:p>
    <w:p>
      <w:pPr>
        <w:spacing w:after="0" w:line="167" w:lineRule="exact"/>
        <w:rPr>
          <w:rFonts w:ascii="Times New Roman" w:cs="Times New Roman" w:eastAsia="Times New Roman" w:hAnsi="Times New Roman"/>
          <w:sz w:val="19"/>
          <w:szCs w:val="19"/>
          <w:color w:val="auto"/>
        </w:rPr>
      </w:pPr>
    </w:p>
    <w:p>
      <w:pPr>
        <w:ind w:left="2560" w:hanging="644"/>
        <w:spacing w:after="0"/>
        <w:tabs>
          <w:tab w:leader="none" w:pos="2560"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all Loans, no more than ten (10) Term Reference Rate Interest Periods may be in effect at</w:t>
      </w:r>
    </w:p>
    <w:p>
      <w:pPr>
        <w:spacing w:after="0" w:line="29" w:lineRule="exact"/>
        <w:rPr>
          <w:rFonts w:ascii="Times New Roman" w:cs="Times New Roman" w:eastAsia="Times New Roman" w:hAnsi="Times New Roman"/>
          <w:sz w:val="19"/>
          <w:szCs w:val="19"/>
          <w:color w:val="auto"/>
        </w:rPr>
      </w:pPr>
    </w:p>
    <w:p>
      <w:pPr>
        <w:ind w:left="12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time;</w:t>
      </w:r>
    </w:p>
    <w:p>
      <w:pPr>
        <w:spacing w:after="0" w:line="210" w:lineRule="exact"/>
        <w:rPr>
          <w:rFonts w:ascii="Times New Roman" w:cs="Times New Roman" w:eastAsia="Times New Roman" w:hAnsi="Times New Roman"/>
          <w:sz w:val="19"/>
          <w:szCs w:val="19"/>
          <w:color w:val="auto"/>
        </w:rPr>
      </w:pPr>
    </w:p>
    <w:p>
      <w:pPr>
        <w:jc w:val="both"/>
        <w:ind w:left="1280" w:firstLine="636"/>
        <w:spacing w:after="0" w:line="285" w:lineRule="auto"/>
        <w:tabs>
          <w:tab w:leader="none" w:pos="2542"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Term SOFR Rate Loans requested in the request for Borrowing or continuation of or conversion to Term SOFR Rate Loans is not in a principal amount of at least $1,000,000 or a whole multiple of $100,000 in excess thereof;</w:t>
      </w:r>
    </w:p>
    <w:p>
      <w:pPr>
        <w:spacing w:after="0" w:line="157" w:lineRule="exact"/>
        <w:rPr>
          <w:rFonts w:ascii="Times New Roman" w:cs="Times New Roman" w:eastAsia="Times New Roman" w:hAnsi="Times New Roman"/>
          <w:sz w:val="19"/>
          <w:szCs w:val="19"/>
          <w:color w:val="auto"/>
        </w:rPr>
      </w:pPr>
    </w:p>
    <w:p>
      <w:pPr>
        <w:ind w:left="2540" w:hanging="624"/>
        <w:spacing w:after="0"/>
        <w:tabs>
          <w:tab w:leader="none" w:pos="2540"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requested interest period does not conform to the definition of Interest Period herein; or</w:t>
      </w:r>
    </w:p>
    <w:p>
      <w:pPr>
        <w:spacing w:after="0" w:line="228" w:lineRule="exact"/>
        <w:rPr>
          <w:rFonts w:ascii="Times New Roman" w:cs="Times New Roman" w:eastAsia="Times New Roman" w:hAnsi="Times New Roman"/>
          <w:sz w:val="19"/>
          <w:szCs w:val="19"/>
          <w:color w:val="auto"/>
        </w:rPr>
      </w:pPr>
    </w:p>
    <w:p>
      <w:pPr>
        <w:ind w:left="1280" w:firstLine="636"/>
        <w:spacing w:after="0" w:line="290" w:lineRule="auto"/>
        <w:tabs>
          <w:tab w:leader="none" w:pos="2542"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of the circumstances referred to in </w:t>
      </w:r>
      <w:r>
        <w:rPr>
          <w:rFonts w:ascii="Times New Roman" w:cs="Times New Roman" w:eastAsia="Times New Roman" w:hAnsi="Times New Roman"/>
          <w:sz w:val="19"/>
          <w:szCs w:val="19"/>
          <w:b w:val="1"/>
          <w:bCs w:val="1"/>
          <w:i w:val="1"/>
          <w:iCs w:val="1"/>
          <w:color w:val="auto"/>
        </w:rPr>
        <w:t>Section 4.3</w:t>
      </w:r>
      <w:r>
        <w:rPr>
          <w:rFonts w:ascii="Times New Roman" w:cs="Times New Roman" w:eastAsia="Times New Roman" w:hAnsi="Times New Roman"/>
          <w:sz w:val="19"/>
          <w:szCs w:val="19"/>
          <w:color w:val="auto"/>
        </w:rPr>
        <w:t xml:space="preserve"> hereof shall apply with respect to the requested Loan or continuation of or conversion to Term SOFR Rate Loans.</w:t>
      </w:r>
    </w:p>
    <w:p>
      <w:pPr>
        <w:spacing w:after="0" w:line="152" w:lineRule="exact"/>
        <w:rPr>
          <w:rFonts w:ascii="Times New Roman" w:cs="Times New Roman" w:eastAsia="Times New Roman" w:hAnsi="Times New Roman"/>
          <w:sz w:val="19"/>
          <w:szCs w:val="19"/>
          <w:color w:val="auto"/>
        </w:rPr>
      </w:pPr>
    </w:p>
    <w:p>
      <w:pPr>
        <w:ind w:firstLine="1280"/>
        <w:spacing w:after="0" w:line="285" w:lineRule="auto"/>
        <w:tabs>
          <w:tab w:leader="none" w:pos="1769"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may not request an advance of, or conversion to, Base Rate Loans unless Daily SOFR Rate Loans and Term SOFR Rate Loans are unavailable, as further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-2251710</wp:posOffset>
            </wp:positionV>
            <wp:extent cx="1333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38" w:lineRule="exact"/>
        <w:rPr>
          <w:sz w:val="20"/>
          <w:szCs w:val="20"/>
          <w:color w:val="auto"/>
        </w:rPr>
      </w:pPr>
    </w:p>
    <w:p>
      <w:pPr>
        <w:jc w:val="both"/>
        <w:ind w:left="640" w:firstLine="640"/>
        <w:spacing w:after="0" w:line="274" w:lineRule="auto"/>
        <w:tabs>
          <w:tab w:leader="none" w:pos="1901" w:val="left"/>
        </w:tabs>
        <w:numPr>
          <w:ilvl w:val="0"/>
          <w:numId w:val="98"/>
        </w:numPr>
        <w:rPr>
          <w:rFonts w:ascii="Times New Roman" w:cs="Times New Roman" w:eastAsia="Times New Roman" w:hAnsi="Times New Roman"/>
          <w:sz w:val="19"/>
          <w:szCs w:val="19"/>
          <w:color w:val="EE2724"/>
          <w:strike w:val="1"/>
        </w:rPr>
      </w:pPr>
      <w:r>
        <w:rPr>
          <w:rFonts w:ascii="Times New Roman" w:cs="Times New Roman" w:eastAsia="Times New Roman" w:hAnsi="Times New Roman"/>
          <w:sz w:val="19"/>
          <w:szCs w:val="19"/>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1900" w:h="16838" w:orient="portrait"/>
          <w:cols w:equalWidth="0" w:num="1">
            <w:col w:w="11240"/>
          </w:cols>
          <w:pgMar w:left="320" w:top="1390"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9"/>
          <w:szCs w:val="19"/>
          <w:color w:val="auto"/>
        </w:rPr>
        <w:t>pursuant to a cashless settlement mechanism approved by Borrower, Administrative Agent, and such Lender.</w:t>
      </w:r>
    </w:p>
    <w:p>
      <w:pPr>
        <w:spacing w:after="0" w:line="233" w:lineRule="exact"/>
        <w:rPr>
          <w:sz w:val="20"/>
          <w:szCs w:val="20"/>
          <w:color w:val="auto"/>
        </w:rPr>
      </w:pPr>
    </w:p>
    <w:p>
      <w:pPr>
        <w:jc w:val="both"/>
        <w:ind w:firstLine="640"/>
        <w:spacing w:after="0" w:line="264" w:lineRule="auto"/>
        <w:tabs>
          <w:tab w:leader="none" w:pos="1264" w:val="left"/>
        </w:tabs>
        <w:numPr>
          <w:ilvl w:val="0"/>
          <w:numId w:val="99"/>
        </w:numPr>
        <w:rPr>
          <w:rFonts w:ascii="Times New Roman" w:cs="Times New Roman" w:eastAsia="Times New Roman" w:hAnsi="Times New Roman"/>
          <w:sz w:val="19"/>
          <w:szCs w:val="19"/>
          <w:color w:val="EE2724"/>
          <w:strike w:val="1"/>
        </w:rPr>
      </w:pPr>
      <w:r>
        <w:rPr>
          <w:rFonts w:ascii="Times New Roman" w:cs="Times New Roman" w:eastAsia="Times New Roman" w:hAnsi="Times New Roman"/>
          <w:sz w:val="19"/>
          <w:szCs w:val="19"/>
          <w:color w:val="auto"/>
        </w:rPr>
        <w:t xml:space="preserve">With respect to Daily Simple SOFR and Term SOFR, Administrative Agent will have the right to make Conforming Changes from time to time and, notwithstanding anything to the contrary herein or in any other Loan Paper, any amendments implementing such Conforming Changes will become effective without any further action or consent of any other party to this Agreement or any other Loan Paper;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with respect to any such amendment effected, Administrative Agent shall post each such amendment implementing such Conforming Changes to Borrower and the Lenders reasonably promptly after such amendment becomes effective.</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color w:val="auto"/>
        </w:rPr>
        <w:t>2.3.</w:t>
      </w:r>
      <w:r>
        <w:rPr>
          <w:sz w:val="20"/>
          <w:szCs w:val="20"/>
          <w:color w:val="auto"/>
        </w:rPr>
        <w:tab/>
      </w:r>
      <w:r>
        <w:rPr>
          <w:rFonts w:ascii="Times New Roman" w:cs="Times New Roman" w:eastAsia="Times New Roman" w:hAnsi="Times New Roman"/>
          <w:sz w:val="19"/>
          <w:szCs w:val="19"/>
          <w:u w:val="single" w:color="auto"/>
          <w:color w:val="auto"/>
        </w:rPr>
        <w:t>L/C Subfacility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040" w:hanging="400"/>
        <w:spacing w:after="0"/>
        <w:tabs>
          <w:tab w:leader="none" w:pos="104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The L/C Commitment</w:t>
      </w:r>
      <w:r>
        <w:rPr>
          <w:rFonts w:ascii="Times New Roman" w:cs="Times New Roman" w:eastAsia="Times New Roman" w:hAnsi="Times New Roman"/>
          <w:sz w:val="19"/>
          <w:szCs w:val="19"/>
          <w:color w:val="auto"/>
        </w:rPr>
        <w:t>.</w:t>
      </w:r>
    </w:p>
    <w:p>
      <w:pPr>
        <w:spacing w:after="0" w:line="223" w:lineRule="exact"/>
        <w:rPr>
          <w:rFonts w:ascii="Times New Roman" w:cs="Times New Roman" w:eastAsia="Times New Roman" w:hAnsi="Times New Roman"/>
          <w:sz w:val="19"/>
          <w:szCs w:val="19"/>
          <w:color w:val="auto"/>
        </w:rPr>
      </w:pPr>
    </w:p>
    <w:p>
      <w:pPr>
        <w:jc w:val="both"/>
        <w:ind w:left="640" w:firstLine="636"/>
        <w:spacing w:after="0" w:line="259" w:lineRule="auto"/>
        <w:tabs>
          <w:tab w:leader="none" w:pos="1657"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set forth herein, (A) each L/C Issuer agrees, in reliance upon the agreements of the other Revolver Lenders set forth in this </w:t>
      </w:r>
      <w:r>
        <w:rPr>
          <w:rFonts w:ascii="Times New Roman" w:cs="Times New Roman" w:eastAsia="Times New Roman" w:hAnsi="Times New Roman"/>
          <w:sz w:val="19"/>
          <w:szCs w:val="19"/>
          <w:b w:val="1"/>
          <w:bCs w:val="1"/>
          <w:i w:val="1"/>
          <w:iCs w:val="1"/>
          <w:color w:val="auto"/>
        </w:rPr>
        <w:t>Section 2.3</w:t>
      </w:r>
      <w:r>
        <w:rPr>
          <w:rFonts w:ascii="Times New Roman" w:cs="Times New Roman" w:eastAsia="Times New Roman" w:hAnsi="Times New Roman"/>
          <w:sz w:val="19"/>
          <w:szCs w:val="19"/>
          <w:color w:val="auto"/>
        </w:rPr>
        <w:t xml:space="preserve">, (1) from time to time on any Business Day during the period from the Closing Date until the L/C Expiration Date, to issue L/Cs in Dollars or with respect to the Australian L/C Issuer, the Alternative Currency, for the account of Borrower or its Subsidiaries in an aggregate amount not to exceed such L/C Issuer’s L/C Commitment, and to amend or renew L/Cs previously issued by it, in accordance with </w:t>
      </w:r>
      <w:r>
        <w:rPr>
          <w:rFonts w:ascii="Times New Roman" w:cs="Times New Roman" w:eastAsia="Times New Roman" w:hAnsi="Times New Roman"/>
          <w:sz w:val="19"/>
          <w:szCs w:val="19"/>
          <w:b w:val="1"/>
          <w:bCs w:val="1"/>
          <w:i w:val="1"/>
          <w:iCs w:val="1"/>
          <w:color w:val="auto"/>
        </w:rPr>
        <w:t>subsection (b)</w:t>
      </w:r>
      <w:r>
        <w:rPr>
          <w:rFonts w:ascii="Times New Roman" w:cs="Times New Roman" w:eastAsia="Times New Roman" w:hAnsi="Times New Roman"/>
          <w:sz w:val="19"/>
          <w:szCs w:val="19"/>
          <w:color w:val="auto"/>
        </w:rPr>
        <w:t xml:space="preserve"> below, and (2) to honor sight drafts under the L/Cs; and (B) Revolver Lenders severally agree to participate in L/Cs issued for the account of Borrower; </w:t>
      </w:r>
      <w:r>
        <w:rPr>
          <w:rFonts w:ascii="Times New Roman" w:cs="Times New Roman" w:eastAsia="Times New Roman" w:hAnsi="Times New Roman"/>
          <w:sz w:val="19"/>
          <w:szCs w:val="19"/>
          <w:i w:val="1"/>
          <w:iCs w:val="1"/>
          <w:color w:val="auto"/>
        </w:rPr>
        <w:t xml:space="preserve">provided that </w:t>
      </w:r>
      <w:r>
        <w:rPr>
          <w:rFonts w:ascii="Times New Roman" w:cs="Times New Roman" w:eastAsia="Times New Roman" w:hAnsi="Times New Roman"/>
          <w:sz w:val="19"/>
          <w:szCs w:val="19"/>
          <w:color w:val="auto"/>
        </w:rPr>
        <w:t>no L/C Issuer shall be obligated to make any L/C Credit Extension with respect to any L/C, and no Revolver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 shall be obligated to participate in any L/C, if as of the date of such L/C Credit Extension (after giving effect to any proposed L/C Credit Extension on such date), (x) the Revolver Commitment Usage would exceed the Revolver Commitment,</w:t>
      </w:r>
    </w:p>
    <w:p>
      <w:pPr>
        <w:spacing w:after="0" w:line="1" w:lineRule="exact"/>
        <w:rPr>
          <w:rFonts w:ascii="Times New Roman" w:cs="Times New Roman" w:eastAsia="Times New Roman" w:hAnsi="Times New Roman"/>
          <w:sz w:val="19"/>
          <w:szCs w:val="19"/>
          <w:color w:val="auto"/>
        </w:rPr>
      </w:pPr>
    </w:p>
    <w:p>
      <w:pPr>
        <w:jc w:val="both"/>
        <w:ind w:left="640"/>
        <w:spacing w:after="0" w:line="257" w:lineRule="auto"/>
        <w:tabs>
          <w:tab w:leader="none" w:pos="964"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Outstanding Amount of the Revolver Loans of such Revolving Lender,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such Revolver Lender’s Commitment Percentage of the Outstanding Amount of all L/C Exposure, would exceed such Revolver Lender’s Revolver Commitment, or (z) the Outstanding Amount of the L/C Exposure would exceed the L/C Sublimit. Each request by Borrower for the issuance or amendment of an L/C shall be deemed to be a representation by Borrower that the L/C Credit Extension so requested complies with the conditions set forth in the proviso to the preceding sentence. Within the foregoing limits, and subject to the terms and conditions hereof, Borrower’s ability to obtain L/Cs shall be fully revolving; accordingly Borrower may, during the foregoing period, obtain L/Cs to replace L/Cs that have expired or that have been drawn upon and reimbursed. All Existing L/Cs shall be deemed to have been issued pursuant hereto, and from and after the Closing Date shall be subject to and governed by the terms and conditions hereof.</w:t>
      </w:r>
    </w:p>
    <w:p>
      <w:pPr>
        <w:spacing w:after="0" w:line="188" w:lineRule="exact"/>
        <w:rPr>
          <w:sz w:val="20"/>
          <w:szCs w:val="20"/>
          <w:color w:val="auto"/>
        </w:rPr>
      </w:pPr>
    </w:p>
    <w:p>
      <w:pPr>
        <w:ind w:left="1700" w:hanging="424"/>
        <w:spacing w:after="0"/>
        <w:tabs>
          <w:tab w:leader="none" w:pos="170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L/C Issuers shall not issue any L/C if:</w:t>
      </w:r>
    </w:p>
    <w:p>
      <w:pPr>
        <w:spacing w:after="0" w:line="228" w:lineRule="exact"/>
        <w:rPr>
          <w:rFonts w:ascii="Times New Roman" w:cs="Times New Roman" w:eastAsia="Times New Roman" w:hAnsi="Times New Roman"/>
          <w:sz w:val="19"/>
          <w:szCs w:val="19"/>
          <w:color w:val="auto"/>
        </w:rPr>
      </w:pPr>
    </w:p>
    <w:p>
      <w:pPr>
        <w:jc w:val="both"/>
        <w:ind w:left="1280" w:firstLine="633"/>
        <w:spacing w:after="0" w:line="266" w:lineRule="auto"/>
        <w:tabs>
          <w:tab w:leader="none" w:pos="2505"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b w:val="1"/>
          <w:bCs w:val="1"/>
          <w:i w:val="1"/>
          <w:iCs w:val="1"/>
          <w:color w:val="auto"/>
        </w:rPr>
        <w:t>Section 2.3(b)(iii)</w:t>
      </w:r>
      <w:r>
        <w:rPr>
          <w:rFonts w:ascii="Times New Roman" w:cs="Times New Roman" w:eastAsia="Times New Roman" w:hAnsi="Times New Roman"/>
          <w:sz w:val="19"/>
          <w:szCs w:val="19"/>
          <w:color w:val="auto"/>
        </w:rPr>
        <w:t>, the expiry date of such requested L/C would occur more than twelve months after the date of issuance or last renewal, unless Required Revolver Lenders have approved such expiry date or unless the requested L/C is a Bond L/C, in which case the Bond L/C will expire in accordance with the terms set forth in the applicable Bond L/C as approved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44</w:t>
      </w:r>
    </w:p>
    <w:p>
      <w:pPr>
        <w:sectPr>
          <w:pgSz w:w="11900" w:h="16838" w:orient="portrait"/>
          <w:cols w:equalWidth="0" w:num="1">
            <w:col w:w="10600"/>
          </w:cols>
          <w:pgMar w:left="960" w:top="1390" w:right="339" w:bottom="1440" w:gutter="0" w:footer="0" w:header="0"/>
        </w:sectPr>
      </w:pPr>
    </w:p>
    <w:bookmarkStart w:id="158" w:name="page159"/>
    <w:bookmarkEnd w:id="158"/>
    <w:p>
      <w:pPr>
        <w:ind w:left="800"/>
        <w:spacing w:after="0"/>
        <w:rPr>
          <w:sz w:val="20"/>
          <w:szCs w:val="20"/>
          <w:color w:val="auto"/>
        </w:rPr>
      </w:pPr>
      <w:r>
        <w:rPr>
          <w:rFonts w:ascii="Times New Roman" w:cs="Times New Roman" w:eastAsia="Times New Roman" w:hAnsi="Times New Roman"/>
          <w:sz w:val="19"/>
          <w:szCs w:val="19"/>
          <w:color w:val="auto"/>
        </w:rPr>
        <w:t xml:space="preserve">the applicable L/C Issuer and Administrative Agent in accordance with </w:t>
      </w:r>
      <w:r>
        <w:rPr>
          <w:rFonts w:ascii="Times New Roman" w:cs="Times New Roman" w:eastAsia="Times New Roman" w:hAnsi="Times New Roman"/>
          <w:sz w:val="19"/>
          <w:szCs w:val="19"/>
          <w:b w:val="1"/>
          <w:bCs w:val="1"/>
          <w:i w:val="1"/>
          <w:iCs w:val="1"/>
          <w:color w:val="auto"/>
        </w:rPr>
        <w:t>Section 2.3(i)</w:t>
      </w:r>
      <w:r>
        <w:rPr>
          <w:rFonts w:ascii="Times New Roman" w:cs="Times New Roman" w:eastAsia="Times New Roman" w:hAnsi="Times New Roman"/>
          <w:sz w:val="19"/>
          <w:szCs w:val="19"/>
          <w:color w:val="auto"/>
        </w:rPr>
        <w:t>; or</w:t>
      </w:r>
    </w:p>
    <w:p>
      <w:pPr>
        <w:spacing w:after="0" w:line="237" w:lineRule="exact"/>
        <w:rPr>
          <w:sz w:val="20"/>
          <w:szCs w:val="20"/>
          <w:color w:val="auto"/>
        </w:rPr>
      </w:pPr>
    </w:p>
    <w:p>
      <w:pPr>
        <w:jc w:val="both"/>
        <w:ind w:left="800" w:firstLine="633"/>
        <w:spacing w:after="0" w:line="274" w:lineRule="auto"/>
        <w:tabs>
          <w:tab w:leader="none" w:pos="2024"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expiry date of the requested L/C would occur after the L/C Expiration Date, unless (x) all the Revolver Lenders and the applicable L/C Issuer have approved such expiry date or (y) such L/C is cash collateralized on terms and pursuant to arrangements satisfactory to the applicable L/C Issuer.</w:t>
      </w:r>
    </w:p>
    <w:p>
      <w:pPr>
        <w:spacing w:after="0" w:line="153" w:lineRule="exact"/>
        <w:rPr>
          <w:rFonts w:ascii="Times New Roman" w:cs="Times New Roman" w:eastAsia="Times New Roman" w:hAnsi="Times New Roman"/>
          <w:sz w:val="19"/>
          <w:szCs w:val="19"/>
          <w:color w:val="auto"/>
        </w:rPr>
      </w:pPr>
    </w:p>
    <w:p>
      <w:pPr>
        <w:ind w:left="1280" w:hanging="484"/>
        <w:spacing w:after="0"/>
        <w:tabs>
          <w:tab w:leader="none" w:pos="128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L/C Issuers shall not be under any obligation to issue any L/C if:</w:t>
      </w:r>
    </w:p>
    <w:p>
      <w:pPr>
        <w:spacing w:after="0" w:line="232" w:lineRule="exact"/>
        <w:rPr>
          <w:rFonts w:ascii="Times New Roman" w:cs="Times New Roman" w:eastAsia="Times New Roman" w:hAnsi="Times New Roman"/>
          <w:sz w:val="19"/>
          <w:szCs w:val="19"/>
          <w:color w:val="auto"/>
        </w:rPr>
      </w:pPr>
    </w:p>
    <w:p>
      <w:pPr>
        <w:jc w:val="both"/>
        <w:ind w:left="800" w:firstLine="633"/>
        <w:spacing w:after="0" w:line="261" w:lineRule="auto"/>
        <w:tabs>
          <w:tab w:leader="none" w:pos="1933"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order, judgment, or decree of any Governmental Authority or arbitrator shall by its terms purport to enjoin or restrain the applicable L/C Issuer from issuing such L/C, or any Law applicable to the applicable L/C Issuer or any request or directive (whether or not having the force of Law) from any Governmental Authority with jurisdiction over the applicable L/C Issuer shall prohibit, or request that such L/C Issuer refrain from, the issuance of letters of credit generally or such L/C in particular or shall impose upon the applicable L/C Issuer with respect to such L/C any restriction, reserve, or capital requirement (for which such L/C Issuer is not otherwise compensated hereunder) not in effect on the Closing Date, or shall impose upon the applicable L/C Issuer any unreimbursed loss, cost or expense which was not applicable on the Closing Date and which such L/C Issuer in good faith deems material to it;</w:t>
      </w:r>
    </w:p>
    <w:p>
      <w:pPr>
        <w:spacing w:after="0" w:line="181" w:lineRule="exact"/>
        <w:rPr>
          <w:rFonts w:ascii="Times New Roman" w:cs="Times New Roman" w:eastAsia="Times New Roman" w:hAnsi="Times New Roman"/>
          <w:sz w:val="19"/>
          <w:szCs w:val="19"/>
          <w:color w:val="auto"/>
        </w:rPr>
      </w:pPr>
    </w:p>
    <w:p>
      <w:pPr>
        <w:ind w:left="800" w:firstLine="633"/>
        <w:spacing w:after="0" w:line="285" w:lineRule="auto"/>
        <w:tabs>
          <w:tab w:leader="none" w:pos="1948"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issuance of such L/C would violate one or more policies of the applicable L/C Issuer applicable to letters of credit generally;</w:t>
      </w:r>
    </w:p>
    <w:p>
      <w:pPr>
        <w:spacing w:after="0" w:line="157" w:lineRule="exact"/>
        <w:rPr>
          <w:rFonts w:ascii="Times New Roman" w:cs="Times New Roman" w:eastAsia="Times New Roman" w:hAnsi="Times New Roman"/>
          <w:sz w:val="19"/>
          <w:szCs w:val="19"/>
          <w:color w:val="auto"/>
        </w:rPr>
      </w:pPr>
    </w:p>
    <w:p>
      <w:pPr>
        <w:ind w:left="800" w:firstLine="633"/>
        <w:spacing w:after="0" w:line="300" w:lineRule="auto"/>
        <w:tabs>
          <w:tab w:leader="none" w:pos="1908"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L/C is to be denominated in a currency other than Dollars (or the Alternative Currency with respect to L/Cs issued by the Australian L/C Issuer);</w:t>
      </w:r>
    </w:p>
    <w:p>
      <w:pPr>
        <w:spacing w:after="0" w:line="130" w:lineRule="exact"/>
        <w:rPr>
          <w:rFonts w:ascii="Times New Roman" w:cs="Times New Roman" w:eastAsia="Times New Roman" w:hAnsi="Times New Roman"/>
          <w:sz w:val="19"/>
          <w:szCs w:val="19"/>
          <w:color w:val="auto"/>
        </w:rPr>
      </w:pPr>
    </w:p>
    <w:p>
      <w:pPr>
        <w:jc w:val="both"/>
        <w:ind w:left="800" w:firstLine="633"/>
        <w:spacing w:after="0" w:line="264" w:lineRule="auto"/>
        <w:tabs>
          <w:tab w:leader="none" w:pos="1904"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Revolver Lender is at that time a Defaulting Lender, unless the applicable L/C Issuer has entered into arrangements, including the delivery of Cash Collateral, satisfactory to such L/C Issuer (in its sole discretion) with Borrower or such Revolver Lender to eliminate such L/C Issuer’s actual or potential Fronting Exposure (after giving effect to </w:t>
      </w:r>
      <w:r>
        <w:rPr>
          <w:rFonts w:ascii="Times New Roman" w:cs="Times New Roman" w:eastAsia="Times New Roman" w:hAnsi="Times New Roman"/>
          <w:sz w:val="19"/>
          <w:szCs w:val="19"/>
          <w:b w:val="1"/>
          <w:bCs w:val="1"/>
          <w:i w:val="1"/>
          <w:iCs w:val="1"/>
          <w:color w:val="auto"/>
        </w:rPr>
        <w:t>Section 3.15(a)(iv)</w:t>
      </w:r>
      <w:r>
        <w:rPr>
          <w:rFonts w:ascii="Times New Roman" w:cs="Times New Roman" w:eastAsia="Times New Roman" w:hAnsi="Times New Roman"/>
          <w:sz w:val="19"/>
          <w:szCs w:val="19"/>
          <w:color w:val="auto"/>
        </w:rPr>
        <w:t>) with respect to the Defaulting Lender arising from either the L/C then proposed to be issued or that L/C and all other L/C Exposure as to which such L/C Issuer has actual or potential Fronting Exposure, as it may elect in its sole discretion; or</w:t>
      </w:r>
    </w:p>
    <w:p>
      <w:pPr>
        <w:spacing w:after="0" w:line="176" w:lineRule="exact"/>
        <w:rPr>
          <w:rFonts w:ascii="Times New Roman" w:cs="Times New Roman" w:eastAsia="Times New Roman" w:hAnsi="Times New Roman"/>
          <w:sz w:val="19"/>
          <w:szCs w:val="19"/>
          <w:color w:val="auto"/>
        </w:rPr>
      </w:pPr>
    </w:p>
    <w:p>
      <w:pPr>
        <w:ind w:left="800" w:firstLine="633"/>
        <w:spacing w:after="0" w:line="285" w:lineRule="auto"/>
        <w:tabs>
          <w:tab w:leader="none" w:pos="2024"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Australian L/C Issuer does not as of the issuance date of the requested L/C issue L/Cs in the Alternative Currency.</w:t>
      </w:r>
    </w:p>
    <w:p>
      <w:pPr>
        <w:spacing w:after="0" w:line="158" w:lineRule="exact"/>
        <w:rPr>
          <w:sz w:val="20"/>
          <w:szCs w:val="20"/>
          <w:color w:val="auto"/>
        </w:rPr>
      </w:pPr>
    </w:p>
    <w:p>
      <w:pPr>
        <w:jc w:val="both"/>
        <w:ind w:left="160" w:firstLine="636"/>
        <w:spacing w:after="0" w:line="274" w:lineRule="auto"/>
        <w:tabs>
          <w:tab w:leader="none" w:pos="1283"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L/C Issuer shall be under any obligation to amend any L/C if (A) such L/C Issuer would have no obligation at such time to issue such L/C in its amended form under the terms hereof, or (B) the beneficiary of such L/C does not accept the proposed amendment to such L/C.</w:t>
      </w:r>
    </w:p>
    <w:p>
      <w:pPr>
        <w:spacing w:after="0" w:line="167" w:lineRule="exact"/>
        <w:rPr>
          <w:rFonts w:ascii="Times New Roman" w:cs="Times New Roman" w:eastAsia="Times New Roman" w:hAnsi="Times New Roman"/>
          <w:sz w:val="19"/>
          <w:szCs w:val="19"/>
          <w:color w:val="auto"/>
        </w:rPr>
      </w:pPr>
    </w:p>
    <w:p>
      <w:pPr>
        <w:ind w:left="160" w:firstLine="636"/>
        <w:spacing w:after="0" w:line="285" w:lineRule="auto"/>
        <w:tabs>
          <w:tab w:leader="none" w:pos="1286"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L/C Issuer shall amend any L/C if such L/C Issuer would not be permitted at such time to issue the L/C in its amended form under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45</w:t>
      </w:r>
    </w:p>
    <w:p>
      <w:pPr>
        <w:sectPr>
          <w:pgSz w:w="11900" w:h="16838" w:orient="portrait"/>
          <w:cols w:equalWidth="0" w:num="1">
            <w:col w:w="10120"/>
          </w:cols>
          <w:pgMar w:left="1440" w:top="1386" w:right="339" w:bottom="1440" w:gutter="0" w:footer="0" w:header="0"/>
        </w:sectPr>
      </w:pPr>
    </w:p>
    <w:bookmarkStart w:id="159" w:name="page160"/>
    <w:bookmarkEnd w:id="159"/>
    <w:p>
      <w:pPr>
        <w:jc w:val="both"/>
        <w:ind w:left="160" w:firstLine="636"/>
        <w:spacing w:after="0" w:line="264" w:lineRule="auto"/>
        <w:tabs>
          <w:tab w:leader="none" w:pos="1355"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L/C Issuer shall act on behalf of the Revolver Lenders with respect to any L/C issued by it and the documents associated therewith, and such L/C Issuer shall have all of the benefits and immunities (A) provided to Administrative Agent in </w:t>
      </w:r>
      <w:r>
        <w:rPr>
          <w:rFonts w:ascii="Times New Roman" w:cs="Times New Roman" w:eastAsia="Times New Roman" w:hAnsi="Times New Roman"/>
          <w:sz w:val="19"/>
          <w:szCs w:val="19"/>
          <w:b w:val="1"/>
          <w:bCs w:val="1"/>
          <w:i w:val="1"/>
          <w:iCs w:val="1"/>
          <w:color w:val="auto"/>
        </w:rPr>
        <w:t>Section 14</w:t>
      </w:r>
      <w:r>
        <w:rPr>
          <w:rFonts w:ascii="Times New Roman" w:cs="Times New Roman" w:eastAsia="Times New Roman" w:hAnsi="Times New Roman"/>
          <w:sz w:val="19"/>
          <w:szCs w:val="19"/>
          <w:color w:val="auto"/>
        </w:rPr>
        <w:t xml:space="preserve"> with respect to any acts taken or omissions suffered by such L/C Issuer in connection with each L/C issued by it or proposed to be issued by it and L/C Agreements pertaining to such L/C as fully as if the term “</w:t>
      </w:r>
      <w:r>
        <w:rPr>
          <w:rFonts w:ascii="Times New Roman" w:cs="Times New Roman" w:eastAsia="Times New Roman" w:hAnsi="Times New Roman"/>
          <w:sz w:val="19"/>
          <w:szCs w:val="19"/>
          <w:i w:val="1"/>
          <w:iCs w:val="1"/>
          <w:color w:val="auto"/>
        </w:rPr>
        <w:t>Administrative Agent</w:t>
      </w:r>
      <w:r>
        <w:rPr>
          <w:rFonts w:ascii="Times New Roman" w:cs="Times New Roman" w:eastAsia="Times New Roman" w:hAnsi="Times New Roman"/>
          <w:sz w:val="19"/>
          <w:szCs w:val="19"/>
          <w:color w:val="auto"/>
        </w:rPr>
        <w:t xml:space="preserve">” as used in </w:t>
      </w:r>
      <w:r>
        <w:rPr>
          <w:rFonts w:ascii="Times New Roman" w:cs="Times New Roman" w:eastAsia="Times New Roman" w:hAnsi="Times New Roman"/>
          <w:sz w:val="19"/>
          <w:szCs w:val="19"/>
          <w:b w:val="1"/>
          <w:bCs w:val="1"/>
          <w:i w:val="1"/>
          <w:iCs w:val="1"/>
          <w:color w:val="auto"/>
        </w:rPr>
        <w:t>Section 14</w:t>
      </w:r>
      <w:r>
        <w:rPr>
          <w:rFonts w:ascii="Times New Roman" w:cs="Times New Roman" w:eastAsia="Times New Roman" w:hAnsi="Times New Roman"/>
          <w:sz w:val="19"/>
          <w:szCs w:val="19"/>
          <w:color w:val="auto"/>
        </w:rPr>
        <w:t xml:space="preserve"> included such L/C Issuer with respect to such acts or omissions, and (B) as additionally provided herein with respect to such L/C Issuer.</w:t>
      </w:r>
    </w:p>
    <w:p>
      <w:pPr>
        <w:spacing w:after="0" w:line="172" w:lineRule="exact"/>
        <w:rPr>
          <w:rFonts w:ascii="Times New Roman" w:cs="Times New Roman" w:eastAsia="Times New Roman" w:hAnsi="Times New Roman"/>
          <w:sz w:val="19"/>
          <w:szCs w:val="19"/>
          <w:color w:val="auto"/>
        </w:rPr>
      </w:pPr>
    </w:p>
    <w:p>
      <w:pPr>
        <w:ind w:left="580" w:hanging="420"/>
        <w:spacing w:after="0"/>
        <w:tabs>
          <w:tab w:leader="none" w:pos="58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Procedures for Issuance and Amendment of Letters of Credit: Auto-Extension Letters of Credit</w:t>
      </w:r>
      <w:r>
        <w:rPr>
          <w:rFonts w:ascii="Times New Roman" w:cs="Times New Roman" w:eastAsia="Times New Roman" w:hAnsi="Times New Roman"/>
          <w:sz w:val="19"/>
          <w:szCs w:val="19"/>
          <w:color w:val="auto"/>
        </w:rPr>
        <w:t>.</w:t>
      </w:r>
    </w:p>
    <w:p>
      <w:pPr>
        <w:spacing w:after="0" w:line="223" w:lineRule="exact"/>
        <w:rPr>
          <w:rFonts w:ascii="Times New Roman" w:cs="Times New Roman" w:eastAsia="Times New Roman" w:hAnsi="Times New Roman"/>
          <w:sz w:val="19"/>
          <w:szCs w:val="19"/>
          <w:color w:val="auto"/>
        </w:rPr>
      </w:pPr>
    </w:p>
    <w:p>
      <w:pPr>
        <w:jc w:val="both"/>
        <w:ind w:left="160" w:firstLine="636"/>
        <w:spacing w:after="0" w:line="258" w:lineRule="auto"/>
        <w:tabs>
          <w:tab w:leader="none" w:pos="1179"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L/C shall be issued or amended, as the case may be, upon the request of Borrower delivered to the applicable L/C Issuer (with a copy to Administrative Agent) in the form of an L/C Agreement, appropriately completed and signed by a Responsible Officer of Borrower. Such L/C Agreement may be sent by facsimile, by United States mail, by overnight courier, by electronic transmission using the system provided by the applicable L/C Issuer, by personal delivery or by any other means acceptable to the L/C Issuer. Such L/C Agreement must be received by the applicable L/C Issuer and Administrative Agent not later than 11:00 a.m. at least two Business Days (or such later date and time as the applicable L/C Issuer may agree in a particular instance in its sole discretion) prior to the proposed issuance date or date of amendment, as the case may be. In the case of a request for an initial issuance of an L/C, such L/C Agreement shall specify in form and detail satisfactory to the applicable L/C Issuer: (A) the proposed issuance date of the requested L/C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the purpose and nature of the requested L/C and such other matters as the applicable L/C Issuer (or, in the case of the Bond L/Cs, the applicable L/C Issuer or Administrative Agent) may require. In the case of a request for an amendment of any outstanding L/C, such L/C Agreement shall specify in form and detail satisfactory to the applicable L/C Issuer (A) the L/C to be amended; (B) the proposed date of amendment thereof (which shall be a Business Day); (C) the nature of the proposed amendment; and (D) such other matters as the applicable L/C Issuer (or, in the case of the Bond L/Cs, the applicable L/C Issuer or Administrative Agent) may require. Additionally, Borrower shall furnish to the applicable L/C Issuer and Administrative Agent such other documents and information pertaining to such requested L/C issuance or amendment, including any Issuer Documents, as such L/C Issuer or Administrative Agent may require.</w:t>
      </w:r>
    </w:p>
    <w:p>
      <w:pPr>
        <w:spacing w:after="0" w:line="200" w:lineRule="exact"/>
        <w:rPr>
          <w:sz w:val="20"/>
          <w:szCs w:val="20"/>
          <w:color w:val="auto"/>
        </w:rPr>
      </w:pPr>
    </w:p>
    <w:p>
      <w:pPr>
        <w:spacing w:after="0" w:line="219" w:lineRule="exact"/>
        <w:rPr>
          <w:sz w:val="20"/>
          <w:szCs w:val="20"/>
          <w:color w:val="auto"/>
        </w:rPr>
      </w:pPr>
    </w:p>
    <w:p>
      <w:pPr>
        <w:jc w:val="both"/>
        <w:ind w:left="160" w:firstLine="636"/>
        <w:spacing w:after="0" w:line="264" w:lineRule="auto"/>
        <w:tabs>
          <w:tab w:leader="none" w:pos="1268"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after receipt of any L/C Agreement, the applicable L/C Issuer will confirm with Administrative Agent (by telephone or in writing) that Administrative Agent has received a copy of such L/C Agreement from Borrower and, if not, such L/C Issuer will provide Administrative Agent with a copy thereof. Unless the applicable L/C Issuer has received written notice from any Revolver Lender, Administrative Agent or Borrower, at least one Business Day prior to the requested date of issuance or amendment of the applicable L/C, that one or more applicable conditions contained in </w:t>
      </w:r>
      <w:r>
        <w:rPr>
          <w:rFonts w:ascii="Times New Roman" w:cs="Times New Roman" w:eastAsia="Times New Roman" w:hAnsi="Times New Roman"/>
          <w:sz w:val="19"/>
          <w:szCs w:val="19"/>
          <w:b w:val="1"/>
          <w:bCs w:val="1"/>
          <w:i w:val="1"/>
          <w:iCs w:val="1"/>
          <w:color w:val="auto"/>
        </w:rPr>
        <w:t>Article VII</w:t>
      </w:r>
      <w:r>
        <w:rPr>
          <w:rFonts w:ascii="Times New Roman" w:cs="Times New Roman" w:eastAsia="Times New Roman" w:hAnsi="Times New Roman"/>
          <w:sz w:val="19"/>
          <w:szCs w:val="19"/>
          <w:color w:val="auto"/>
        </w:rPr>
        <w:t xml:space="preserve"> shall not be satisfied, then, subject to the terms and conditions hereof, such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46</w:t>
      </w:r>
    </w:p>
    <w:p>
      <w:pPr>
        <w:sectPr>
          <w:pgSz w:w="11900" w:h="16838" w:orient="portrait"/>
          <w:cols w:equalWidth="0" w:num="1">
            <w:col w:w="10120"/>
          </w:cols>
          <w:pgMar w:left="1440" w:top="1390" w:right="339" w:bottom="1440" w:gutter="0" w:footer="0" w:header="0"/>
        </w:sectPr>
      </w:pPr>
    </w:p>
    <w:bookmarkStart w:id="160" w:name="page161"/>
    <w:bookmarkEnd w:id="160"/>
    <w:p>
      <w:pPr>
        <w:jc w:val="both"/>
        <w:ind w:left="160"/>
        <w:spacing w:after="0" w:line="264" w:lineRule="auto"/>
        <w:rPr>
          <w:sz w:val="20"/>
          <w:szCs w:val="20"/>
          <w:color w:val="auto"/>
        </w:rPr>
      </w:pPr>
      <w:r>
        <w:rPr>
          <w:rFonts w:ascii="Times New Roman" w:cs="Times New Roman" w:eastAsia="Times New Roman" w:hAnsi="Times New Roman"/>
          <w:sz w:val="19"/>
          <w:szCs w:val="19"/>
          <w:color w:val="auto"/>
        </w:rPr>
        <w:t>shall, on the requested date, issue an L/C for the account of Borrower or enter into the applicable amendment, as the case may be, in each case in accordance with such L/C Issuer’s usual and customary business practices. Immediately upon the issuance of each L/C, each Revolver Lender shall be deemed to, and hereby irrevocably and unconditionally agrees to, purchase from the applicable L/C Issuer a risk participation in such L/C in an amount equal to the product of such Revolver Lender’s Commitment Percentage times the amount of such L/C.</w:t>
      </w:r>
    </w:p>
    <w:p>
      <w:pPr>
        <w:spacing w:after="0" w:line="178" w:lineRule="exact"/>
        <w:rPr>
          <w:sz w:val="20"/>
          <w:szCs w:val="20"/>
          <w:color w:val="auto"/>
        </w:rPr>
      </w:pPr>
    </w:p>
    <w:p>
      <w:pPr>
        <w:jc w:val="both"/>
        <w:ind w:left="160" w:firstLine="636"/>
        <w:spacing w:after="0" w:line="259" w:lineRule="auto"/>
        <w:tabs>
          <w:tab w:leader="none" w:pos="1297"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Borrower so requests in any applicable L/C Agreement, the applicable L/C Issuer may, in its sole and absolute discretion, agree to issue an L/C that has automatic extension provisions (each, an “</w:t>
      </w:r>
      <w:r>
        <w:rPr>
          <w:rFonts w:ascii="Times New Roman" w:cs="Times New Roman" w:eastAsia="Times New Roman" w:hAnsi="Times New Roman"/>
          <w:sz w:val="19"/>
          <w:szCs w:val="19"/>
          <w:b w:val="1"/>
          <w:bCs w:val="1"/>
          <w:i w:val="1"/>
          <w:iCs w:val="1"/>
          <w:color w:val="auto"/>
        </w:rPr>
        <w:t>Auto-Extension L/C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any such Auto-Extension L/C must permit the applicable L/C Issuer to prevent any such extension at least once in each twelve-month period (commencing with the date of issuance of such L/C) by giving prior notice to the beneficiary thereof not later than a day (the “</w:t>
      </w:r>
      <w:r>
        <w:rPr>
          <w:rFonts w:ascii="Times New Roman" w:cs="Times New Roman" w:eastAsia="Times New Roman" w:hAnsi="Times New Roman"/>
          <w:sz w:val="19"/>
          <w:szCs w:val="19"/>
          <w:b w:val="1"/>
          <w:bCs w:val="1"/>
          <w:i w:val="1"/>
          <w:iCs w:val="1"/>
          <w:color w:val="auto"/>
        </w:rPr>
        <w:t>Nonextension Notice Date</w:t>
      </w:r>
      <w:r>
        <w:rPr>
          <w:rFonts w:ascii="Times New Roman" w:cs="Times New Roman" w:eastAsia="Times New Roman" w:hAnsi="Times New Roman"/>
          <w:sz w:val="19"/>
          <w:szCs w:val="19"/>
          <w:color w:val="auto"/>
        </w:rPr>
        <w:t xml:space="preserve">”) in each such twelve-month period to be agreed upon at the time such L/C is issued. Unless otherwise directed by the applicable L/C Issuer, Borrower shall not be required to make a specific request to such L/C Issuer for any such extension. Once an Auto-Extension L/C has been issued, Revolver Lenders shall be deemed to have authorized (but may not require) the applicable L/C Issuer to permit the extension of such L/C at any time to an expiry date not later than the L/C Expiration Date;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applicable L/C Issuer shall not permit any such extension if (A) such L/C Issuer has determined that it would not be permitted, or would have no obligation at such time to issue such L/C in its revised form (as extended) under the terms hereof (by reason of the provisions of </w:t>
      </w:r>
      <w:r>
        <w:rPr>
          <w:rFonts w:ascii="Times New Roman" w:cs="Times New Roman" w:eastAsia="Times New Roman" w:hAnsi="Times New Roman"/>
          <w:sz w:val="19"/>
          <w:szCs w:val="19"/>
          <w:b w:val="1"/>
          <w:bCs w:val="1"/>
          <w:i w:val="1"/>
          <w:iCs w:val="1"/>
          <w:color w:val="auto"/>
        </w:rPr>
        <w:t>Section 2.3(a)(ii)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Section 2.3(a)(iii) </w:t>
      </w:r>
      <w:r>
        <w:rPr>
          <w:rFonts w:ascii="Times New Roman" w:cs="Times New Roman" w:eastAsia="Times New Roman" w:hAnsi="Times New Roman"/>
          <w:sz w:val="19"/>
          <w:szCs w:val="19"/>
          <w:color w:val="auto"/>
        </w:rPr>
        <w:t>or otherwise), or (B) it has received notice (which may be by telephone or in writing) on or before the day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that is seven Business Days before the Nonextension Notice Date (1) from Administrative Agent that Required Revolver Lenders have elected not to permit such extension or (2) from Administrative Agent, any Revolver Lender, or Borrower that one or more of the applicable conditions specified in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is not then satisfied, and in each such case directing the applicable L/C Issuer not to permit such extension.</w:t>
      </w:r>
    </w:p>
    <w:p>
      <w:pPr>
        <w:spacing w:after="0" w:line="167" w:lineRule="exact"/>
        <w:rPr>
          <w:rFonts w:ascii="Times New Roman" w:cs="Times New Roman" w:eastAsia="Times New Roman" w:hAnsi="Times New Roman"/>
          <w:sz w:val="19"/>
          <w:szCs w:val="19"/>
          <w:color w:val="auto"/>
        </w:rPr>
      </w:pPr>
    </w:p>
    <w:p>
      <w:pPr>
        <w:jc w:val="both"/>
        <w:ind w:left="160" w:firstLine="636"/>
        <w:spacing w:after="0" w:line="281" w:lineRule="auto"/>
        <w:tabs>
          <w:tab w:leader="none" w:pos="1282"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its delivery of any L/C or any amendment to an L/C to an advising bank with respect thereto or to the beneficiary thereof, the applicable L/C Issuer will also deliver to Borrower and Administrative Agent a true and complete copy of such L/C or amendment.</w:t>
      </w:r>
    </w:p>
    <w:p>
      <w:pPr>
        <w:spacing w:after="0" w:line="143" w:lineRule="exact"/>
        <w:rPr>
          <w:rFonts w:ascii="Times New Roman" w:cs="Times New Roman" w:eastAsia="Times New Roman" w:hAnsi="Times New Roman"/>
          <w:sz w:val="19"/>
          <w:szCs w:val="19"/>
          <w:color w:val="auto"/>
        </w:rPr>
      </w:pPr>
    </w:p>
    <w:p>
      <w:pPr>
        <w:ind w:left="560" w:hanging="400"/>
        <w:spacing w:after="0"/>
        <w:tabs>
          <w:tab w:leader="none" w:pos="56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Drawings and Reimbursements; Funding of Participations</w:t>
      </w:r>
      <w:r>
        <w:rPr>
          <w:rFonts w:ascii="Times New Roman" w:cs="Times New Roman" w:eastAsia="Times New Roman" w:hAnsi="Times New Roman"/>
          <w:sz w:val="19"/>
          <w:szCs w:val="19"/>
          <w:color w:val="auto"/>
        </w:rPr>
        <w:t>.</w:t>
      </w:r>
    </w:p>
    <w:p>
      <w:pPr>
        <w:spacing w:after="0" w:line="236" w:lineRule="exact"/>
        <w:rPr>
          <w:rFonts w:ascii="Times New Roman" w:cs="Times New Roman" w:eastAsia="Times New Roman" w:hAnsi="Times New Roman"/>
          <w:sz w:val="19"/>
          <w:szCs w:val="19"/>
          <w:color w:val="auto"/>
        </w:rPr>
      </w:pPr>
    </w:p>
    <w:p>
      <w:pPr>
        <w:jc w:val="both"/>
        <w:ind w:left="160" w:firstLine="636"/>
        <w:spacing w:after="0" w:line="261" w:lineRule="auto"/>
        <w:tabs>
          <w:tab w:leader="none" w:pos="1177"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receipt from the beneficiary of any L/C of any notice of a drawing under such L/C, the applicable L/C Issuer shall notify Borrower and Administrative Agent thereof. In the case of an L/C denominated in the Alternative Currency, Borrower shall reimburse the Australian L/C Issuer in the Alternative Currency, unless (A) the Australian L/C Issuer (at its option) shall have specified in such notice that it will require reimbursement in Dollars, or (B) in the absence of any such requirement for reimbursement in Dollars, Borrower shall have notified the Australian L/C Issuer promptly following receipt of the notice of drawing that Borrower will reimburse the Australian L/C Issuer in Dollars. In the case of any such reimbursement in Dollars of a drawing under an L/C denominated in the Alternative Currency, the Australian L/C Issuer shall notify Borrower of the Dollar Equivalent of the amount of the drawing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47</w:t>
      </w:r>
    </w:p>
    <w:p>
      <w:pPr>
        <w:sectPr>
          <w:pgSz w:w="11900" w:h="16838" w:orient="portrait"/>
          <w:cols w:equalWidth="0" w:num="1">
            <w:col w:w="10120"/>
          </w:cols>
          <w:pgMar w:left="1440" w:top="1390" w:right="339" w:bottom="1440" w:gutter="0" w:footer="0" w:header="0"/>
        </w:sectPr>
      </w:pPr>
    </w:p>
    <w:bookmarkStart w:id="161" w:name="page162"/>
    <w:bookmarkEnd w:id="161"/>
    <w:p>
      <w:pPr>
        <w:jc w:val="both"/>
        <w:ind w:left="160"/>
        <w:spacing w:after="0" w:line="257" w:lineRule="auto"/>
        <w:rPr>
          <w:sz w:val="20"/>
          <w:szCs w:val="20"/>
          <w:color w:val="auto"/>
        </w:rPr>
      </w:pPr>
      <w:r>
        <w:rPr>
          <w:rFonts w:ascii="Times New Roman" w:cs="Times New Roman" w:eastAsia="Times New Roman" w:hAnsi="Times New Roman"/>
          <w:sz w:val="19"/>
          <w:szCs w:val="19"/>
          <w:color w:val="auto"/>
        </w:rPr>
        <w:t>following the determination thereof. Not later than 11:00 a.m. on the date of any payment by the applicable L/C Issuer under an L/C to be reimbursed in Dollars, or the Applicable Time on the date of any payment by the Australian L/C Issuer under an L/C to be reimbursed in the Alternative Currency (each such date, an “</w:t>
      </w:r>
      <w:r>
        <w:rPr>
          <w:rFonts w:ascii="Times New Roman" w:cs="Times New Roman" w:eastAsia="Times New Roman" w:hAnsi="Times New Roman"/>
          <w:sz w:val="19"/>
          <w:szCs w:val="19"/>
          <w:b w:val="1"/>
          <w:bCs w:val="1"/>
          <w:i w:val="1"/>
          <w:iCs w:val="1"/>
          <w:color w:val="auto"/>
        </w:rPr>
        <w:t>Honor Date</w:t>
      </w:r>
      <w:r>
        <w:rPr>
          <w:rFonts w:ascii="Times New Roman" w:cs="Times New Roman" w:eastAsia="Times New Roman" w:hAnsi="Times New Roman"/>
          <w:sz w:val="19"/>
          <w:szCs w:val="19"/>
          <w:color w:val="auto"/>
        </w:rPr>
        <w:t xml:space="preserve">”), Borrower shall reimburse such L/C Issuer through Administrative Agent in an amount equal to the amount of such drawing and in the applicable currency. In the event that (A) a drawing denominated in the Alternative Currency is to be reimbursed in Dollars pursuant to the second sentence in this </w:t>
      </w:r>
      <w:r>
        <w:rPr>
          <w:rFonts w:ascii="Times New Roman" w:cs="Times New Roman" w:eastAsia="Times New Roman" w:hAnsi="Times New Roman"/>
          <w:sz w:val="19"/>
          <w:szCs w:val="19"/>
          <w:b w:val="1"/>
          <w:bCs w:val="1"/>
          <w:i w:val="1"/>
          <w:iCs w:val="1"/>
          <w:color w:val="auto"/>
        </w:rPr>
        <w:t>Section 2.3(c)(i)</w:t>
      </w:r>
      <w:r>
        <w:rPr>
          <w:rFonts w:ascii="Times New Roman" w:cs="Times New Roman" w:eastAsia="Times New Roman" w:hAnsi="Times New Roman"/>
          <w:sz w:val="19"/>
          <w:szCs w:val="19"/>
          <w:color w:val="auto"/>
        </w:rPr>
        <w:t xml:space="preserve"> and (B) the Dollar amount paid by Borrower, whether on or after the Honor Date, shall not be adequate on the date of that payment to purchase in accordance with normal banking procedures a sum denominated in the Alternative Currency equal to the drawing, Borrower agrees, as a separate and independent obligation, to indemnify the Australian L/C Issuer for the loss resulting from its inability on that date to purchase the Alternative Currency in the full amount of the drawing. If Borrower fails to so reimburse such L/C Issuer by such time, Administrative Agent shall promptly notify each Revolver Lender of the Honor Date, the amount of the unreimbursed drawing (expressed in Dollars in the amount of the Dollar Equivalent thereof in the case of an L/C denominated in the Alternative Currency) (the “</w:t>
      </w:r>
      <w:r>
        <w:rPr>
          <w:rFonts w:ascii="Times New Roman" w:cs="Times New Roman" w:eastAsia="Times New Roman" w:hAnsi="Times New Roman"/>
          <w:sz w:val="19"/>
          <w:szCs w:val="19"/>
          <w:b w:val="1"/>
          <w:bCs w:val="1"/>
          <w:i w:val="1"/>
          <w:iCs w:val="1"/>
          <w:color w:val="auto"/>
        </w:rPr>
        <w:t>Unreimbursed Amount</w:t>
      </w:r>
      <w:r>
        <w:rPr>
          <w:rFonts w:ascii="Times New Roman" w:cs="Times New Roman" w:eastAsia="Times New Roman" w:hAnsi="Times New Roman"/>
          <w:sz w:val="19"/>
          <w:szCs w:val="19"/>
          <w:color w:val="auto"/>
        </w:rPr>
        <w:t xml:space="preserve">”), and the amount of such Revolver Lender’s Commitment Percentage thereof. In such event, Borrower shall be deemed to have requested a Daily SOFR Rate Loan hereunder to be disbursed on the Honor Date in an amount equal to the Unreimbursed Amount, without regard to the minimum and multiples specified in </w:t>
      </w:r>
      <w:r>
        <w:rPr>
          <w:rFonts w:ascii="Times New Roman" w:cs="Times New Roman" w:eastAsia="Times New Roman" w:hAnsi="Times New Roman"/>
          <w:sz w:val="19"/>
          <w:szCs w:val="19"/>
          <w:b w:val="1"/>
          <w:bCs w:val="1"/>
          <w:i w:val="1"/>
          <w:iCs w:val="1"/>
          <w:color w:val="auto"/>
        </w:rPr>
        <w:t>Section 2.1</w:t>
      </w:r>
      <w:r>
        <w:rPr>
          <w:rFonts w:ascii="Times New Roman" w:cs="Times New Roman" w:eastAsia="Times New Roman" w:hAnsi="Times New Roman"/>
          <w:sz w:val="19"/>
          <w:szCs w:val="19"/>
          <w:color w:val="auto"/>
        </w:rPr>
        <w:t xml:space="preserve"> for the principal amount of Daily SOFR Rate Loans, but subject to the amount of the unutilized portion of the Revolver Commitment and the conditions set forth in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(other than the delivery of a Loan Notice). Any notice given by any L/C Issuer or Administrative Agent pursuant to this </w:t>
      </w:r>
      <w:r>
        <w:rPr>
          <w:rFonts w:ascii="Times New Roman" w:cs="Times New Roman" w:eastAsia="Times New Roman" w:hAnsi="Times New Roman"/>
          <w:sz w:val="19"/>
          <w:szCs w:val="19"/>
          <w:b w:val="1"/>
          <w:bCs w:val="1"/>
          <w:i w:val="1"/>
          <w:iCs w:val="1"/>
          <w:color w:val="auto"/>
        </w:rPr>
        <w:t>Section 2.3(c)</w:t>
      </w:r>
    </w:p>
    <w:p>
      <w:pPr>
        <w:spacing w:after="0" w:line="11" w:lineRule="exact"/>
        <w:rPr>
          <w:sz w:val="20"/>
          <w:szCs w:val="20"/>
          <w:color w:val="auto"/>
        </w:rPr>
      </w:pPr>
    </w:p>
    <w:p>
      <w:pPr>
        <w:ind w:left="160" w:right="20"/>
        <w:spacing w:after="0" w:line="276" w:lineRule="auto"/>
        <w:tabs>
          <w:tab w:leader="none" w:pos="403" w:val="left"/>
        </w:tabs>
        <w:numPr>
          <w:ilvl w:val="0"/>
          <w:numId w:val="11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 xml:space="preserve">may be given by telephone if immediately confirmed in writing;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the lack of such an immediate confirmation shall not affect the conclusiveness or binding effect of such notice.</w:t>
      </w:r>
    </w:p>
    <w:p>
      <w:pPr>
        <w:spacing w:after="0" w:line="152" w:lineRule="exact"/>
        <w:rPr>
          <w:rFonts w:ascii="Times New Roman" w:cs="Times New Roman" w:eastAsia="Times New Roman" w:hAnsi="Times New Roman"/>
          <w:sz w:val="19"/>
          <w:szCs w:val="19"/>
          <w:b w:val="1"/>
          <w:bCs w:val="1"/>
          <w:i w:val="1"/>
          <w:iCs w:val="1"/>
          <w:color w:val="auto"/>
        </w:rPr>
      </w:pPr>
    </w:p>
    <w:p>
      <w:pPr>
        <w:jc w:val="both"/>
        <w:ind w:left="160" w:firstLine="636"/>
        <w:spacing w:after="0" w:line="263" w:lineRule="auto"/>
        <w:tabs>
          <w:tab w:leader="none" w:pos="1244"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Revolver Lender (including any Revolver Lender acting as an L/C Issuer) shall upon any notice pursuant to </w:t>
      </w:r>
      <w:r>
        <w:rPr>
          <w:rFonts w:ascii="Times New Roman" w:cs="Times New Roman" w:eastAsia="Times New Roman" w:hAnsi="Times New Roman"/>
          <w:sz w:val="19"/>
          <w:szCs w:val="19"/>
          <w:b w:val="1"/>
          <w:bCs w:val="1"/>
          <w:i w:val="1"/>
          <w:iCs w:val="1"/>
          <w:color w:val="auto"/>
        </w:rPr>
        <w:t xml:space="preserve">Section 2.3(c)(i) </w:t>
      </w:r>
      <w:r>
        <w:rPr>
          <w:rFonts w:ascii="Times New Roman" w:cs="Times New Roman" w:eastAsia="Times New Roman" w:hAnsi="Times New Roman"/>
          <w:sz w:val="19"/>
          <w:szCs w:val="19"/>
          <w:color w:val="auto"/>
        </w:rPr>
        <w:t>make funds available (and Administrative Agent may apply Cash Collateral provided for this purpose) for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account of the applicable L/C Issuer in Dollars at Administrative Agent’s Office in an amount equal to its Commitment Percentage of the Unreimbursed Amount not later than 1:00 p.m. on the Business Day specified in such notice by Administrative Agent; whereupon, subject to the provisions of </w:t>
      </w:r>
      <w:r>
        <w:rPr>
          <w:rFonts w:ascii="Times New Roman" w:cs="Times New Roman" w:eastAsia="Times New Roman" w:hAnsi="Times New Roman"/>
          <w:sz w:val="19"/>
          <w:szCs w:val="19"/>
          <w:b w:val="1"/>
          <w:bCs w:val="1"/>
          <w:i w:val="1"/>
          <w:iCs w:val="1"/>
          <w:color w:val="auto"/>
        </w:rPr>
        <w:t>Section 2.3(c)(iii)</w:t>
      </w:r>
      <w:r>
        <w:rPr>
          <w:rFonts w:ascii="Times New Roman" w:cs="Times New Roman" w:eastAsia="Times New Roman" w:hAnsi="Times New Roman"/>
          <w:sz w:val="19"/>
          <w:szCs w:val="19"/>
          <w:color w:val="auto"/>
        </w:rPr>
        <w:t>, each Revolver Lender that so makes funds available shall be deemed to have made a Daily SOFR Rate Loan hereunder to Borrower in such amount. Administrative Agent shall remit the funds so received to the applicable L/C Issuer in Dollars.</w:t>
      </w:r>
    </w:p>
    <w:p>
      <w:pPr>
        <w:spacing w:after="0" w:line="167" w:lineRule="exact"/>
        <w:rPr>
          <w:rFonts w:ascii="Times New Roman" w:cs="Times New Roman" w:eastAsia="Times New Roman" w:hAnsi="Times New Roman"/>
          <w:sz w:val="19"/>
          <w:szCs w:val="19"/>
          <w:color w:val="auto"/>
        </w:rPr>
      </w:pPr>
    </w:p>
    <w:p>
      <w:pPr>
        <w:jc w:val="both"/>
        <w:ind w:left="160" w:firstLine="636"/>
        <w:spacing w:after="0" w:line="263" w:lineRule="auto"/>
        <w:tabs>
          <w:tab w:leader="none" w:pos="1449"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Unreimbursed Amount that is not fully refinanced by a Revolver Loan because the conditions set forth in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cannot be satisfied or for any other reason,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Revolver Lender’s payment to Administrative Agent for the account of the applicable L/C Issuer pursuant to </w:t>
      </w:r>
      <w:r>
        <w:rPr>
          <w:rFonts w:ascii="Times New Roman" w:cs="Times New Roman" w:eastAsia="Times New Roman" w:hAnsi="Times New Roman"/>
          <w:sz w:val="19"/>
          <w:szCs w:val="19"/>
          <w:b w:val="1"/>
          <w:bCs w:val="1"/>
          <w:i w:val="1"/>
          <w:iCs w:val="1"/>
          <w:color w:val="auto"/>
        </w:rPr>
        <w:t xml:space="preserve">Section 2.3(c)(ii) </w:t>
      </w:r>
      <w:r>
        <w:rPr>
          <w:rFonts w:ascii="Times New Roman" w:cs="Times New Roman" w:eastAsia="Times New Roman" w:hAnsi="Times New Roman"/>
          <w:sz w:val="19"/>
          <w:szCs w:val="19"/>
          <w:color w:val="auto"/>
        </w:rPr>
        <w:t>shall be deemed payment in respect of its participation in such L/C Borrowing in satisfaction of its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participation obligation under this </w:t>
      </w:r>
      <w:r>
        <w:rPr>
          <w:rFonts w:ascii="Times New Roman" w:cs="Times New Roman" w:eastAsia="Times New Roman" w:hAnsi="Times New Roman"/>
          <w:sz w:val="19"/>
          <w:szCs w:val="19"/>
          <w:b w:val="1"/>
          <w:bCs w:val="1"/>
          <w:i w:val="1"/>
          <w:iCs w:val="1"/>
          <w:color w:val="auto"/>
        </w:rPr>
        <w:t>Section 2.3</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48</w:t>
      </w:r>
    </w:p>
    <w:p>
      <w:pPr>
        <w:sectPr>
          <w:pgSz w:w="11900" w:h="16838" w:orient="portrait"/>
          <w:cols w:equalWidth="0" w:num="1">
            <w:col w:w="10120"/>
          </w:cols>
          <w:pgMar w:left="1440" w:top="1390" w:right="339" w:bottom="1440" w:gutter="0" w:footer="0" w:header="0"/>
        </w:sectPr>
      </w:pPr>
    </w:p>
    <w:bookmarkStart w:id="162" w:name="page163"/>
    <w:bookmarkEnd w:id="162"/>
    <w:p>
      <w:pPr>
        <w:jc w:val="both"/>
        <w:ind w:left="160" w:firstLine="636"/>
        <w:spacing w:after="0" w:line="274" w:lineRule="auto"/>
        <w:tabs>
          <w:tab w:leader="none" w:pos="1305"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Until each Revolver Lender funds its portion of a Revolver Loan or participation in an L/C Borrowing pursuant to this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to reimburse the applicable L/C Issuer for any amount drawn under any L/C, interest in respect of such Revolver Lender’s Commitment Percentage of such amount shall be solely for the account of the applicable L/C Issuer.</w:t>
      </w:r>
    </w:p>
    <w:p>
      <w:pPr>
        <w:spacing w:after="0" w:line="167" w:lineRule="exact"/>
        <w:rPr>
          <w:rFonts w:ascii="Times New Roman" w:cs="Times New Roman" w:eastAsia="Times New Roman" w:hAnsi="Times New Roman"/>
          <w:sz w:val="19"/>
          <w:szCs w:val="19"/>
          <w:color w:val="auto"/>
        </w:rPr>
      </w:pPr>
    </w:p>
    <w:p>
      <w:pPr>
        <w:jc w:val="both"/>
        <w:ind w:left="160" w:firstLine="636"/>
        <w:spacing w:after="0" w:line="260" w:lineRule="auto"/>
        <w:tabs>
          <w:tab w:leader="none" w:pos="1324"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Revolver Lender’s obligation to reimburse the L/C Issuers for amounts drawn under L/Cs (whether by making a Revolver Loans or funding its participation in an L/C Borrowing), as contemplated by this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color w:val="auto"/>
        </w:rPr>
        <w:t xml:space="preserve">, shall be absolute and unconditional and shall not be affected by any circumstance, including (A) any set-off, counterclaim, recoupment, defense, or other right which such Revolver Lender may have against the applicable L/C Issuer, Borrower, or any other Person for any reason whatsoever; (B) the occurrence or continuance of a Default or Potential Default, or (C) any other occurrence, event or condition, whether or not similar to any of the foregoing;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each Revolver Lender’s obligation to make Revolver Loans pursuant to this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color w:val="auto"/>
        </w:rPr>
        <w:t xml:space="preserve"> is subject to the conditions set forth in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(other than delivery by Borrower of a Loan Notice). No funding of a participation in an L/C Borrowing shall relieve or otherwise impair the obligation of Borrower to reimburse the applicable L/C Issuer for the amount of any payment made by such L/C Issuer under any L/C, together with interest as provided herein.</w:t>
      </w:r>
    </w:p>
    <w:p>
      <w:pPr>
        <w:spacing w:after="0" w:line="180" w:lineRule="exact"/>
        <w:rPr>
          <w:rFonts w:ascii="Times New Roman" w:cs="Times New Roman" w:eastAsia="Times New Roman" w:hAnsi="Times New Roman"/>
          <w:sz w:val="19"/>
          <w:szCs w:val="19"/>
          <w:color w:val="auto"/>
        </w:rPr>
      </w:pPr>
    </w:p>
    <w:p>
      <w:pPr>
        <w:jc w:val="both"/>
        <w:ind w:left="160" w:firstLine="636"/>
        <w:spacing w:after="0" w:line="260" w:lineRule="auto"/>
        <w:tabs>
          <w:tab w:leader="none" w:pos="1343"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Revolver Lender fails to make available to Administrative Agent for the account of the applicable L/C Issuer any amount required to be paid by such Revolver Lender pursuant to the foregoing provisions of this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color w:val="auto"/>
        </w:rPr>
        <w:t xml:space="preserve"> by the time specified in </w:t>
      </w:r>
      <w:r>
        <w:rPr>
          <w:rFonts w:ascii="Times New Roman" w:cs="Times New Roman" w:eastAsia="Times New Roman" w:hAnsi="Times New Roman"/>
          <w:sz w:val="19"/>
          <w:szCs w:val="19"/>
          <w:b w:val="1"/>
          <w:bCs w:val="1"/>
          <w:i w:val="1"/>
          <w:iCs w:val="1"/>
          <w:color w:val="auto"/>
        </w:rPr>
        <w:t>Section 2.3(c)(ii)</w:t>
      </w:r>
      <w:r>
        <w:rPr>
          <w:rFonts w:ascii="Times New Roman" w:cs="Times New Roman" w:eastAsia="Times New Roman" w:hAnsi="Times New Roman"/>
          <w:sz w:val="19"/>
          <w:szCs w:val="19"/>
          <w:color w:val="auto"/>
        </w:rPr>
        <w:t xml:space="preserve">, then, without limiting the other provisions of this Agreement, the applicable L/C Issuer shall be entitled to recover from such Revolver Lender (acting through Administrative Agent), on demand, such amount with interest thereon for the period from the date such payment is required to the date on which such payment is immediately available to the applicable L/C Issuer at a rate per annum equal to the greater of the Federal Funds Rate and a rate determined by such L/C Issuer in accordance with banking industry rules on interbank compensation, plus any administrative, processing, or similar fees customarily charged by such L/C Issuer in connection with the foregoing. If such Revolver Lender pays such amount (with interest and fees as aforesaid), the amount so paid shall constitute such Revolver Lender’s participation in the L/C Borrowing, as the case may be. A certificate of the applicable L/C Issuer submitted to any Revolver Lender (through Administrative Agent) with respect to any amounts owing under this </w:t>
      </w:r>
      <w:r>
        <w:rPr>
          <w:rFonts w:ascii="Times New Roman" w:cs="Times New Roman" w:eastAsia="Times New Roman" w:hAnsi="Times New Roman"/>
          <w:sz w:val="19"/>
          <w:szCs w:val="19"/>
          <w:b w:val="1"/>
          <w:bCs w:val="1"/>
          <w:i w:val="1"/>
          <w:iCs w:val="1"/>
          <w:color w:val="auto"/>
        </w:rPr>
        <w:t>clause (vi)</w:t>
      </w:r>
      <w:r>
        <w:rPr>
          <w:rFonts w:ascii="Times New Roman" w:cs="Times New Roman" w:eastAsia="Times New Roman" w:hAnsi="Times New Roman"/>
          <w:sz w:val="19"/>
          <w:szCs w:val="19"/>
          <w:color w:val="auto"/>
        </w:rPr>
        <w:t xml:space="preserve"> shall be conclusive absent manifest error.</w:t>
      </w:r>
    </w:p>
    <w:p>
      <w:pPr>
        <w:spacing w:after="0" w:line="164" w:lineRule="exact"/>
        <w:rPr>
          <w:rFonts w:ascii="Times New Roman" w:cs="Times New Roman" w:eastAsia="Times New Roman" w:hAnsi="Times New Roman"/>
          <w:sz w:val="19"/>
          <w:szCs w:val="19"/>
          <w:color w:val="auto"/>
        </w:rPr>
      </w:pPr>
    </w:p>
    <w:p>
      <w:pPr>
        <w:ind w:left="580" w:hanging="420"/>
        <w:spacing w:after="0"/>
        <w:tabs>
          <w:tab w:leader="none" w:pos="58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Repayment of Participations</w:t>
      </w:r>
      <w:r>
        <w:rPr>
          <w:rFonts w:ascii="Times New Roman" w:cs="Times New Roman" w:eastAsia="Times New Roman" w:hAnsi="Times New Roman"/>
          <w:sz w:val="19"/>
          <w:szCs w:val="19"/>
          <w:color w:val="auto"/>
        </w:rPr>
        <w:t>.</w:t>
      </w:r>
    </w:p>
    <w:p>
      <w:pPr>
        <w:spacing w:after="0" w:line="236" w:lineRule="exact"/>
        <w:rPr>
          <w:rFonts w:ascii="Times New Roman" w:cs="Times New Roman" w:eastAsia="Times New Roman" w:hAnsi="Times New Roman"/>
          <w:sz w:val="19"/>
          <w:szCs w:val="19"/>
          <w:color w:val="auto"/>
        </w:rPr>
      </w:pPr>
    </w:p>
    <w:p>
      <w:pPr>
        <w:jc w:val="both"/>
        <w:ind w:left="160" w:firstLine="636"/>
        <w:spacing w:after="0" w:line="261" w:lineRule="auto"/>
        <w:tabs>
          <w:tab w:leader="none" w:pos="1208"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any time after an L/C Issuer has made a payment under any L/C and has received from any Revolver Lender such Revolver Lender’s funding of its participation in the related L/C Borrowing in accordance with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color w:val="auto"/>
        </w:rPr>
        <w:t>, if Administrative Agent receives for the account of such L/C Issuer any payment in respect of the related Unreimbursed Amount or interest thereon (whether directly from Borrower or otherwise, including proceeds of Cash Collateral applied thereto by Administrative Agent), Administrative Agent will distribute to such Revolver Lender its Commitment Percentage thereof in Dollars (appropriately adjusted, in the case of interest payments, to reflect the period of time during which such Revolver Lender’s participation in the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49</w:t>
      </w:r>
    </w:p>
    <w:p>
      <w:pPr>
        <w:sectPr>
          <w:pgSz w:w="11900" w:h="16838" w:orient="portrait"/>
          <w:cols w:equalWidth="0" w:num="1">
            <w:col w:w="10120"/>
          </w:cols>
          <w:pgMar w:left="1440" w:top="1390" w:right="339" w:bottom="1440" w:gutter="0" w:footer="0" w:header="0"/>
        </w:sectPr>
      </w:pPr>
    </w:p>
    <w:bookmarkStart w:id="163" w:name="page164"/>
    <w:bookmarkEnd w:id="163"/>
    <w:p>
      <w:pPr>
        <w:ind w:left="160"/>
        <w:spacing w:after="0"/>
        <w:rPr>
          <w:sz w:val="20"/>
          <w:szCs w:val="20"/>
          <w:color w:val="auto"/>
        </w:rPr>
      </w:pPr>
      <w:r>
        <w:rPr>
          <w:rFonts w:ascii="Times New Roman" w:cs="Times New Roman" w:eastAsia="Times New Roman" w:hAnsi="Times New Roman"/>
          <w:sz w:val="19"/>
          <w:szCs w:val="19"/>
          <w:color w:val="auto"/>
        </w:rPr>
        <w:t>Borrowing was outstanding) in the same funds as those received by Administrative Agent.</w:t>
      </w:r>
    </w:p>
    <w:p>
      <w:pPr>
        <w:spacing w:after="0" w:line="229" w:lineRule="exact"/>
        <w:rPr>
          <w:sz w:val="20"/>
          <w:szCs w:val="20"/>
          <w:color w:val="auto"/>
        </w:rPr>
      </w:pPr>
    </w:p>
    <w:p>
      <w:pPr>
        <w:jc w:val="both"/>
        <w:ind w:left="160" w:firstLine="636"/>
        <w:spacing w:after="0" w:line="262" w:lineRule="auto"/>
        <w:tabs>
          <w:tab w:leader="none" w:pos="1258"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payment received by Administrative Agent for the account of any L/C Issuer pursuant to </w:t>
      </w:r>
      <w:r>
        <w:rPr>
          <w:rFonts w:ascii="Times New Roman" w:cs="Times New Roman" w:eastAsia="Times New Roman" w:hAnsi="Times New Roman"/>
          <w:sz w:val="19"/>
          <w:szCs w:val="19"/>
          <w:b w:val="1"/>
          <w:bCs w:val="1"/>
          <w:i w:val="1"/>
          <w:iCs w:val="1"/>
          <w:color w:val="auto"/>
        </w:rPr>
        <w:t>Section 2.3(c)(i)</w:t>
      </w:r>
      <w:r>
        <w:rPr>
          <w:rFonts w:ascii="Times New Roman" w:cs="Times New Roman" w:eastAsia="Times New Roman" w:hAnsi="Times New Roman"/>
          <w:sz w:val="19"/>
          <w:szCs w:val="19"/>
          <w:color w:val="auto"/>
        </w:rPr>
        <w:t xml:space="preserve"> is required to be returned under any of the circumstances described in </w:t>
      </w:r>
      <w:r>
        <w:rPr>
          <w:rFonts w:ascii="Times New Roman" w:cs="Times New Roman" w:eastAsia="Times New Roman" w:hAnsi="Times New Roman"/>
          <w:sz w:val="19"/>
          <w:szCs w:val="19"/>
          <w:b w:val="1"/>
          <w:bCs w:val="1"/>
          <w:i w:val="1"/>
          <w:iCs w:val="1"/>
          <w:color w:val="auto"/>
        </w:rPr>
        <w:t>Section 15.12</w:t>
      </w:r>
      <w:r>
        <w:rPr>
          <w:rFonts w:ascii="Times New Roman" w:cs="Times New Roman" w:eastAsia="Times New Roman" w:hAnsi="Times New Roman"/>
          <w:sz w:val="19"/>
          <w:szCs w:val="19"/>
          <w:color w:val="auto"/>
        </w:rPr>
        <w:t xml:space="preserve"> (including pursuant to any settlement entered into by the applicable L/C Issuer in its discretion), each Revolver Lender shall pay to Administrative Agent for the account of the applicable L/C Issuer its Commitment Percentage thereof on demand of Administrative Agent, plus interest thereon from the date of such demand to the date such amount is returned by such Revolver Lender, at a rate per annum equal to the Federal Funds Rate from time to time in effect. The obligations of the Revolver Lenders under this </w:t>
      </w:r>
      <w:r>
        <w:rPr>
          <w:rFonts w:ascii="Times New Roman" w:cs="Times New Roman" w:eastAsia="Times New Roman" w:hAnsi="Times New Roman"/>
          <w:sz w:val="19"/>
          <w:szCs w:val="19"/>
          <w:b w:val="1"/>
          <w:bCs w:val="1"/>
          <w:i w:val="1"/>
          <w:iCs w:val="1"/>
          <w:color w:val="auto"/>
        </w:rPr>
        <w:t>clause (d)</w:t>
      </w:r>
      <w:r>
        <w:rPr>
          <w:rFonts w:ascii="Times New Roman" w:cs="Times New Roman" w:eastAsia="Times New Roman" w:hAnsi="Times New Roman"/>
          <w:sz w:val="19"/>
          <w:szCs w:val="19"/>
          <w:color w:val="auto"/>
        </w:rPr>
        <w:t xml:space="preserve"> shall survive the payment in full of the Obligations and the termination of this Agreement.</w:t>
      </w:r>
    </w:p>
    <w:p>
      <w:pPr>
        <w:spacing w:after="0" w:line="174" w:lineRule="exact"/>
        <w:rPr>
          <w:rFonts w:ascii="Times New Roman" w:cs="Times New Roman" w:eastAsia="Times New Roman" w:hAnsi="Times New Roman"/>
          <w:sz w:val="19"/>
          <w:szCs w:val="19"/>
          <w:color w:val="auto"/>
        </w:rPr>
      </w:pPr>
    </w:p>
    <w:p>
      <w:pPr>
        <w:jc w:val="both"/>
        <w:ind w:left="-480" w:firstLine="640"/>
        <w:spacing w:after="0" w:line="276" w:lineRule="auto"/>
        <w:tabs>
          <w:tab w:leader="none" w:pos="633"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Obligations Absolute</w:t>
      </w:r>
      <w:r>
        <w:rPr>
          <w:rFonts w:ascii="Times New Roman" w:cs="Times New Roman" w:eastAsia="Times New Roman" w:hAnsi="Times New Roman"/>
          <w:sz w:val="19"/>
          <w:szCs w:val="19"/>
          <w:color w:val="auto"/>
        </w:rPr>
        <w:t>. The obligation of Borrower to reimburse the applicable L/C Issuer for each drawing under each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L/C and to repay each L/C Borrowing shall be absolute, unconditional, and irrevocable, and shall be paid strictly in accordance with the terms of this Agreement under all circumstances, including the following:</w:t>
      </w:r>
    </w:p>
    <w:p>
      <w:pPr>
        <w:spacing w:after="0" w:line="165" w:lineRule="exact"/>
        <w:rPr>
          <w:rFonts w:ascii="Times New Roman" w:cs="Times New Roman" w:eastAsia="Times New Roman" w:hAnsi="Times New Roman"/>
          <w:sz w:val="19"/>
          <w:szCs w:val="19"/>
          <w:color w:val="auto"/>
        </w:rPr>
      </w:pPr>
    </w:p>
    <w:p>
      <w:pPr>
        <w:ind w:left="1220" w:hanging="424"/>
        <w:spacing w:after="0"/>
        <w:tabs>
          <w:tab w:leader="none" w:pos="1220"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lack of validity or enforceability of such L/C, this Agreement, or any other agreement or instrument relating</w:t>
      </w:r>
    </w:p>
    <w:p>
      <w:pPr>
        <w:spacing w:after="0" w:line="29" w:lineRule="exact"/>
        <w:rPr>
          <w:rFonts w:ascii="Times New Roman" w:cs="Times New Roman" w:eastAsia="Times New Roman" w:hAnsi="Times New Roman"/>
          <w:sz w:val="19"/>
          <w:szCs w:val="19"/>
          <w:color w:val="auto"/>
        </w:rPr>
      </w:pPr>
    </w:p>
    <w:p>
      <w:pPr>
        <w:ind w:left="1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thereto;</w:t>
      </w:r>
    </w:p>
    <w:p>
      <w:pPr>
        <w:spacing w:after="0" w:line="211" w:lineRule="exact"/>
        <w:rPr>
          <w:sz w:val="20"/>
          <w:szCs w:val="20"/>
          <w:color w:val="auto"/>
        </w:rPr>
      </w:pPr>
    </w:p>
    <w:p>
      <w:pPr>
        <w:jc w:val="both"/>
        <w:ind w:left="160" w:firstLine="636"/>
        <w:spacing w:after="0" w:line="270" w:lineRule="auto"/>
        <w:tabs>
          <w:tab w:leader="none" w:pos="1322"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of any claim, counterclaim, set-off, defense, or other right that Borrower may have at any time against any beneficiary or any transferee of such L/C (or any Person for whom any such beneficiary or any such transferee may be acting), the applicable L/C Issuer or any other Person, whether in connection with this Agreement, the transactions contemplated hereby or by such L/C or any agreement or instrument relating thereto, or any unrelated transaction;</w:t>
      </w:r>
    </w:p>
    <w:p>
      <w:pPr>
        <w:spacing w:after="0" w:line="157" w:lineRule="exact"/>
        <w:rPr>
          <w:rFonts w:ascii="Times New Roman" w:cs="Times New Roman" w:eastAsia="Times New Roman" w:hAnsi="Times New Roman"/>
          <w:sz w:val="19"/>
          <w:szCs w:val="19"/>
          <w:color w:val="auto"/>
        </w:rPr>
      </w:pPr>
    </w:p>
    <w:p>
      <w:pPr>
        <w:jc w:val="both"/>
        <w:ind w:left="160" w:right="20" w:firstLine="636"/>
        <w:spacing w:after="0" w:line="274" w:lineRule="auto"/>
        <w:tabs>
          <w:tab w:leader="none" w:pos="1366"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draft, demand, certificate, or other document presented under such L/C proving to be forged, fraudulent, invalid, or insufficient in any respect or any statement therein being untrue or inaccurate in any respect; or any loss or delay in the transmission or otherwise of any document required in order to make a drawing under such L/C;</w:t>
      </w:r>
    </w:p>
    <w:p>
      <w:pPr>
        <w:spacing w:after="0" w:line="167" w:lineRule="exact"/>
        <w:rPr>
          <w:rFonts w:ascii="Times New Roman" w:cs="Times New Roman" w:eastAsia="Times New Roman" w:hAnsi="Times New Roman"/>
          <w:sz w:val="19"/>
          <w:szCs w:val="19"/>
          <w:color w:val="auto"/>
        </w:rPr>
      </w:pPr>
    </w:p>
    <w:p>
      <w:pPr>
        <w:ind w:left="160" w:firstLine="636"/>
        <w:spacing w:after="0" w:line="285" w:lineRule="auto"/>
        <w:tabs>
          <w:tab w:leader="none" w:pos="1279"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waiver by any L/C Issuer of any requirement that exists for such L/C Issuer’s protection and not the protection of Borrower or any waiver by such L/C Issuer which does not in fact materially prejudice Borrower;</w:t>
      </w:r>
    </w:p>
    <w:p>
      <w:pPr>
        <w:spacing w:after="0" w:line="157" w:lineRule="exact"/>
        <w:rPr>
          <w:rFonts w:ascii="Times New Roman" w:cs="Times New Roman" w:eastAsia="Times New Roman" w:hAnsi="Times New Roman"/>
          <w:sz w:val="19"/>
          <w:szCs w:val="19"/>
          <w:color w:val="auto"/>
        </w:rPr>
      </w:pPr>
    </w:p>
    <w:p>
      <w:pPr>
        <w:ind w:left="1220" w:hanging="424"/>
        <w:spacing w:after="0"/>
        <w:tabs>
          <w:tab w:leader="none" w:pos="122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honor of a demand for payment presented electronically even if such L/C requires that demand be in the form of a</w:t>
      </w:r>
    </w:p>
    <w:p>
      <w:pPr>
        <w:spacing w:after="0" w:line="34" w:lineRule="exact"/>
        <w:rPr>
          <w:rFonts w:ascii="Times New Roman" w:cs="Times New Roman" w:eastAsia="Times New Roman" w:hAnsi="Times New Roman"/>
          <w:sz w:val="19"/>
          <w:szCs w:val="19"/>
          <w:color w:val="auto"/>
        </w:rPr>
      </w:pPr>
    </w:p>
    <w:p>
      <w:pPr>
        <w:ind w:left="1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draft;</w:t>
      </w:r>
    </w:p>
    <w:p>
      <w:pPr>
        <w:spacing w:after="0" w:line="204" w:lineRule="exact"/>
        <w:rPr>
          <w:rFonts w:ascii="Times New Roman" w:cs="Times New Roman" w:eastAsia="Times New Roman" w:hAnsi="Times New Roman"/>
          <w:sz w:val="19"/>
          <w:szCs w:val="19"/>
          <w:color w:val="auto"/>
        </w:rPr>
      </w:pPr>
    </w:p>
    <w:p>
      <w:pPr>
        <w:jc w:val="both"/>
        <w:ind w:left="160" w:firstLine="636"/>
        <w:spacing w:after="0" w:line="274" w:lineRule="auto"/>
        <w:tabs>
          <w:tab w:leader="none" w:pos="1282"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made by the L/C Issuer in respect of an otherwise complying item presented after the date specified as the expiration date of, or the date by which documents must be received under such L/C if presentation after such date is authorized by the UCC, the ISP or the UCP, as applicable;</w:t>
      </w:r>
    </w:p>
    <w:p>
      <w:pPr>
        <w:spacing w:after="0" w:line="167" w:lineRule="exact"/>
        <w:rPr>
          <w:rFonts w:ascii="Times New Roman" w:cs="Times New Roman" w:eastAsia="Times New Roman" w:hAnsi="Times New Roman"/>
          <w:sz w:val="19"/>
          <w:szCs w:val="19"/>
          <w:color w:val="auto"/>
        </w:rPr>
      </w:pPr>
    </w:p>
    <w:p>
      <w:pPr>
        <w:jc w:val="both"/>
        <w:ind w:left="160" w:firstLine="636"/>
        <w:spacing w:after="0" w:line="274" w:lineRule="auto"/>
        <w:tabs>
          <w:tab w:leader="none" w:pos="1355"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by the applicable L/C Issuer under such L/C against presentation of a draft or certificate that does not strictly comply with the terms of such L/C; or any payment made by the applicable L/C Issuer under such L/C to any Person purporting to be a trustee in bankruptcy, debtor-in-possession, assignee for the benefit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50</w:t>
      </w:r>
    </w:p>
    <w:p>
      <w:pPr>
        <w:sectPr>
          <w:pgSz w:w="11900" w:h="16838" w:orient="portrait"/>
          <w:cols w:equalWidth="0" w:num="1">
            <w:col w:w="10120"/>
          </w:cols>
          <w:pgMar w:left="1440" w:top="1390" w:right="339" w:bottom="1440" w:gutter="0" w:footer="0" w:header="0"/>
        </w:sectPr>
      </w:pPr>
    </w:p>
    <w:bookmarkStart w:id="164" w:name="page165"/>
    <w:bookmarkEnd w:id="164"/>
    <w:p>
      <w:pPr>
        <w:ind w:left="1280"/>
        <w:spacing w:after="0" w:line="300" w:lineRule="auto"/>
        <w:rPr>
          <w:sz w:val="20"/>
          <w:szCs w:val="20"/>
          <w:color w:val="auto"/>
        </w:rPr>
      </w:pPr>
      <w:r>
        <w:rPr>
          <w:rFonts w:ascii="Times New Roman" w:cs="Times New Roman" w:eastAsia="Times New Roman" w:hAnsi="Times New Roman"/>
          <w:sz w:val="19"/>
          <w:szCs w:val="19"/>
          <w:color w:val="auto"/>
        </w:rPr>
        <w:t>creditors, liquidator, receiver, or other representative of or successor to any beneficiary or any transferee of such L/C, including any arising in connection with any proceeding under any Debtor Relief Law;</w:t>
      </w:r>
    </w:p>
    <w:p>
      <w:pPr>
        <w:spacing w:after="0" w:line="130" w:lineRule="exact"/>
        <w:rPr>
          <w:sz w:val="20"/>
          <w:szCs w:val="20"/>
          <w:color w:val="auto"/>
        </w:rPr>
      </w:pPr>
    </w:p>
    <w:p>
      <w:pPr>
        <w:ind w:left="1280" w:firstLine="636"/>
        <w:spacing w:after="0" w:line="300" w:lineRule="auto"/>
        <w:tabs>
          <w:tab w:leader="none" w:pos="2526"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circumstance or happening whatsoever, whether or not similar to any of the foregoing, including any other circumstance that might otherwise constitute a defense available to, or a discharge of, Borrower; or</w:t>
      </w:r>
    </w:p>
    <w:p>
      <w:pPr>
        <w:spacing w:after="0" w:line="130" w:lineRule="exact"/>
        <w:rPr>
          <w:rFonts w:ascii="Times New Roman" w:cs="Times New Roman" w:eastAsia="Times New Roman" w:hAnsi="Times New Roman"/>
          <w:sz w:val="19"/>
          <w:szCs w:val="19"/>
          <w:color w:val="auto"/>
        </w:rPr>
      </w:pPr>
    </w:p>
    <w:p>
      <w:pPr>
        <w:ind w:left="1280" w:firstLine="636"/>
        <w:spacing w:after="0" w:line="300" w:lineRule="auto"/>
        <w:tabs>
          <w:tab w:leader="none" w:pos="242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adverse change in the relevant exchange rates or in the availability of the Alternative Currency to Borrower or any Subsidiary or in the relevant currency markets generally.</w:t>
      </w:r>
    </w:p>
    <w:p>
      <w:pPr>
        <w:spacing w:after="0" w:line="144"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color w:val="auto"/>
        </w:rPr>
        <w:t>Borrower shall promptly examine a copy of each L/C and each amendment thereto that is delivered to it and, in the event of any claim of noncompliance with Borrower’s instructions or other irregularity, Borrower will immediately notify the applicable L/C Issuer. Borrower shall be conclusively deemed to have waived any such claim against the applicable L/C Issuer and its correspondents unless such notice is given as aforesaid.</w:t>
      </w:r>
    </w:p>
    <w:p>
      <w:pPr>
        <w:spacing w:after="0" w:line="172" w:lineRule="exact"/>
        <w:rPr>
          <w:sz w:val="20"/>
          <w:szCs w:val="20"/>
          <w:color w:val="auto"/>
        </w:rPr>
      </w:pPr>
    </w:p>
    <w:p>
      <w:pPr>
        <w:jc w:val="both"/>
        <w:ind w:left="640" w:firstLine="640"/>
        <w:spacing w:after="0" w:line="258" w:lineRule="auto"/>
        <w:tabs>
          <w:tab w:leader="none" w:pos="1692"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Role of L/C Issuers </w:t>
      </w:r>
      <w:r>
        <w:rPr>
          <w:rFonts w:ascii="Times New Roman" w:cs="Times New Roman" w:eastAsia="Times New Roman" w:hAnsi="Times New Roman"/>
          <w:sz w:val="19"/>
          <w:szCs w:val="19"/>
          <w:color w:val="auto"/>
        </w:rPr>
        <w:t>Each Revolver Lender and Borrower agree that, in paying any drawing under an L/C, the applicable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L/C Issuer shall not have any responsibility to obtain any document (other than any sight draft, certificates, and documents expressly required by the L/C) or to ascertain or inquire as to the validity or accuracy of any such document or the authority of the Person executing or delivering any such document. None of the L/C Issuers, any Related Party of Administrative Agent, or any of the respective correspondents, participants, or assignees of the L/C Issuers shall be liable to any Revolver Lender for (i) any action taken or omitted in connection herewith at the request or with the approval of Revolver Lenders, Required Revolver Lenders, Required </w:t>
      </w:r>
      <w:r>
        <w:rPr>
          <w:rFonts w:ascii="Times New Roman" w:cs="Times New Roman" w:eastAsia="Times New Roman" w:hAnsi="Times New Roman"/>
          <w:sz w:val="19"/>
          <w:szCs w:val="19"/>
          <w:u w:val="single" w:color="auto"/>
          <w:color w:val="3051F2"/>
        </w:rPr>
        <w:t>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Loan Lenders, Required Delayed Draw</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Term Loan Lenders or Required Lenders, as applicable; (ii) any action taken or omitted in the</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 xml:space="preserve">absence of gross negligence or willful misconduct; or (iii) the due execution, effectiveness, validity, or enforceability of any document or instrument related to any L/C or L/C Agreement. Borrower hereby assumes all risks of the acts or omissions of any beneficiary or transferee with respect to its use of any L/C;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xml:space="preserve">, that this assumption is not intended to, and shall not, preclude Borrower’s pursuing such rights and remedies as it may have against the beneficiary or transferee at Law or under any other agreement. None of the L/C Issuers, any Related Party of Administrative Agent, or any of the respective correspondents, participants, or assignees of any L/C Issuer shall be liable or responsible for any of the matters described in </w:t>
      </w:r>
      <w:r>
        <w:rPr>
          <w:rFonts w:ascii="Times New Roman" w:cs="Times New Roman" w:eastAsia="Times New Roman" w:hAnsi="Times New Roman"/>
          <w:sz w:val="19"/>
          <w:szCs w:val="19"/>
          <w:b w:val="1"/>
          <w:bCs w:val="1"/>
          <w:i w:val="1"/>
          <w:iCs w:val="1"/>
          <w:color w:val="000000"/>
        </w:rPr>
        <w:t>clauses (i)</w:t>
      </w:r>
      <w:r>
        <w:rPr>
          <w:rFonts w:ascii="Times New Roman" w:cs="Times New Roman" w:eastAsia="Times New Roman" w:hAnsi="Times New Roman"/>
          <w:sz w:val="19"/>
          <w:szCs w:val="19"/>
          <w:color w:val="000000"/>
        </w:rPr>
        <w:t xml:space="preserve"> through </w:t>
      </w:r>
      <w:r>
        <w:rPr>
          <w:rFonts w:ascii="Times New Roman" w:cs="Times New Roman" w:eastAsia="Times New Roman" w:hAnsi="Times New Roman"/>
          <w:sz w:val="19"/>
          <w:szCs w:val="19"/>
          <w:b w:val="1"/>
          <w:bCs w:val="1"/>
          <w:i w:val="1"/>
          <w:iCs w:val="1"/>
          <w:color w:val="000000"/>
        </w:rPr>
        <w:t>(v)</w:t>
      </w:r>
      <w:r>
        <w:rPr>
          <w:rFonts w:ascii="Times New Roman" w:cs="Times New Roman" w:eastAsia="Times New Roman" w:hAnsi="Times New Roman"/>
          <w:sz w:val="19"/>
          <w:szCs w:val="19"/>
          <w:color w:val="000000"/>
        </w:rPr>
        <w:t xml:space="preserve"> of </w:t>
      </w:r>
      <w:r>
        <w:rPr>
          <w:rFonts w:ascii="Times New Roman" w:cs="Times New Roman" w:eastAsia="Times New Roman" w:hAnsi="Times New Roman"/>
          <w:sz w:val="19"/>
          <w:szCs w:val="19"/>
          <w:b w:val="1"/>
          <w:bCs w:val="1"/>
          <w:i w:val="1"/>
          <w:iCs w:val="1"/>
          <w:color w:val="000000"/>
        </w:rPr>
        <w:t>Section 2.3(e)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however</w:t>
      </w:r>
      <w:r>
        <w:rPr>
          <w:rFonts w:ascii="Times New Roman" w:cs="Times New Roman" w:eastAsia="Times New Roman" w:hAnsi="Times New Roman"/>
          <w:sz w:val="19"/>
          <w:szCs w:val="19"/>
          <w:color w:val="000000"/>
        </w:rPr>
        <w:t>, that anything in such clauses to the contrary notwithstanding, Borrower may have a claim against an L/C Issuer, and an L/C</w:t>
      </w:r>
      <w:r>
        <w:rPr>
          <w:rFonts w:ascii="Times New Roman" w:cs="Times New Roman" w:eastAsia="Times New Roman" w:hAnsi="Times New Roman"/>
          <w:sz w:val="19"/>
          <w:szCs w:val="19"/>
          <w:i w:val="1"/>
          <w:iCs w:val="1"/>
          <w:color w:val="000000"/>
        </w:rPr>
        <w:t xml:space="preserve"> </w:t>
      </w:r>
      <w:r>
        <w:rPr>
          <w:rFonts w:ascii="Times New Roman" w:cs="Times New Roman" w:eastAsia="Times New Roman" w:hAnsi="Times New Roman"/>
          <w:sz w:val="19"/>
          <w:szCs w:val="19"/>
          <w:color w:val="000000"/>
        </w:rPr>
        <w:t>Issuer may be liable to Borrower, to the extent, but only to the extent, of any direct, as opposed to consequential or exemplary, damages suffered by Borrower which Borrower proves were caused by such L/C Issuer’s willful misconduct or gross negligence or such L/C Issuer’s willful failure to pay under any L/C after the presentation to it by the beneficiary of a sight draft and certificate(s) strictly complying with the terms and conditions of an L/C. In furtherance and not in limitation of the foregoing, an L/C Issuer may accept documents that appear on their face to be in order, without responsibility for further investigation, regardless of any notice or information to the contrary, and an L/C Issuer shall not be responsible for the validity or sufficiency of any instrument transferring or assigning or purporting to transfer or assign an L/C or the rights or benefits thereunder or proceeds thereof, in whole or in part, which may prove to be invalid or ineffective for any reason. Each L/C Issuer may send an L/C or conduct any communication to or from the beneficiary via the Society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ectPr>
          <w:pgSz w:w="11900" w:h="16838" w:orient="portrait"/>
          <w:cols w:equalWidth="0" w:num="1">
            <w:col w:w="11240"/>
          </w:cols>
          <w:pgMar w:left="320" w:top="1390" w:right="339" w:bottom="1440" w:gutter="0" w:footer="0" w:header="0"/>
        </w:sectPr>
      </w:pPr>
    </w:p>
    <w:bookmarkStart w:id="165" w:name="page166"/>
    <w:bookmarkEnd w:id="165"/>
    <w:p>
      <w:pPr>
        <w:spacing w:after="0" w:line="302" w:lineRule="auto"/>
        <w:rPr>
          <w:sz w:val="20"/>
          <w:szCs w:val="20"/>
          <w:color w:val="auto"/>
        </w:rPr>
      </w:pPr>
      <w:r>
        <w:rPr>
          <w:rFonts w:ascii="Times New Roman" w:cs="Times New Roman" w:eastAsia="Times New Roman" w:hAnsi="Times New Roman"/>
          <w:sz w:val="19"/>
          <w:szCs w:val="19"/>
          <w:color w:val="auto"/>
        </w:rPr>
        <w:t>Worldwide Interbank Financial Telecommunication (“</w:t>
      </w:r>
      <w:r>
        <w:rPr>
          <w:rFonts w:ascii="Times New Roman" w:cs="Times New Roman" w:eastAsia="Times New Roman" w:hAnsi="Times New Roman"/>
          <w:sz w:val="19"/>
          <w:szCs w:val="19"/>
          <w:i w:val="1"/>
          <w:iCs w:val="1"/>
          <w:color w:val="auto"/>
        </w:rPr>
        <w:t>SWIFT</w:t>
      </w:r>
      <w:r>
        <w:rPr>
          <w:rFonts w:ascii="Times New Roman" w:cs="Times New Roman" w:eastAsia="Times New Roman" w:hAnsi="Times New Roman"/>
          <w:sz w:val="19"/>
          <w:szCs w:val="19"/>
          <w:color w:val="auto"/>
        </w:rPr>
        <w:t>”) message or overnight courier, or any other commercially reasonable means of communicating with a beneficiary.</w:t>
      </w:r>
    </w:p>
    <w:p>
      <w:pPr>
        <w:spacing w:after="0" w:line="125" w:lineRule="exact"/>
        <w:rPr>
          <w:sz w:val="20"/>
          <w:szCs w:val="20"/>
          <w:color w:val="auto"/>
        </w:rPr>
      </w:pPr>
    </w:p>
    <w:p>
      <w:pPr>
        <w:jc w:val="both"/>
        <w:ind w:firstLine="640"/>
        <w:spacing w:after="0" w:line="260" w:lineRule="auto"/>
        <w:tabs>
          <w:tab w:leader="none" w:pos="1111"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Applicability of ISP and UCP</w:t>
      </w:r>
      <w:r>
        <w:rPr>
          <w:rFonts w:ascii="Times New Roman" w:cs="Times New Roman" w:eastAsia="Times New Roman" w:hAnsi="Times New Roman"/>
          <w:sz w:val="19"/>
          <w:szCs w:val="19"/>
          <w:color w:val="auto"/>
        </w:rPr>
        <w:t>. Unless otherwise expressly agreed by the applicable L/C Issuer and Borrower when 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L/C is issued (including any such agreement applicable to an Existing L/C), (i) the rules of the ISP shall apply to each standby L/C and each Bond L/C, and (ii) the rules of the Uniform Customs and Practice for Documentary Credits (“</w:t>
      </w:r>
      <w:r>
        <w:rPr>
          <w:rFonts w:ascii="Times New Roman" w:cs="Times New Roman" w:eastAsia="Times New Roman" w:hAnsi="Times New Roman"/>
          <w:sz w:val="19"/>
          <w:szCs w:val="19"/>
          <w:b w:val="1"/>
          <w:bCs w:val="1"/>
          <w:i w:val="1"/>
          <w:iCs w:val="1"/>
          <w:color w:val="auto"/>
        </w:rPr>
        <w:t>UCP</w:t>
      </w:r>
      <w:r>
        <w:rPr>
          <w:rFonts w:ascii="Times New Roman" w:cs="Times New Roman" w:eastAsia="Times New Roman" w:hAnsi="Times New Roman"/>
          <w:sz w:val="19"/>
          <w:szCs w:val="19"/>
          <w:color w:val="auto"/>
        </w:rPr>
        <w:t>”), as most recently published by the International Chamber of Commerce at the time of issuance, shall apply to each commercial L/C. Notwithstanding the foregoing, each L/C Issuer shall not be responsible to Borrower for, and such L/C Issuer’s rights and remedies against Borrower shall not be impaired by, any action or inaction of such L/C Issuer required or permitted under any law, order, or practice that is required or permitted to be applied to any L/C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L/C chooses such law or practice.</w:t>
      </w:r>
    </w:p>
    <w:p>
      <w:pPr>
        <w:spacing w:after="0" w:line="200" w:lineRule="exact"/>
        <w:rPr>
          <w:rFonts w:ascii="Times New Roman" w:cs="Times New Roman" w:eastAsia="Times New Roman" w:hAnsi="Times New Roman"/>
          <w:sz w:val="19"/>
          <w:szCs w:val="19"/>
          <w:color w:val="auto"/>
        </w:rPr>
      </w:pPr>
    </w:p>
    <w:p>
      <w:pPr>
        <w:spacing w:after="0" w:line="218" w:lineRule="exact"/>
        <w:rPr>
          <w:rFonts w:ascii="Times New Roman" w:cs="Times New Roman" w:eastAsia="Times New Roman" w:hAnsi="Times New Roman"/>
          <w:sz w:val="19"/>
          <w:szCs w:val="19"/>
          <w:color w:val="auto"/>
        </w:rPr>
      </w:pPr>
    </w:p>
    <w:p>
      <w:pPr>
        <w:ind w:firstLine="640"/>
        <w:spacing w:after="0" w:line="290" w:lineRule="auto"/>
        <w:tabs>
          <w:tab w:leader="none" w:pos="1058"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Conflict with L/C Agreement</w:t>
      </w:r>
      <w:r>
        <w:rPr>
          <w:rFonts w:ascii="Times New Roman" w:cs="Times New Roman" w:eastAsia="Times New Roman" w:hAnsi="Times New Roman"/>
          <w:sz w:val="19"/>
          <w:szCs w:val="19"/>
          <w:color w:val="auto"/>
        </w:rPr>
        <w:t>. In the event of any conflict between the terms hereof and the terms of any L/C Agreement,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terms hereof shall control.</w:t>
      </w:r>
    </w:p>
    <w:p>
      <w:pPr>
        <w:spacing w:after="0" w:line="148" w:lineRule="exact"/>
        <w:rPr>
          <w:rFonts w:ascii="Times New Roman" w:cs="Times New Roman" w:eastAsia="Times New Roman" w:hAnsi="Times New Roman"/>
          <w:sz w:val="19"/>
          <w:szCs w:val="19"/>
          <w:color w:val="auto"/>
        </w:rPr>
      </w:pPr>
    </w:p>
    <w:p>
      <w:pPr>
        <w:ind w:left="1020" w:hanging="380"/>
        <w:spacing w:after="0"/>
        <w:tabs>
          <w:tab w:leader="none" w:pos="102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Bond L/Cs</w:t>
      </w:r>
      <w:r>
        <w:rPr>
          <w:rFonts w:ascii="Times New Roman" w:cs="Times New Roman" w:eastAsia="Times New Roman" w:hAnsi="Times New Roman"/>
          <w:sz w:val="19"/>
          <w:szCs w:val="19"/>
          <w:color w:val="auto"/>
        </w:rPr>
        <w:t>. Notwithstanding any provision to the contrary set forth in this</w:t>
      </w:r>
      <w:r>
        <w:rPr>
          <w:rFonts w:ascii="Times New Roman" w:cs="Times New Roman" w:eastAsia="Times New Roman" w:hAnsi="Times New Roman"/>
          <w:sz w:val="19"/>
          <w:szCs w:val="19"/>
          <w:b w:val="1"/>
          <w:bCs w:val="1"/>
          <w:i w:val="1"/>
          <w:iCs w:val="1"/>
          <w:color w:val="auto"/>
        </w:rPr>
        <w:t xml:space="preserve"> Section 2.3</w:t>
      </w:r>
      <w:r>
        <w:rPr>
          <w:rFonts w:ascii="Times New Roman" w:cs="Times New Roman" w:eastAsia="Times New Roman" w:hAnsi="Times New Roman"/>
          <w:sz w:val="19"/>
          <w:szCs w:val="19"/>
          <w:color w:val="auto"/>
        </w:rPr>
        <w:t>:</w:t>
      </w:r>
    </w:p>
    <w:p>
      <w:pPr>
        <w:spacing w:after="0" w:line="234" w:lineRule="exact"/>
        <w:rPr>
          <w:rFonts w:ascii="Times New Roman" w:cs="Times New Roman" w:eastAsia="Times New Roman" w:hAnsi="Times New Roman"/>
          <w:sz w:val="19"/>
          <w:szCs w:val="19"/>
          <w:color w:val="auto"/>
        </w:rPr>
      </w:pPr>
    </w:p>
    <w:p>
      <w:pPr>
        <w:jc w:val="both"/>
        <w:ind w:left="640" w:firstLine="636"/>
        <w:spacing w:after="0" w:line="260" w:lineRule="auto"/>
        <w:tabs>
          <w:tab w:leader="none" w:pos="1665"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The Bond L/Cs shall be subject to the terms and conditions of this Agreement and applicable Law;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(1) such Bond L/Cs may have expiration dates later than thirteen months from the date of issuance, so long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such date is not later than the L/C Expiration Date; and (2) the terms of such Bond L/Cs must be acceptable to the applicable L/C Issuer and Administrative Agent, and, (I) subject to the provisions of </w:t>
      </w:r>
      <w:r>
        <w:rPr>
          <w:rFonts w:ascii="Times New Roman" w:cs="Times New Roman" w:eastAsia="Times New Roman" w:hAnsi="Times New Roman"/>
          <w:sz w:val="19"/>
          <w:szCs w:val="19"/>
          <w:b w:val="1"/>
          <w:bCs w:val="1"/>
          <w:i w:val="1"/>
          <w:iCs w:val="1"/>
          <w:color w:val="auto"/>
        </w:rPr>
        <w:t>Section 2.3(i)(ii)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2.3(i)(iii)</w:t>
      </w:r>
      <w:r>
        <w:rPr>
          <w:rFonts w:ascii="Times New Roman" w:cs="Times New Roman" w:eastAsia="Times New Roman" w:hAnsi="Times New Roman"/>
          <w:sz w:val="19"/>
          <w:szCs w:val="19"/>
          <w:color w:val="auto"/>
        </w:rPr>
        <w:t xml:space="preserve">, may provide for the reinstatement of drawn portions of the Bond L/C, whether or not reimbursement has been received (which may have the effect of increasing the amount of such Bond L/C), (II) may provide for automatic extensions thereof, so long as such terms comply with the auto extension provisions set forth in </w:t>
      </w:r>
      <w:r>
        <w:rPr>
          <w:rFonts w:ascii="Times New Roman" w:cs="Times New Roman" w:eastAsia="Times New Roman" w:hAnsi="Times New Roman"/>
          <w:sz w:val="19"/>
          <w:szCs w:val="19"/>
          <w:b w:val="1"/>
          <w:bCs w:val="1"/>
          <w:i w:val="1"/>
          <w:iCs w:val="1"/>
          <w:color w:val="auto"/>
        </w:rPr>
        <w:t>Section 2.3(b)(iii)</w:t>
      </w:r>
      <w:r>
        <w:rPr>
          <w:rFonts w:ascii="Times New Roman" w:cs="Times New Roman" w:eastAsia="Times New Roman" w:hAnsi="Times New Roman"/>
          <w:sz w:val="19"/>
          <w:szCs w:val="19"/>
          <w:color w:val="auto"/>
        </w:rPr>
        <w:t xml:space="preserve"> hereof, and (III) may contain provisions whereby the applicable L/C Issuer is granted certain Rights in collateral and voting Rights under the related Bond Documents, which Rights are expressly assigned by the applicable L/C Issuer to Administrative Agent for the benefit of Revolver Lenders pursuant to </w:t>
      </w:r>
      <w:r>
        <w:rPr>
          <w:rFonts w:ascii="Times New Roman" w:cs="Times New Roman" w:eastAsia="Times New Roman" w:hAnsi="Times New Roman"/>
          <w:sz w:val="19"/>
          <w:szCs w:val="19"/>
          <w:b w:val="1"/>
          <w:bCs w:val="1"/>
          <w:i w:val="1"/>
          <w:iCs w:val="1"/>
          <w:color w:val="auto"/>
        </w:rPr>
        <w:t xml:space="preserve">Section 2.3(i)(iv) </w:t>
      </w:r>
      <w:r>
        <w:rPr>
          <w:rFonts w:ascii="Times New Roman" w:cs="Times New Roman" w:eastAsia="Times New Roman" w:hAnsi="Times New Roman"/>
          <w:sz w:val="19"/>
          <w:szCs w:val="19"/>
          <w:color w:val="auto"/>
        </w:rPr>
        <w:t>herein.</w:t>
      </w:r>
    </w:p>
    <w:p>
      <w:pPr>
        <w:spacing w:after="0" w:line="200" w:lineRule="exact"/>
        <w:rPr>
          <w:rFonts w:ascii="Times New Roman" w:cs="Times New Roman" w:eastAsia="Times New Roman" w:hAnsi="Times New Roman"/>
          <w:sz w:val="19"/>
          <w:szCs w:val="19"/>
          <w:color w:val="auto"/>
        </w:rPr>
      </w:pPr>
    </w:p>
    <w:p>
      <w:pPr>
        <w:spacing w:after="0" w:line="205" w:lineRule="exact"/>
        <w:rPr>
          <w:rFonts w:ascii="Times New Roman" w:cs="Times New Roman" w:eastAsia="Times New Roman" w:hAnsi="Times New Roman"/>
          <w:sz w:val="19"/>
          <w:szCs w:val="19"/>
          <w:color w:val="auto"/>
        </w:rPr>
      </w:pPr>
    </w:p>
    <w:p>
      <w:pPr>
        <w:jc w:val="both"/>
        <w:ind w:left="1280" w:firstLine="633"/>
        <w:spacing w:after="0" w:line="264" w:lineRule="auto"/>
        <w:tabs>
          <w:tab w:leader="none" w:pos="2449" w:val="left"/>
        </w:tabs>
        <w:numPr>
          <w:ilvl w:val="2"/>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may request that an L/C Issuer issue Bond L/Cs by providing at least 30 days prior written notice of such request to the applicable L/C Issuer, and by delivering a certificate at least 30 days prior to the issuance of any Bond L/C to Administrative Agent demonstrating the Companies’ pro forma compliance with the financial covenant set forth in </w:t>
      </w:r>
      <w:r>
        <w:rPr>
          <w:rFonts w:ascii="Times New Roman" w:cs="Times New Roman" w:eastAsia="Times New Roman" w:hAnsi="Times New Roman"/>
          <w:sz w:val="19"/>
          <w:szCs w:val="19"/>
          <w:b w:val="1"/>
          <w:bCs w:val="1"/>
          <w:i w:val="1"/>
          <w:iCs w:val="1"/>
          <w:color w:val="auto"/>
        </w:rPr>
        <w:t>Section 11.1</w:t>
      </w:r>
      <w:r>
        <w:rPr>
          <w:rFonts w:ascii="Times New Roman" w:cs="Times New Roman" w:eastAsia="Times New Roman" w:hAnsi="Times New Roman"/>
          <w:sz w:val="19"/>
          <w:szCs w:val="19"/>
          <w:color w:val="auto"/>
        </w:rPr>
        <w:t xml:space="preserve"> herein, after giving effect to the issuance of any such Bonds and, without duplication, any Debt incurred by Borrower or any Company in support thereof, and certifying that no Default or Potential Default exists or would result after giving effect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52</w:t>
      </w:r>
    </w:p>
    <w:p>
      <w:pPr>
        <w:sectPr>
          <w:pgSz w:w="11900" w:h="16838" w:orient="portrait"/>
          <w:cols w:equalWidth="0" w:num="1">
            <w:col w:w="10600"/>
          </w:cols>
          <w:pgMar w:left="960" w:top="1388" w:right="339" w:bottom="1440" w:gutter="0" w:footer="0" w:header="0"/>
        </w:sectPr>
      </w:pPr>
    </w:p>
    <w:bookmarkStart w:id="166" w:name="page167"/>
    <w:bookmarkEnd w:id="166"/>
    <w:p>
      <w:pPr>
        <w:jc w:val="both"/>
        <w:ind w:left="160" w:firstLine="636"/>
        <w:spacing w:after="0" w:line="259" w:lineRule="auto"/>
        <w:tabs>
          <w:tab w:leader="none" w:pos="1275"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proceeds of any drawing under any Bond L/C are used to pay the purchase price of Bonds tendered or deemed tendered by the owner thereof pursuant to the related Bond Documents (such drawing, including the drawing of any accrued interest on the tendered Bonds, a “</w:t>
      </w:r>
      <w:r>
        <w:rPr>
          <w:rFonts w:ascii="Times New Roman" w:cs="Times New Roman" w:eastAsia="Times New Roman" w:hAnsi="Times New Roman"/>
          <w:sz w:val="19"/>
          <w:szCs w:val="19"/>
          <w:b w:val="1"/>
          <w:bCs w:val="1"/>
          <w:i w:val="1"/>
          <w:iCs w:val="1"/>
          <w:color w:val="auto"/>
        </w:rPr>
        <w:t>Bond Purchase Drawing</w:t>
      </w:r>
      <w:r>
        <w:rPr>
          <w:rFonts w:ascii="Times New Roman" w:cs="Times New Roman" w:eastAsia="Times New Roman" w:hAnsi="Times New Roman"/>
          <w:sz w:val="19"/>
          <w:szCs w:val="19"/>
          <w:color w:val="auto"/>
        </w:rPr>
        <w:t xml:space="preserve">”), then the stated amount of such Bond L/C will be temporarily reduced by the amount of such drawing, subject to automatic reinstatement (whether or not reimbursement for any drawings thereunder has been received or the conditions set forth in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have been satisfied, and without further approval from Revolver Lenders) pursuant to the provisions of the applicable Bond L/C by an amount equal to the Bond Purchase Drawing, so long as (A) the applicable L/C Issuer (or Administrative Agent, as assignee of such L/C Issuer) has been properly accounted for on the securities depository’s records as the beneficial owner of such Bonds purchased with the proceeds (or portion thereof) of the Bond L/C, or (B) such Bonds have been delivered to the appropriate custodian and registered as directed by such L/C Issuer (or Administrative Agent, as assignee of such L/C Issuer), or (C) to the extent provided for in the applicable Bond L/C, such Bonds have been remarketed in accordance with the terms of the applicable Bond Documents and released by the applicable L/C Issuer;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the repurchased Bonds are not transferred to such L/C Issuer (or Administrative Agent, as assignee of such L/C Issuer) as required in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preceding, then the applicable L/C Issuer shall notify Administrative Agent (who shall subsequently notify Revolver Lenders) of such failure. Unless otherwise directed by Required Revolver Lenders, the applicable L/C Issuer shall then deliver notice to the applicable Trustee prior to the fifth Business Day after any such Bond Purchase Drawing that the amount of such drawing will not be reinstated.</w:t>
      </w:r>
    </w:p>
    <w:p>
      <w:pPr>
        <w:spacing w:after="0" w:line="200" w:lineRule="exact"/>
        <w:rPr>
          <w:rFonts w:ascii="Times New Roman" w:cs="Times New Roman" w:eastAsia="Times New Roman" w:hAnsi="Times New Roman"/>
          <w:sz w:val="19"/>
          <w:szCs w:val="19"/>
          <w:color w:val="auto"/>
        </w:rPr>
      </w:pPr>
    </w:p>
    <w:p>
      <w:pPr>
        <w:spacing w:after="0" w:line="206" w:lineRule="exact"/>
        <w:rPr>
          <w:rFonts w:ascii="Times New Roman" w:cs="Times New Roman" w:eastAsia="Times New Roman" w:hAnsi="Times New Roman"/>
          <w:sz w:val="19"/>
          <w:szCs w:val="19"/>
          <w:color w:val="auto"/>
        </w:rPr>
      </w:pPr>
    </w:p>
    <w:p>
      <w:pPr>
        <w:jc w:val="both"/>
        <w:ind w:left="160" w:firstLine="636"/>
        <w:spacing w:after="0" w:line="261" w:lineRule="auto"/>
        <w:tabs>
          <w:tab w:leader="none" w:pos="1319"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interest portion of any Bond L/C is drawn by the applicable Trustee to make scheduled interest payments on the outstanding principal amount of the Bonds, then the stated amount of such Bond L/C will be temporarily reduced by the amount of such drawing, subject to automatic reinstatement of the interest portion of such Bond L/C (whether or not reimbursement for any drawings thereunder has been received or the conditions set forth in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have been satisfied, and without further approval from Revolver Lenders) pursuant to the provisions of the applicable Bond L/C. Subject to compliance with </w:t>
      </w:r>
      <w:r>
        <w:rPr>
          <w:rFonts w:ascii="Times New Roman" w:cs="Times New Roman" w:eastAsia="Times New Roman" w:hAnsi="Times New Roman"/>
          <w:sz w:val="19"/>
          <w:szCs w:val="19"/>
          <w:b w:val="1"/>
          <w:bCs w:val="1"/>
          <w:i w:val="1"/>
          <w:iCs w:val="1"/>
          <w:color w:val="auto"/>
        </w:rPr>
        <w:t>Section 2.3(b)</w:t>
      </w:r>
      <w:r>
        <w:rPr>
          <w:rFonts w:ascii="Times New Roman" w:cs="Times New Roman" w:eastAsia="Times New Roman" w:hAnsi="Times New Roman"/>
          <w:sz w:val="19"/>
          <w:szCs w:val="19"/>
          <w:color w:val="auto"/>
        </w:rPr>
        <w:t xml:space="preserve"> herein, the stated amount of the related Bond L/C may be increased as required by the related Bond Documents (to reflect an increase in the maximum rate of interest or number of days of accrued interest covered by such Bond L/C or otherwise).</w:t>
      </w:r>
    </w:p>
    <w:p>
      <w:pPr>
        <w:spacing w:after="0" w:line="181" w:lineRule="exact"/>
        <w:rPr>
          <w:rFonts w:ascii="Times New Roman" w:cs="Times New Roman" w:eastAsia="Times New Roman" w:hAnsi="Times New Roman"/>
          <w:sz w:val="19"/>
          <w:szCs w:val="19"/>
          <w:color w:val="auto"/>
        </w:rPr>
      </w:pPr>
    </w:p>
    <w:p>
      <w:pPr>
        <w:jc w:val="both"/>
        <w:ind w:left="160" w:firstLine="636"/>
        <w:spacing w:after="0" w:line="261" w:lineRule="auto"/>
        <w:tabs>
          <w:tab w:leader="none" w:pos="1299"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liens and security interests securing reimbursement obligations and other obligations owed to the applicable L/C Issuer of any Bond L/C under the related Bond Documents (including, without limitation, any L/C Borrowing), any rights in and to any Bonds or other certificates of indebtedness issued to such L/C Issuer under the related Bond Documents, and any voting rights or other rights created in favor of such L/C Issuer under or pursuant to or in connection with any related Bond Documents (collectively, the “</w:t>
      </w:r>
      <w:r>
        <w:rPr>
          <w:rFonts w:ascii="Times New Roman" w:cs="Times New Roman" w:eastAsia="Times New Roman" w:hAnsi="Times New Roman"/>
          <w:sz w:val="19"/>
          <w:szCs w:val="19"/>
          <w:b w:val="1"/>
          <w:bCs w:val="1"/>
          <w:i w:val="1"/>
          <w:iCs w:val="1"/>
          <w:color w:val="auto"/>
        </w:rPr>
        <w:t>Bond Rights</w:t>
      </w:r>
      <w:r>
        <w:rPr>
          <w:rFonts w:ascii="Times New Roman" w:cs="Times New Roman" w:eastAsia="Times New Roman" w:hAnsi="Times New Roman"/>
          <w:sz w:val="19"/>
          <w:szCs w:val="19"/>
          <w:color w:val="auto"/>
        </w:rPr>
        <w:t>”), now or hereafter existing in favor of such L/C Issuer, are hereby assigned and conveyed by the applicable L/C Issuer to Administrative Agent for the ratable benefit of Revolver Lenders. Notwithstanding anything to the contrary set forth in any Bond L/C, any Bonds, or certificates of indebtedness purchased from the owner thereof by the applicable Trustee with funds received pursuant to a drawing under any Bond L/C shall be registered in the name of Administrative Agent and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53</w:t>
      </w:r>
    </w:p>
    <w:p>
      <w:pPr>
        <w:sectPr>
          <w:pgSz w:w="11900" w:h="16838" w:orient="portrait"/>
          <w:cols w:equalWidth="0" w:num="1">
            <w:col w:w="10120"/>
          </w:cols>
          <w:pgMar w:left="1440" w:top="1390" w:right="339" w:bottom="1440" w:gutter="0" w:footer="0" w:header="0"/>
        </w:sectPr>
      </w:pPr>
    </w:p>
    <w:bookmarkStart w:id="167" w:name="page168"/>
    <w:bookmarkEnd w:id="167"/>
    <w:p>
      <w:pPr>
        <w:jc w:val="both"/>
        <w:ind w:left="640"/>
        <w:spacing w:after="0" w:line="260" w:lineRule="auto"/>
        <w:rPr>
          <w:sz w:val="20"/>
          <w:szCs w:val="20"/>
          <w:color w:val="auto"/>
        </w:rPr>
      </w:pPr>
      <w:r>
        <w:rPr>
          <w:rFonts w:ascii="Times New Roman" w:cs="Times New Roman" w:eastAsia="Times New Roman" w:hAnsi="Times New Roman"/>
          <w:sz w:val="19"/>
          <w:szCs w:val="19"/>
          <w:color w:val="auto"/>
        </w:rPr>
        <w:t xml:space="preserve">delivered to or held by Administrative Agent or such other entity as may be specified by the applicable L/C Issuer and approved by Administrative Agent in a written instrument delivered to the applicable Trustee, for the benefit of the applicable L/C Issuer, Administrative Agent, and the other Revolver Lenders. Each L/C Issuer of a Bond L/C agrees to execute all such other assignments, conveyances, financing statements, and other documents required by Administrative Agent to effect the requirements of this </w:t>
      </w:r>
      <w:r>
        <w:rPr>
          <w:rFonts w:ascii="Times New Roman" w:cs="Times New Roman" w:eastAsia="Times New Roman" w:hAnsi="Times New Roman"/>
          <w:sz w:val="19"/>
          <w:szCs w:val="19"/>
          <w:b w:val="1"/>
          <w:bCs w:val="1"/>
          <w:i w:val="1"/>
          <w:iCs w:val="1"/>
          <w:color w:val="auto"/>
        </w:rPr>
        <w:t>Section 2.3(i)(iv)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Revolver Lenders, Administrative Agent, and such L/C Issuer agree that in the event any Bonds or certificates of indebtedness are issued to such L/C Issuer (or Administrative Agent as the assignee of such L/C Issuer) as a result of a drawing by the applicable Trustee under the Bond L/C for which such L/C Issuer is not immediately reimbursed, and subsequently the Bonds are remarketed and such L/C Issuer is reimbursed for all amounts so advanced (which reimbursement may be a repayment of any Revolver Loan disbursed by Revolver Lenders as payment of the related L/C reimbursement obligations under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color w:val="auto"/>
        </w:rPr>
        <w:t xml:space="preserve"> or a repayment of an L/C Borrowing), then any Bonds or certificates of indebtedness shall be released by Administrative Agent and delivered to such Trustee without any further authorization from Revolver Lenders or such L/C Issuer.</w:t>
      </w:r>
    </w:p>
    <w:p>
      <w:pPr>
        <w:spacing w:after="0" w:line="200" w:lineRule="exact"/>
        <w:rPr>
          <w:sz w:val="20"/>
          <w:szCs w:val="20"/>
          <w:color w:val="auto"/>
        </w:rPr>
      </w:pPr>
    </w:p>
    <w:p>
      <w:pPr>
        <w:spacing w:after="0" w:line="208" w:lineRule="exact"/>
        <w:rPr>
          <w:sz w:val="20"/>
          <w:szCs w:val="20"/>
          <w:color w:val="auto"/>
        </w:rPr>
      </w:pPr>
    </w:p>
    <w:p>
      <w:pPr>
        <w:jc w:val="both"/>
        <w:ind w:left="640" w:firstLine="636"/>
        <w:spacing w:after="0" w:line="270" w:lineRule="auto"/>
        <w:tabs>
          <w:tab w:leader="none" w:pos="1718"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Rights (including, without limitation, voting rights, rights to provide notice and elect remedies, and rights to approve waivers, consents, or amendments of the related Bond Documents) are created in favor of the L/C Issuers of any Bond L/C, such Rights (other than ministerial, non discretionary Rights) may only be exercised with the consent, or in accordance with the directions, of Required Revolver Lenders.</w:t>
      </w:r>
    </w:p>
    <w:p>
      <w:pPr>
        <w:spacing w:after="0" w:line="166" w:lineRule="exact"/>
        <w:rPr>
          <w:rFonts w:ascii="Times New Roman" w:cs="Times New Roman" w:eastAsia="Times New Roman" w:hAnsi="Times New Roman"/>
          <w:sz w:val="19"/>
          <w:szCs w:val="19"/>
          <w:color w:val="auto"/>
        </w:rPr>
      </w:pPr>
    </w:p>
    <w:p>
      <w:pPr>
        <w:jc w:val="both"/>
        <w:ind w:left="640" w:firstLine="636"/>
        <w:spacing w:after="0" w:line="276" w:lineRule="auto"/>
        <w:tabs>
          <w:tab w:leader="none" w:pos="1796"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of any conflict between the terms and provisions of this </w:t>
      </w:r>
      <w:r>
        <w:rPr>
          <w:rFonts w:ascii="Times New Roman" w:cs="Times New Roman" w:eastAsia="Times New Roman" w:hAnsi="Times New Roman"/>
          <w:sz w:val="19"/>
          <w:szCs w:val="19"/>
          <w:b w:val="1"/>
          <w:bCs w:val="1"/>
          <w:i w:val="1"/>
          <w:iCs w:val="1"/>
          <w:color w:val="auto"/>
        </w:rPr>
        <w:t>Section 2.3</w:t>
      </w:r>
      <w:r>
        <w:rPr>
          <w:rFonts w:ascii="Times New Roman" w:cs="Times New Roman" w:eastAsia="Times New Roman" w:hAnsi="Times New Roman"/>
          <w:sz w:val="19"/>
          <w:szCs w:val="19"/>
          <w:color w:val="auto"/>
        </w:rPr>
        <w:t xml:space="preserve"> relating to Bond L/Cs and the terms and provisions of any Loan Paper relating to L/Cs (other than Bond L/Cs), the terms and provisions of this </w:t>
      </w:r>
      <w:r>
        <w:rPr>
          <w:rFonts w:ascii="Times New Roman" w:cs="Times New Roman" w:eastAsia="Times New Roman" w:hAnsi="Times New Roman"/>
          <w:sz w:val="19"/>
          <w:szCs w:val="19"/>
          <w:b w:val="1"/>
          <w:bCs w:val="1"/>
          <w:i w:val="1"/>
          <w:iCs w:val="1"/>
          <w:color w:val="auto"/>
        </w:rPr>
        <w:t>Section 2.3</w:t>
      </w:r>
      <w:r>
        <w:rPr>
          <w:rFonts w:ascii="Times New Roman" w:cs="Times New Roman" w:eastAsia="Times New Roman" w:hAnsi="Times New Roman"/>
          <w:sz w:val="19"/>
          <w:szCs w:val="19"/>
          <w:color w:val="auto"/>
        </w:rPr>
        <w:t xml:space="preserve"> shall control.</w:t>
      </w:r>
    </w:p>
    <w:p>
      <w:pPr>
        <w:spacing w:after="0" w:line="148" w:lineRule="exact"/>
        <w:rPr>
          <w:rFonts w:ascii="Times New Roman" w:cs="Times New Roman" w:eastAsia="Times New Roman" w:hAnsi="Times New Roman"/>
          <w:sz w:val="19"/>
          <w:szCs w:val="19"/>
          <w:color w:val="auto"/>
        </w:rPr>
      </w:pPr>
    </w:p>
    <w:p>
      <w:pPr>
        <w:jc w:val="both"/>
        <w:ind w:firstLine="640"/>
        <w:spacing w:after="0" w:line="269" w:lineRule="auto"/>
        <w:tabs>
          <w:tab w:leader="none" w:pos="1015"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L/Cs Issued for Subsidiaries</w:t>
      </w:r>
      <w:r>
        <w:rPr>
          <w:rFonts w:ascii="Times New Roman" w:cs="Times New Roman" w:eastAsia="Times New Roman" w:hAnsi="Times New Roman"/>
          <w:sz w:val="19"/>
          <w:szCs w:val="19"/>
          <w:color w:val="auto"/>
        </w:rPr>
        <w:t>. Notwithstanding that an L/C issued or outstanding hereunder is in support of any obligations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or is for the account of, a Subsidiary of Borrower or a Metro District, Borrower shall be obligated to reimburse the applicable L/C Issuer hereunder for any and all drawings under such L/C. Borrower hereby acknowledges that the issuance of L/Cs for the account of Subsidiaries of Borrower or a Metro District inures to the benefit of Borrower, and that Borrower’s business derives substantial benefits from the businesses of such Subsidiaries.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color w:val="auto"/>
        </w:rPr>
        <w:t>2.5.</w:t>
      </w:r>
      <w:r>
        <w:rPr>
          <w:sz w:val="20"/>
          <w:szCs w:val="20"/>
          <w:color w:val="auto"/>
        </w:rPr>
        <w:tab/>
      </w:r>
      <w:r>
        <w:rPr>
          <w:rFonts w:ascii="Times New Roman" w:cs="Times New Roman" w:eastAsia="Times New Roman" w:hAnsi="Times New Roman"/>
          <w:sz w:val="19"/>
          <w:szCs w:val="19"/>
          <w:u w:val="single" w:color="auto"/>
          <w:color w:val="auto"/>
        </w:rPr>
        <w:t>Increase in Revolver Commitments; Incremental Term Loan Facility</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640"/>
        <w:spacing w:after="0" w:line="269" w:lineRule="auto"/>
        <w:tabs>
          <w:tab w:leader="none" w:pos="106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Request for Increase in Revolver Commitments or Incremental Term Loan Facility</w:t>
      </w:r>
      <w:r>
        <w:rPr>
          <w:rFonts w:ascii="Times New Roman" w:cs="Times New Roman" w:eastAsia="Times New Roman" w:hAnsi="Times New Roman"/>
          <w:sz w:val="19"/>
          <w:szCs w:val="19"/>
          <w:color w:val="auto"/>
        </w:rPr>
        <w:t>. Provided there exists no Default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Potential Default, upon notice to Administrative Agent (which shall promptly notify Lenders), Borrower may, from time to time, request either (i) an increase in the Revolver Commitments, or (ii) the addition of one or more new </w:t>
      </w:r>
      <w:r>
        <w:rPr>
          <w:rFonts w:ascii="Times New Roman" w:cs="Times New Roman" w:eastAsia="Times New Roman" w:hAnsi="Times New Roman"/>
          <w:sz w:val="19"/>
          <w:szCs w:val="19"/>
          <w:u w:val="single" w:color="auto"/>
          <w:color w:val="3051F2"/>
        </w:rPr>
        <w:t>term loan or delayed draw</w:t>
      </w:r>
      <w:r>
        <w:rPr>
          <w:rFonts w:ascii="Times New Roman" w:cs="Times New Roman" w:eastAsia="Times New Roman" w:hAnsi="Times New Roman"/>
          <w:sz w:val="19"/>
          <w:szCs w:val="19"/>
          <w:color w:val="auto"/>
        </w:rPr>
        <w:t xml:space="preserve"> term loan facilities under this Agreement (each, an “</w:t>
      </w:r>
      <w:r>
        <w:rPr>
          <w:rFonts w:ascii="Times New Roman" w:cs="Times New Roman" w:eastAsia="Times New Roman" w:hAnsi="Times New Roman"/>
          <w:sz w:val="19"/>
          <w:szCs w:val="19"/>
          <w:b w:val="1"/>
          <w:bCs w:val="1"/>
          <w:i w:val="1"/>
          <w:iCs w:val="1"/>
          <w:color w:val="auto"/>
        </w:rPr>
        <w:t>Incremental Term Loan Facility</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Incremental Term 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Facilities</w:t>
      </w:r>
      <w:r>
        <w:rPr>
          <w:rFonts w:ascii="Times New Roman" w:cs="Times New Roman" w:eastAsia="Times New Roman" w:hAnsi="Times New Roman"/>
          <w:sz w:val="19"/>
          <w:szCs w:val="19"/>
          <w:color w:val="auto"/>
        </w:rPr>
        <w:t>”), such that, after giving effect thereto, the sum of the Total Commitment and aggregate principal amount of loans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54</w:t>
      </w:r>
    </w:p>
    <w:p>
      <w:pPr>
        <w:sectPr>
          <w:pgSz w:w="11900" w:h="16838" w:orient="portrait"/>
          <w:cols w:equalWidth="0" w:num="1">
            <w:col w:w="10600"/>
          </w:cols>
          <w:pgMar w:left="960" w:top="1390" w:right="339" w:bottom="1440" w:gutter="0" w:footer="0" w:header="0"/>
        </w:sectPr>
      </w:pPr>
    </w:p>
    <w:bookmarkStart w:id="168" w:name="page169"/>
    <w:bookmarkEnd w:id="168"/>
    <w:p>
      <w:pPr>
        <w:jc w:val="both"/>
        <w:spacing w:after="0" w:line="275" w:lineRule="auto"/>
        <w:rPr>
          <w:sz w:val="20"/>
          <w:szCs w:val="20"/>
          <w:color w:val="auto"/>
        </w:rPr>
      </w:pPr>
      <w:r>
        <w:rPr>
          <w:rFonts w:ascii="Times New Roman" w:cs="Times New Roman" w:eastAsia="Times New Roman" w:hAnsi="Times New Roman"/>
          <w:sz w:val="19"/>
          <w:szCs w:val="19"/>
          <w:color w:val="auto"/>
        </w:rPr>
        <w:t xml:space="preserve">the Incremental Term Loan Facilities do not exceed the Maximum Facility Amount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the amount of Debt incurred and outstanding pursuant to </w:t>
      </w:r>
      <w:r>
        <w:rPr>
          <w:rFonts w:ascii="Times New Roman" w:cs="Times New Roman" w:eastAsia="Times New Roman" w:hAnsi="Times New Roman"/>
          <w:sz w:val="19"/>
          <w:szCs w:val="19"/>
          <w:b w:val="1"/>
          <w:bCs w:val="1"/>
          <w:i w:val="1"/>
          <w:iCs w:val="1"/>
          <w:color w:val="auto"/>
        </w:rPr>
        <w:t>clause (l)</w:t>
      </w:r>
      <w:r>
        <w:rPr>
          <w:rFonts w:ascii="Times New Roman" w:cs="Times New Roman" w:eastAsia="Times New Roman" w:hAnsi="Times New Roman"/>
          <w:sz w:val="19"/>
          <w:szCs w:val="19"/>
          <w:color w:val="auto"/>
        </w:rPr>
        <w:t xml:space="preserve"> of the definition of “</w:t>
      </w:r>
      <w:r>
        <w:rPr>
          <w:rFonts w:ascii="Times New Roman" w:cs="Times New Roman" w:eastAsia="Times New Roman" w:hAnsi="Times New Roman"/>
          <w:sz w:val="19"/>
          <w:szCs w:val="19"/>
          <w:i w:val="1"/>
          <w:iCs w:val="1"/>
          <w:color w:val="auto"/>
        </w:rPr>
        <w:t>Permitted Debt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any such request shall be in a minimum amount of $10,000,000, and greater integral multiples of $500,000 thereof.</w:t>
      </w:r>
    </w:p>
    <w:p>
      <w:pPr>
        <w:spacing w:after="0" w:line="162" w:lineRule="exact"/>
        <w:rPr>
          <w:sz w:val="20"/>
          <w:szCs w:val="20"/>
          <w:color w:val="auto"/>
        </w:rPr>
      </w:pPr>
    </w:p>
    <w:p>
      <w:pPr>
        <w:ind w:firstLine="640"/>
        <w:spacing w:after="0" w:line="290" w:lineRule="auto"/>
        <w:tabs>
          <w:tab w:leader="none" w:pos="1137"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Additional Lenders</w:t>
      </w:r>
      <w:r>
        <w:rPr>
          <w:rFonts w:ascii="Times New Roman" w:cs="Times New Roman" w:eastAsia="Times New Roman" w:hAnsi="Times New Roman"/>
          <w:sz w:val="19"/>
          <w:szCs w:val="19"/>
          <w:color w:val="auto"/>
        </w:rPr>
        <w:t>. To achieve the full amount of a requested increase and subject to the approval of Administrative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Agent and each L/C Issuer (which approvals shall not be unreasonably withheld), Borrower may:</w:t>
      </w:r>
    </w:p>
    <w:p>
      <w:pPr>
        <w:spacing w:after="0" w:line="152" w:lineRule="exact"/>
        <w:rPr>
          <w:rFonts w:ascii="Times New Roman" w:cs="Times New Roman" w:eastAsia="Times New Roman" w:hAnsi="Times New Roman"/>
          <w:sz w:val="19"/>
          <w:szCs w:val="19"/>
          <w:color w:val="auto"/>
        </w:rPr>
      </w:pPr>
    </w:p>
    <w:p>
      <w:pPr>
        <w:jc w:val="both"/>
        <w:ind w:left="640" w:firstLine="636"/>
        <w:spacing w:after="0" w:line="263" w:lineRule="auto"/>
        <w:tabs>
          <w:tab w:leader="none" w:pos="1663"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increase in the Revolver Commitments, (A) invite additional Eligible Assignees to become Revolver Lenders pursuant to an agreement in form and substance satisfactory to Administrative Agent and its counsel (each, a “</w:t>
      </w:r>
      <w:r>
        <w:rPr>
          <w:rFonts w:ascii="Times New Roman" w:cs="Times New Roman" w:eastAsia="Times New Roman" w:hAnsi="Times New Roman"/>
          <w:sz w:val="19"/>
          <w:szCs w:val="19"/>
          <w:b w:val="1"/>
          <w:bCs w:val="1"/>
          <w:i w:val="1"/>
          <w:iCs w:val="1"/>
          <w:color w:val="auto"/>
        </w:rPr>
        <w:t>Joinder Agreement</w:t>
      </w:r>
      <w:r>
        <w:rPr>
          <w:rFonts w:ascii="Times New Roman" w:cs="Times New Roman" w:eastAsia="Times New Roman" w:hAnsi="Times New Roman"/>
          <w:sz w:val="19"/>
          <w:szCs w:val="19"/>
          <w:color w:val="auto"/>
        </w:rPr>
        <w:t>”), and (B) request one or more Revolver Lenders to increase their respective Revolver Commitments hereunder, but each such Revolver Lender shall not be deemed to have agreed to increase its Revolver Commitment unless such Revolver Lender notifies Administrative Agent prior to any deadline specified by Borrower (in consultation with Administrative Agent) of its agreement to increase its Revolver Commitment and the amount of the increase of such Revolver Lender’s Revolver Commitment; and</w:t>
      </w:r>
    </w:p>
    <w:p>
      <w:pPr>
        <w:spacing w:after="0" w:line="167" w:lineRule="exact"/>
        <w:rPr>
          <w:rFonts w:ascii="Times New Roman" w:cs="Times New Roman" w:eastAsia="Times New Roman" w:hAnsi="Times New Roman"/>
          <w:sz w:val="19"/>
          <w:szCs w:val="19"/>
          <w:color w:val="auto"/>
        </w:rPr>
      </w:pPr>
    </w:p>
    <w:p>
      <w:pPr>
        <w:ind w:left="640" w:firstLine="636"/>
        <w:spacing w:after="0" w:line="300" w:lineRule="auto"/>
        <w:tabs>
          <w:tab w:leader="none" w:pos="1863"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the addition of any Incremental Term Loan Facility under this Agreement, invite Eligible Assignees or one or more Lenders to become lenders under such Incremental Term Loan Facility pursuant to </w:t>
      </w:r>
      <w:r>
        <w:rPr>
          <w:rFonts w:ascii="Times New Roman" w:cs="Times New Roman" w:eastAsia="Times New Roman" w:hAnsi="Times New Roman"/>
          <w:sz w:val="19"/>
          <w:szCs w:val="19"/>
          <w:b w:val="1"/>
          <w:bCs w:val="1"/>
          <w:i w:val="1"/>
          <w:iCs w:val="1"/>
          <w:color w:val="auto"/>
        </w:rPr>
        <w:t>clause (e)</w:t>
      </w:r>
      <w:r>
        <w:rPr>
          <w:rFonts w:ascii="Times New Roman" w:cs="Times New Roman" w:eastAsia="Times New Roman" w:hAnsi="Times New Roman"/>
          <w:sz w:val="19"/>
          <w:szCs w:val="19"/>
          <w:color w:val="auto"/>
        </w:rPr>
        <w:t xml:space="preserve"> below.</w:t>
      </w:r>
    </w:p>
    <w:p>
      <w:pPr>
        <w:spacing w:after="0" w:line="126" w:lineRule="exact"/>
        <w:rPr>
          <w:rFonts w:ascii="Times New Roman" w:cs="Times New Roman" w:eastAsia="Times New Roman" w:hAnsi="Times New Roman"/>
          <w:sz w:val="19"/>
          <w:szCs w:val="19"/>
          <w:color w:val="auto"/>
        </w:rPr>
      </w:pPr>
    </w:p>
    <w:p>
      <w:pPr>
        <w:jc w:val="both"/>
        <w:ind w:firstLine="640"/>
        <w:spacing w:after="0" w:line="269" w:lineRule="auto"/>
        <w:tabs>
          <w:tab w:leader="none" w:pos="114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Effective Date and Allocations</w:t>
      </w:r>
      <w:r>
        <w:rPr>
          <w:rFonts w:ascii="Times New Roman" w:cs="Times New Roman" w:eastAsia="Times New Roman" w:hAnsi="Times New Roman"/>
          <w:sz w:val="19"/>
          <w:szCs w:val="19"/>
          <w:color w:val="auto"/>
        </w:rPr>
        <w:t>. If the Revolver Commitments are increased or an Incremental Term Loan Facility 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added to this Agreement in accordance with this Section, then Administrative Agent and Borrower shall determine the effective date (the “</w:t>
      </w:r>
      <w:r>
        <w:rPr>
          <w:rFonts w:ascii="Times New Roman" w:cs="Times New Roman" w:eastAsia="Times New Roman" w:hAnsi="Times New Roman"/>
          <w:sz w:val="19"/>
          <w:szCs w:val="19"/>
          <w:b w:val="1"/>
          <w:bCs w:val="1"/>
          <w:i w:val="1"/>
          <w:iCs w:val="1"/>
          <w:color w:val="auto"/>
        </w:rPr>
        <w:t>Increase Effective Date</w:t>
      </w:r>
      <w:r>
        <w:rPr>
          <w:rFonts w:ascii="Times New Roman" w:cs="Times New Roman" w:eastAsia="Times New Roman" w:hAnsi="Times New Roman"/>
          <w:sz w:val="19"/>
          <w:szCs w:val="19"/>
          <w:color w:val="auto"/>
        </w:rPr>
        <w:t>”) and the final allocation thereof. Administrative Agent shall promptly notify Borrower, Lenders (including, without limitation, any Eligible Assignee becoming a Lender) and lenders under the Incremental Term Loan Facilities of the final allocation of such increase and the Increase Effective Date.</w:t>
      </w:r>
    </w:p>
    <w:p>
      <w:pPr>
        <w:spacing w:after="0" w:line="155" w:lineRule="exact"/>
        <w:rPr>
          <w:rFonts w:ascii="Times New Roman" w:cs="Times New Roman" w:eastAsia="Times New Roman" w:hAnsi="Times New Roman"/>
          <w:sz w:val="19"/>
          <w:szCs w:val="19"/>
          <w:color w:val="auto"/>
        </w:rPr>
      </w:pPr>
    </w:p>
    <w:p>
      <w:pPr>
        <w:ind w:firstLine="640"/>
        <w:spacing w:after="0" w:line="304" w:lineRule="auto"/>
        <w:tabs>
          <w:tab w:leader="none" w:pos="1164"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Conditions to Effectiveness of Increase in Revolver Commitments</w:t>
      </w:r>
      <w:r>
        <w:rPr>
          <w:rFonts w:ascii="Times New Roman" w:cs="Times New Roman" w:eastAsia="Times New Roman" w:hAnsi="Times New Roman"/>
          <w:sz w:val="19"/>
          <w:szCs w:val="19"/>
          <w:color w:val="auto"/>
        </w:rPr>
        <w:t>. As a condition precedent to any increase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Revolver Commitments, Borrower shall deliver to Administrative Agent:</w:t>
      </w:r>
    </w:p>
    <w:p>
      <w:pPr>
        <w:spacing w:after="0" w:line="127" w:lineRule="exact"/>
        <w:rPr>
          <w:rFonts w:ascii="Times New Roman" w:cs="Times New Roman" w:eastAsia="Times New Roman" w:hAnsi="Times New Roman"/>
          <w:sz w:val="19"/>
          <w:szCs w:val="19"/>
          <w:color w:val="auto"/>
        </w:rPr>
      </w:pPr>
    </w:p>
    <w:p>
      <w:pPr>
        <w:ind w:left="640" w:firstLine="636"/>
        <w:spacing w:after="0" w:line="300" w:lineRule="auto"/>
        <w:tabs>
          <w:tab w:leader="none" w:pos="1723"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Joinder Agreements executed by Borrower, Administrative Agent, and each Eligible Assignee becoming a new Revolver Lender hereunder pursuant to </w:t>
      </w:r>
      <w:r>
        <w:rPr>
          <w:rFonts w:ascii="Times New Roman" w:cs="Times New Roman" w:eastAsia="Times New Roman" w:hAnsi="Times New Roman"/>
          <w:sz w:val="19"/>
          <w:szCs w:val="19"/>
          <w:b w:val="1"/>
          <w:bCs w:val="1"/>
          <w:i w:val="1"/>
          <w:iCs w:val="1"/>
          <w:color w:val="auto"/>
        </w:rPr>
        <w:t>Section 2.5(c)</w:t>
      </w:r>
      <w:r>
        <w:rPr>
          <w:rFonts w:ascii="Times New Roman" w:cs="Times New Roman" w:eastAsia="Times New Roman" w:hAnsi="Times New Roman"/>
          <w:sz w:val="19"/>
          <w:szCs w:val="19"/>
          <w:color w:val="auto"/>
        </w:rPr>
        <w:t xml:space="preserve"> hereof, together with a completed Administrative Questionnaire;</w:t>
      </w:r>
    </w:p>
    <w:p>
      <w:pPr>
        <w:spacing w:after="0" w:line="143" w:lineRule="exact"/>
        <w:rPr>
          <w:rFonts w:ascii="Times New Roman" w:cs="Times New Roman" w:eastAsia="Times New Roman" w:hAnsi="Times New Roman"/>
          <w:sz w:val="19"/>
          <w:szCs w:val="19"/>
          <w:color w:val="auto"/>
        </w:rPr>
      </w:pPr>
    </w:p>
    <w:p>
      <w:pPr>
        <w:ind w:left="1700" w:hanging="424"/>
        <w:spacing w:after="0"/>
        <w:tabs>
          <w:tab w:leader="none" w:pos="1700"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Revolver Lender requesting a Note, a Note executed by Borrower; and</w:t>
      </w:r>
    </w:p>
    <w:p>
      <w:pPr>
        <w:spacing w:after="0" w:line="219" w:lineRule="exact"/>
        <w:rPr>
          <w:rFonts w:ascii="Times New Roman" w:cs="Times New Roman" w:eastAsia="Times New Roman" w:hAnsi="Times New Roman"/>
          <w:sz w:val="19"/>
          <w:szCs w:val="19"/>
          <w:color w:val="auto"/>
        </w:rPr>
      </w:pPr>
    </w:p>
    <w:p>
      <w:pPr>
        <w:jc w:val="both"/>
        <w:ind w:left="640" w:firstLine="636"/>
        <w:spacing w:after="0" w:line="268" w:lineRule="auto"/>
        <w:tabs>
          <w:tab w:leader="none" w:pos="1897"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of each Company dated as of the Increase Effective Date signed by a Responsible Officer of Borrower and each Guarantor (A) certifying and attaching the resolutions adopted by each such entity approving or consenting to such increase, and (B) in the case of Borrower, certifying that, before and after giving effect to such increase, (1) the representations and warranties contained in </w:t>
      </w:r>
      <w:r>
        <w:rPr>
          <w:rFonts w:ascii="Times New Roman" w:cs="Times New Roman" w:eastAsia="Times New Roman" w:hAnsi="Times New Roman"/>
          <w:sz w:val="19"/>
          <w:szCs w:val="19"/>
          <w:b w:val="1"/>
          <w:bCs w:val="1"/>
          <w:i w:val="1"/>
          <w:iCs w:val="1"/>
          <w:color w:val="auto"/>
        </w:rPr>
        <w:t>Section 8</w:t>
      </w:r>
      <w:r>
        <w:rPr>
          <w:rFonts w:ascii="Times New Roman" w:cs="Times New Roman" w:eastAsia="Times New Roman" w:hAnsi="Times New Roman"/>
          <w:sz w:val="19"/>
          <w:szCs w:val="19"/>
          <w:color w:val="auto"/>
        </w:rPr>
        <w:t xml:space="preserve"> and the other Loan Papers are true and correct on and as of the Increase Effective Date, except to the extent that such representations and warranties specifically refer to an earlier date,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55</w:t>
      </w:r>
    </w:p>
    <w:p>
      <w:pPr>
        <w:sectPr>
          <w:pgSz w:w="11900" w:h="16838" w:orient="portrait"/>
          <w:cols w:equalWidth="0" w:num="1">
            <w:col w:w="10600"/>
          </w:cols>
          <w:pgMar w:left="960" w:top="1388" w:right="339" w:bottom="1440" w:gutter="0" w:footer="0" w:header="0"/>
        </w:sectPr>
      </w:pPr>
    </w:p>
    <w:bookmarkStart w:id="169" w:name="page170"/>
    <w:bookmarkEnd w:id="169"/>
    <w:p>
      <w:pPr>
        <w:jc w:val="both"/>
        <w:ind w:left="1280"/>
        <w:spacing w:after="0" w:line="270" w:lineRule="auto"/>
        <w:rPr>
          <w:sz w:val="20"/>
          <w:szCs w:val="20"/>
          <w:color w:val="auto"/>
        </w:rPr>
      </w:pPr>
      <w:r>
        <w:rPr>
          <w:rFonts w:ascii="Times New Roman" w:cs="Times New Roman" w:eastAsia="Times New Roman" w:hAnsi="Times New Roman"/>
          <w:sz w:val="19"/>
          <w:szCs w:val="19"/>
          <w:color w:val="auto"/>
        </w:rPr>
        <w:t xml:space="preserve">which case they are true and correct as of such earlier date, and (2) no Default or Potential Default exists or would result therefrom. Borrower shall prepay any Loans outstanding on the Increase Effective Date (and pay any additional amounts required pursuant to </w:t>
      </w:r>
      <w:r>
        <w:rPr>
          <w:rFonts w:ascii="Times New Roman" w:cs="Times New Roman" w:eastAsia="Times New Roman" w:hAnsi="Times New Roman"/>
          <w:sz w:val="19"/>
          <w:szCs w:val="19"/>
          <w:b w:val="1"/>
          <w:bCs w:val="1"/>
          <w:i w:val="1"/>
          <w:iCs w:val="1"/>
          <w:color w:val="auto"/>
        </w:rPr>
        <w:t>Section 4.5</w:t>
      </w:r>
      <w:r>
        <w:rPr>
          <w:rFonts w:ascii="Times New Roman" w:cs="Times New Roman" w:eastAsia="Times New Roman" w:hAnsi="Times New Roman"/>
          <w:sz w:val="19"/>
          <w:szCs w:val="19"/>
          <w:color w:val="auto"/>
        </w:rPr>
        <w:t>) to the extent necessary to keep the outstanding Loans ratable with any revised Commitment Percentages arising from any non-ratable increase in the Commitments under this Section.</w:t>
      </w:r>
    </w:p>
    <w:p>
      <w:pPr>
        <w:spacing w:after="0" w:line="154" w:lineRule="exact"/>
        <w:rPr>
          <w:sz w:val="20"/>
          <w:szCs w:val="20"/>
          <w:color w:val="auto"/>
        </w:rPr>
      </w:pPr>
    </w:p>
    <w:p>
      <w:pPr>
        <w:ind w:left="640" w:firstLine="640"/>
        <w:spacing w:after="0" w:line="304" w:lineRule="auto"/>
        <w:tabs>
          <w:tab w:leader="none" w:pos="170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Conditions to Effectiveness of Addition of an Incremental Term Loan Facility</w:t>
      </w:r>
      <w:r>
        <w:rPr>
          <w:rFonts w:ascii="Times New Roman" w:cs="Times New Roman" w:eastAsia="Times New Roman" w:hAnsi="Times New Roman"/>
          <w:sz w:val="19"/>
          <w:szCs w:val="19"/>
          <w:color w:val="auto"/>
        </w:rPr>
        <w:t>. As a condition precedent to the addition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each Incremental Term Loan Facility, Borrower shall deliver to Administrative Agent:</w:t>
      </w:r>
    </w:p>
    <w:p>
      <w:pPr>
        <w:spacing w:after="0" w:line="140" w:lineRule="exact"/>
        <w:rPr>
          <w:rFonts w:ascii="Times New Roman" w:cs="Times New Roman" w:eastAsia="Times New Roman" w:hAnsi="Times New Roman"/>
          <w:sz w:val="19"/>
          <w:szCs w:val="19"/>
          <w:color w:val="auto"/>
        </w:rPr>
      </w:pPr>
    </w:p>
    <w:p>
      <w:pPr>
        <w:jc w:val="both"/>
        <w:ind w:left="1280" w:firstLine="636"/>
        <w:spacing w:after="0" w:line="264" w:lineRule="auto"/>
        <w:tabs>
          <w:tab w:leader="none" w:pos="2504"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amendment, in form and substance satisfactory to Administrative Agent and each lender under such Incremental Term Loan Facility, executed by Borrower, Administrative Agent and each lender under such Incremental Term Loan Facility, which shall include provisions relating to the maturity, pricing, and amortization of the term loan and voting rights of the lenders under such Incremental Term Loan Facility, and such other changes as Administrative Agent and the lenders under such Incremental Term Loan Facility shall deem necessary to effect the increase requested hereby;</w:t>
      </w:r>
    </w:p>
    <w:p>
      <w:pPr>
        <w:spacing w:after="0" w:line="177" w:lineRule="exact"/>
        <w:rPr>
          <w:rFonts w:ascii="Times New Roman" w:cs="Times New Roman" w:eastAsia="Times New Roman" w:hAnsi="Times New Roman"/>
          <w:sz w:val="19"/>
          <w:szCs w:val="19"/>
          <w:color w:val="auto"/>
        </w:rPr>
      </w:pPr>
    </w:p>
    <w:p>
      <w:pPr>
        <w:ind w:left="1280" w:firstLine="636"/>
        <w:spacing w:after="0" w:line="285" w:lineRule="auto"/>
        <w:tabs>
          <w:tab w:leader="none" w:pos="2497"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lender under such Incremental Term Loan Facility requesting a promissory note, such promissory note executed by Borrower;</w:t>
      </w:r>
    </w:p>
    <w:p>
      <w:pPr>
        <w:spacing w:after="0" w:line="157" w:lineRule="exact"/>
        <w:rPr>
          <w:rFonts w:ascii="Times New Roman" w:cs="Times New Roman" w:eastAsia="Times New Roman" w:hAnsi="Times New Roman"/>
          <w:sz w:val="19"/>
          <w:szCs w:val="19"/>
          <w:color w:val="auto"/>
        </w:rPr>
      </w:pPr>
    </w:p>
    <w:p>
      <w:pPr>
        <w:ind w:left="2400" w:hanging="484"/>
        <w:spacing w:after="0"/>
        <w:tabs>
          <w:tab w:leader="none" w:pos="2400"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completed Administrative Questionnaire from each lender under such Incremental Term Loan Facility; and</w:t>
      </w:r>
    </w:p>
    <w:p>
      <w:pPr>
        <w:spacing w:after="0" w:line="219" w:lineRule="exact"/>
        <w:rPr>
          <w:rFonts w:ascii="Times New Roman" w:cs="Times New Roman" w:eastAsia="Times New Roman" w:hAnsi="Times New Roman"/>
          <w:sz w:val="19"/>
          <w:szCs w:val="19"/>
          <w:color w:val="auto"/>
        </w:rPr>
      </w:pPr>
    </w:p>
    <w:p>
      <w:pPr>
        <w:jc w:val="both"/>
        <w:ind w:left="1280" w:firstLine="636"/>
        <w:spacing w:after="0" w:line="261" w:lineRule="auto"/>
        <w:tabs>
          <w:tab w:leader="none" w:pos="2528"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of each Company dated as of the Increase Effective Date signed by a Responsible Officer of Borrower and each Guarantor (A) certifying and attaching the resolutions adopted by each such entity approving or consenting to such increase, and (B) in the case of Borrower, certifying that, before and after giving effect to such increase, (1) the representations and warranties contained in </w:t>
      </w:r>
      <w:r>
        <w:rPr>
          <w:rFonts w:ascii="Times New Roman" w:cs="Times New Roman" w:eastAsia="Times New Roman" w:hAnsi="Times New Roman"/>
          <w:sz w:val="19"/>
          <w:szCs w:val="19"/>
          <w:b w:val="1"/>
          <w:bCs w:val="1"/>
          <w:i w:val="1"/>
          <w:iCs w:val="1"/>
          <w:color w:val="auto"/>
        </w:rPr>
        <w:t>Section 8</w:t>
      </w:r>
      <w:r>
        <w:rPr>
          <w:rFonts w:ascii="Times New Roman" w:cs="Times New Roman" w:eastAsia="Times New Roman" w:hAnsi="Times New Roman"/>
          <w:sz w:val="19"/>
          <w:szCs w:val="19"/>
          <w:color w:val="auto"/>
        </w:rPr>
        <w:t xml:space="preserve"> and the other Loan Papers are true and correct on and as of the Increase Effective Date, except to the extent that such representations and warranties specifically refer to an earlier date, in which case they are true and correct as of such earlier date (provided, that Borrower shall only be required to make certain representations and warranties with respect to any Incremental Term Loan Facility used to consummate an acquisition permitted under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10.11</w:t>
      </w:r>
      <w:r>
        <w:rPr>
          <w:rFonts w:ascii="Times New Roman" w:cs="Times New Roman" w:eastAsia="Times New Roman" w:hAnsi="Times New Roman"/>
          <w:sz w:val="19"/>
          <w:szCs w:val="19"/>
          <w:color w:val="auto"/>
        </w:rPr>
        <w:t>), and (2) no Default or Potential Default exists or would result therefrom.</w:t>
      </w:r>
    </w:p>
    <w:p>
      <w:pPr>
        <w:spacing w:after="0" w:line="177" w:lineRule="exact"/>
        <w:rPr>
          <w:rFonts w:ascii="Times New Roman" w:cs="Times New Roman" w:eastAsia="Times New Roman" w:hAnsi="Times New Roman"/>
          <w:sz w:val="19"/>
          <w:szCs w:val="19"/>
          <w:color w:val="auto"/>
        </w:rPr>
      </w:pPr>
    </w:p>
    <w:p>
      <w:pPr>
        <w:ind w:left="1660" w:hanging="380"/>
        <w:spacing w:after="0"/>
        <w:tabs>
          <w:tab w:leader="none" w:pos="166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Conflicting Provisions</w:t>
      </w:r>
      <w:r>
        <w:rPr>
          <w:rFonts w:ascii="Times New Roman" w:cs="Times New Roman" w:eastAsia="Times New Roman" w:hAnsi="Times New Roman"/>
          <w:sz w:val="19"/>
          <w:szCs w:val="19"/>
          <w:color w:val="auto"/>
        </w:rPr>
        <w:t>. This Section shall supersede any provisions in</w:t>
      </w:r>
      <w:r>
        <w:rPr>
          <w:rFonts w:ascii="Times New Roman" w:cs="Times New Roman" w:eastAsia="Times New Roman" w:hAnsi="Times New Roman"/>
          <w:sz w:val="19"/>
          <w:szCs w:val="19"/>
          <w:b w:val="1"/>
          <w:bCs w:val="1"/>
          <w:i w:val="1"/>
          <w:iCs w:val="1"/>
          <w:color w:val="auto"/>
        </w:rPr>
        <w:t xml:space="preserve"> Sections 3.12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i w:val="1"/>
          <w:iCs w:val="1"/>
          <w:color w:val="auto"/>
        </w:rPr>
        <w:t xml:space="preserve"> 15.9 </w:t>
      </w:r>
      <w:r>
        <w:rPr>
          <w:rFonts w:ascii="Times New Roman" w:cs="Times New Roman" w:eastAsia="Times New Roman" w:hAnsi="Times New Roman"/>
          <w:sz w:val="19"/>
          <w:szCs w:val="19"/>
          <w:color w:val="auto"/>
        </w:rPr>
        <w:t>to the contrary.</w:t>
      </w:r>
    </w:p>
    <w:p>
      <w:pPr>
        <w:spacing w:after="0" w:line="23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9"/>
          <w:szCs w:val="19"/>
          <w:b w:val="1"/>
          <w:bCs w:val="1"/>
          <w:u w:val="single" w:color="auto"/>
          <w:color w:val="auto"/>
        </w:rPr>
        <w:t>SECTION 3</w:t>
      </w:r>
      <w:r>
        <w:rPr>
          <w:sz w:val="20"/>
          <w:szCs w:val="20"/>
          <w:color w:val="auto"/>
        </w:rPr>
        <w:tab/>
      </w:r>
      <w:r>
        <w:rPr>
          <w:rFonts w:ascii="Times New Roman" w:cs="Times New Roman" w:eastAsia="Times New Roman" w:hAnsi="Times New Roman"/>
          <w:sz w:val="18"/>
          <w:szCs w:val="18"/>
          <w:b w:val="1"/>
          <w:bCs w:val="1"/>
          <w:u w:val="single" w:color="auto"/>
          <w:color w:val="auto"/>
        </w:rPr>
        <w:t>TERMS OF PAYMENT.</w:t>
      </w:r>
    </w:p>
    <w:p>
      <w:pPr>
        <w:spacing w:after="0" w:line="22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9"/>
          <w:szCs w:val="19"/>
          <w:u w:val="single" w:color="auto"/>
          <w:color w:val="auto"/>
        </w:rPr>
        <w:t>Notes and Payments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left="640" w:firstLine="640"/>
        <w:spacing w:after="0" w:line="270" w:lineRule="auto"/>
        <w:tabs>
          <w:tab w:leader="none" w:pos="1743"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Loans made by each Lender and any L/C Credit Extension shall be evidenced by one or more accounts or records maintained by such Lender and by Administrative Agent in the ordinary course of business. The accounts or records maintained by Administrative Agent and each Lender shall be conclusive absent manifest error of the amount of the Loans or L/C Credit Extension made by Lenders to Borrower and the interest and payments thereon.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1900" w:h="16838" w:orient="portrait"/>
          <w:cols w:equalWidth="0" w:num="1">
            <w:col w:w="11240"/>
          </w:cols>
          <w:pgMar w:left="320" w:top="1390" w:right="339" w:bottom="1440" w:gutter="0" w:footer="0" w:header="0"/>
        </w:sectPr>
      </w:pPr>
    </w:p>
    <w:bookmarkStart w:id="170" w:name="page171"/>
    <w:bookmarkEnd w:id="170"/>
    <w:p>
      <w:pPr>
        <w:jc w:val="both"/>
        <w:spacing w:after="0" w:line="263" w:lineRule="auto"/>
        <w:rPr>
          <w:sz w:val="20"/>
          <w:szCs w:val="20"/>
          <w:color w:val="auto"/>
        </w:rPr>
      </w:pPr>
      <w:r>
        <w:rPr>
          <w:rFonts w:ascii="Times New Roman" w:cs="Times New Roman" w:eastAsia="Times New Roman" w:hAnsi="Times New Roman"/>
          <w:sz w:val="19"/>
          <w:szCs w:val="19"/>
          <w:color w:val="auto"/>
        </w:rPr>
        <w:t>failure to so record or any error in doing so shall not, however, limit or otherwise affect the obligation of Borrower hereunder to pay any amount owing with respect to the Obligation. In the event of any conflict between the accounts and records maintained by any Lender and the accounts and records of Administrative Agent in respect of such matters, the accounts and records of Administrative Agent shall control in the absence of manifest error. Upon the request of any Lender made through Administrative Agent, Borrower shall promptly execute and deliver to such Lender (through Administrative Agent) a Note, which shall evidence such Lender’s Loans in addition to such account or records. Each Lender may attach schedules to its Note and endorse thereon the date, Type (if applicable), amount and maturity of its Loans and payments with respect thereto.</w:t>
      </w:r>
    </w:p>
    <w:p>
      <w:pPr>
        <w:spacing w:after="0" w:line="164" w:lineRule="exact"/>
        <w:rPr>
          <w:sz w:val="20"/>
          <w:szCs w:val="20"/>
          <w:color w:val="auto"/>
        </w:rPr>
      </w:pPr>
    </w:p>
    <w:p>
      <w:pPr>
        <w:jc w:val="both"/>
        <w:ind w:firstLine="640"/>
        <w:spacing w:after="0" w:line="269" w:lineRule="auto"/>
        <w:tabs>
          <w:tab w:leader="none" w:pos="1096"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the accounts and records referred to in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xml:space="preserve"> herein, each Revolver Lender and Administrative Agent shall maintain in accordance with its usual practice accounts or records evidencing the purchases and sales by such Revolver Lender of participations in L/Cs. In the event of any conflict between the accounts and records maintained by Administrative Agent and the accounts and records of any Revolver Lender in respect of such matters, the accounts and records of Administrative Agent shall control in the absence of manifest error.</w:t>
      </w:r>
    </w:p>
    <w:p>
      <w:pPr>
        <w:spacing w:after="0" w:line="159" w:lineRule="exact"/>
        <w:rPr>
          <w:rFonts w:ascii="Times New Roman" w:cs="Times New Roman" w:eastAsia="Times New Roman" w:hAnsi="Times New Roman"/>
          <w:sz w:val="19"/>
          <w:szCs w:val="19"/>
          <w:color w:val="auto"/>
        </w:rPr>
      </w:pPr>
    </w:p>
    <w:p>
      <w:pPr>
        <w:jc w:val="both"/>
        <w:ind w:firstLine="640"/>
        <w:spacing w:after="0" w:line="259" w:lineRule="auto"/>
        <w:tabs>
          <w:tab w:leader="none" w:pos="1145"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must make each payment on the Obligation, without condition or deduction for any counterclaim, defense, recoupment, or setoff. All payments except with respect to principal of and interest on Loans denominated in an Alternative Currency by Borrower hereunder shall be made in Dollars to Administrative Agent, for the account of the respective Lenders to which such payment is owed, at Administrative Agent’s principal office in Dallas, Texas, in funds that will be available for immediate use by Administrative Agent by 1:00 p.m. on the day due; otherwise, but subject to </w:t>
      </w:r>
      <w:r>
        <w:rPr>
          <w:rFonts w:ascii="Times New Roman" w:cs="Times New Roman" w:eastAsia="Times New Roman" w:hAnsi="Times New Roman"/>
          <w:sz w:val="19"/>
          <w:szCs w:val="19"/>
          <w:b w:val="1"/>
          <w:bCs w:val="1"/>
          <w:i w:val="1"/>
          <w:iCs w:val="1"/>
          <w:color w:val="auto"/>
        </w:rPr>
        <w:t>Section 3.8</w:t>
      </w:r>
      <w:r>
        <w:rPr>
          <w:rFonts w:ascii="Times New Roman" w:cs="Times New Roman" w:eastAsia="Times New Roman" w:hAnsi="Times New Roman"/>
          <w:sz w:val="19"/>
          <w:szCs w:val="19"/>
          <w:color w:val="auto"/>
        </w:rPr>
        <w:t xml:space="preserve">, those funds continue to accrue interest as if they were received on the next Business Day. All payments by Borrower with respect to principal of and interest on Loans denominated in an Alternative Currency must be made by the Applicable Time; otherwise, but subject to </w:t>
      </w:r>
      <w:r>
        <w:rPr>
          <w:rFonts w:ascii="Times New Roman" w:cs="Times New Roman" w:eastAsia="Times New Roman" w:hAnsi="Times New Roman"/>
          <w:sz w:val="19"/>
          <w:szCs w:val="19"/>
          <w:b w:val="1"/>
          <w:bCs w:val="1"/>
          <w:i w:val="1"/>
          <w:iCs w:val="1"/>
          <w:color w:val="auto"/>
        </w:rPr>
        <w:t>Section 3.8</w:t>
      </w:r>
      <w:r>
        <w:rPr>
          <w:rFonts w:ascii="Times New Roman" w:cs="Times New Roman" w:eastAsia="Times New Roman" w:hAnsi="Times New Roman"/>
          <w:sz w:val="19"/>
          <w:szCs w:val="19"/>
          <w:color w:val="auto"/>
        </w:rPr>
        <w:t>, those funds continue to accrue interest as if they are received on the next Business Day. Except as otherwise expressly provided herein, all payments by Borrower hereunder with respect to principal and interest on Loans denominated in an Alternative Currency shall be made to Administrative Agent, for the account of the respective Lenders to which such payment is owed, at the applicable Administrative Agent’s Office in such Alternative Currency and in Same Day Funds not later than the Applicable Time specified by Administrative Agent on the dates specified herein. If, for any reason, Borrower is prohibited by any Law from making any required payment hereunder in an Alternative Currency, Borrower shall make such payment in Dollars in the Dollar Equivalent of the Alternative Currency payment amount.</w:t>
      </w:r>
    </w:p>
    <w:p>
      <w:pPr>
        <w:spacing w:after="0" w:line="185"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Administrative Agent shall promptly distribute to each Lender its Commitment Percentage (or other payment share as provided herein) of such payment to which that Lender is entitled on the same day Administrative Agent receives the funds from Borrower if Administrative Agent receives the payment before 1:00 p.m., and otherwise before 1:00 p.m. on the following Business Day. If and to the extent that Administrative Agent does not make payments to Lenders when due, unpaid amounts shall accrue interest at the Federal Funds Rate from the due date until (but not including) the payment date.</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color w:val="auto"/>
        </w:rPr>
        <w:t>3.2.</w:t>
      </w:r>
      <w:r>
        <w:rPr>
          <w:sz w:val="20"/>
          <w:szCs w:val="20"/>
          <w:color w:val="auto"/>
        </w:rPr>
        <w:tab/>
      </w:r>
      <w:r>
        <w:rPr>
          <w:rFonts w:ascii="Times New Roman" w:cs="Times New Roman" w:eastAsia="Times New Roman" w:hAnsi="Times New Roman"/>
          <w:sz w:val="19"/>
          <w:szCs w:val="19"/>
          <w:u w:val="single" w:color="auto"/>
          <w:color w:val="auto"/>
        </w:rPr>
        <w:t xml:space="preserve">Interest and Principal Payments; Prepayments; </w:t>
      </w:r>
      <w:r>
        <w:rPr>
          <w:rFonts w:ascii="Times New Roman" w:cs="Times New Roman" w:eastAsia="Times New Roman" w:hAnsi="Times New Roman"/>
          <w:sz w:val="19"/>
          <w:szCs w:val="19"/>
          <w:u w:val="single" w:color="auto"/>
          <w:color w:val="EE2724"/>
          <w:strike w:val="1"/>
        </w:rPr>
        <w:t>Voluntary</w:t>
      </w:r>
      <w:r>
        <w:rPr>
          <w:rFonts w:ascii="Times New Roman" w:cs="Times New Roman" w:eastAsia="Times New Roman" w:hAnsi="Times New Roman"/>
          <w:sz w:val="19"/>
          <w:szCs w:val="19"/>
          <w:u w:val="single" w:color="auto"/>
          <w:color w:val="auto"/>
        </w:rPr>
        <w:t xml:space="preserve"> Commitment Reductions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57</w:t>
      </w:r>
    </w:p>
    <w:p>
      <w:pPr>
        <w:sectPr>
          <w:pgSz w:w="11900" w:h="16838" w:orient="portrait"/>
          <w:cols w:equalWidth="0" w:num="1">
            <w:col w:w="10600"/>
          </w:cols>
          <w:pgMar w:left="960" w:top="1390" w:right="339" w:bottom="1440" w:gutter="0" w:footer="0" w:header="0"/>
        </w:sectPr>
      </w:pPr>
    </w:p>
    <w:bookmarkStart w:id="171" w:name="page172"/>
    <w:bookmarkEnd w:id="171"/>
    <w:p>
      <w:pPr>
        <w:jc w:val="both"/>
        <w:ind w:firstLine="640"/>
        <w:spacing w:after="0" w:line="264" w:lineRule="auto"/>
        <w:tabs>
          <w:tab w:leader="none" w:pos="1066"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Accrued interest on each Revolver Loan</w:t>
      </w:r>
      <w:r>
        <w:rPr>
          <w:rFonts w:ascii="Times New Roman" w:cs="Times New Roman" w:eastAsia="Times New Roman" w:hAnsi="Times New Roman"/>
          <w:sz w:val="19"/>
          <w:szCs w:val="19"/>
          <w:u w:val="single" w:color="auto"/>
          <w:color w:val="3051F2"/>
        </w:rPr>
        <w:t>, Term Loan</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 that is a Term Reference Rate Loan is due and payable on the last day of its Interest Period and on the Termination Date. If any Interest Period with respect to a Revolver Loan</w:t>
      </w:r>
      <w:r>
        <w:rPr>
          <w:rFonts w:ascii="Times New Roman" w:cs="Times New Roman" w:eastAsia="Times New Roman" w:hAnsi="Times New Roman"/>
          <w:sz w:val="19"/>
          <w:szCs w:val="19"/>
          <w:u w:val="single" w:color="auto"/>
          <w:color w:val="3051F2"/>
        </w:rPr>
        <w:t>, Term Loan</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 that is a Term Reference Rate Loan is a period greater than three months, then accrued interest is also due and payable on the date three months after the commencement of the Interest Period. Accrued interest on each Base Rate Loan is due and payable on each Quarterly Date and on the Termination Date. Accrued interest on each Daily SOFR Rate Loan is due and payable on the last day of each calendar month and on the Termination Date</w:t>
      </w:r>
    </w:p>
    <w:p>
      <w:pPr>
        <w:spacing w:after="0" w:line="176" w:lineRule="exact"/>
        <w:rPr>
          <w:rFonts w:ascii="Times New Roman" w:cs="Times New Roman" w:eastAsia="Times New Roman" w:hAnsi="Times New Roman"/>
          <w:sz w:val="19"/>
          <w:szCs w:val="19"/>
          <w:color w:val="auto"/>
        </w:rPr>
      </w:pPr>
    </w:p>
    <w:p>
      <w:pPr>
        <w:ind w:left="1060" w:hanging="420"/>
        <w:spacing w:after="0"/>
        <w:tabs>
          <w:tab w:leader="none" w:pos="106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Revolver Principal Debt is due and payable on the Termination Date for the Revolver Facility.</w:t>
      </w:r>
    </w:p>
    <w:p>
      <w:pPr>
        <w:spacing w:after="0" w:line="219" w:lineRule="exact"/>
        <w:rPr>
          <w:rFonts w:ascii="Times New Roman" w:cs="Times New Roman" w:eastAsia="Times New Roman" w:hAnsi="Times New Roman"/>
          <w:sz w:val="19"/>
          <w:szCs w:val="19"/>
          <w:color w:val="auto"/>
        </w:rPr>
      </w:pPr>
    </w:p>
    <w:p>
      <w:pPr>
        <w:jc w:val="both"/>
        <w:ind w:firstLine="640"/>
        <w:spacing w:after="0" w:line="270" w:lineRule="auto"/>
        <w:tabs>
          <w:tab w:leader="none" w:pos="1061"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Loan Principal Debt is due and payable in equal quarterly installments, such that five percent (5%) of the Term Loan Principal Debt outstanding on the Closing Date is repaid in each consecutive period of four (4) Quarterly Dates, with the first such payment due on April 30, 2024, and continuing on each consecutive Quarterly Date thereafter. A final payment is due on the Termination Date for the Term Loan Facility in an amount equal to all Term Loan Principal Debt then outstanding.</w:t>
      </w:r>
    </w:p>
    <w:p>
      <w:pPr>
        <w:spacing w:after="0" w:line="170" w:lineRule="exact"/>
        <w:rPr>
          <w:rFonts w:ascii="Times New Roman" w:cs="Times New Roman" w:eastAsia="Times New Roman" w:hAnsi="Times New Roman"/>
          <w:sz w:val="19"/>
          <w:szCs w:val="19"/>
          <w:color w:val="auto"/>
        </w:rPr>
      </w:pPr>
    </w:p>
    <w:p>
      <w:pPr>
        <w:jc w:val="both"/>
        <w:ind w:firstLine="640"/>
        <w:spacing w:after="0" w:line="261" w:lineRule="auto"/>
        <w:tabs>
          <w:tab w:leader="none" w:pos="1111" w:val="left"/>
        </w:tabs>
        <w:numPr>
          <w:ilvl w:val="0"/>
          <w:numId w:val="128"/>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u w:val="single" w:color="auto"/>
          <w:color w:val="3051F2"/>
        </w:rPr>
        <w:t xml:space="preserve">The Delayed Draw Term Loan Principal Debt is due and payable in equal quarterly installments, such that five percent (5%) of the Delayed Draw Term Loan Principal Debt outstanding on the last day of the Delayed Draw Term Loan Availability Period is repaid in each consecutive period of four (4) Quarterly Dates, with the first such payment due on the first Quarterly Date to occur following the first full fiscal quarter of the Companies ending after the Delayed Draw Term Loan Borrowing, and continuing on each consecutive Quarterly Date thereafter. A final payment is due on the Termination Date for the Delayed Draw Term Loan Facility in an amount equal to all Delayed Draw Term Loan Principal Debt then outstanding. The Delayed Draw Term Loan Commitments shall be automatically and permanently reduced to zero on the earlier of the last day of the Delayed Draw Term Loan Availability Period or the date of the Delayed Draw Term Loan Borrowing pursuant to </w:t>
      </w:r>
      <w:r>
        <w:rPr>
          <w:rFonts w:ascii="Times New Roman" w:cs="Times New Roman" w:eastAsia="Times New Roman" w:hAnsi="Times New Roman"/>
          <w:sz w:val="19"/>
          <w:szCs w:val="19"/>
          <w:b w:val="1"/>
          <w:bCs w:val="1"/>
          <w:i w:val="1"/>
          <w:iCs w:val="1"/>
          <w:u w:val="single" w:color="auto"/>
          <w:color w:val="3051F2"/>
        </w:rPr>
        <w:t>Section 2.1(c)</w:t>
      </w:r>
      <w:r>
        <w:rPr>
          <w:rFonts w:ascii="Times New Roman" w:cs="Times New Roman" w:eastAsia="Times New Roman" w:hAnsi="Times New Roman"/>
          <w:sz w:val="19"/>
          <w:szCs w:val="19"/>
          <w:u w:val="single" w:color="auto"/>
          <w:color w:val="3051F2"/>
        </w:rPr>
        <w:t>.</w:t>
      </w:r>
    </w:p>
    <w:p>
      <w:pPr>
        <w:spacing w:after="0" w:line="169"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EE2724"/>
          <w:strike w:val="1"/>
        </w:rPr>
        <w:t>d</w:t>
      </w:r>
      <w:r>
        <w:rPr>
          <w:rFonts w:ascii="Times New Roman" w:cs="Times New Roman" w:eastAsia="Times New Roman" w:hAnsi="Times New Roman"/>
          <w:sz w:val="19"/>
          <w:szCs w:val="19"/>
          <w:u w:val="single" w:color="auto"/>
          <w:color w:val="3051F2"/>
        </w:rPr>
        <w:t>e</w:t>
      </w:r>
      <w:r>
        <w:rPr>
          <w:rFonts w:ascii="Times New Roman" w:cs="Times New Roman" w:eastAsia="Times New Roman" w:hAnsi="Times New Roman"/>
          <w:sz w:val="19"/>
          <w:szCs w:val="19"/>
          <w:color w:val="auto"/>
        </w:rPr>
        <w:t xml:space="preserve">) If the Revolver Commitment Usage ever exceeds the Revolver Commitment, then Borrower shall immediately prepay Revolver Loans and/or Cash Collateralize the L/C Exposure in an aggregate amount equal to such excess;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Borrower shall not be required to Cash Collateralize the L/C Exposure pursuant to this </w:t>
      </w:r>
      <w:r>
        <w:rPr>
          <w:rFonts w:ascii="Times New Roman" w:cs="Times New Roman" w:eastAsia="Times New Roman" w:hAnsi="Times New Roman"/>
          <w:sz w:val="19"/>
          <w:szCs w:val="19"/>
          <w:b w:val="1"/>
          <w:bCs w:val="1"/>
          <w:i w:val="1"/>
          <w:iCs w:val="1"/>
          <w:color w:val="auto"/>
        </w:rPr>
        <w:t>Section 3.2(</w:t>
      </w:r>
      <w:r>
        <w:rPr>
          <w:rFonts w:ascii="Times New Roman" w:cs="Times New Roman" w:eastAsia="Times New Roman" w:hAnsi="Times New Roman"/>
          <w:sz w:val="19"/>
          <w:szCs w:val="19"/>
          <w:b w:val="1"/>
          <w:bCs w:val="1"/>
          <w:i w:val="1"/>
          <w:iCs w:val="1"/>
          <w:color w:val="EE2724"/>
          <w:strike w:val="1"/>
        </w:rPr>
        <w:t>d</w:t>
      </w:r>
      <w:r>
        <w:rPr>
          <w:rFonts w:ascii="Times New Roman" w:cs="Times New Roman" w:eastAsia="Times New Roman" w:hAnsi="Times New Roman"/>
          <w:sz w:val="19"/>
          <w:szCs w:val="19"/>
          <w:b w:val="1"/>
          <w:bCs w:val="1"/>
          <w:i w:val="1"/>
          <w:iCs w:val="1"/>
          <w:u w:val="single" w:color="auto"/>
          <w:color w:val="3051F2"/>
        </w:rPr>
        <w:t>e</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xml:space="preserve"> unless, after prepayment in full of the Revolver Loans, the Revolver Commitment Usage exceeds the Revolver Commitment then in effect.</w:t>
      </w:r>
    </w:p>
    <w:p>
      <w:pPr>
        <w:spacing w:after="0" w:line="171"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EE2724"/>
          <w:strike w:val="1"/>
        </w:rPr>
        <w:t>e</w:t>
      </w:r>
      <w:r>
        <w:rPr>
          <w:rFonts w:ascii="Times New Roman" w:cs="Times New Roman" w:eastAsia="Times New Roman" w:hAnsi="Times New Roman"/>
          <w:sz w:val="19"/>
          <w:szCs w:val="19"/>
          <w:u w:val="single" w:color="auto"/>
          <w:color w:val="3051F2"/>
        </w:rPr>
        <w:t>f</w:t>
      </w:r>
      <w:r>
        <w:rPr>
          <w:rFonts w:ascii="Times New Roman" w:cs="Times New Roman" w:eastAsia="Times New Roman" w:hAnsi="Times New Roman"/>
          <w:sz w:val="19"/>
          <w:szCs w:val="19"/>
          <w:color w:val="auto"/>
        </w:rPr>
        <w:t>) Without premium or penalty and upon giving at least two Business Days prior written and irrevocable notice to Administrative Agent (who shall promptly notify Revolver Lenders of its receipt of such notice and its contents), Borrower may terminate all or reduce part of the unused portion of the Revolver Commitment. Each partial reduction (unless the remaining portion of such commitment is less) must be in an amount of not less than $5,000,000 or a greater integral multiple of $1,000,000, and shall be ratable among all Revolver Lenders according to their respective Commitment Percentages. Once terminated or reduced, such commitments may not be reinstated or increased. Borrower shall not terminate or reduce the Revolver Commitment if, after giving effect thereto and to any concurrent prepayments hereunder, the Revolver Commitment Usage would exceed the Revolver Commitment. If, after giving effect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58</w:t>
      </w:r>
    </w:p>
    <w:p>
      <w:pPr>
        <w:sectPr>
          <w:pgSz w:w="11900" w:h="16838" w:orient="portrait"/>
          <w:cols w:equalWidth="0" w:num="1">
            <w:col w:w="10600"/>
          </w:cols>
          <w:pgMar w:left="960" w:top="1390" w:right="339" w:bottom="1440" w:gutter="0" w:footer="0" w:header="0"/>
        </w:sectPr>
      </w:pPr>
    </w:p>
    <w:bookmarkStart w:id="172" w:name="page173"/>
    <w:bookmarkEnd w:id="172"/>
    <w:p>
      <w:pPr>
        <w:jc w:val="both"/>
        <w:ind w:left="640"/>
        <w:spacing w:after="0" w:line="274" w:lineRule="auto"/>
        <w:rPr>
          <w:sz w:val="20"/>
          <w:szCs w:val="20"/>
          <w:color w:val="auto"/>
        </w:rPr>
      </w:pPr>
      <w:r>
        <w:rPr>
          <w:rFonts w:ascii="Times New Roman" w:cs="Times New Roman" w:eastAsia="Times New Roman" w:hAnsi="Times New Roman"/>
          <w:sz w:val="19"/>
          <w:szCs w:val="19"/>
          <w:color w:val="auto"/>
        </w:rPr>
        <w:t>reduction of the Revolver Commitment or the L/C Sublimit exceeds the amount of the Revolver Commitment, such sublimits shall be automatically reduced by the amount of such excess. Administrative Agent will promptly notify Revolver Lenders of any such notice of termination or reduction of the Revolver Commitment.</w:t>
      </w:r>
    </w:p>
    <w:p>
      <w:pPr>
        <w:spacing w:after="0" w:line="167" w:lineRule="exact"/>
        <w:rPr>
          <w:sz w:val="20"/>
          <w:szCs w:val="20"/>
          <w:color w:val="auto"/>
        </w:rPr>
      </w:pPr>
    </w:p>
    <w:p>
      <w:pPr>
        <w:ind w:left="1280"/>
        <w:spacing w:after="0"/>
        <w:tabs>
          <w:tab w:leader="none" w:pos="1820" w:val="left"/>
        </w:tabs>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EE2724"/>
          <w:strike w:val="1"/>
        </w:rPr>
        <w:t>f</w:t>
      </w:r>
      <w:r>
        <w:rPr>
          <w:rFonts w:ascii="Times New Roman" w:cs="Times New Roman" w:eastAsia="Times New Roman" w:hAnsi="Times New Roman"/>
          <w:sz w:val="19"/>
          <w:szCs w:val="19"/>
          <w:u w:val="single" w:color="auto"/>
          <w:color w:val="3051F2"/>
        </w:rPr>
        <w:t>g</w:t>
      </w:r>
      <w:r>
        <w:rPr>
          <w:rFonts w:ascii="Times New Roman" w:cs="Times New Roman" w:eastAsia="Times New Roman" w:hAnsi="Times New Roman"/>
          <w:sz w:val="19"/>
          <w:szCs w:val="19"/>
          <w:color w:val="auto"/>
        </w:rPr>
        <w:t>)</w:t>
        <w:tab/>
        <w:t>Borrower may voluntarily prepay all or any part of the Revolver Principal Debt</w:t>
      </w:r>
      <w:r>
        <w:rPr>
          <w:rFonts w:ascii="Times New Roman" w:cs="Times New Roman" w:eastAsia="Times New Roman" w:hAnsi="Times New Roman"/>
          <w:sz w:val="19"/>
          <w:szCs w:val="19"/>
          <w:u w:val="single" w:color="auto"/>
          <w:color w:val="3051F2"/>
        </w:rPr>
        <w:t>, the Term Loan Principal Debt</w:t>
      </w:r>
      <w:r>
        <w:rPr>
          <w:rFonts w:ascii="Times New Roman" w:cs="Times New Roman" w:eastAsia="Times New Roman" w:hAnsi="Times New Roman"/>
          <w:sz w:val="19"/>
          <w:szCs w:val="19"/>
          <w:color w:val="auto"/>
        </w:rPr>
        <w:t xml:space="preserve"> or the</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Term Loan Principal Debt at any time without premium or penalty, subject to the following conditions:</w:t>
      </w:r>
    </w:p>
    <w:p>
      <w:pPr>
        <w:spacing w:after="0" w:line="211" w:lineRule="exact"/>
        <w:rPr>
          <w:sz w:val="20"/>
          <w:szCs w:val="20"/>
          <w:color w:val="auto"/>
        </w:rPr>
      </w:pPr>
    </w:p>
    <w:p>
      <w:pPr>
        <w:jc w:val="both"/>
        <w:ind w:left="1280" w:firstLine="636"/>
        <w:spacing w:after="0" w:line="264" w:lineRule="auto"/>
        <w:tabs>
          <w:tab w:leader="none" w:pos="2362"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Administrative Agent must receive Borrower’s written payment notice (which must be in a form acceptable to Administrative Agent and which shall specify (1) the payment date, and (2) the Type and amount of the Loan(s) to be paid; such notice shall constitute an irrevocable and binding obligation of Borrower to make a payment on the designated date) by 11:00 a.m. on (x) the third Business Day preceding the date of payment of a Revolver Loan</w:t>
      </w:r>
      <w:r>
        <w:rPr>
          <w:rFonts w:ascii="Times New Roman" w:cs="Times New Roman" w:eastAsia="Times New Roman" w:hAnsi="Times New Roman"/>
          <w:sz w:val="19"/>
          <w:szCs w:val="19"/>
          <w:u w:val="single" w:color="auto"/>
          <w:color w:val="3051F2"/>
        </w:rPr>
        <w:t>, a Delayed Draw Term Loan</w:t>
      </w:r>
      <w:r>
        <w:rPr>
          <w:rFonts w:ascii="Times New Roman" w:cs="Times New Roman" w:eastAsia="Times New Roman" w:hAnsi="Times New Roman"/>
          <w:sz w:val="19"/>
          <w:szCs w:val="19"/>
          <w:color w:val="auto"/>
        </w:rPr>
        <w:t xml:space="preserve"> or a Term Loan that is a Term Reference Rate Loan, and (y) the date of payment of a Daily SOFR Rate Loan or Base Rate Loan;</w:t>
      </w:r>
    </w:p>
    <w:p>
      <w:pPr>
        <w:spacing w:after="0" w:line="177" w:lineRule="exact"/>
        <w:rPr>
          <w:rFonts w:ascii="Times New Roman" w:cs="Times New Roman" w:eastAsia="Times New Roman" w:hAnsi="Times New Roman"/>
          <w:sz w:val="19"/>
          <w:szCs w:val="19"/>
          <w:color w:val="auto"/>
        </w:rPr>
      </w:pPr>
    </w:p>
    <w:p>
      <w:pPr>
        <w:jc w:val="both"/>
        <w:ind w:left="1280" w:firstLine="636"/>
        <w:spacing w:after="0" w:line="274" w:lineRule="auto"/>
        <w:tabs>
          <w:tab w:leader="none" w:pos="2355"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partial payment must be in a minimum amount of at least $500,000 if a Daily SOFR Rate Loan or Base Rate Loan or $1,000,000 if a Revolver Loan</w:t>
      </w:r>
      <w:r>
        <w:rPr>
          <w:rFonts w:ascii="Times New Roman" w:cs="Times New Roman" w:eastAsia="Times New Roman" w:hAnsi="Times New Roman"/>
          <w:sz w:val="19"/>
          <w:szCs w:val="19"/>
          <w:u w:val="single" w:color="auto"/>
          <w:color w:val="3051F2"/>
        </w:rPr>
        <w:t>, a Delayed Draw Term Loan</w:t>
      </w:r>
      <w:r>
        <w:rPr>
          <w:rFonts w:ascii="Times New Roman" w:cs="Times New Roman" w:eastAsia="Times New Roman" w:hAnsi="Times New Roman"/>
          <w:sz w:val="19"/>
          <w:szCs w:val="19"/>
          <w:color w:val="auto"/>
        </w:rPr>
        <w:t xml:space="preserve"> or a Term Loan that is a Term Reference Rate Loan or, in either case, a greater integral multiple of $100,000;</w:t>
      </w:r>
    </w:p>
    <w:p>
      <w:pPr>
        <w:spacing w:after="0" w:line="167" w:lineRule="exact"/>
        <w:rPr>
          <w:rFonts w:ascii="Times New Roman" w:cs="Times New Roman" w:eastAsia="Times New Roman" w:hAnsi="Times New Roman"/>
          <w:sz w:val="19"/>
          <w:szCs w:val="19"/>
          <w:color w:val="auto"/>
        </w:rPr>
      </w:pPr>
    </w:p>
    <w:p>
      <w:pPr>
        <w:ind w:left="2400" w:hanging="484"/>
        <w:spacing w:after="0"/>
        <w:tabs>
          <w:tab w:leader="none" w:pos="240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accrued interest on the principal amount so to be prepaid must also be paid in full on the date of payment;</w:t>
      </w:r>
    </w:p>
    <w:p>
      <w:pPr>
        <w:spacing w:after="0" w:line="219" w:lineRule="exact"/>
        <w:rPr>
          <w:rFonts w:ascii="Times New Roman" w:cs="Times New Roman" w:eastAsia="Times New Roman" w:hAnsi="Times New Roman"/>
          <w:sz w:val="19"/>
          <w:szCs w:val="19"/>
          <w:color w:val="auto"/>
        </w:rPr>
      </w:pPr>
    </w:p>
    <w:p>
      <w:pPr>
        <w:ind w:left="2400" w:hanging="484"/>
        <w:spacing w:after="0"/>
        <w:tabs>
          <w:tab w:leader="none" w:pos="240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shall pay any related Funding Loss upon demand; and</w:t>
      </w:r>
    </w:p>
    <w:p>
      <w:pPr>
        <w:spacing w:after="0" w:line="232" w:lineRule="exact"/>
        <w:rPr>
          <w:rFonts w:ascii="Times New Roman" w:cs="Times New Roman" w:eastAsia="Times New Roman" w:hAnsi="Times New Roman"/>
          <w:sz w:val="19"/>
          <w:szCs w:val="19"/>
          <w:color w:val="auto"/>
        </w:rPr>
      </w:pPr>
    </w:p>
    <w:p>
      <w:pPr>
        <w:jc w:val="both"/>
        <w:ind w:left="1280" w:firstLine="636"/>
        <w:spacing w:after="0" w:line="274" w:lineRule="auto"/>
        <w:tabs>
          <w:tab w:leader="none" w:pos="2437"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a Default or Potential Default has occurred and is continuing (or would arise as a result thereof), any prepayment of the Revolver Principal Debt may be reborrowed by Borrower, subject to the terms and conditions of the Loan Papers.</w:t>
      </w:r>
    </w:p>
    <w:p>
      <w:pPr>
        <w:spacing w:after="0" w:line="16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Administrative Agent will promptly notify each Lender of its receipt of a payment notice from Borrower, and of the amount of such Lender’s Commitment Percentage of such prepayment.</w:t>
      </w:r>
    </w:p>
    <w:p>
      <w:pPr>
        <w:spacing w:after="0" w:line="158"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u w:val="single" w:color="auto"/>
          <w:color w:val="auto"/>
        </w:rPr>
        <w:t>Interest Options</w:t>
      </w:r>
      <w:r>
        <w:rPr>
          <w:rFonts w:ascii="Times New Roman" w:cs="Times New Roman" w:eastAsia="Times New Roman" w:hAnsi="Times New Roman"/>
          <w:sz w:val="19"/>
          <w:szCs w:val="19"/>
          <w:color w:val="auto"/>
        </w:rPr>
        <w:t>. Except where specifically otherwise provided, Revolver Loans</w:t>
      </w:r>
      <w:r>
        <w:rPr>
          <w:rFonts w:ascii="Times New Roman" w:cs="Times New Roman" w:eastAsia="Times New Roman" w:hAnsi="Times New Roman"/>
          <w:sz w:val="19"/>
          <w:szCs w:val="19"/>
          <w:u w:val="single" w:color="auto"/>
          <w:color w:val="3051F2"/>
        </w:rPr>
        <w:t>, Term Loans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Loans bear interest at an annual rate equal to the lesser of (a) (i) the Base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Margin for Base Rate Loans, (ii) Daily Simple SOFR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Margin for Daily SOFR Rate Loans, (iii) the Term Reference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Margin for Term Reference Rate Loans for the Interest Period, if any, selected by Borrower (in each case as designated or deemed designated by Borrower), as the case may be, and (b) the Maximum Rate. Each change in the Base Rate, the Term Reference Rate, Daily Simple SOFR, and the Maximum Rate is effective, without notice to Borrower or any other Person, upon the effective date of change.</w:t>
      </w:r>
    </w:p>
    <w:p>
      <w:pPr>
        <w:spacing w:after="0" w:line="163" w:lineRule="exact"/>
        <w:rPr>
          <w:sz w:val="20"/>
          <w:szCs w:val="20"/>
          <w:color w:val="auto"/>
        </w:rPr>
      </w:pPr>
    </w:p>
    <w:p>
      <w:pPr>
        <w:jc w:val="both"/>
        <w:ind w:firstLine="637"/>
        <w:spacing w:after="0" w:line="281"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u w:val="single" w:color="auto"/>
          <w:color w:val="auto"/>
        </w:rPr>
        <w:t>Quotation of Rates</w:t>
      </w:r>
      <w:r>
        <w:rPr>
          <w:rFonts w:ascii="Times New Roman" w:cs="Times New Roman" w:eastAsia="Times New Roman" w:hAnsi="Times New Roman"/>
          <w:sz w:val="19"/>
          <w:szCs w:val="19"/>
          <w:color w:val="auto"/>
        </w:rPr>
        <w:t>. A Responsible Officer of Borrower may call Administrative Agent before delivering a Loan Notice to receive an indication of the interest rates then in effect, but the indicated rates do not bind Administrative Agent or Lenders or affect the interest rate that is actually in effect when Borrower delivers its Loan Notice or on the Loan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1900" w:h="16838" w:orient="portrait"/>
          <w:cols w:equalWidth="0" w:num="1">
            <w:col w:w="11240"/>
          </w:cols>
          <w:pgMar w:left="320" w:top="1390" w:right="339" w:bottom="1440" w:gutter="0" w:footer="0" w:header="0"/>
        </w:sectPr>
      </w:pPr>
    </w:p>
    <w:bookmarkStart w:id="173" w:name="page174"/>
    <w:bookmarkEnd w:id="173"/>
    <w:p>
      <w:pPr>
        <w:jc w:val="both"/>
        <w:ind w:firstLine="637"/>
        <w:spacing w:after="0" w:line="263"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Default Rate</w:t>
      </w:r>
      <w:r>
        <w:rPr>
          <w:rFonts w:ascii="Times New Roman" w:cs="Times New Roman" w:eastAsia="Times New Roman" w:hAnsi="Times New Roman"/>
          <w:sz w:val="19"/>
          <w:szCs w:val="19"/>
          <w:color w:val="auto"/>
        </w:rPr>
        <w:t>. While any Default exists, then upon the request of Required Lenders (except in the case of a Default resulting from the failure to pay Principal Debt when due, in which case, such increase shall be automatic), Borrower shall pay interest on the Principal Debt at a fluctuating interest rate per annum at all times equal to the Default Rate to the fullest extent permitted by applicable Law. If any amount (other than principal of any Loan) payable by Borrower under any Loan Paper is not paid when due (without regard to any applicable grace periods), whether at stated maturity, by acceleration, or otherwise, then upon the request of Required Lenders, such amount shall thereafter bear interest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168"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3.6. </w:t>
      </w:r>
      <w:r>
        <w:rPr>
          <w:rFonts w:ascii="Times New Roman" w:cs="Times New Roman" w:eastAsia="Times New Roman" w:hAnsi="Times New Roman"/>
          <w:sz w:val="19"/>
          <w:szCs w:val="19"/>
          <w:u w:val="single" w:color="auto"/>
          <w:color w:val="auto"/>
        </w:rPr>
        <w:t>Interest Recapture</w:t>
      </w:r>
      <w:r>
        <w:rPr>
          <w:rFonts w:ascii="Times New Roman" w:cs="Times New Roman" w:eastAsia="Times New Roman" w:hAnsi="Times New Roman"/>
          <w:sz w:val="19"/>
          <w:szCs w:val="19"/>
          <w:color w:val="auto"/>
        </w:rPr>
        <w:t xml:space="preserve">. If the designated interest rate applicable to any Loan exceeds the Maximum Rate, the interest rate on that Loan is limited to the Maximum Rate, but any subsequent reductions in the designated rate shall not reduce the interest rate thereon below the Maximum Rate until the total amount of accrued interest equals the amount of interest that would have accrued if that designated rate had always been in effect. If at maturity (stated or by acceleration), or at final payment of the Notes, the total interest paid or accrued is less than the interest that would have accrued if the designated rates had always been in effect, then, at that time and to the extent permitted by Law, Borrower shall pay an amount equal to the difference between (a) the lesser of the amount of interest that would have accrued if the designated rates had always been in effect </w:t>
      </w:r>
      <w:r>
        <w:rPr>
          <w:rFonts w:ascii="Times New Roman" w:cs="Times New Roman" w:eastAsia="Times New Roman" w:hAnsi="Times New Roman"/>
          <w:sz w:val="19"/>
          <w:szCs w:val="19"/>
          <w:i w:val="1"/>
          <w:iCs w:val="1"/>
          <w:color w:val="auto"/>
        </w:rPr>
        <w:t>and</w:t>
      </w:r>
      <w:r>
        <w:rPr>
          <w:rFonts w:ascii="Times New Roman" w:cs="Times New Roman" w:eastAsia="Times New Roman" w:hAnsi="Times New Roman"/>
          <w:sz w:val="19"/>
          <w:szCs w:val="19"/>
          <w:color w:val="auto"/>
        </w:rPr>
        <w:t xml:space="preserve"> the amount of interest that would have accrued if the Maximum Rate had always been in effect, and (b) the amount of interest actually paid or accrued on the Notes.</w:t>
      </w:r>
    </w:p>
    <w:p>
      <w:pPr>
        <w:spacing w:after="0" w:line="18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3.7.</w:t>
      </w:r>
      <w:r>
        <w:rPr>
          <w:sz w:val="20"/>
          <w:szCs w:val="20"/>
          <w:color w:val="auto"/>
        </w:rPr>
        <w:tab/>
      </w:r>
      <w:r>
        <w:rPr>
          <w:rFonts w:ascii="Times New Roman" w:cs="Times New Roman" w:eastAsia="Times New Roman" w:hAnsi="Times New Roman"/>
          <w:sz w:val="19"/>
          <w:szCs w:val="19"/>
          <w:u w:val="single" w:color="auto"/>
          <w:color w:val="auto"/>
        </w:rPr>
        <w:t>Interest Calculations; Retroactive Adjustments of Applicable Margin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3"/>
        <w:spacing w:after="0" w:line="261" w:lineRule="auto"/>
        <w:tabs>
          <w:tab w:leader="none" w:pos="1064"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computations of interest for Base Rate Loans shall be made on the basis of a year of 365 or 366 days (even when those loans are determined by Term SOFR),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any Loan that is repaid on the same day on which it is made shall, subject to </w:t>
      </w:r>
      <w:r>
        <w:rPr>
          <w:rFonts w:ascii="Times New Roman" w:cs="Times New Roman" w:eastAsia="Times New Roman" w:hAnsi="Times New Roman"/>
          <w:sz w:val="19"/>
          <w:szCs w:val="19"/>
          <w:b w:val="1"/>
          <w:bCs w:val="1"/>
          <w:i w:val="1"/>
          <w:iCs w:val="1"/>
          <w:color w:val="auto"/>
        </w:rPr>
        <w:t>Section 3.1(c)</w:t>
      </w:r>
      <w:r>
        <w:rPr>
          <w:rFonts w:ascii="Times New Roman" w:cs="Times New Roman" w:eastAsia="Times New Roman" w:hAnsi="Times New Roman"/>
          <w:sz w:val="19"/>
          <w:szCs w:val="19"/>
          <w:color w:val="auto"/>
        </w:rPr>
        <w:t>, bear interest for one day.</w:t>
      </w:r>
    </w:p>
    <w:p>
      <w:pPr>
        <w:spacing w:after="0" w:line="179" w:lineRule="exact"/>
        <w:rPr>
          <w:rFonts w:ascii="Times New Roman" w:cs="Times New Roman" w:eastAsia="Times New Roman" w:hAnsi="Times New Roman"/>
          <w:sz w:val="19"/>
          <w:szCs w:val="19"/>
          <w:color w:val="auto"/>
        </w:rPr>
      </w:pPr>
    </w:p>
    <w:p>
      <w:pPr>
        <w:jc w:val="both"/>
        <w:ind w:firstLine="643"/>
        <w:spacing w:after="0" w:line="260" w:lineRule="auto"/>
        <w:tabs>
          <w:tab w:leader="none" w:pos="1082"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as a result of any restatement of or other adjustment to the financial statements of Borrower or for any other reason, Borrower or the Lenders determine that (i) the ratio of Net Funded Debt to Adjusted EBITDA, as calculated by Borrower pursuant to </w:t>
      </w:r>
      <w:r>
        <w:rPr>
          <w:rFonts w:ascii="Times New Roman" w:cs="Times New Roman" w:eastAsia="Times New Roman" w:hAnsi="Times New Roman"/>
          <w:sz w:val="19"/>
          <w:szCs w:val="19"/>
          <w:b w:val="1"/>
          <w:bCs w:val="1"/>
          <w:i w:val="1"/>
          <w:iCs w:val="1"/>
          <w:color w:val="auto"/>
        </w:rPr>
        <w:t>Section 11.1</w:t>
      </w:r>
      <w:r>
        <w:rPr>
          <w:rFonts w:ascii="Times New Roman" w:cs="Times New Roman" w:eastAsia="Times New Roman" w:hAnsi="Times New Roman"/>
          <w:sz w:val="19"/>
          <w:szCs w:val="19"/>
          <w:color w:val="auto"/>
        </w:rPr>
        <w:t xml:space="preserve"> as of any applicable date, was inaccurate, and (ii) a proper calculation thereof would have resulted in higher pricing and fees for such period, then Borrower shall immediately and retroactively be obligated to pay to Administrative Agent for the account of the applicable Lenders or L/C Issuers, as the case may be, promptly on demand by Administrative Agent (or, after the occurrence of an actual or deemed entry of an order for relief with respect to Borrower under Debtor Relief Law, automatically and without further action by Administrative Agent, any Lender, or any L/C Issuer), an amount equal to the excess of the amount of interest and fees that should have been paid for such period over the amount of interest and fees actually paid for such period. This paragraph shall not limit the rights of Administrative Agent, any Lender, or any L/C Issuer, as the case may be, under Section </w:t>
      </w:r>
      <w:r>
        <w:rPr>
          <w:rFonts w:ascii="Times New Roman" w:cs="Times New Roman" w:eastAsia="Times New Roman" w:hAnsi="Times New Roman"/>
          <w:sz w:val="19"/>
          <w:szCs w:val="19"/>
          <w:b w:val="1"/>
          <w:bCs w:val="1"/>
          <w:i w:val="1"/>
          <w:iCs w:val="1"/>
          <w:color w:val="auto"/>
        </w:rPr>
        <w:t>2.3(c)(iii)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5.3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3.3</w:t>
      </w:r>
      <w:r>
        <w:rPr>
          <w:rFonts w:ascii="Times New Roman" w:cs="Times New Roman" w:eastAsia="Times New Roman" w:hAnsi="Times New Roman"/>
          <w:sz w:val="19"/>
          <w:szCs w:val="19"/>
          <w:color w:val="auto"/>
        </w:rPr>
        <w:t xml:space="preserve"> or under </w:t>
      </w:r>
      <w:r>
        <w:rPr>
          <w:rFonts w:ascii="Times New Roman" w:cs="Times New Roman" w:eastAsia="Times New Roman" w:hAnsi="Times New Roman"/>
          <w:sz w:val="19"/>
          <w:szCs w:val="19"/>
          <w:b w:val="1"/>
          <w:bCs w:val="1"/>
          <w:i w:val="1"/>
          <w:iCs w:val="1"/>
          <w:color w:val="auto"/>
        </w:rPr>
        <w:t>Section 12</w:t>
      </w:r>
      <w:r>
        <w:rPr>
          <w:rFonts w:ascii="Times New Roman" w:cs="Times New Roman" w:eastAsia="Times New Roman" w:hAnsi="Times New Roman"/>
          <w:sz w:val="19"/>
          <w:szCs w:val="19"/>
          <w:color w:val="auto"/>
        </w:rPr>
        <w:t>. Borrower’s obligations under this paragraph shall survive the termination of the Total Commitment and the repayment of all other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1900" w:h="16838" w:orient="portrait"/>
          <w:cols w:equalWidth="0" w:num="1">
            <w:col w:w="11240"/>
          </w:cols>
          <w:pgMar w:left="320" w:top="1390" w:right="339" w:bottom="1440" w:gutter="0" w:footer="0" w:header="0"/>
        </w:sectPr>
      </w:pPr>
    </w:p>
    <w:bookmarkStart w:id="174" w:name="page175"/>
    <w:bookmarkEnd w:id="174"/>
    <w:p>
      <w:pPr>
        <w:jc w:val="both"/>
        <w:ind w:firstLine="637"/>
        <w:spacing w:after="0" w:line="260" w:lineRule="auto"/>
        <w:rPr>
          <w:sz w:val="20"/>
          <w:szCs w:val="20"/>
          <w:color w:val="auto"/>
        </w:rPr>
      </w:pPr>
      <w:r>
        <w:rPr>
          <w:rFonts w:ascii="Times New Roman" w:cs="Times New Roman" w:eastAsia="Times New Roman" w:hAnsi="Times New Roman"/>
          <w:sz w:val="19"/>
          <w:szCs w:val="19"/>
          <w:color w:val="auto"/>
        </w:rPr>
        <w:t xml:space="preserve">3.8. </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Regardless of any provision contained in any Loan Paper or any document related thereto, no Lender is entitled to contract for, charge, take, reserve, receive, or apply, as interest on all or any part of the Obligation any amount in excess of the Maximum Rate, and, if Lenders ever do so, then any excess shall be treated as a partial payment of principal and any remaining excess shall be refunded to Borrower. In determining if the interest paid or payable exceeds the Maximum Rate, Borrower and Lenders shall, to the maximum extent permitted under applicable Law, (a) treat all Loans as but a single extension of credit (and Lenders and Borrower agree that is the case and that provision in this Agreement for multiple Loans is for convenience only), (b) characterize any nonprincipal payment as an expense, fee, or premium rather than as interest, (c) exclude voluntary payments and their effects, and (d) amortize, prorate, allocate, and spread the total amount of interest throughout the entire contemplated term of the Obligation. However, if the Obligation is paid in full before the end of its full contemplated term, and if the interest received for its actual period of existence exceeds the Maximum Amount, Lenders shall refund any excess (and Lenders shall not, to the extent permitted by Law, be subject to any penalties provided by any Laws for contracting for, charging, taking, reserving, or receiving interest in excess of the Maximum Amount).</w:t>
      </w:r>
    </w:p>
    <w:p>
      <w:pPr>
        <w:spacing w:after="0" w:line="18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3.9.</w:t>
      </w:r>
      <w:r>
        <w:rPr>
          <w:sz w:val="20"/>
          <w:szCs w:val="20"/>
          <w:color w:val="auto"/>
        </w:rPr>
        <w:tab/>
      </w:r>
      <w:r>
        <w:rPr>
          <w:rFonts w:ascii="Times New Roman" w:cs="Times New Roman" w:eastAsia="Times New Roman" w:hAnsi="Times New Roman"/>
          <w:sz w:val="19"/>
          <w:szCs w:val="19"/>
          <w:u w:val="single" w:color="auto"/>
          <w:color w:val="auto"/>
        </w:rPr>
        <w:t>Interest Periods</w:t>
      </w:r>
      <w:r>
        <w:rPr>
          <w:rFonts w:ascii="Times New Roman" w:cs="Times New Roman" w:eastAsia="Times New Roman" w:hAnsi="Times New Roman"/>
          <w:sz w:val="19"/>
          <w:szCs w:val="19"/>
          <w:color w:val="auto"/>
        </w:rPr>
        <w:t>. When Borrower requests any Term Reference Rate Loan, Borrower may elect the applicable Interest Period.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 more than ten (10) Term Reference Rate Interest Periods may be in effect at one time.</w:t>
      </w:r>
    </w:p>
    <w:p>
      <w:pPr>
        <w:spacing w:after="0" w:line="21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3.10.</w:t>
      </w:r>
      <w:r>
        <w:rPr>
          <w:sz w:val="20"/>
          <w:szCs w:val="20"/>
          <w:color w:val="auto"/>
        </w:rPr>
        <w:tab/>
      </w:r>
      <w:r>
        <w:rPr>
          <w:rFonts w:ascii="Times New Roman" w:cs="Times New Roman" w:eastAsia="Times New Roman" w:hAnsi="Times New Roman"/>
          <w:sz w:val="19"/>
          <w:szCs w:val="19"/>
          <w:u w:val="single" w:color="auto"/>
          <w:color w:val="auto"/>
        </w:rPr>
        <w:t>Order of Application</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left="640" w:firstLine="640"/>
        <w:spacing w:after="0" w:line="281" w:lineRule="auto"/>
        <w:tabs>
          <w:tab w:leader="none" w:pos="1731"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no Default or Potential Default exists, payments, and prepayments of the Obligation shall be applied first to fees then due, second to accrued interest then due and payable on the Principal Debt, and then to the remaining Obligation in the order and manner as Borrower may direct.</w:t>
      </w:r>
    </w:p>
    <w:p>
      <w:pPr>
        <w:spacing w:after="0" w:line="147" w:lineRule="exact"/>
        <w:rPr>
          <w:rFonts w:ascii="Times New Roman" w:cs="Times New Roman" w:eastAsia="Times New Roman" w:hAnsi="Times New Roman"/>
          <w:sz w:val="19"/>
          <w:szCs w:val="19"/>
          <w:color w:val="auto"/>
        </w:rPr>
      </w:pPr>
    </w:p>
    <w:p>
      <w:pPr>
        <w:jc w:val="both"/>
        <w:ind w:left="640" w:firstLine="640"/>
        <w:spacing w:after="0" w:line="258" w:lineRule="auto"/>
        <w:tabs>
          <w:tab w:leader="none" w:pos="1724"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Default or Potential Default exists, any payment or prepayment (including proceeds from the exercise of any Rights) shall be applied to the Obligation in the following order: (i) to the payment of all fees, expenses, and indemnities for which Administrative Agent has not been paid or reimbursed in accordance with the Loan Papers; (ii) to the ratable payment of all fees, expenses, and indemnities (other than L/C fees set forth in </w:t>
      </w:r>
      <w:r>
        <w:rPr>
          <w:rFonts w:ascii="Times New Roman" w:cs="Times New Roman" w:eastAsia="Times New Roman" w:hAnsi="Times New Roman"/>
          <w:sz w:val="19"/>
          <w:szCs w:val="19"/>
          <w:b w:val="1"/>
          <w:bCs w:val="1"/>
          <w:i w:val="1"/>
          <w:iCs w:val="1"/>
          <w:color w:val="auto"/>
        </w:rPr>
        <w:t>Section 5.3</w:t>
      </w:r>
      <w:r>
        <w:rPr>
          <w:rFonts w:ascii="Times New Roman" w:cs="Times New Roman" w:eastAsia="Times New Roman" w:hAnsi="Times New Roman"/>
          <w:sz w:val="19"/>
          <w:szCs w:val="19"/>
          <w:color w:val="auto"/>
        </w:rPr>
        <w:t xml:space="preserve"> hereof (collectively, “</w:t>
      </w:r>
      <w:r>
        <w:rPr>
          <w:rFonts w:ascii="Times New Roman" w:cs="Times New Roman" w:eastAsia="Times New Roman" w:hAnsi="Times New Roman"/>
          <w:sz w:val="19"/>
          <w:szCs w:val="19"/>
          <w:b w:val="1"/>
          <w:bCs w:val="1"/>
          <w:i w:val="1"/>
          <w:iCs w:val="1"/>
          <w:color w:val="auto"/>
        </w:rPr>
        <w:t>L/C Fees</w:t>
      </w:r>
      <w:r>
        <w:rPr>
          <w:rFonts w:ascii="Times New Roman" w:cs="Times New Roman" w:eastAsia="Times New Roman" w:hAnsi="Times New Roman"/>
          <w:sz w:val="19"/>
          <w:szCs w:val="19"/>
          <w:color w:val="auto"/>
        </w:rPr>
        <w:t xml:space="preserve">”)) for which Lenders have not been paid or reimbursed in accordance with the Loan Papers (as used in this </w:t>
      </w:r>
      <w:r>
        <w:rPr>
          <w:rFonts w:ascii="Times New Roman" w:cs="Times New Roman" w:eastAsia="Times New Roman" w:hAnsi="Times New Roman"/>
          <w:sz w:val="19"/>
          <w:szCs w:val="19"/>
          <w:b w:val="1"/>
          <w:bCs w:val="1"/>
          <w:i w:val="1"/>
          <w:iCs w:val="1"/>
          <w:color w:val="auto"/>
        </w:rPr>
        <w:t>clause (ii)</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i w:val="1"/>
          <w:iCs w:val="1"/>
          <w:color w:val="auto"/>
        </w:rPr>
        <w:t>ratable payment</w:t>
      </w:r>
      <w:r>
        <w:rPr>
          <w:rFonts w:ascii="Times New Roman" w:cs="Times New Roman" w:eastAsia="Times New Roman" w:hAnsi="Times New Roman"/>
          <w:sz w:val="19"/>
          <w:szCs w:val="19"/>
          <w:color w:val="auto"/>
        </w:rPr>
        <w:t xml:space="preserve">” for any Lender shall be, on any date of determination, that proportion which the portion of the total fees, expenses, and indemnities owed to such Lender bears to the total aggregate fees, expenses, and indemnities owed to all Lenders on such date of determination); (iii) to the ratable payment of accrued and unpaid interest on the Principal Debt and L/C Fees (as used in this </w:t>
      </w:r>
      <w:r>
        <w:rPr>
          <w:rFonts w:ascii="Times New Roman" w:cs="Times New Roman" w:eastAsia="Times New Roman" w:hAnsi="Times New Roman"/>
          <w:sz w:val="19"/>
          <w:szCs w:val="19"/>
          <w:b w:val="1"/>
          <w:bCs w:val="1"/>
          <w:i w:val="1"/>
          <w:iCs w:val="1"/>
          <w:color w:val="auto"/>
        </w:rPr>
        <w:t>clause (iii)</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ratable payment</w:t>
      </w:r>
      <w:r>
        <w:rPr>
          <w:rFonts w:ascii="Times New Roman" w:cs="Times New Roman" w:eastAsia="Times New Roman" w:hAnsi="Times New Roman"/>
          <w:sz w:val="19"/>
          <w:szCs w:val="19"/>
          <w:color w:val="auto"/>
        </w:rPr>
        <w:t xml:space="preserve">” means, for any Lender, on any date of determination, that proportion which the accrued and unpaid interest on the Principal Debt owed to such Lender bears to the total accrued and unpaid interest on the Principal Debt owed to all Lenders); (iv) to the ratable payment of the Principal Debt (as used in this </w:t>
      </w:r>
      <w:r>
        <w:rPr>
          <w:rFonts w:ascii="Times New Roman" w:cs="Times New Roman" w:eastAsia="Times New Roman" w:hAnsi="Times New Roman"/>
          <w:sz w:val="19"/>
          <w:szCs w:val="19"/>
          <w:b w:val="1"/>
          <w:bCs w:val="1"/>
          <w:i w:val="1"/>
          <w:iCs w:val="1"/>
          <w:color w:val="auto"/>
        </w:rPr>
        <w:t>clause (iv)</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ratable payment</w:t>
      </w:r>
      <w:r>
        <w:rPr>
          <w:rFonts w:ascii="Times New Roman" w:cs="Times New Roman" w:eastAsia="Times New Roman" w:hAnsi="Times New Roman"/>
          <w:sz w:val="19"/>
          <w:szCs w:val="19"/>
          <w:color w:val="auto"/>
        </w:rPr>
        <w:t>” means for any Lender, on any date of determination, that proportion which the Principal Debt owed to such Lender bears to the Principal Debt owed to all Lenders); (v) to Administrative Agent for the account of the applicable L/C Issuer, to Cash Collateralize that portion of L/C Exposure comprised of the aggregate undrawn amount of L/Cs; (vi) to the payment of the remaining Obligation in the order and manner Required Lenders deem appropriate; and (vii) the balance, if any, after all of the Obligation has been indefeasibly paid in full, to Borrower or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1900" w:h="16838" w:orient="portrait"/>
          <w:cols w:equalWidth="0" w:num="1">
            <w:col w:w="11240"/>
          </w:cols>
          <w:pgMar w:left="320" w:top="1390" w:right="339" w:bottom="1440" w:gutter="0" w:footer="0" w:header="0"/>
        </w:sectPr>
      </w:pPr>
    </w:p>
    <w:bookmarkStart w:id="175" w:name="page176"/>
    <w:bookmarkEnd w:id="175"/>
    <w:p>
      <w:pPr>
        <w:jc w:val="both"/>
        <w:ind w:left="640" w:firstLine="637"/>
        <w:spacing w:after="0" w:line="275" w:lineRule="auto"/>
        <w:rPr>
          <w:sz w:val="20"/>
          <w:szCs w:val="20"/>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color w:val="auto"/>
        </w:rPr>
        <w:t xml:space="preserve">, amounts used to Cash Collateralize the aggregate undrawn amount of L/Cs pursuant to </w:t>
      </w:r>
      <w:r>
        <w:rPr>
          <w:rFonts w:ascii="Times New Roman" w:cs="Times New Roman" w:eastAsia="Times New Roman" w:hAnsi="Times New Roman"/>
          <w:sz w:val="19"/>
          <w:szCs w:val="19"/>
          <w:b w:val="1"/>
          <w:bCs w:val="1"/>
          <w:i w:val="1"/>
          <w:iCs w:val="1"/>
          <w:color w:val="auto"/>
        </w:rPr>
        <w:t>clause (v)</w:t>
      </w:r>
      <w:r>
        <w:rPr>
          <w:rFonts w:ascii="Times New Roman" w:cs="Times New Roman" w:eastAsia="Times New Roman" w:hAnsi="Times New Roman"/>
          <w:sz w:val="19"/>
          <w:szCs w:val="19"/>
          <w:color w:val="auto"/>
        </w:rPr>
        <w:t xml:space="preserve"> above shall be applied to satisfy drawings under such L/Cs as they occur. If any amount remains on deposit as Cash Collateral after all L/Cs have either been fully drawn or expired, such remaining amount shall be applied to the other Obligation, if any, in the order set forth above.</w:t>
      </w:r>
    </w:p>
    <w:p>
      <w:pPr>
        <w:spacing w:after="0" w:line="390" w:lineRule="exact"/>
        <w:rPr>
          <w:sz w:val="20"/>
          <w:szCs w:val="20"/>
          <w:color w:val="auto"/>
        </w:rPr>
      </w:pPr>
    </w:p>
    <w:p>
      <w:pPr>
        <w:jc w:val="both"/>
        <w:ind w:left="640" w:firstLine="637"/>
        <w:spacing w:after="0" w:line="264" w:lineRule="auto"/>
        <w:rPr>
          <w:sz w:val="20"/>
          <w:szCs w:val="20"/>
          <w:color w:val="auto"/>
        </w:rPr>
      </w:pPr>
      <w:r>
        <w:rPr>
          <w:rFonts w:ascii="Times New Roman" w:cs="Times New Roman" w:eastAsia="Times New Roman" w:hAnsi="Times New Roman"/>
          <w:sz w:val="19"/>
          <w:szCs w:val="19"/>
          <w:color w:val="auto"/>
        </w:rPr>
        <w:t xml:space="preserve">Subject to the provisions of </w:t>
      </w:r>
      <w:r>
        <w:rPr>
          <w:rFonts w:ascii="Times New Roman" w:cs="Times New Roman" w:eastAsia="Times New Roman" w:hAnsi="Times New Roman"/>
          <w:sz w:val="19"/>
          <w:szCs w:val="19"/>
          <w:b w:val="1"/>
          <w:bCs w:val="1"/>
          <w:i w:val="1"/>
          <w:iCs w:val="1"/>
          <w:color w:val="auto"/>
        </w:rPr>
        <w:t>Section 14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Administrative Agent shall not in any event be bound to inquire into or to determine the validity, scope, or priority of any interest or entitlement of any Lender and may suspend all payments or seek appropriate relief (including, without limitation, instructions from Required Lenders, Required Revolver Lenders</w:t>
      </w:r>
      <w:r>
        <w:rPr>
          <w:rFonts w:ascii="Times New Roman" w:cs="Times New Roman" w:eastAsia="Times New Roman" w:hAnsi="Times New Roman"/>
          <w:sz w:val="19"/>
          <w:szCs w:val="19"/>
          <w:u w:val="single" w:color="auto"/>
          <w:color w:val="3051F2"/>
        </w:rPr>
        <w:t>, Required Term 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Lenders</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or Required</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Term Loan Lenders or an action in the nature of interpleader) in the event of any doubt or dispute</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as to any apportionment or distribution contemplated hereby, Administrative Agent shall promptly distribute such amounts to each Lender in accordance with the Agreement and the related Loan Papers.</w:t>
      </w:r>
    </w:p>
    <w:p>
      <w:pPr>
        <w:spacing w:after="0" w:line="180"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9"/>
          <w:szCs w:val="19"/>
          <w:color w:val="auto"/>
        </w:rPr>
        <w:t>3.11.</w:t>
      </w:r>
      <w:r>
        <w:rPr>
          <w:sz w:val="20"/>
          <w:szCs w:val="20"/>
          <w:color w:val="auto"/>
        </w:rPr>
        <w:tab/>
      </w:r>
      <w:r>
        <w:rPr>
          <w:rFonts w:ascii="Times New Roman" w:cs="Times New Roman" w:eastAsia="Times New Roman" w:hAnsi="Times New Roman"/>
          <w:sz w:val="19"/>
          <w:szCs w:val="19"/>
          <w:u w:val="single" w:color="auto"/>
          <w:color w:val="auto"/>
        </w:rPr>
        <w:t>Payments Generally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40" w:firstLine="640"/>
        <w:spacing w:after="0" w:line="266" w:lineRule="auto"/>
        <w:tabs>
          <w:tab w:leader="none" w:pos="1687"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Failure to Satisfy Conditions Precedent</w:t>
      </w:r>
      <w:r>
        <w:rPr>
          <w:rFonts w:ascii="Times New Roman" w:cs="Times New Roman" w:eastAsia="Times New Roman" w:hAnsi="Times New Roman"/>
          <w:sz w:val="19"/>
          <w:szCs w:val="19"/>
          <w:color w:val="auto"/>
        </w:rPr>
        <w:t>. If any Lender makes available to Administrative Agent funds for any Loan to be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made by such Lender as provided in the foregoing provisions of </w:t>
      </w:r>
      <w:r>
        <w:rPr>
          <w:rFonts w:ascii="Times New Roman" w:cs="Times New Roman" w:eastAsia="Times New Roman" w:hAnsi="Times New Roman"/>
          <w:sz w:val="19"/>
          <w:szCs w:val="19"/>
          <w:b w:val="1"/>
          <w:bCs w:val="1"/>
          <w:i w:val="1"/>
          <w:iCs w:val="1"/>
          <w:color w:val="auto"/>
        </w:rPr>
        <w:t>Sections 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3</w:t>
      </w:r>
      <w:r>
        <w:rPr>
          <w:rFonts w:ascii="Times New Roman" w:cs="Times New Roman" w:eastAsia="Times New Roman" w:hAnsi="Times New Roman"/>
          <w:sz w:val="19"/>
          <w:szCs w:val="19"/>
          <w:color w:val="auto"/>
        </w:rPr>
        <w:t xml:space="preserve">, and such funds are not made available to Borrower by Administrative Agent because the conditions set forth in </w:t>
      </w:r>
      <w:r>
        <w:rPr>
          <w:rFonts w:ascii="Times New Roman" w:cs="Times New Roman" w:eastAsia="Times New Roman" w:hAnsi="Times New Roman"/>
          <w:sz w:val="19"/>
          <w:szCs w:val="19"/>
          <w:b w:val="1"/>
          <w:bCs w:val="1"/>
          <w:i w:val="1"/>
          <w:iCs w:val="1"/>
          <w:color w:val="auto"/>
        </w:rPr>
        <w:t>Section 7</w:t>
      </w:r>
      <w:r>
        <w:rPr>
          <w:rFonts w:ascii="Times New Roman" w:cs="Times New Roman" w:eastAsia="Times New Roman" w:hAnsi="Times New Roman"/>
          <w:sz w:val="19"/>
          <w:szCs w:val="19"/>
          <w:color w:val="auto"/>
        </w:rPr>
        <w:t xml:space="preserve"> are not satisfied or waived in accordance with the terms hereof, Administrative Agent shall return such funds (in like funds as received from such Lender) to such Lender, without interest.</w:t>
      </w:r>
    </w:p>
    <w:p>
      <w:pPr>
        <w:spacing w:after="0" w:line="172" w:lineRule="exact"/>
        <w:rPr>
          <w:rFonts w:ascii="Times New Roman" w:cs="Times New Roman" w:eastAsia="Times New Roman" w:hAnsi="Times New Roman"/>
          <w:sz w:val="19"/>
          <w:szCs w:val="19"/>
          <w:color w:val="auto"/>
        </w:rPr>
      </w:pPr>
    </w:p>
    <w:p>
      <w:pPr>
        <w:jc w:val="both"/>
        <w:ind w:left="640" w:firstLine="640"/>
        <w:spacing w:after="0" w:line="276" w:lineRule="auto"/>
        <w:tabs>
          <w:tab w:leader="none" w:pos="183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Funding Source</w:t>
      </w:r>
      <w:r>
        <w:rPr>
          <w:rFonts w:ascii="Times New Roman" w:cs="Times New Roman" w:eastAsia="Times New Roman" w:hAnsi="Times New Roman"/>
          <w:sz w:val="19"/>
          <w:szCs w:val="19"/>
          <w:color w:val="auto"/>
        </w:rPr>
        <w:t>. Nothing herein shall be deemed to obligate any Lender to obtain the funds for any Loan in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particular place or manner or to constitute a representation by any Lender that it has obtained or will obtain the funds for any Loan in any particular place or manner.</w:t>
      </w:r>
    </w:p>
    <w:p>
      <w:pPr>
        <w:spacing w:after="0" w:line="162" w:lineRule="exact"/>
        <w:rPr>
          <w:sz w:val="20"/>
          <w:szCs w:val="20"/>
          <w:color w:val="auto"/>
        </w:rPr>
      </w:pPr>
    </w:p>
    <w:p>
      <w:pPr>
        <w:jc w:val="both"/>
        <w:ind w:firstLine="637"/>
        <w:spacing w:after="0" w:line="258" w:lineRule="auto"/>
        <w:rPr>
          <w:sz w:val="20"/>
          <w:szCs w:val="20"/>
          <w:color w:val="auto"/>
        </w:rPr>
      </w:pPr>
      <w:r>
        <w:rPr>
          <w:rFonts w:ascii="Times New Roman" w:cs="Times New Roman" w:eastAsia="Times New Roman" w:hAnsi="Times New Roman"/>
          <w:sz w:val="19"/>
          <w:szCs w:val="19"/>
          <w:color w:val="auto"/>
        </w:rPr>
        <w:t xml:space="preserve">3.12. </w:t>
      </w:r>
      <w:r>
        <w:rPr>
          <w:rFonts w:ascii="Times New Roman" w:cs="Times New Roman" w:eastAsia="Times New Roman" w:hAnsi="Times New Roman"/>
          <w:sz w:val="19"/>
          <w:szCs w:val="19"/>
          <w:u w:val="single" w:color="auto"/>
          <w:color w:val="auto"/>
        </w:rPr>
        <w:t>Sharing of Payments, Etc</w:t>
      </w:r>
      <w:r>
        <w:rPr>
          <w:rFonts w:ascii="Times New Roman" w:cs="Times New Roman" w:eastAsia="Times New Roman" w:hAnsi="Times New Roman"/>
          <w:sz w:val="19"/>
          <w:szCs w:val="19"/>
          <w:color w:val="auto"/>
        </w:rPr>
        <w:t xml:space="preserve">. If any Lender (a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Benefitted Lender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shall at any time receive any payment of all or part of the Loans owing to it, or interest thereon, or receive any Collateral in respect thereof (whether voluntarily or involuntarily, by set-off, or otherwise), in a greater proportion than any such payment to or Collateral received by any other Lender, if any, in respect of such other Lender’s Loans owing to it, or interest thereon, such Benefitted Lender shall purchase for cash from the other Lenders a participating interest in such portion of each such other Lender’s Loans owing to it, or shall provide such other Lenders with the benefits of any such Collateral, or the proceeds thereof, as shall be necessary to cause such Benefitted Lender to share the excess payment or benefits of such Collateral or proceeds ratably with each Lender; </w:t>
      </w:r>
      <w:r>
        <w:rPr>
          <w:rFonts w:ascii="Times New Roman" w:cs="Times New Roman" w:eastAsia="Times New Roman" w:hAnsi="Times New Roman"/>
          <w:sz w:val="19"/>
          <w:szCs w:val="19"/>
          <w:i w:val="1"/>
          <w:iCs w:val="1"/>
          <w:color w:val="auto"/>
        </w:rPr>
        <w:t>provided, however, that</w:t>
      </w:r>
      <w:r>
        <w:rPr>
          <w:rFonts w:ascii="Times New Roman" w:cs="Times New Roman" w:eastAsia="Times New Roman" w:hAnsi="Times New Roman"/>
          <w:sz w:val="19"/>
          <w:szCs w:val="19"/>
          <w:color w:val="auto"/>
        </w:rPr>
        <w:t xml:space="preserve"> (i) if all or any portion of such excess payment or benefits is thereafter recovered from such Benefitted Lender, such purchase shall be rescinded, and the purchase price and benefits returned, to the extent of such recovery, but without interest, and (ii) the provisions of this Section shall not be construed to apply to (x) any payment made by or on behalf of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19"/>
          <w:szCs w:val="19"/>
          <w:b w:val="1"/>
          <w:bCs w:val="1"/>
          <w:i w:val="1"/>
          <w:iCs w:val="1"/>
          <w:color w:val="auto"/>
        </w:rPr>
        <w:t>Section 3.14</w:t>
      </w:r>
      <w:r>
        <w:rPr>
          <w:rFonts w:ascii="Times New Roman" w:cs="Times New Roman" w:eastAsia="Times New Roman" w:hAnsi="Times New Roman"/>
          <w:sz w:val="19"/>
          <w:szCs w:val="19"/>
          <w:color w:val="auto"/>
        </w:rPr>
        <w:t xml:space="preserve"> or (z) any payment obtained by a Revolver Lender as consideration for the assignment of or sale of a participation in any of its Loans or subparticipations in L/C Exposure to any assignee or participant, other than to Borrower or any Subsidiary thereof (as to which the provisions of this Section shall apply). Borrower agrees that any Lender so purchasing a participation from a Lender pursuant to this </w:t>
      </w:r>
      <w:r>
        <w:rPr>
          <w:rFonts w:ascii="Times New Roman" w:cs="Times New Roman" w:eastAsia="Times New Roman" w:hAnsi="Times New Roman"/>
          <w:sz w:val="19"/>
          <w:szCs w:val="19"/>
          <w:b w:val="1"/>
          <w:bCs w:val="1"/>
          <w:i w:val="1"/>
          <w:iCs w:val="1"/>
          <w:color w:val="auto"/>
        </w:rPr>
        <w:t>Section 3.12</w:t>
      </w:r>
      <w:r>
        <w:rPr>
          <w:rFonts w:ascii="Times New Roman" w:cs="Times New Roman" w:eastAsia="Times New Roman" w:hAnsi="Times New Roman"/>
          <w:sz w:val="19"/>
          <w:szCs w:val="19"/>
          <w:color w:val="auto"/>
        </w:rPr>
        <w:t xml:space="preserve"> may, to the fullest extent permitted by Law, exercise all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1900" w:h="16838" w:orient="portrait"/>
          <w:cols w:equalWidth="0" w:num="1">
            <w:col w:w="11240"/>
          </w:cols>
          <w:pgMar w:left="320" w:top="1386" w:right="339" w:bottom="1440" w:gutter="0" w:footer="0" w:header="0"/>
        </w:sectPr>
      </w:pPr>
    </w:p>
    <w:bookmarkStart w:id="176" w:name="page177"/>
    <w:bookmarkEnd w:id="176"/>
    <w:p>
      <w:pPr>
        <w:spacing w:after="0" w:line="300" w:lineRule="auto"/>
        <w:rPr>
          <w:sz w:val="20"/>
          <w:szCs w:val="20"/>
          <w:color w:val="auto"/>
        </w:rPr>
      </w:pPr>
      <w:r>
        <w:rPr>
          <w:rFonts w:ascii="Times New Roman" w:cs="Times New Roman" w:eastAsia="Times New Roman" w:hAnsi="Times New Roman"/>
          <w:sz w:val="19"/>
          <w:szCs w:val="19"/>
          <w:color w:val="auto"/>
        </w:rPr>
        <w:t>Rights of payment (including the Right of setoff) with respect to such participation as fully as if such Person were the direct creditor of Borrower in the amount of such participation.</w:t>
      </w:r>
    </w:p>
    <w:p>
      <w:pPr>
        <w:spacing w:after="0" w:line="130" w:lineRule="exact"/>
        <w:rPr>
          <w:sz w:val="20"/>
          <w:szCs w:val="20"/>
          <w:color w:val="auto"/>
        </w:rPr>
      </w:pPr>
    </w:p>
    <w:p>
      <w:pPr>
        <w:jc w:val="both"/>
        <w:ind w:right="120" w:firstLine="637"/>
        <w:spacing w:after="0" w:line="274" w:lineRule="auto"/>
        <w:rPr>
          <w:sz w:val="20"/>
          <w:szCs w:val="20"/>
          <w:color w:val="auto"/>
        </w:rPr>
      </w:pPr>
      <w:r>
        <w:rPr>
          <w:rFonts w:ascii="Times New Roman" w:cs="Times New Roman" w:eastAsia="Times New Roman" w:hAnsi="Times New Roman"/>
          <w:sz w:val="19"/>
          <w:szCs w:val="19"/>
          <w:color w:val="auto"/>
        </w:rPr>
        <w:t xml:space="preserve">3.13. </w:t>
      </w:r>
      <w:r>
        <w:rPr>
          <w:rFonts w:ascii="Times New Roman" w:cs="Times New Roman" w:eastAsia="Times New Roman" w:hAnsi="Times New Roman"/>
          <w:sz w:val="19"/>
          <w:szCs w:val="19"/>
          <w:u w:val="single" w:color="auto"/>
          <w:color w:val="auto"/>
        </w:rPr>
        <w:t>Booking Loans</w:t>
      </w:r>
      <w:r>
        <w:rPr>
          <w:rFonts w:ascii="Times New Roman" w:cs="Times New Roman" w:eastAsia="Times New Roman" w:hAnsi="Times New Roman"/>
          <w:sz w:val="19"/>
          <w:szCs w:val="19"/>
          <w:color w:val="auto"/>
        </w:rPr>
        <w:t xml:space="preserve">. To the extent permitted by Law, any Lender may make, carry, or transfer its Loans at, to, or for the account of any of its branch offices or the office of any of its Affiliates. However, no Affiliate is entitled to receive any greater payment under </w:t>
      </w:r>
      <w:r>
        <w:rPr>
          <w:rFonts w:ascii="Times New Roman" w:cs="Times New Roman" w:eastAsia="Times New Roman" w:hAnsi="Times New Roman"/>
          <w:sz w:val="19"/>
          <w:szCs w:val="19"/>
          <w:b w:val="1"/>
          <w:bCs w:val="1"/>
          <w:i w:val="1"/>
          <w:iCs w:val="1"/>
          <w:color w:val="auto"/>
        </w:rPr>
        <w:t>Section 4.3</w:t>
      </w:r>
      <w:r>
        <w:rPr>
          <w:rFonts w:ascii="Times New Roman" w:cs="Times New Roman" w:eastAsia="Times New Roman" w:hAnsi="Times New Roman"/>
          <w:sz w:val="19"/>
          <w:szCs w:val="19"/>
          <w:color w:val="auto"/>
        </w:rPr>
        <w:t xml:space="preserve"> than the transferor Lender would have been entitled to receive with respect to those Loans.</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color w:val="auto"/>
        </w:rPr>
        <w:t>3.14.</w:t>
      </w:r>
      <w:r>
        <w:rPr>
          <w:sz w:val="20"/>
          <w:szCs w:val="20"/>
          <w:color w:val="auto"/>
        </w:rPr>
        <w:tab/>
      </w:r>
      <w:r>
        <w:rPr>
          <w:rFonts w:ascii="Times New Roman" w:cs="Times New Roman" w:eastAsia="Times New Roman" w:hAnsi="Times New Roman"/>
          <w:sz w:val="19"/>
          <w:szCs w:val="19"/>
          <w:u w:val="single" w:color="auto"/>
          <w:color w:val="auto"/>
        </w:rPr>
        <w:t>Cash Collateral</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40" w:firstLine="640"/>
        <w:spacing w:after="0" w:line="259" w:lineRule="auto"/>
        <w:tabs>
          <w:tab w:leader="none" w:pos="174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Certain Credit Support Events</w:t>
      </w:r>
      <w:r>
        <w:rPr>
          <w:rFonts w:ascii="Times New Roman" w:cs="Times New Roman" w:eastAsia="Times New Roman" w:hAnsi="Times New Roman"/>
          <w:sz w:val="19"/>
          <w:szCs w:val="19"/>
          <w:color w:val="auto"/>
        </w:rPr>
        <w:t>. Upon the request of Administrative Agent (i) if the L/C Issuer has honored any full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partial drawing request under any L/C and such drawing has resulted in an L/C Borrowing, or (ii) if, as of the L/C Expiration Date, any L/C Obligation for any reason remains outstanding, Borrower shall, in each case, immediately Cash Collateralize the then Outstanding Amount of all L/C Obligations. At any time that there shall exist a Defaulting Lender, immediately upon the request of Administrative Agent or the L/C Issuer, Borrower shall deliver to Administrative Agent Cash Collateral in an amount sufficient to cover all Fronting Exposure (after giving effect to </w:t>
      </w:r>
      <w:r>
        <w:rPr>
          <w:rFonts w:ascii="Times New Roman" w:cs="Times New Roman" w:eastAsia="Times New Roman" w:hAnsi="Times New Roman"/>
          <w:sz w:val="19"/>
          <w:szCs w:val="19"/>
          <w:b w:val="1"/>
          <w:bCs w:val="1"/>
          <w:i w:val="1"/>
          <w:iCs w:val="1"/>
          <w:color w:val="auto"/>
        </w:rPr>
        <w:t>Section 3.15(a)(iv)</w:t>
      </w:r>
      <w:r>
        <w:rPr>
          <w:rFonts w:ascii="Times New Roman" w:cs="Times New Roman" w:eastAsia="Times New Roman" w:hAnsi="Times New Roman"/>
          <w:sz w:val="19"/>
          <w:szCs w:val="19"/>
          <w:color w:val="auto"/>
        </w:rPr>
        <w:t xml:space="preserve"> and any Cash Collateral provided by the Defaulting Lender). If at any time Administrative Agent determines that any funds held as Cash Collateral are subject to any right or claim of any Person other than Administrative Agent or that the total amount of such funds is less than the aggregate Outstanding Amount of all L/C Exposure, Borrower will, forthwith upon demand by Administrative Agent, pay to Administrative Agent, as additional funds to be deposited as Cash Collateral, an amount equal to the excess of (x) such aggregate Outstanding Amount over (y) the total amount of funds, if any, then held as Cash Collateral that Administrative Agent determines to be free and clear of any such right and claim. Upon the drawing of any L/C for which funds are on deposit as Cash Collateral, such funds shall be applied, to the extent permitted under applicable Laws, to reimburse the applicable L/C Issuer.</w:t>
      </w:r>
    </w:p>
    <w:p>
      <w:pPr>
        <w:spacing w:after="0" w:line="171" w:lineRule="exact"/>
        <w:rPr>
          <w:rFonts w:ascii="Times New Roman" w:cs="Times New Roman" w:eastAsia="Times New Roman" w:hAnsi="Times New Roman"/>
          <w:sz w:val="19"/>
          <w:szCs w:val="19"/>
          <w:color w:val="auto"/>
        </w:rPr>
      </w:pPr>
    </w:p>
    <w:p>
      <w:pPr>
        <w:jc w:val="both"/>
        <w:ind w:left="640" w:firstLine="640"/>
        <w:spacing w:after="0" w:line="260" w:lineRule="auto"/>
        <w:tabs>
          <w:tab w:leader="none" w:pos="1738"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Grant of Security Interest</w:t>
      </w:r>
      <w:r>
        <w:rPr>
          <w:rFonts w:ascii="Times New Roman" w:cs="Times New Roman" w:eastAsia="Times New Roman" w:hAnsi="Times New Roman"/>
          <w:sz w:val="19"/>
          <w:szCs w:val="19"/>
          <w:color w:val="auto"/>
        </w:rPr>
        <w:t>. All Cash Collateral (other than credit support not constituting funds subject to deposit) shall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be maintained in blocked, non-interest bearing deposit accounts at Bank of America. Borrower, and to the extent provided by any Lender, such Lender, hereby grants to (and subjects to the control of) Administrative Agent, for the benefit of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9"/>
          <w:szCs w:val="19"/>
          <w:b w:val="1"/>
          <w:bCs w:val="1"/>
          <w:i w:val="1"/>
          <w:iCs w:val="1"/>
          <w:color w:val="auto"/>
        </w:rPr>
        <w:t>Section 3.14(c)</w:t>
      </w:r>
      <w:r>
        <w:rPr>
          <w:rFonts w:ascii="Times New Roman" w:cs="Times New Roman" w:eastAsia="Times New Roman" w:hAnsi="Times New Roman"/>
          <w:sz w:val="19"/>
          <w:szCs w:val="19"/>
          <w:color w:val="auto"/>
        </w:rPr>
        <w:t>. If at any time Administrative Agent determines that Cash Collateral is subject to any right or claim of any Person other than Administrative Agent as herein provided, or that the total amount of such Cash Collateral is less than the applicable Fronting Exposure and other obligations secured thereby, Borrower or the relevant Defaulting Lender will, promptly upon demand by Administrative Agent, pay or provide to Administrative Agent additional Cash Collateral in an amount sufficient to eliminate such deficiency or in the amount of such third party rights or claims to which the Cash Collateral is subject, as applicable.</w:t>
      </w:r>
    </w:p>
    <w:p>
      <w:pPr>
        <w:spacing w:after="0" w:line="182" w:lineRule="exact"/>
        <w:rPr>
          <w:rFonts w:ascii="Times New Roman" w:cs="Times New Roman" w:eastAsia="Times New Roman" w:hAnsi="Times New Roman"/>
          <w:sz w:val="19"/>
          <w:szCs w:val="19"/>
          <w:color w:val="auto"/>
        </w:rPr>
      </w:pPr>
    </w:p>
    <w:p>
      <w:pPr>
        <w:jc w:val="both"/>
        <w:ind w:left="640" w:firstLine="878"/>
        <w:spacing w:after="0" w:line="276" w:lineRule="auto"/>
        <w:tabs>
          <w:tab w:leader="none" w:pos="1992"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Application</w:t>
      </w:r>
      <w:r>
        <w:rPr>
          <w:rFonts w:ascii="Times New Roman" w:cs="Times New Roman" w:eastAsia="Times New Roman" w:hAnsi="Times New Roman"/>
          <w:sz w:val="19"/>
          <w:szCs w:val="19"/>
          <w:color w:val="auto"/>
        </w:rPr>
        <w:t>. Notwithstanding anything to the contrary contained in this Agreement, Cash Collateral provided under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any of this </w:t>
      </w:r>
      <w:r>
        <w:rPr>
          <w:rFonts w:ascii="Times New Roman" w:cs="Times New Roman" w:eastAsia="Times New Roman" w:hAnsi="Times New Roman"/>
          <w:sz w:val="19"/>
          <w:szCs w:val="19"/>
          <w:b w:val="1"/>
          <w:bCs w:val="1"/>
          <w:i w:val="1"/>
          <w:iCs w:val="1"/>
          <w:color w:val="auto"/>
        </w:rPr>
        <w:t>Section 3.14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Section 2.3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Section 3.2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Section 3.15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Section 13</w:t>
      </w:r>
      <w:r>
        <w:rPr>
          <w:rFonts w:ascii="Times New Roman" w:cs="Times New Roman" w:eastAsia="Times New Roman" w:hAnsi="Times New Roman"/>
          <w:sz w:val="19"/>
          <w:szCs w:val="19"/>
          <w:color w:val="auto"/>
        </w:rPr>
        <w:t xml:space="preserve"> in respect of L/C shall be held and applied to the satisfaction of the specific L/C Obligations, obligations to fund participations therein (including, as to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1900" w:h="16838" w:orient="portrait"/>
          <w:cols w:equalWidth="0" w:num="1">
            <w:col w:w="11240"/>
          </w:cols>
          <w:pgMar w:left="320" w:top="1390" w:right="339" w:bottom="1440" w:gutter="0" w:footer="0" w:header="0"/>
        </w:sectPr>
      </w:pPr>
    </w:p>
    <w:bookmarkStart w:id="177" w:name="page178"/>
    <w:bookmarkEnd w:id="177"/>
    <w:p>
      <w:pPr>
        <w:spacing w:after="0" w:line="300" w:lineRule="auto"/>
        <w:rPr>
          <w:sz w:val="20"/>
          <w:szCs w:val="20"/>
          <w:color w:val="auto"/>
        </w:rPr>
      </w:pPr>
      <w:r>
        <w:rPr>
          <w:rFonts w:ascii="Times New Roman" w:cs="Times New Roman" w:eastAsia="Times New Roman" w:hAnsi="Times New Roman"/>
          <w:sz w:val="19"/>
          <w:szCs w:val="19"/>
          <w:color w:val="auto"/>
        </w:rPr>
        <w:t>Collateral provided by a Defaulting Lender, any interest accrued on such obligation) and other obligations for which the Cash Collateral was so provided, prior to any other application of such property as may be provided for herein.</w:t>
      </w:r>
    </w:p>
    <w:p>
      <w:pPr>
        <w:spacing w:after="0" w:line="126" w:lineRule="exact"/>
        <w:rPr>
          <w:sz w:val="20"/>
          <w:szCs w:val="20"/>
          <w:color w:val="auto"/>
        </w:rPr>
      </w:pPr>
    </w:p>
    <w:p>
      <w:pPr>
        <w:jc w:val="both"/>
        <w:ind w:firstLine="878"/>
        <w:spacing w:after="0" w:line="264" w:lineRule="auto"/>
        <w:tabs>
          <w:tab w:leader="none" w:pos="1336"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Cash Collateral (or the appropriate portion thereof) provided to reduce Fronting Exposure or to secure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9"/>
          <w:szCs w:val="19"/>
          <w:b w:val="1"/>
          <w:bCs w:val="1"/>
          <w:i w:val="1"/>
          <w:iCs w:val="1"/>
          <w:color w:val="auto"/>
        </w:rPr>
        <w:t>Section 15.11(b)(vi)</w:t>
      </w:r>
      <w:r>
        <w:rPr>
          <w:rFonts w:ascii="Times New Roman" w:cs="Times New Roman" w:eastAsia="Times New Roman" w:hAnsi="Times New Roman"/>
          <w:sz w:val="19"/>
          <w:szCs w:val="19"/>
          <w:color w:val="auto"/>
        </w:rPr>
        <w:t xml:space="preserve">)) or (ii) Administrative Agent’s and the L/C Issuers’ good faith determination that there exists excess Cash Collateral;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the Person providing Cash Collateral and the L/C Issuer may agree that Cash Collateral shall not be released but instead held to support future anticipated Fronting Exposure or other obligations.</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color w:val="auto"/>
        </w:rPr>
        <w:t>3.15.</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firstLine="882"/>
        <w:spacing w:after="0" w:line="304" w:lineRule="auto"/>
        <w:tabs>
          <w:tab w:leader="none" w:pos="1448"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Adjustments</w:t>
      </w:r>
      <w:r>
        <w:rPr>
          <w:rFonts w:ascii="Times New Roman" w:cs="Times New Roman" w:eastAsia="Times New Roman" w:hAnsi="Times New Roman"/>
          <w:sz w:val="19"/>
          <w:szCs w:val="19"/>
          <w:color w:val="auto"/>
        </w:rPr>
        <w:t>. Notwithstanding anything to the contrary contained in this Agreement, if any Lender becomes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Defaulting Lender, then, until such time as that Lender is no longer a Defaulting Lender, to the extent permitted by applicable Law:</w:t>
      </w:r>
    </w:p>
    <w:p>
      <w:pPr>
        <w:spacing w:after="0" w:line="136" w:lineRule="exact"/>
        <w:rPr>
          <w:rFonts w:ascii="Times New Roman" w:cs="Times New Roman" w:eastAsia="Times New Roman" w:hAnsi="Times New Roman"/>
          <w:sz w:val="19"/>
          <w:szCs w:val="19"/>
          <w:color w:val="auto"/>
        </w:rPr>
      </w:pPr>
    </w:p>
    <w:p>
      <w:pPr>
        <w:jc w:val="both"/>
        <w:ind w:left="640" w:firstLine="530"/>
        <w:spacing w:after="0" w:line="270" w:lineRule="auto"/>
        <w:tabs>
          <w:tab w:leader="none" w:pos="1619" w:val="left"/>
        </w:tabs>
        <w:numPr>
          <w:ilvl w:val="2"/>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Waivers and Amendments</w:t>
      </w:r>
      <w:r>
        <w:rPr>
          <w:rFonts w:ascii="Times New Roman" w:cs="Times New Roman" w:eastAsia="Times New Roman" w:hAnsi="Times New Roman"/>
          <w:sz w:val="19"/>
          <w:szCs w:val="19"/>
          <w:color w:val="auto"/>
        </w:rPr>
        <w:t>. That Defaulting Lender’s right to approve or disapprove any amendment, waiver,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consent with respect to this Agreement shall be restricted as set forth in </w:t>
      </w:r>
      <w:r>
        <w:rPr>
          <w:rFonts w:ascii="Times New Roman" w:cs="Times New Roman" w:eastAsia="Times New Roman" w:hAnsi="Times New Roman"/>
          <w:sz w:val="19"/>
          <w:szCs w:val="19"/>
          <w:b w:val="1"/>
          <w:bCs w:val="1"/>
          <w:i w:val="1"/>
          <w:iCs w:val="1"/>
          <w:color w:val="auto"/>
        </w:rPr>
        <w:t>Section 15.9</w:t>
      </w:r>
      <w:r>
        <w:rPr>
          <w:rFonts w:ascii="Times New Roman" w:cs="Times New Roman" w:eastAsia="Times New Roman" w:hAnsi="Times New Roman"/>
          <w:sz w:val="19"/>
          <w:szCs w:val="19"/>
          <w:color w:val="auto"/>
        </w:rPr>
        <w:t xml:space="preserve"> and in the definitions of “</w:t>
      </w:r>
      <w:r>
        <w:rPr>
          <w:rFonts w:ascii="Times New Roman" w:cs="Times New Roman" w:eastAsia="Times New Roman" w:hAnsi="Times New Roman"/>
          <w:sz w:val="19"/>
          <w:szCs w:val="19"/>
          <w:i w:val="1"/>
          <w:iCs w:val="1"/>
          <w:color w:val="auto"/>
        </w:rPr>
        <w:t>Required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Lenders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Required Revolver Lenders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EE2724"/>
        </w:rPr>
        <w:t>and</w:t>
      </w:r>
      <w:r>
        <w:rPr>
          <w:rFonts w:ascii="Times New Roman" w:cs="Times New Roman" w:eastAsia="Times New Roman" w:hAnsi="Times New Roman"/>
          <w:sz w:val="19"/>
          <w:szCs w:val="19"/>
          <w:u w:val="single" w:color="auto"/>
          <w:color w:val="3051F2"/>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Required Term Loan Lenders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3051F2"/>
        </w:rPr>
        <w:t>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i w:val="1"/>
          <w:iCs w:val="1"/>
          <w:color w:val="3051F2"/>
        </w:rPr>
        <w:t>“Required Delayed Draw Term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i w:val="1"/>
          <w:iCs w:val="1"/>
          <w:u w:val="single" w:color="auto"/>
          <w:color w:val="3051F2"/>
        </w:rPr>
        <w:t>Lenders”</w:t>
      </w:r>
      <w:r>
        <w:rPr>
          <w:rFonts w:ascii="Times New Roman" w:cs="Times New Roman" w:eastAsia="Times New Roman" w:hAnsi="Times New Roman"/>
          <w:sz w:val="19"/>
          <w:szCs w:val="19"/>
          <w:color w:val="000000"/>
        </w:rPr>
        <w:t>.</w:t>
      </w:r>
    </w:p>
    <w:p>
      <w:pPr>
        <w:spacing w:after="0" w:line="200" w:lineRule="exact"/>
        <w:rPr>
          <w:rFonts w:ascii="Times New Roman" w:cs="Times New Roman" w:eastAsia="Times New Roman" w:hAnsi="Times New Roman"/>
          <w:sz w:val="19"/>
          <w:szCs w:val="19"/>
          <w:color w:val="auto"/>
        </w:rPr>
      </w:pPr>
    </w:p>
    <w:p>
      <w:pPr>
        <w:spacing w:after="0" w:line="203" w:lineRule="exact"/>
        <w:rPr>
          <w:rFonts w:ascii="Times New Roman" w:cs="Times New Roman" w:eastAsia="Times New Roman" w:hAnsi="Times New Roman"/>
          <w:sz w:val="19"/>
          <w:szCs w:val="19"/>
          <w:color w:val="auto"/>
        </w:rPr>
      </w:pPr>
    </w:p>
    <w:p>
      <w:pPr>
        <w:jc w:val="both"/>
        <w:ind w:left="640" w:firstLine="415"/>
        <w:spacing w:after="0" w:line="259" w:lineRule="auto"/>
        <w:tabs>
          <w:tab w:leader="none" w:pos="1500"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Defaulting Lender Waterfall</w:t>
      </w:r>
      <w:r>
        <w:rPr>
          <w:rFonts w:ascii="Times New Roman" w:cs="Times New Roman" w:eastAsia="Times New Roman" w:hAnsi="Times New Roman"/>
          <w:sz w:val="19"/>
          <w:szCs w:val="19"/>
          <w:color w:val="auto"/>
        </w:rPr>
        <w:t>. Any payment of principal, interest, fees, or other amounts received by Administrative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Agent for the account of that Defaulting Lender (whether voluntary or mandatory, at maturity, pursuant to </w:t>
      </w:r>
      <w:r>
        <w:rPr>
          <w:rFonts w:ascii="Times New Roman" w:cs="Times New Roman" w:eastAsia="Times New Roman" w:hAnsi="Times New Roman"/>
          <w:sz w:val="19"/>
          <w:szCs w:val="19"/>
          <w:b w:val="1"/>
          <w:bCs w:val="1"/>
          <w:i w:val="1"/>
          <w:iCs w:val="1"/>
          <w:color w:val="auto"/>
        </w:rPr>
        <w:t>Sections 12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13</w:t>
      </w:r>
      <w:r>
        <w:rPr>
          <w:rFonts w:ascii="Times New Roman" w:cs="Times New Roman" w:eastAsia="Times New Roman" w:hAnsi="Times New Roman"/>
          <w:sz w:val="19"/>
          <w:szCs w:val="19"/>
          <w:color w:val="auto"/>
        </w:rPr>
        <w:t xml:space="preserve"> or otherwise, and including any amounts made available to Administrative Agent by that Defaulting Lender pursuant to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15.13</w:t>
      </w:r>
      <w:r>
        <w:rPr>
          <w:rFonts w:ascii="Times New Roman" w:cs="Times New Roman" w:eastAsia="Times New Roman" w:hAnsi="Times New Roman"/>
          <w:sz w:val="19"/>
          <w:szCs w:val="19"/>
          <w:color w:val="auto"/>
        </w:rPr>
        <w:t>), shall be applied at such time or times as may be determined by Administrative Agent as follows: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to the payment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any amounts owing by that Defaulting Lender to Administrative Agent hereunder;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payment on a pro rata basis of any amounts owing by that Defaulting Lender to the L/C Issuer hereunder;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if so determined by Administrative Agent or requested by the L/C Issuer, to be held as Cash Collateral for future funding obligations of that Defaulting Lender of any participation in any L/C;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as Borrower may request (so long as no Default or Potential Default exists), to the funding of any Loan in respect of which that Defaulting Lender has failed to fund its portion thereof as required by this Agreement, as determined by Administrative Agent;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if so determined by Administrative Agent and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to the payment of any amounts owing to the Lenders or the L/C Issuer as a result of any judgment of a court of competent jurisdiction obtained by any Lender or the L/C Issuer against that Defaulting Lender as a result of that Defaulting Lender’s breach of its obligations under this Agreement; </w:t>
      </w: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so long as no Default or Potential Default exists, to the payment of any amounts owing to Borrower as a result of any judgment of a court of competent jurisdiction obtained by Borrower against that Defaulting Lender as a result of that Defaulting Lender’s breach of its obligations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2459990</wp:posOffset>
            </wp:positionH>
            <wp:positionV relativeFrom="paragraph">
              <wp:posOffset>-2740025</wp:posOffset>
            </wp:positionV>
            <wp:extent cx="2425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42570" cy="8255"/>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-2689225</wp:posOffset>
            </wp:positionV>
            <wp:extent cx="22777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64</w:t>
      </w:r>
    </w:p>
    <w:p>
      <w:pPr>
        <w:sectPr>
          <w:pgSz w:w="11900" w:h="16838" w:orient="portrait"/>
          <w:cols w:equalWidth="0" w:num="1">
            <w:col w:w="10600"/>
          </w:cols>
          <w:pgMar w:left="960" w:top="1390" w:right="339" w:bottom="1440" w:gutter="0" w:footer="0" w:header="0"/>
        </w:sectPr>
      </w:pPr>
    </w:p>
    <w:bookmarkStart w:id="178" w:name="page179"/>
    <w:bookmarkEnd w:id="178"/>
    <w:p>
      <w:pPr>
        <w:jc w:val="both"/>
        <w:ind w:left="160"/>
        <w:spacing w:after="0" w:line="262" w:lineRule="auto"/>
        <w:rPr>
          <w:sz w:val="20"/>
          <w:szCs w:val="20"/>
          <w:color w:val="auto"/>
        </w:rPr>
      </w:pPr>
      <w:r>
        <w:rPr>
          <w:rFonts w:ascii="Times New Roman" w:cs="Times New Roman" w:eastAsia="Times New Roman" w:hAnsi="Times New Roman"/>
          <w:sz w:val="19"/>
          <w:szCs w:val="19"/>
          <w:color w:val="auto"/>
        </w:rPr>
        <w:t xml:space="preserve">this Agreement; and </w:t>
      </w: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xml:space="preserve">, to that Defaulting Lender or as otherwise directed by a court of competent jurisdiction;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9"/>
          <w:szCs w:val="19"/>
          <w:b w:val="1"/>
          <w:bCs w:val="1"/>
          <w:i w:val="1"/>
          <w:iCs w:val="1"/>
          <w:color w:val="auto"/>
        </w:rPr>
        <w:t>Section 3.15(a)(ii)</w:t>
      </w:r>
      <w:r>
        <w:rPr>
          <w:rFonts w:ascii="Times New Roman" w:cs="Times New Roman" w:eastAsia="Times New Roman" w:hAnsi="Times New Roman"/>
          <w:sz w:val="19"/>
          <w:szCs w:val="19"/>
          <w:color w:val="auto"/>
        </w:rPr>
        <w:t xml:space="preserve"> shall be deemed paid to and redirected by that Defaulting Lender, and each Lender irrevocably consents hereto.</w:t>
      </w:r>
    </w:p>
    <w:p>
      <w:pPr>
        <w:spacing w:after="0" w:line="398" w:lineRule="exact"/>
        <w:rPr>
          <w:sz w:val="20"/>
          <w:szCs w:val="20"/>
          <w:color w:val="auto"/>
        </w:rPr>
      </w:pPr>
    </w:p>
    <w:p>
      <w:pPr>
        <w:ind w:left="840" w:hanging="486"/>
        <w:spacing w:after="0"/>
        <w:tabs>
          <w:tab w:leader="none" w:pos="84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Certain Fees</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jc w:val="both"/>
        <w:ind w:left="160" w:firstLine="636"/>
        <w:spacing w:after="0" w:line="276" w:lineRule="auto"/>
        <w:tabs>
          <w:tab w:leader="none" w:pos="1431" w:val="left"/>
        </w:tabs>
        <w:numPr>
          <w:ilvl w:val="2"/>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Defaulting Lender shall be entitled to receive any fee payable under </w:t>
      </w:r>
      <w:r>
        <w:rPr>
          <w:rFonts w:ascii="Times New Roman" w:cs="Times New Roman" w:eastAsia="Times New Roman" w:hAnsi="Times New Roman"/>
          <w:sz w:val="19"/>
          <w:szCs w:val="19"/>
          <w:b w:val="1"/>
          <w:bCs w:val="1"/>
          <w:i w:val="1"/>
          <w:iCs w:val="1"/>
          <w:color w:val="EE2724"/>
          <w:strike w:val="1"/>
        </w:rPr>
        <w:t>Section</w:t>
      </w:r>
      <w:r>
        <w:rPr>
          <w:rFonts w:ascii="Times New Roman" w:cs="Times New Roman" w:eastAsia="Times New Roman" w:hAnsi="Times New Roman"/>
          <w:sz w:val="19"/>
          <w:szCs w:val="19"/>
          <w:b w:val="1"/>
          <w:bCs w:val="1"/>
          <w:i w:val="1"/>
          <w:iCs w:val="1"/>
          <w:u w:val="single" w:color="auto"/>
          <w:color w:val="3051F2"/>
        </w:rPr>
        <w:t>Sections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5.4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u w:val="single" w:color="auto"/>
          <w:color w:val="3051F2"/>
        </w:rPr>
        <w:t>5.5</w:t>
      </w:r>
      <w:r>
        <w:rPr>
          <w:rFonts w:ascii="Times New Roman" w:cs="Times New Roman" w:eastAsia="Times New Roman" w:hAnsi="Times New Roman"/>
          <w:sz w:val="19"/>
          <w:szCs w:val="19"/>
          <w:color w:val="auto"/>
        </w:rPr>
        <w:t xml:space="preserve"> for any period during which such Lender is a Defaulting Lender (and Borrower shall not be required to pay any such fee that otherwise would have been required to have been paid to such Defaulting Lender).</w:t>
      </w:r>
    </w:p>
    <w:p>
      <w:pPr>
        <w:spacing w:after="0" w:line="192" w:lineRule="exact"/>
        <w:rPr>
          <w:rFonts w:ascii="Times New Roman" w:cs="Times New Roman" w:eastAsia="Times New Roman" w:hAnsi="Times New Roman"/>
          <w:sz w:val="19"/>
          <w:szCs w:val="19"/>
          <w:color w:val="auto"/>
        </w:rPr>
      </w:pPr>
    </w:p>
    <w:p>
      <w:pPr>
        <w:jc w:val="both"/>
        <w:ind w:left="160" w:firstLine="636"/>
        <w:spacing w:after="0" w:line="274" w:lineRule="auto"/>
        <w:tabs>
          <w:tab w:leader="none" w:pos="1420" w:val="left"/>
        </w:tabs>
        <w:numPr>
          <w:ilvl w:val="2"/>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Defaulting Lender shall be entitled to receive L/C Fees for any period during which such Lender is a Defaulting Lender only to the extent allocable to its Commitment Percentage of the stated amount of all L/Cs for which it has provided Cash Collateral pursuant to </w:t>
      </w:r>
      <w:r>
        <w:rPr>
          <w:rFonts w:ascii="Times New Roman" w:cs="Times New Roman" w:eastAsia="Times New Roman" w:hAnsi="Times New Roman"/>
          <w:sz w:val="19"/>
          <w:szCs w:val="19"/>
          <w:b w:val="1"/>
          <w:bCs w:val="1"/>
          <w:i w:val="1"/>
          <w:iCs w:val="1"/>
          <w:color w:val="auto"/>
        </w:rPr>
        <w:t>Section 3.14</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19"/>
          <w:szCs w:val="19"/>
          <w:color w:val="auto"/>
        </w:rPr>
      </w:pPr>
    </w:p>
    <w:p>
      <w:pPr>
        <w:jc w:val="both"/>
        <w:ind w:left="160" w:firstLine="636"/>
        <w:spacing w:after="0" w:line="262" w:lineRule="auto"/>
        <w:tabs>
          <w:tab w:leader="none" w:pos="1383" w:val="left"/>
        </w:tabs>
        <w:numPr>
          <w:ilvl w:val="2"/>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L/C Fees not required to be paid to any Defaulting Lender pursuant to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above, Borrower shall (x) pay to each Non-Defaulting Lender that portion of any such fee otherwise payable to such Defaulting Lender with respect to such Defaulting Lender’s participation in L/C Borrowing that has been reallocated to such Non-Defaulting Lender pursuant to </w:t>
      </w:r>
      <w:r>
        <w:rPr>
          <w:rFonts w:ascii="Times New Roman" w:cs="Times New Roman" w:eastAsia="Times New Roman" w:hAnsi="Times New Roman"/>
          <w:sz w:val="19"/>
          <w:szCs w:val="19"/>
          <w:b w:val="1"/>
          <w:bCs w:val="1"/>
          <w:i w:val="1"/>
          <w:iCs w:val="1"/>
          <w:color w:val="auto"/>
        </w:rPr>
        <w:t>clause (iv)</w:t>
      </w:r>
      <w:r>
        <w:rPr>
          <w:rFonts w:ascii="Times New Roman" w:cs="Times New Roman" w:eastAsia="Times New Roman" w:hAnsi="Times New Roman"/>
          <w:sz w:val="19"/>
          <w:szCs w:val="19"/>
          <w:color w:val="auto"/>
        </w:rPr>
        <w:t xml:space="preserve"> below, (y) pay to the applicable L/C Issuer the amount of any such fee otherwise payable to such Defaulting Lender to the extent allocable to such L/C Issuer’s Fronting Exposure to such Defaulting Lender, and (z) not be required to pay the remaining amount of any such fee.</w:t>
      </w:r>
    </w:p>
    <w:p>
      <w:pPr>
        <w:spacing w:after="0" w:line="200" w:lineRule="exact"/>
        <w:rPr>
          <w:rFonts w:ascii="Times New Roman" w:cs="Times New Roman" w:eastAsia="Times New Roman" w:hAnsi="Times New Roman"/>
          <w:sz w:val="19"/>
          <w:szCs w:val="19"/>
          <w:color w:val="auto"/>
        </w:rPr>
      </w:pPr>
    </w:p>
    <w:p>
      <w:pPr>
        <w:jc w:val="both"/>
        <w:ind w:left="160" w:firstLine="287"/>
        <w:spacing w:after="0" w:line="262" w:lineRule="auto"/>
        <w:tabs>
          <w:tab w:leader="none" w:pos="1015"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Reallocation of Commitment Percentages to Reduce Fronting Exposure</w:t>
      </w:r>
      <w:r>
        <w:rPr>
          <w:rFonts w:ascii="Times New Roman" w:cs="Times New Roman" w:eastAsia="Times New Roman" w:hAnsi="Times New Roman"/>
          <w:sz w:val="19"/>
          <w:szCs w:val="19"/>
          <w:color w:val="auto"/>
        </w:rPr>
        <w:t>. During any period in which there is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Defaulting Lender, for purposes of computing the amount of the obligation of each non-Defaulting Lender to acquire, refinance, or fund participations in L/Cs pursuant to </w:t>
      </w:r>
      <w:r>
        <w:rPr>
          <w:rFonts w:ascii="Times New Roman" w:cs="Times New Roman" w:eastAsia="Times New Roman" w:hAnsi="Times New Roman"/>
          <w:sz w:val="19"/>
          <w:szCs w:val="19"/>
          <w:b w:val="1"/>
          <w:bCs w:val="1"/>
          <w:i w:val="1"/>
          <w:iCs w:val="1"/>
          <w:color w:val="auto"/>
        </w:rPr>
        <w:t>Sections 2.3</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i w:val="1"/>
          <w:iCs w:val="1"/>
          <w:color w:val="auto"/>
        </w:rPr>
        <w:t>Commitment Percentage</w:t>
      </w:r>
      <w:r>
        <w:rPr>
          <w:rFonts w:ascii="Times New Roman" w:cs="Times New Roman" w:eastAsia="Times New Roman" w:hAnsi="Times New Roman"/>
          <w:sz w:val="19"/>
          <w:szCs w:val="19"/>
          <w:color w:val="auto"/>
        </w:rPr>
        <w:t xml:space="preserve">” of each non-Defaulting Lender shall be computed without giving effect to the Commitment of that Defaulting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aggregate obligation of each non-Defaulting Lender to acquire, refinance, or fund participations in L/Cs shall not exceed the excess, if any, of (1) the Commitment of that non-Defaulting Lender </w:t>
      </w:r>
      <w:r>
        <w:rPr>
          <w:rFonts w:ascii="Times New Roman" w:cs="Times New Roman" w:eastAsia="Times New Roman" w:hAnsi="Times New Roman"/>
          <w:sz w:val="19"/>
          <w:szCs w:val="19"/>
          <w:i w:val="1"/>
          <w:iCs w:val="1"/>
          <w:color w:val="auto"/>
        </w:rPr>
        <w:t>over</w:t>
      </w:r>
      <w:r>
        <w:rPr>
          <w:rFonts w:ascii="Times New Roman" w:cs="Times New Roman" w:eastAsia="Times New Roman" w:hAnsi="Times New Roman"/>
          <w:sz w:val="19"/>
          <w:szCs w:val="19"/>
          <w:color w:val="auto"/>
        </w:rPr>
        <w:t xml:space="preserve"> (2) the aggregate Outstanding Amount of the Loans of that Lender. Subject to </w:t>
      </w:r>
      <w:r>
        <w:rPr>
          <w:rFonts w:ascii="Times New Roman" w:cs="Times New Roman" w:eastAsia="Times New Roman" w:hAnsi="Times New Roman"/>
          <w:sz w:val="19"/>
          <w:szCs w:val="19"/>
          <w:b w:val="1"/>
          <w:bCs w:val="1"/>
          <w:i w:val="1"/>
          <w:iCs w:val="1"/>
          <w:color w:val="auto"/>
        </w:rPr>
        <w:t>Section 15.24</w:t>
      </w:r>
      <w:r>
        <w:rPr>
          <w:rFonts w:ascii="Times New Roman" w:cs="Times New Roman" w:eastAsia="Times New Roman" w:hAnsi="Times New Roman"/>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65</w:t>
      </w:r>
    </w:p>
    <w:p>
      <w:pPr>
        <w:sectPr>
          <w:pgSz w:w="11900" w:h="16838" w:orient="portrait"/>
          <w:cols w:equalWidth="0" w:num="1">
            <w:col w:w="10120"/>
          </w:cols>
          <w:pgMar w:left="1440" w:top="1388" w:right="339" w:bottom="1440" w:gutter="0" w:footer="0" w:header="0"/>
        </w:sectPr>
      </w:pPr>
    </w:p>
    <w:bookmarkStart w:id="179" w:name="page180"/>
    <w:bookmarkEnd w:id="179"/>
    <w:p>
      <w:pPr>
        <w:jc w:val="both"/>
        <w:ind w:left="640" w:firstLine="878"/>
        <w:spacing w:after="0" w:line="260" w:lineRule="auto"/>
        <w:tabs>
          <w:tab w:leader="none" w:pos="2082"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Defaulting Lender Cure</w:t>
      </w:r>
      <w:r>
        <w:rPr>
          <w:rFonts w:ascii="Times New Roman" w:cs="Times New Roman" w:eastAsia="Times New Roman" w:hAnsi="Times New Roman"/>
          <w:sz w:val="19"/>
          <w:szCs w:val="19"/>
          <w:color w:val="auto"/>
        </w:rPr>
        <w:t>. If Borrower, Administrative Agent and the L/C Issuers agree in writing in their sole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discretion that a Defaulting Lender should no longer be deemed to be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Administrative Agent may determine to be necessary to cause the Revolver Loans</w:t>
      </w:r>
      <w:r>
        <w:rPr>
          <w:rFonts w:ascii="Times New Roman" w:cs="Times New Roman" w:eastAsia="Times New Roman" w:hAnsi="Times New Roman"/>
          <w:sz w:val="19"/>
          <w:szCs w:val="19"/>
          <w:u w:val="single" w:color="auto"/>
          <w:color w:val="3051F2"/>
        </w:rPr>
        <w:t>, Term Loans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Loans and funded and unfunded participations in L/Cs to be held on a pro rata basis by the Lenders in accordance with their Commitment Percentages (without giving effect to </w:t>
      </w:r>
      <w:r>
        <w:rPr>
          <w:rFonts w:ascii="Times New Roman" w:cs="Times New Roman" w:eastAsia="Times New Roman" w:hAnsi="Times New Roman"/>
          <w:sz w:val="19"/>
          <w:szCs w:val="19"/>
          <w:b w:val="1"/>
          <w:bCs w:val="1"/>
          <w:i w:val="1"/>
          <w:iCs w:val="1"/>
          <w:color w:val="auto"/>
        </w:rPr>
        <w:t>Section 3.15(a)(iv)</w:t>
      </w:r>
      <w:r>
        <w:rPr>
          <w:rFonts w:ascii="Times New Roman" w:cs="Times New Roman" w:eastAsia="Times New Roman" w:hAnsi="Times New Roman"/>
          <w:sz w:val="19"/>
          <w:szCs w:val="19"/>
          <w:color w:val="auto"/>
        </w:rPr>
        <w:t xml:space="preserve">), whereupon that Lender will cease to be a Defaulting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Borrower while that Lender was a Defaulting Lender; and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9"/>
          <w:szCs w:val="19"/>
          <w:b w:val="1"/>
          <w:bCs w:val="1"/>
          <w:u w:val="single" w:color="auto"/>
          <w:color w:val="auto"/>
        </w:rPr>
        <w:t>SECTION 4</w:t>
        <w:tab/>
        <w:t>TAXES, YIELD PROTECTION, AND ILLEGALITY.</w:t>
      </w:r>
    </w:p>
    <w:p>
      <w:pPr>
        <w:spacing w:after="0" w:line="22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4.1.</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900" w:hanging="620"/>
        <w:spacing w:after="0"/>
        <w:tabs>
          <w:tab w:leader="none" w:pos="190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Payments Free of Taxes; Obligation to Withhold; Payments on Account of Taxes</w:t>
      </w:r>
      <w:r>
        <w:rPr>
          <w:rFonts w:ascii="Times New Roman" w:cs="Times New Roman" w:eastAsia="Times New Roman" w:hAnsi="Times New Roman"/>
          <w:sz w:val="19"/>
          <w:szCs w:val="19"/>
          <w:color w:val="auto"/>
        </w:rPr>
        <w:t>.</w:t>
      </w:r>
    </w:p>
    <w:p>
      <w:pPr>
        <w:spacing w:after="0" w:line="223" w:lineRule="exact"/>
        <w:rPr>
          <w:rFonts w:ascii="Times New Roman" w:cs="Times New Roman" w:eastAsia="Times New Roman" w:hAnsi="Times New Roman"/>
          <w:sz w:val="19"/>
          <w:szCs w:val="19"/>
          <w:color w:val="auto"/>
        </w:rPr>
      </w:pPr>
    </w:p>
    <w:p>
      <w:pPr>
        <w:jc w:val="both"/>
        <w:ind w:left="1280" w:firstLine="636"/>
        <w:spacing w:after="0" w:line="264" w:lineRule="auto"/>
        <w:tabs>
          <w:tab w:leader="none" w:pos="2551"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and all payments by or on account of any obligation of any Restricted Company under any Loan Paper shall be made without deduction or withholding for any Taxes, except as required by applicable Laws. If any applicable Laws (as determined in the good faith discretion of Administrative Agent) require the deduction or withholding of any Tax from any such payment by Administrative Agent or a Restricted Company, then Administrative Agent or such Restricted Company shall be entitled to make such deduction or withholding, upon the basis of the information and documentation to be delivered pursuant to </w:t>
      </w:r>
      <w:r>
        <w:rPr>
          <w:rFonts w:ascii="Times New Roman" w:cs="Times New Roman" w:eastAsia="Times New Roman" w:hAnsi="Times New Roman"/>
          <w:sz w:val="19"/>
          <w:szCs w:val="19"/>
          <w:b w:val="1"/>
          <w:bCs w:val="1"/>
          <w:i w:val="1"/>
          <w:iCs w:val="1"/>
          <w:color w:val="auto"/>
        </w:rPr>
        <w:t>subsection (e)</w:t>
      </w:r>
      <w:r>
        <w:rPr>
          <w:rFonts w:ascii="Times New Roman" w:cs="Times New Roman" w:eastAsia="Times New Roman" w:hAnsi="Times New Roman"/>
          <w:sz w:val="19"/>
          <w:szCs w:val="19"/>
          <w:color w:val="auto"/>
        </w:rPr>
        <w:t xml:space="preserve"> below.</w:t>
      </w:r>
    </w:p>
    <w:p>
      <w:pPr>
        <w:spacing w:after="0" w:line="176" w:lineRule="exact"/>
        <w:rPr>
          <w:rFonts w:ascii="Times New Roman" w:cs="Times New Roman" w:eastAsia="Times New Roman" w:hAnsi="Times New Roman"/>
          <w:sz w:val="19"/>
          <w:szCs w:val="19"/>
          <w:color w:val="auto"/>
        </w:rPr>
      </w:pPr>
    </w:p>
    <w:p>
      <w:pPr>
        <w:ind w:left="2560" w:hanging="644"/>
        <w:spacing w:after="0"/>
        <w:tabs>
          <w:tab w:leader="none" w:pos="2560"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Restricted Company or Administrative Agent shall be required by the Code to withhold or deduct any</w:t>
      </w:r>
    </w:p>
    <w:p>
      <w:pPr>
        <w:spacing w:after="0" w:line="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Taxes,  including  both  United  States  Federal  backup  withholding  and  withholding  taxes,  from  any  payment,  then</w:t>
      </w:r>
    </w:p>
    <w:p>
      <w:pPr>
        <w:spacing w:after="0" w:line="13" w:lineRule="exact"/>
        <w:rPr>
          <w:sz w:val="20"/>
          <w:szCs w:val="20"/>
          <w:color w:val="auto"/>
        </w:rPr>
      </w:pPr>
    </w:p>
    <w:p>
      <w:pPr>
        <w:jc w:val="both"/>
        <w:ind w:left="1280"/>
        <w:spacing w:after="0" w:line="257" w:lineRule="auto"/>
        <w:tabs>
          <w:tab w:leader="none" w:pos="1605"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Administrative Agent shall withhold or make such deductions as are determined by Administrative Agent to be required based upon the information and documentation it has received pursuant to </w:t>
      </w:r>
      <w:r>
        <w:rPr>
          <w:rFonts w:ascii="Times New Roman" w:cs="Times New Roman" w:eastAsia="Times New Roman" w:hAnsi="Times New Roman"/>
          <w:sz w:val="19"/>
          <w:szCs w:val="19"/>
          <w:b w:val="1"/>
          <w:bCs w:val="1"/>
          <w:i w:val="1"/>
          <w:iCs w:val="1"/>
          <w:color w:val="auto"/>
        </w:rPr>
        <w:t>subsection (e)</w:t>
      </w:r>
      <w:r>
        <w:rPr>
          <w:rFonts w:ascii="Times New Roman" w:cs="Times New Roman" w:eastAsia="Times New Roman" w:hAnsi="Times New Roman"/>
          <w:sz w:val="19"/>
          <w:szCs w:val="19"/>
          <w:color w:val="auto"/>
        </w:rPr>
        <w:t xml:space="preserve"> below, (B) Administrative Agent shall timely pay the full amount withheld or deducted to the relevant Governmental Authority in accordance with the Code, and</w:t>
      </w:r>
    </w:p>
    <w:p>
      <w:pPr>
        <w:spacing w:after="0" w:line="1" w:lineRule="exact"/>
        <w:rPr>
          <w:rFonts w:ascii="Times New Roman" w:cs="Times New Roman" w:eastAsia="Times New Roman" w:hAnsi="Times New Roman"/>
          <w:sz w:val="19"/>
          <w:szCs w:val="19"/>
          <w:color w:val="auto"/>
        </w:rPr>
      </w:pPr>
    </w:p>
    <w:p>
      <w:pPr>
        <w:jc w:val="both"/>
        <w:ind w:left="1280"/>
        <w:spacing w:after="0" w:line="264" w:lineRule="auto"/>
        <w:tabs>
          <w:tab w:leader="none" w:pos="159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that the withholding or deduction is made on account of Indemnified Taxes, the sum payable by the applicable Restricted Company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the applicable Recipient receives an amount equal to the sum it would have received had no such withholding or deduction been made.</w:t>
      </w:r>
    </w:p>
    <w:p>
      <w:pPr>
        <w:spacing w:after="0" w:line="165" w:lineRule="exact"/>
        <w:rPr>
          <w:rFonts w:ascii="Times New Roman" w:cs="Times New Roman" w:eastAsia="Times New Roman" w:hAnsi="Times New Roman"/>
          <w:sz w:val="19"/>
          <w:szCs w:val="19"/>
          <w:color w:val="auto"/>
        </w:rPr>
      </w:pPr>
    </w:p>
    <w:p>
      <w:pPr>
        <w:ind w:left="1280" w:firstLine="636"/>
        <w:spacing w:after="0" w:line="300" w:lineRule="auto"/>
        <w:tabs>
          <w:tab w:leader="none" w:pos="2553"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Restricted Company or Administrative Agent shall be required by any applicable Laws other than the Code to withhold or deduct any Taxes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1900" w:h="16838" w:orient="portrait"/>
          <w:cols w:equalWidth="0" w:num="1">
            <w:col w:w="11240"/>
          </w:cols>
          <w:pgMar w:left="320" w:top="1386" w:right="339" w:bottom="1440" w:gutter="0" w:footer="0" w:header="0"/>
        </w:sectPr>
      </w:pPr>
    </w:p>
    <w:bookmarkStart w:id="180" w:name="page181"/>
    <w:bookmarkEnd w:id="180"/>
    <w:p>
      <w:pPr>
        <w:jc w:val="both"/>
        <w:ind w:left="160"/>
        <w:spacing w:after="0" w:line="261" w:lineRule="auto"/>
        <w:rPr>
          <w:sz w:val="20"/>
          <w:szCs w:val="20"/>
          <w:color w:val="auto"/>
        </w:rPr>
      </w:pPr>
      <w:r>
        <w:rPr>
          <w:rFonts w:ascii="Times New Roman" w:cs="Times New Roman" w:eastAsia="Times New Roman" w:hAnsi="Times New Roman"/>
          <w:sz w:val="19"/>
          <w:szCs w:val="19"/>
          <w:color w:val="auto"/>
        </w:rPr>
        <w:t xml:space="preserve">payment, then (A) such Restricted Company or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9"/>
          <w:szCs w:val="19"/>
          <w:b w:val="1"/>
          <w:bCs w:val="1"/>
          <w:i w:val="1"/>
          <w:iCs w:val="1"/>
          <w:color w:val="auto"/>
        </w:rPr>
        <w:t xml:space="preserve">subsection (e) </w:t>
      </w:r>
      <w:r>
        <w:rPr>
          <w:rFonts w:ascii="Times New Roman" w:cs="Times New Roman" w:eastAsia="Times New Roman" w:hAnsi="Times New Roman"/>
          <w:sz w:val="19"/>
          <w:szCs w:val="19"/>
          <w:color w:val="auto"/>
        </w:rPr>
        <w:t>below, (B) such Restricted Company or Administrative Agent, to the extent required by such Laws, shall timely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pay the full amount withheld or deducted to the relevant Governmental Authority in accordance with such Laws, and (C) to the extent that the withholding or deduction is made on account of Indemnified Taxes, the sum payable by the applicable Restricted Company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the applicable Recipient receives an amount equal to the sum it would have received had no such withholding or deduction been made.</w:t>
      </w:r>
    </w:p>
    <w:p>
      <w:pPr>
        <w:spacing w:after="0" w:line="178" w:lineRule="exact"/>
        <w:rPr>
          <w:sz w:val="20"/>
          <w:szCs w:val="20"/>
          <w:color w:val="auto"/>
        </w:rPr>
      </w:pPr>
    </w:p>
    <w:p>
      <w:pPr>
        <w:jc w:val="both"/>
        <w:ind w:left="-480" w:firstLine="640"/>
        <w:spacing w:after="0" w:line="276" w:lineRule="auto"/>
        <w:tabs>
          <w:tab w:leader="none" w:pos="781"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Payment of Other Taxes by Borrower. </w:t>
      </w:r>
      <w:r>
        <w:rPr>
          <w:rFonts w:ascii="Times New Roman" w:cs="Times New Roman" w:eastAsia="Times New Roman" w:hAnsi="Times New Roman"/>
          <w:sz w:val="19"/>
          <w:szCs w:val="19"/>
          <w:color w:val="auto"/>
        </w:rPr>
        <w:t>Without limiting the provisions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subsection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above, the Restricted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Companies shall timely pay to the relevant Governmental Authority in accordance with applicable Law, or at the option of Administrative Agent timely reimburse it for the payment of, any Other Taxes.</w:t>
      </w:r>
    </w:p>
    <w:p>
      <w:pPr>
        <w:spacing w:after="0" w:line="161" w:lineRule="exact"/>
        <w:rPr>
          <w:rFonts w:ascii="Times New Roman" w:cs="Times New Roman" w:eastAsia="Times New Roman" w:hAnsi="Times New Roman"/>
          <w:sz w:val="19"/>
          <w:szCs w:val="19"/>
          <w:color w:val="auto"/>
        </w:rPr>
      </w:pPr>
    </w:p>
    <w:p>
      <w:pPr>
        <w:ind w:left="780" w:hanging="620"/>
        <w:spacing w:after="0"/>
        <w:tabs>
          <w:tab w:leader="none" w:pos="780"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 Indemnifications.</w:t>
      </w:r>
    </w:p>
    <w:p>
      <w:pPr>
        <w:spacing w:after="0" w:line="223" w:lineRule="exact"/>
        <w:rPr>
          <w:rFonts w:ascii="Times New Roman" w:cs="Times New Roman" w:eastAsia="Times New Roman" w:hAnsi="Times New Roman"/>
          <w:sz w:val="19"/>
          <w:szCs w:val="19"/>
          <w:color w:val="auto"/>
        </w:rPr>
      </w:pPr>
    </w:p>
    <w:p>
      <w:pPr>
        <w:jc w:val="both"/>
        <w:ind w:left="160" w:firstLine="636"/>
        <w:spacing w:after="0" w:line="260" w:lineRule="auto"/>
        <w:tabs>
          <w:tab w:leader="none" w:pos="1431"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Restricted Companies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or an L/C Issuer (with a copy to Administrative Agent), or by Administrative Agent on its own behalf or on behalf of a Lender or an L/C Issuer, shall be conclusive absent manifest error. Each of the Restricted Companies shall, and does hereby, jointly and severally indemnify Administrative Agent, and shall make payment in respect thereof within 10 days after demand therefor, for any amount which a Lender or the L/C Issuer for any reason fails to pay indefeasibly to Administrative Agent as required pursuant to </w:t>
      </w:r>
      <w:r>
        <w:rPr>
          <w:rFonts w:ascii="Times New Roman" w:cs="Times New Roman" w:eastAsia="Times New Roman" w:hAnsi="Times New Roman"/>
          <w:sz w:val="19"/>
          <w:szCs w:val="19"/>
          <w:b w:val="1"/>
          <w:bCs w:val="1"/>
          <w:i w:val="1"/>
          <w:iCs w:val="1"/>
          <w:color w:val="auto"/>
        </w:rPr>
        <w:t>Section 4.1(c)(ii)</w:t>
      </w:r>
      <w:r>
        <w:rPr>
          <w:rFonts w:ascii="Times New Roman" w:cs="Times New Roman" w:eastAsia="Times New Roman" w:hAnsi="Times New Roman"/>
          <w:sz w:val="19"/>
          <w:szCs w:val="19"/>
          <w:color w:val="auto"/>
        </w:rPr>
        <w:t xml:space="preserve"> below.</w:t>
      </w:r>
    </w:p>
    <w:p>
      <w:pPr>
        <w:spacing w:after="0" w:line="182" w:lineRule="exact"/>
        <w:rPr>
          <w:rFonts w:ascii="Times New Roman" w:cs="Times New Roman" w:eastAsia="Times New Roman" w:hAnsi="Times New Roman"/>
          <w:sz w:val="19"/>
          <w:szCs w:val="19"/>
          <w:color w:val="auto"/>
        </w:rPr>
      </w:pPr>
    </w:p>
    <w:p>
      <w:pPr>
        <w:jc w:val="both"/>
        <w:ind w:left="160" w:firstLine="636"/>
        <w:spacing w:after="0" w:line="260" w:lineRule="auto"/>
        <w:tabs>
          <w:tab w:leader="none" w:pos="1432"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and each L/C Issuer shall, and does hereby, severally indemnify, and shall make payment in respect thereof within 10 days after demand therefor, (x) Administrative Agent against any Indemnified Taxes attributable to such Lender or such L/C Issuer (but only to the extent that any Restricted Company has not already indemnified Administrative Agent for such Indemnified Taxes and without limiting the obligation of the Restricted Companies to do so), (y) Administrative Agent and the Restricted Companies, as applicable, against any Taxes attributable to such Lender’s failure to comply with the provisions of </w:t>
      </w:r>
      <w:r>
        <w:rPr>
          <w:rFonts w:ascii="Times New Roman" w:cs="Times New Roman" w:eastAsia="Times New Roman" w:hAnsi="Times New Roman"/>
          <w:sz w:val="19"/>
          <w:szCs w:val="19"/>
          <w:b w:val="1"/>
          <w:bCs w:val="1"/>
          <w:i w:val="1"/>
          <w:iCs w:val="1"/>
          <w:color w:val="auto"/>
        </w:rPr>
        <w:t>Section 15.11</w:t>
      </w:r>
      <w:r>
        <w:rPr>
          <w:rFonts w:ascii="Times New Roman" w:cs="Times New Roman" w:eastAsia="Times New Roman" w:hAnsi="Times New Roman"/>
          <w:sz w:val="19"/>
          <w:szCs w:val="19"/>
          <w:color w:val="auto"/>
        </w:rPr>
        <w:t xml:space="preserve"> relating to the maintenance of a Participant Register and (z) Administrative Agent and the Restricted Companies, as applicable, against any Excluded Taxes attributable to such Lender or such L/C Issuer, in each case, that are payable or paid by Administrative Agent or a Restricted Company in connection with any Loan Paper, and any reasonable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67</w:t>
      </w:r>
    </w:p>
    <w:p>
      <w:pPr>
        <w:sectPr>
          <w:pgSz w:w="11900" w:h="16838" w:orient="portrait"/>
          <w:cols w:equalWidth="0" w:num="1">
            <w:col w:w="10120"/>
          </w:cols>
          <w:pgMar w:left="1440" w:top="1390" w:right="339" w:bottom="1440" w:gutter="0" w:footer="0" w:header="0"/>
        </w:sectPr>
      </w:pPr>
    </w:p>
    <w:bookmarkStart w:id="181" w:name="page182"/>
    <w:bookmarkEnd w:id="181"/>
    <w:p>
      <w:pPr>
        <w:jc w:val="both"/>
        <w:ind w:left="160"/>
        <w:spacing w:after="0" w:line="264" w:lineRule="auto"/>
        <w:rPr>
          <w:sz w:val="20"/>
          <w:szCs w:val="20"/>
          <w:color w:val="auto"/>
        </w:rPr>
      </w:pPr>
      <w:r>
        <w:rPr>
          <w:rFonts w:ascii="Times New Roman" w:cs="Times New Roman" w:eastAsia="Times New Roman" w:hAnsi="Times New Roman"/>
          <w:sz w:val="19"/>
          <w:szCs w:val="19"/>
          <w:color w:val="auto"/>
        </w:rPr>
        <w:t xml:space="preserve">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and each L/C Issuer hereby authorizes Administrative Agent to set off and apply any and all amounts at any time owing to such Lender or such L/C Issuer, as the case may be, under this Agreement or any other Loan Paper against any amount due to Administrative Agent under this </w:t>
      </w:r>
      <w:r>
        <w:rPr>
          <w:rFonts w:ascii="Times New Roman" w:cs="Times New Roman" w:eastAsia="Times New Roman" w:hAnsi="Times New Roman"/>
          <w:sz w:val="19"/>
          <w:szCs w:val="19"/>
          <w:b w:val="1"/>
          <w:bCs w:val="1"/>
          <w:i w:val="1"/>
          <w:iCs w:val="1"/>
          <w:color w:val="auto"/>
        </w:rPr>
        <w:t>clause (ii)</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jc w:val="both"/>
        <w:ind w:left="-480" w:firstLine="640"/>
        <w:spacing w:after="0" w:line="265" w:lineRule="auto"/>
        <w:tabs>
          <w:tab w:leader="none" w:pos="781"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Evidence of Payments. </w:t>
      </w:r>
      <w:r>
        <w:rPr>
          <w:rFonts w:ascii="Times New Roman" w:cs="Times New Roman" w:eastAsia="Times New Roman" w:hAnsi="Times New Roman"/>
          <w:sz w:val="19"/>
          <w:szCs w:val="19"/>
          <w:color w:val="auto"/>
        </w:rPr>
        <w:t>Upon request by Borrower or Administrative Agent, as the case may be, after any payment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Taxes by Borrower or by Administrative Agent to a Governmental Authority as provided in this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Borrower shall deliver to Administrative Agent or Administrative Agent shall deliver to Borrower, as the case may be, the original or a certified copy of a receipt issued by such Governmental Authority evidencing such payment, a copy of any return required by Laws to report such payment or other evidence of such payment reasonably satisfactory to Borrower or Administrative Agent, as the case may be.</w:t>
      </w:r>
    </w:p>
    <w:p>
      <w:pPr>
        <w:spacing w:after="0" w:line="173" w:lineRule="exact"/>
        <w:rPr>
          <w:rFonts w:ascii="Times New Roman" w:cs="Times New Roman" w:eastAsia="Times New Roman" w:hAnsi="Times New Roman"/>
          <w:sz w:val="19"/>
          <w:szCs w:val="19"/>
          <w:color w:val="auto"/>
        </w:rPr>
      </w:pPr>
    </w:p>
    <w:p>
      <w:pPr>
        <w:ind w:left="780" w:hanging="620"/>
        <w:spacing w:after="0"/>
        <w:tabs>
          <w:tab w:leader="none" w:pos="78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Status of Lenders; Tax Documentation</w:t>
      </w:r>
      <w:r>
        <w:rPr>
          <w:rFonts w:ascii="Times New Roman" w:cs="Times New Roman" w:eastAsia="Times New Roman" w:hAnsi="Times New Roman"/>
          <w:sz w:val="19"/>
          <w:szCs w:val="19"/>
          <w:color w:val="auto"/>
        </w:rPr>
        <w:t>.</w:t>
      </w:r>
    </w:p>
    <w:p>
      <w:pPr>
        <w:spacing w:after="0" w:line="236" w:lineRule="exact"/>
        <w:rPr>
          <w:rFonts w:ascii="Times New Roman" w:cs="Times New Roman" w:eastAsia="Times New Roman" w:hAnsi="Times New Roman"/>
          <w:sz w:val="19"/>
          <w:szCs w:val="19"/>
          <w:color w:val="auto"/>
        </w:rPr>
      </w:pPr>
    </w:p>
    <w:p>
      <w:pPr>
        <w:jc w:val="both"/>
        <w:ind w:left="160" w:firstLine="636"/>
        <w:spacing w:after="0" w:line="257" w:lineRule="auto"/>
        <w:tabs>
          <w:tab w:leader="none" w:pos="1431"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that is entitled to an exemption from or reduction of withholding Tax with respect to payments made under any Loan Paper shall deliver to Borrower and Administrative Agent, at the time or times reasonably requested by Borrower or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b w:val="1"/>
          <w:bCs w:val="1"/>
          <w:i w:val="1"/>
          <w:iCs w:val="1"/>
          <w:color w:val="auto"/>
        </w:rPr>
        <w:t>Section 4.1(e)(ii)(A)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4.1(e)(ii)(B)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4.1(e)(ii)</w:t>
      </w:r>
    </w:p>
    <w:p>
      <w:pPr>
        <w:spacing w:after="0" w:line="4" w:lineRule="exact"/>
        <w:rPr>
          <w:rFonts w:ascii="Times New Roman" w:cs="Times New Roman" w:eastAsia="Times New Roman" w:hAnsi="Times New Roman"/>
          <w:sz w:val="19"/>
          <w:szCs w:val="19"/>
          <w:color w:val="auto"/>
        </w:rPr>
      </w:pPr>
    </w:p>
    <w:p>
      <w:pPr>
        <w:jc w:val="both"/>
        <w:ind w:left="160"/>
        <w:spacing w:after="0" w:line="26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 </w:t>
      </w:r>
      <w:r>
        <w:rPr>
          <w:rFonts w:ascii="Times New Roman" w:cs="Times New Roman" w:eastAsia="Times New Roman" w:hAnsi="Times New Roman"/>
          <w:sz w:val="19"/>
          <w:szCs w:val="19"/>
          <w:color w:val="auto"/>
        </w:rPr>
        <w:t>below) shall not be required if in the Lender’s reasonable judgment such completion, execution or submission would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subject such Lender to any material unreimbursed cost or expense or would materially prejudice the legal or commercial position of such Lender.</w:t>
      </w:r>
    </w:p>
    <w:p>
      <w:pPr>
        <w:spacing w:after="0" w:line="174" w:lineRule="exact"/>
        <w:rPr>
          <w:rFonts w:ascii="Times New Roman" w:cs="Times New Roman" w:eastAsia="Times New Roman" w:hAnsi="Times New Roman"/>
          <w:sz w:val="19"/>
          <w:szCs w:val="19"/>
          <w:color w:val="auto"/>
        </w:rPr>
      </w:pPr>
    </w:p>
    <w:p>
      <w:pPr>
        <w:ind w:left="1440" w:hanging="644"/>
        <w:spacing w:after="0"/>
        <w:tabs>
          <w:tab w:leader="none" w:pos="1440"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 in the event that Borrower is a U.S. Person,</w:t>
      </w:r>
    </w:p>
    <w:p>
      <w:pPr>
        <w:spacing w:after="0" w:line="219" w:lineRule="exact"/>
        <w:rPr>
          <w:rFonts w:ascii="Times New Roman" w:cs="Times New Roman" w:eastAsia="Times New Roman" w:hAnsi="Times New Roman"/>
          <w:sz w:val="19"/>
          <w:szCs w:val="19"/>
          <w:color w:val="auto"/>
        </w:rPr>
      </w:pPr>
    </w:p>
    <w:p>
      <w:pPr>
        <w:jc w:val="both"/>
        <w:ind w:left="800" w:firstLine="633"/>
        <w:spacing w:after="0" w:line="270" w:lineRule="auto"/>
        <w:tabs>
          <w:tab w:leader="none" w:pos="2065" w:val="left"/>
        </w:tabs>
        <w:numPr>
          <w:ilvl w:val="2"/>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a U.S. Person shall deliver to Borrower and Administrative Agent on or prior to the date on which such Lender becomes a Lender under this Agreement (and from time to time thereafter upon the reasonable request of Borrower or Administrative Agent), executed originals of IRS Form W-9 certifying that such Lender is exempt from U.S. federal backup withholding tax;</w:t>
      </w:r>
    </w:p>
    <w:p>
      <w:pPr>
        <w:spacing w:after="0" w:line="170" w:lineRule="exact"/>
        <w:rPr>
          <w:rFonts w:ascii="Times New Roman" w:cs="Times New Roman" w:eastAsia="Times New Roman" w:hAnsi="Times New Roman"/>
          <w:sz w:val="19"/>
          <w:szCs w:val="19"/>
          <w:color w:val="auto"/>
        </w:rPr>
      </w:pPr>
    </w:p>
    <w:p>
      <w:pPr>
        <w:jc w:val="both"/>
        <w:ind w:left="800" w:firstLine="633"/>
        <w:spacing w:after="0" w:line="274" w:lineRule="auto"/>
        <w:tabs>
          <w:tab w:leader="none" w:pos="2067" w:val="left"/>
        </w:tabs>
        <w:numPr>
          <w:ilvl w:val="2"/>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Borrower and Administrative Agent (in such number of copies as shall be requested by the recipient) on or prior to the date on which such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68</w:t>
      </w:r>
    </w:p>
    <w:p>
      <w:pPr>
        <w:sectPr>
          <w:pgSz w:w="11900" w:h="16838" w:orient="portrait"/>
          <w:cols w:equalWidth="0" w:num="1">
            <w:col w:w="10120"/>
          </w:cols>
          <w:pgMar w:left="1440" w:top="1390" w:right="339" w:bottom="1440" w:gutter="0" w:footer="0" w:header="0"/>
        </w:sectPr>
      </w:pPr>
    </w:p>
    <w:bookmarkStart w:id="182" w:name="page183"/>
    <w:bookmarkEnd w:id="182"/>
    <w:p>
      <w:pPr>
        <w:ind w:left="800"/>
        <w:spacing w:after="0"/>
        <w:rPr>
          <w:sz w:val="20"/>
          <w:szCs w:val="20"/>
          <w:color w:val="auto"/>
        </w:rPr>
      </w:pPr>
      <w:r>
        <w:rPr>
          <w:rFonts w:ascii="Times New Roman" w:cs="Times New Roman" w:eastAsia="Times New Roman" w:hAnsi="Times New Roman"/>
          <w:sz w:val="19"/>
          <w:szCs w:val="19"/>
          <w:color w:val="auto"/>
        </w:rPr>
        <w:t>Lender becomes a Lender under this Agreement (and from time to time thereafter upon the reasonable request of</w:t>
      </w:r>
    </w:p>
    <w:p>
      <w:pPr>
        <w:spacing w:after="0" w:line="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auto"/>
        </w:rPr>
        <w:t>Borrower or Administrative Agent), whichever of the following is applicable:</w:t>
      </w:r>
    </w:p>
    <w:p>
      <w:pPr>
        <w:spacing w:after="0" w:line="205" w:lineRule="exact"/>
        <w:rPr>
          <w:sz w:val="20"/>
          <w:szCs w:val="20"/>
          <w:color w:val="auto"/>
        </w:rPr>
      </w:pPr>
    </w:p>
    <w:p>
      <w:pPr>
        <w:jc w:val="both"/>
        <w:ind w:left="1440" w:firstLine="630"/>
        <w:spacing w:after="0" w:line="264" w:lineRule="auto"/>
        <w:tabs>
          <w:tab w:leader="none" w:pos="2709"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an income tax treaty to which the United States is a party (x) with respect to payments of interest under any Loan Paper, executed originals of IRS Form W-8BEN establishing an exemption from, or reduction of, U.S. federal withholding Tax pursuant to the “interest” article of such tax treaty and (y) with respect to any other applicable payments under any Loan Paper, IRS Form W-8BEN establishing an exemption from, or reduction of, U.S. federal withholding Tax pursuant to the “business profits” or “other income” article of such tax treaty;</w:t>
      </w:r>
    </w:p>
    <w:p>
      <w:pPr>
        <w:spacing w:after="0" w:line="176" w:lineRule="exact"/>
        <w:rPr>
          <w:sz w:val="20"/>
          <w:szCs w:val="20"/>
          <w:color w:val="auto"/>
        </w:rPr>
      </w:pPr>
    </w:p>
    <w:p>
      <w:pPr>
        <w:ind w:left="2700" w:hanging="630"/>
        <w:spacing w:after="0"/>
        <w:tabs>
          <w:tab w:leader="none" w:pos="2700"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originals of IRS Form W-8ECI;</w:t>
      </w:r>
    </w:p>
    <w:p>
      <w:pPr>
        <w:spacing w:after="0" w:line="219" w:lineRule="exact"/>
        <w:rPr>
          <w:sz w:val="20"/>
          <w:szCs w:val="20"/>
          <w:color w:val="auto"/>
        </w:rPr>
      </w:pPr>
    </w:p>
    <w:p>
      <w:pPr>
        <w:jc w:val="both"/>
        <w:ind w:left="1440" w:firstLine="630"/>
        <w:spacing w:after="0" w:line="261" w:lineRule="auto"/>
        <w:tabs>
          <w:tab w:leader="none" w:pos="2705"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w:t>
      </w:r>
      <w:r>
        <w:rPr>
          <w:rFonts w:ascii="Times New Roman" w:cs="Times New Roman" w:eastAsia="Times New Roman" w:hAnsi="Times New Roman"/>
          <w:sz w:val="19"/>
          <w:szCs w:val="19"/>
          <w:i w:val="1"/>
          <w:iCs w:val="1"/>
          <w:color w:val="auto"/>
        </w:rPr>
        <w:t>Section 881(c)</w:t>
      </w:r>
      <w:r>
        <w:rPr>
          <w:rFonts w:ascii="Times New Roman" w:cs="Times New Roman" w:eastAsia="Times New Roman" w:hAnsi="Times New Roman"/>
          <w:sz w:val="19"/>
          <w:szCs w:val="19"/>
          <w:color w:val="auto"/>
        </w:rPr>
        <w:t xml:space="preserve"> of the Code, (x) a certificate substantially in the form of </w:t>
      </w:r>
      <w:r>
        <w:rPr>
          <w:rFonts w:ascii="Times New Roman" w:cs="Times New Roman" w:eastAsia="Times New Roman" w:hAnsi="Times New Roman"/>
          <w:sz w:val="19"/>
          <w:szCs w:val="19"/>
          <w:b w:val="1"/>
          <w:bCs w:val="1"/>
          <w:i w:val="1"/>
          <w:iCs w:val="1"/>
          <w:color w:val="auto"/>
        </w:rPr>
        <w:t>Exhibit G-1</w:t>
      </w:r>
      <w:r>
        <w:rPr>
          <w:rFonts w:ascii="Times New Roman" w:cs="Times New Roman" w:eastAsia="Times New Roman" w:hAnsi="Times New Roman"/>
          <w:sz w:val="19"/>
          <w:szCs w:val="19"/>
          <w:color w:val="auto"/>
        </w:rPr>
        <w:t xml:space="preserve"> to the effect that such Foreign Lender is not a “bank” within the meaning of </w:t>
      </w:r>
      <w:r>
        <w:rPr>
          <w:rFonts w:ascii="Times New Roman" w:cs="Times New Roman" w:eastAsia="Times New Roman" w:hAnsi="Times New Roman"/>
          <w:sz w:val="19"/>
          <w:szCs w:val="19"/>
          <w:i w:val="1"/>
          <w:iCs w:val="1"/>
          <w:color w:val="auto"/>
        </w:rPr>
        <w:t>Section 881(c)(3)(A)</w:t>
      </w:r>
      <w:r>
        <w:rPr>
          <w:rFonts w:ascii="Times New Roman" w:cs="Times New Roman" w:eastAsia="Times New Roman" w:hAnsi="Times New Roman"/>
          <w:sz w:val="19"/>
          <w:szCs w:val="19"/>
          <w:color w:val="auto"/>
        </w:rPr>
        <w:t xml:space="preserve"> of the Code, a “10 percent shareholder” of Borrower within the meaning of </w:t>
      </w:r>
      <w:r>
        <w:rPr>
          <w:rFonts w:ascii="Times New Roman" w:cs="Times New Roman" w:eastAsia="Times New Roman" w:hAnsi="Times New Roman"/>
          <w:sz w:val="19"/>
          <w:szCs w:val="19"/>
          <w:i w:val="1"/>
          <w:iCs w:val="1"/>
          <w:color w:val="auto"/>
        </w:rPr>
        <w:t>Section 881(c)(3)(B)</w:t>
      </w:r>
      <w:r>
        <w:rPr>
          <w:rFonts w:ascii="Times New Roman" w:cs="Times New Roman" w:eastAsia="Times New Roman" w:hAnsi="Times New Roman"/>
          <w:sz w:val="19"/>
          <w:szCs w:val="19"/>
          <w:color w:val="auto"/>
        </w:rPr>
        <w:t xml:space="preserve"> of the Code, or a “controlled foreign corporation” described in </w:t>
      </w:r>
      <w:r>
        <w:rPr>
          <w:rFonts w:ascii="Times New Roman" w:cs="Times New Roman" w:eastAsia="Times New Roman" w:hAnsi="Times New Roman"/>
          <w:sz w:val="19"/>
          <w:szCs w:val="19"/>
          <w:i w:val="1"/>
          <w:iCs w:val="1"/>
          <w:color w:val="auto"/>
        </w:rPr>
        <w:t>Section 881(c)(3)(C)</w:t>
      </w:r>
      <w:r>
        <w:rPr>
          <w:rFonts w:ascii="Times New Roman" w:cs="Times New Roman" w:eastAsia="Times New Roman" w:hAnsi="Times New Roman"/>
          <w:sz w:val="19"/>
          <w:szCs w:val="19"/>
          <w:color w:val="auto"/>
        </w:rPr>
        <w:t xml:space="preserve"> of the Code (a “</w:t>
      </w:r>
      <w:r>
        <w:rPr>
          <w:rFonts w:ascii="Times New Roman" w:cs="Times New Roman" w:eastAsia="Times New Roman" w:hAnsi="Times New Roman"/>
          <w:sz w:val="19"/>
          <w:szCs w:val="19"/>
          <w:b w:val="1"/>
          <w:bCs w:val="1"/>
          <w:i w:val="1"/>
          <w:iCs w:val="1"/>
          <w:color w:val="auto"/>
        </w:rPr>
        <w:t>U.S. Tax Compliance Certificate</w:t>
      </w:r>
      <w:r>
        <w:rPr>
          <w:rFonts w:ascii="Times New Roman" w:cs="Times New Roman" w:eastAsia="Times New Roman" w:hAnsi="Times New Roman"/>
          <w:sz w:val="19"/>
          <w:szCs w:val="19"/>
          <w:color w:val="auto"/>
        </w:rPr>
        <w:t>”) and</w:t>
      </w:r>
    </w:p>
    <w:p>
      <w:pPr>
        <w:spacing w:after="0" w:line="1" w:lineRule="exact"/>
        <w:rPr>
          <w:rFonts w:ascii="Times New Roman" w:cs="Times New Roman" w:eastAsia="Times New Roman" w:hAnsi="Times New Roman"/>
          <w:sz w:val="19"/>
          <w:szCs w:val="19"/>
          <w:color w:val="auto"/>
        </w:rPr>
      </w:pPr>
    </w:p>
    <w:p>
      <w:pPr>
        <w:ind w:left="1700" w:hanging="267"/>
        <w:spacing w:after="0"/>
        <w:tabs>
          <w:tab w:leader="none" w:pos="170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originals of IRS Form W-8BEN; or</w:t>
      </w:r>
    </w:p>
    <w:p>
      <w:pPr>
        <w:spacing w:after="0" w:line="211" w:lineRule="exact"/>
        <w:rPr>
          <w:sz w:val="20"/>
          <w:szCs w:val="20"/>
          <w:color w:val="auto"/>
        </w:rPr>
      </w:pPr>
    </w:p>
    <w:p>
      <w:pPr>
        <w:jc w:val="both"/>
        <w:ind w:left="1440" w:firstLine="637"/>
        <w:spacing w:after="0" w:line="261" w:lineRule="auto"/>
        <w:rPr>
          <w:sz w:val="20"/>
          <w:szCs w:val="20"/>
          <w:color w:val="auto"/>
        </w:rPr>
      </w:pPr>
      <w:r>
        <w:rPr>
          <w:rFonts w:ascii="Times New Roman" w:cs="Times New Roman" w:eastAsia="Times New Roman" w:hAnsi="Times New Roman"/>
          <w:sz w:val="19"/>
          <w:szCs w:val="19"/>
          <w:color w:val="auto"/>
        </w:rPr>
        <w:t xml:space="preserve">(IV) to the extent a Foreign Lender is not the beneficial owner, executed originals of IRS Form W-8IMY, accompanied by IRS Form W-8ECI, IRS Form W-8BEN, a U.S. Tax Compliance Certificate substantially in the form of </w:t>
      </w:r>
      <w:r>
        <w:rPr>
          <w:rFonts w:ascii="Times New Roman" w:cs="Times New Roman" w:eastAsia="Times New Roman" w:hAnsi="Times New Roman"/>
          <w:sz w:val="19"/>
          <w:szCs w:val="19"/>
          <w:b w:val="1"/>
          <w:bCs w:val="1"/>
          <w:i w:val="1"/>
          <w:iCs w:val="1"/>
          <w:color w:val="auto"/>
        </w:rPr>
        <w:t>Exhibit G-2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Exhibit G-3</w:t>
      </w:r>
      <w:r>
        <w:rPr>
          <w:rFonts w:ascii="Times New Roman" w:cs="Times New Roman" w:eastAsia="Times New Roman" w:hAnsi="Times New Roman"/>
          <w:sz w:val="19"/>
          <w:szCs w:val="19"/>
          <w:color w:val="auto"/>
        </w:rPr>
        <w:t xml:space="preserve">, IRS Form W-9, and/or other certification documents from each beneficial owner, as applicable;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9"/>
          <w:szCs w:val="19"/>
          <w:b w:val="1"/>
          <w:bCs w:val="1"/>
          <w:i w:val="1"/>
          <w:iCs w:val="1"/>
          <w:color w:val="auto"/>
        </w:rPr>
        <w:t>Exhibit G-4</w:t>
      </w:r>
      <w:r>
        <w:rPr>
          <w:rFonts w:ascii="Times New Roman" w:cs="Times New Roman" w:eastAsia="Times New Roman" w:hAnsi="Times New Roman"/>
          <w:sz w:val="19"/>
          <w:szCs w:val="19"/>
          <w:color w:val="auto"/>
        </w:rPr>
        <w:t xml:space="preserve"> on behalf of each such direct and indirect partner;</w:t>
      </w:r>
    </w:p>
    <w:p>
      <w:pPr>
        <w:spacing w:after="0" w:line="181" w:lineRule="exact"/>
        <w:rPr>
          <w:sz w:val="20"/>
          <w:szCs w:val="20"/>
          <w:color w:val="auto"/>
        </w:rPr>
      </w:pPr>
    </w:p>
    <w:p>
      <w:pPr>
        <w:jc w:val="both"/>
        <w:ind w:left="800" w:firstLine="633"/>
        <w:spacing w:after="0" w:line="263" w:lineRule="auto"/>
        <w:tabs>
          <w:tab w:leader="none" w:pos="2067"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Borrower and Administrative Agent (in such number of copies as shall be requested by the recipient) on or prior to the date on which such Foreign Lender becomes a Lender under this Agreement (and from time to time thereafter upon the reasonable request of Borrower or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69</w:t>
      </w:r>
    </w:p>
    <w:p>
      <w:pPr>
        <w:sectPr>
          <w:pgSz w:w="11900" w:h="16838" w:orient="portrait"/>
          <w:cols w:equalWidth="0" w:num="1">
            <w:col w:w="10120"/>
          </w:cols>
          <w:pgMar w:left="1440" w:top="1390" w:right="339" w:bottom="1440" w:gutter="0" w:footer="0" w:header="0"/>
        </w:sectPr>
      </w:pPr>
    </w:p>
    <w:bookmarkStart w:id="183" w:name="page184"/>
    <w:bookmarkEnd w:id="183"/>
    <w:p>
      <w:pPr>
        <w:jc w:val="both"/>
        <w:ind w:left="800" w:firstLine="633"/>
        <w:spacing w:after="0" w:line="260" w:lineRule="auto"/>
        <w:tabs>
          <w:tab w:leader="none" w:pos="2065" w:val="left"/>
        </w:tabs>
        <w:numPr>
          <w:ilvl w:val="1"/>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payment made to a Lender under any Loan Paper would be subject to U.S. federal withholding Tax imposed by FATCA if such Lender were to fail to comply with the applicable reporting requirements of FATCA (including those contained in </w:t>
      </w:r>
      <w:r>
        <w:rPr>
          <w:rFonts w:ascii="Times New Roman" w:cs="Times New Roman" w:eastAsia="Times New Roman" w:hAnsi="Times New Roman"/>
          <w:sz w:val="19"/>
          <w:szCs w:val="19"/>
          <w:i w:val="1"/>
          <w:iCs w:val="1"/>
          <w:color w:val="auto"/>
        </w:rPr>
        <w:t>Section 1471(b)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i w:val="1"/>
          <w:iCs w:val="1"/>
          <w:color w:val="auto"/>
        </w:rPr>
        <w:t>1472(b)</w:t>
      </w:r>
      <w:r>
        <w:rPr>
          <w:rFonts w:ascii="Times New Roman" w:cs="Times New Roman" w:eastAsia="Times New Roman" w:hAnsi="Times New Roman"/>
          <w:sz w:val="19"/>
          <w:szCs w:val="19"/>
          <w:color w:val="auto"/>
        </w:rPr>
        <w:t xml:space="preserve">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w:t>
      </w:r>
      <w:r>
        <w:rPr>
          <w:rFonts w:ascii="Times New Roman" w:cs="Times New Roman" w:eastAsia="Times New Roman" w:hAnsi="Times New Roman"/>
          <w:sz w:val="19"/>
          <w:szCs w:val="19"/>
          <w:i w:val="1"/>
          <w:iCs w:val="1"/>
          <w:color w:val="auto"/>
        </w:rPr>
        <w:t>Section 1471(b)(3)(C)(i)</w:t>
      </w:r>
      <w:r>
        <w:rPr>
          <w:rFonts w:ascii="Times New Roman" w:cs="Times New Roman" w:eastAsia="Times New Roman" w:hAnsi="Times New Roman"/>
          <w:sz w:val="19"/>
          <w:szCs w:val="19"/>
          <w:color w:val="auto"/>
        </w:rPr>
        <w:t xml:space="preserve"> 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9"/>
          <w:szCs w:val="19"/>
          <w:b w:val="1"/>
          <w:bCs w:val="1"/>
          <w:i w:val="1"/>
          <w:iCs w:val="1"/>
          <w:color w:val="auto"/>
        </w:rPr>
        <w:t>clause (D)</w:t>
      </w:r>
      <w:r>
        <w:rPr>
          <w:rFonts w:ascii="Times New Roman" w:cs="Times New Roman" w:eastAsia="Times New Roman" w:hAnsi="Times New Roman"/>
          <w:sz w:val="19"/>
          <w:szCs w:val="19"/>
          <w:color w:val="auto"/>
        </w:rPr>
        <w:t>, “FATCA” shall include any amendments made to FATCA after the date of this Agreement.</w:t>
      </w:r>
    </w:p>
    <w:p>
      <w:pPr>
        <w:spacing w:after="0" w:line="176" w:lineRule="exact"/>
        <w:rPr>
          <w:rFonts w:ascii="Times New Roman" w:cs="Times New Roman" w:eastAsia="Times New Roman" w:hAnsi="Times New Roman"/>
          <w:sz w:val="19"/>
          <w:szCs w:val="19"/>
          <w:color w:val="auto"/>
        </w:rPr>
      </w:pPr>
    </w:p>
    <w:p>
      <w:pPr>
        <w:jc w:val="both"/>
        <w:ind w:left="160" w:firstLine="636"/>
        <w:spacing w:after="0" w:line="276" w:lineRule="auto"/>
        <w:tabs>
          <w:tab w:leader="none" w:pos="1433"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agrees that if any form or certification it previously delivered pursuant to this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xml:space="preserve"> expires or becomes obsolete or inaccurate in any respect, it shall update such form or certification or promptly notify Borrower and Administrative Agent in writing of its legal inability to do so.</w:t>
      </w:r>
    </w:p>
    <w:p>
      <w:pPr>
        <w:spacing w:after="0" w:line="166" w:lineRule="exact"/>
        <w:rPr>
          <w:sz w:val="20"/>
          <w:szCs w:val="20"/>
          <w:color w:val="auto"/>
        </w:rPr>
      </w:pPr>
    </w:p>
    <w:p>
      <w:pPr>
        <w:jc w:val="both"/>
        <w:ind w:left="160" w:hanging="218"/>
        <w:spacing w:after="0" w:line="274" w:lineRule="auto"/>
        <w:rPr>
          <w:sz w:val="20"/>
          <w:szCs w:val="20"/>
          <w:color w:val="auto"/>
        </w:rPr>
      </w:pPr>
      <w:r>
        <w:rPr>
          <w:rFonts w:ascii="Times New Roman" w:cs="Times New Roman" w:eastAsia="Times New Roman" w:hAnsi="Times New Roman"/>
          <w:sz w:val="19"/>
          <w:szCs w:val="19"/>
          <w:color w:val="auto"/>
        </w:rPr>
        <w:t>For purposes of determining withholding Taxes imposed under FATCA, from and after the Closing Date, Borrower and Administrative Agent shall treat (and Lenders hereby authorize Administrative Agent to treat) this Agreement as not qualifying as a “grandfathered obligation” within the meaning of Treasury Regulation Section 1.1471-2(b)(2)(i).</w:t>
      </w:r>
    </w:p>
    <w:p>
      <w:pPr>
        <w:spacing w:after="0" w:line="163" w:lineRule="exact"/>
        <w:rPr>
          <w:sz w:val="20"/>
          <w:szCs w:val="20"/>
          <w:color w:val="auto"/>
        </w:rPr>
      </w:pPr>
    </w:p>
    <w:p>
      <w:pPr>
        <w:jc w:val="both"/>
        <w:ind w:left="-480" w:firstLine="640"/>
        <w:spacing w:after="0" w:line="258" w:lineRule="auto"/>
        <w:tabs>
          <w:tab w:leader="none" w:pos="789"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Treatment of Certain Refunds. </w:t>
      </w:r>
      <w:r>
        <w:rPr>
          <w:rFonts w:ascii="Times New Roman" w:cs="Times New Roman" w:eastAsia="Times New Roman" w:hAnsi="Times New Roman"/>
          <w:sz w:val="19"/>
          <w:szCs w:val="19"/>
          <w:color w:val="auto"/>
        </w:rPr>
        <w:t>Unless required by applicable Laws, at no time shall Administrative Agent have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obligation to file for or otherwise pursue on behalf of a Lender or a L/C Issuer, or have any obligation to pay to any Lender or such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any Restricted Company or with respect to which any Restricted Company has paid additional amounts pursuant to this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xml:space="preserve">, it shall pay to the Restricted Company an amount equal to such refund (but only to the extent of indemnity payments made, or additional amounts paid, by a Restricted Company under this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Restricted Company, upon the request of the Recipient, agrees to repay the amount paid over to the Restricted Company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Restricted Company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70</w:t>
      </w:r>
    </w:p>
    <w:p>
      <w:pPr>
        <w:sectPr>
          <w:pgSz w:w="11900" w:h="16838" w:orient="portrait"/>
          <w:cols w:equalWidth="0" w:num="1">
            <w:col w:w="10120"/>
          </w:cols>
          <w:pgMar w:left="1440" w:top="1390" w:right="339" w:bottom="1440" w:gutter="0" w:footer="0" w:header="0"/>
        </w:sectPr>
      </w:pPr>
    </w:p>
    <w:bookmarkStart w:id="184" w:name="page185"/>
    <w:bookmarkEnd w:id="184"/>
    <w:p>
      <w:pPr>
        <w:ind w:left="640"/>
        <w:spacing w:after="0" w:line="300" w:lineRule="auto"/>
        <w:rPr>
          <w:sz w:val="20"/>
          <w:szCs w:val="20"/>
          <w:color w:val="auto"/>
        </w:rPr>
      </w:pPr>
      <w:r>
        <w:rPr>
          <w:rFonts w:ascii="Times New Roman" w:cs="Times New Roman" w:eastAsia="Times New Roman" w:hAnsi="Times New Roman"/>
          <w:sz w:val="19"/>
          <w:szCs w:val="19"/>
          <w:color w:val="auto"/>
        </w:rPr>
        <w:t>make available its tax returns (or any other information relating to its taxes that it deems confidential) to any Restricted Company or any other Person.</w:t>
      </w:r>
    </w:p>
    <w:p>
      <w:pPr>
        <w:spacing w:after="0" w:line="126" w:lineRule="exact"/>
        <w:rPr>
          <w:sz w:val="20"/>
          <w:szCs w:val="20"/>
          <w:color w:val="auto"/>
        </w:rPr>
      </w:pPr>
    </w:p>
    <w:p>
      <w:pPr>
        <w:jc w:val="both"/>
        <w:ind w:left="640" w:firstLine="640"/>
        <w:spacing w:after="0" w:line="276" w:lineRule="auto"/>
        <w:tabs>
          <w:tab w:leader="none" w:pos="1901"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Survival. </w:t>
      </w:r>
      <w:r>
        <w:rPr>
          <w:rFonts w:ascii="Times New Roman" w:cs="Times New Roman" w:eastAsia="Times New Roman" w:hAnsi="Times New Roman"/>
          <w:sz w:val="19"/>
          <w:szCs w:val="19"/>
          <w:color w:val="auto"/>
        </w:rPr>
        <w:t>Each party’s obligations under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survive the resignation or replacement of Administrative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Agent or any assignment of rights by, or the replacement of, a Lender or an L/C Issuer, the termination of the Commitments and the repayment, satisfaction or discharge of all other Obligations.</w:t>
      </w:r>
    </w:p>
    <w:p>
      <w:pPr>
        <w:spacing w:after="0" w:line="166" w:lineRule="exact"/>
        <w:rPr>
          <w:sz w:val="20"/>
          <w:szCs w:val="20"/>
          <w:color w:val="auto"/>
        </w:rPr>
      </w:pPr>
    </w:p>
    <w:p>
      <w:pPr>
        <w:jc w:val="both"/>
        <w:ind w:firstLine="637"/>
        <w:spacing w:after="0" w:line="258"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Illegality</w:t>
      </w:r>
      <w:r>
        <w:rPr>
          <w:rFonts w:ascii="Times New Roman" w:cs="Times New Roman" w:eastAsia="Times New Roman" w:hAnsi="Times New Roman"/>
          <w:sz w:val="19"/>
          <w:szCs w:val="19"/>
          <w:color w:val="auto"/>
        </w:rPr>
        <w:t xml:space="preserve">. If any Lender reasonably determines that any Law has made it unlawful, or that any Governmental Authority has asserted that it is unlawful, for any Lender or its Lending Office to perform any of its obligations hereunder or make, maintain or fund Loans whose interest is determined by reference to SOFR, Term SOFR, or Daily Simple SOFR, or to determine or charge interest rates based upon SOFR, Term SOFR or Daily Simple SOFR, or any Governmental Authority has imposed material restrictions on the authority of such Lender to engage in reverse repurchase of U.S. Treasury securities transactions of the type included in the determination of SOFR, then, on notice thereof by such Lender to Borrower through Administrative Agent, (a) any obligation of such Lender to make or continue either Term SOFR Rate Loans or Daily SOFR Rate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Administrative Agent without reference to the Term SOFR component of the Base Rate, in each case until such Lender notifies Administrative Agent and Borrower that the circumstances giving rise to such determination no longer exist. Upon receipt of such notice, (i) Borrower shall, upon demand from such Lender (with a copy to Administrative Agent), prepay (without penalty or premium other than amounts payable pursuant to </w:t>
      </w:r>
      <w:r>
        <w:rPr>
          <w:rFonts w:ascii="Times New Roman" w:cs="Times New Roman" w:eastAsia="Times New Roman" w:hAnsi="Times New Roman"/>
          <w:sz w:val="19"/>
          <w:szCs w:val="19"/>
          <w:b w:val="1"/>
          <w:bCs w:val="1"/>
          <w:i w:val="1"/>
          <w:iCs w:val="1"/>
          <w:color w:val="auto"/>
        </w:rPr>
        <w:t>Section 4.5</w:t>
      </w:r>
      <w:r>
        <w:rPr>
          <w:rFonts w:ascii="Times New Roman" w:cs="Times New Roman" w:eastAsia="Times New Roman" w:hAnsi="Times New Roman"/>
          <w:sz w:val="19"/>
          <w:szCs w:val="19"/>
          <w:color w:val="auto"/>
        </w:rPr>
        <w:t xml:space="preserve">) or, if applicable, convert all Term SOFR Rate Loans of such Lender to Base Rate Loans (the interest rate on which Base Rate Loans of such Lender shall, if necessary to avoid such illegality, be determined by Administrative Agent without reference to the Term SOFR component of the Base Rate), either on the last day of the Interest Period therefor, if such Lender may lawfully continue to maintain such Term SOFR Rate Loans to such day, or immediately, if such Lender may not lawfully continue to maintain such Term SOFR Rate Loans, (ii) Borrower shall, upon demand from such Lender (with a copy to Administrative Agent), immediately prepay or, if applicable, convert all Daily SOFR Rate Loans of such Lender to Base Rate Loans (the interest rate on which Base Rate Loans of such Lender shall, if necessary to avoid such illegality, be determined by Administrative Agent without reference to the Term SOFR component of the Base Rate), and (iii) if such notice asserts the illegality of such Lender determining or charging interest rates based upon SOFR, Administrative Agent shall during the period of such suspension compute the Base Rate applicable to such Lender without reference to Term SOFR component thereof until Administrative Agent is advised in writing by such Lender that it is no longer illegal for such Lender to determine or charge interest rates based upon SOFR. Upon any such prepayment or conversion, Borrower shall also pay accrued interest on the amount so prepaid or converted, together with any additional amounts required pursuant to </w:t>
      </w:r>
      <w:r>
        <w:rPr>
          <w:rFonts w:ascii="Times New Roman" w:cs="Times New Roman" w:eastAsia="Times New Roman" w:hAnsi="Times New Roman"/>
          <w:sz w:val="19"/>
          <w:szCs w:val="19"/>
          <w:b w:val="1"/>
          <w:bCs w:val="1"/>
          <w:i w:val="1"/>
          <w:iCs w:val="1"/>
          <w:color w:val="auto"/>
        </w:rPr>
        <w:t>Section 4.5</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4.3.</w:t>
      </w:r>
      <w:r>
        <w:rPr>
          <w:sz w:val="20"/>
          <w:szCs w:val="20"/>
          <w:color w:val="auto"/>
        </w:rPr>
        <w:tab/>
      </w:r>
      <w:r>
        <w:rPr>
          <w:rFonts w:ascii="Times New Roman" w:cs="Times New Roman" w:eastAsia="Times New Roman" w:hAnsi="Times New Roman"/>
          <w:sz w:val="19"/>
          <w:szCs w:val="19"/>
          <w:u w:val="single" w:color="auto"/>
          <w:color w:val="auto"/>
        </w:rPr>
        <w:t>Inability to Determine Rates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left="640" w:firstLine="640"/>
        <w:spacing w:after="0" w:line="264" w:lineRule="auto"/>
        <w:tabs>
          <w:tab w:leader="none" w:pos="1904"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in connection with any request for a Term SOFR Rate Loan or a Daily SOFR Rate Loan, or a conversion of Daily SOFR Rate Loans to Term SOFR Rate Loans or a continuation of any of such advances, as applicable, (a) Administrative Agent determines (which determination shall be conclusive absent manifest error) that (i) no Successor Rate has been determined in accordance with </w:t>
      </w:r>
      <w:r>
        <w:rPr>
          <w:rFonts w:ascii="Times New Roman" w:cs="Times New Roman" w:eastAsia="Times New Roman" w:hAnsi="Times New Roman"/>
          <w:sz w:val="19"/>
          <w:szCs w:val="19"/>
          <w:b w:val="1"/>
          <w:bCs w:val="1"/>
          <w:i w:val="1"/>
          <w:iCs w:val="1"/>
          <w:color w:val="auto"/>
        </w:rPr>
        <w:t>Section 4.3(b)</w:t>
      </w:r>
      <w:r>
        <w:rPr>
          <w:rFonts w:ascii="Times New Roman" w:cs="Times New Roman" w:eastAsia="Times New Roman" w:hAnsi="Times New Roman"/>
          <w:sz w:val="19"/>
          <w:szCs w:val="19"/>
          <w:color w:val="auto"/>
        </w:rPr>
        <w:t xml:space="preserve">, and the circumstances under </w:t>
      </w:r>
      <w:r>
        <w:rPr>
          <w:rFonts w:ascii="Times New Roman" w:cs="Times New Roman" w:eastAsia="Times New Roman" w:hAnsi="Times New Roman"/>
          <w:sz w:val="19"/>
          <w:szCs w:val="19"/>
          <w:b w:val="1"/>
          <w:bCs w:val="1"/>
          <w:i w:val="1"/>
          <w:iCs w:val="1"/>
          <w:color w:val="auto"/>
        </w:rPr>
        <w:t>Section 4.3(b)(i)</w:t>
      </w:r>
      <w:r>
        <w:rPr>
          <w:rFonts w:ascii="Times New Roman" w:cs="Times New Roman" w:eastAsia="Times New Roman" w:hAnsi="Times New Roman"/>
          <w:sz w:val="19"/>
          <w:szCs w:val="19"/>
          <w:color w:val="auto"/>
        </w:rPr>
        <w:t xml:space="preserve"> or the Scheduled Unavailability Date has occurred, or (ii) adequate and reasonable means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1900" w:h="16838" w:orient="portrait"/>
          <w:cols w:equalWidth="0" w:num="1">
            <w:col w:w="11240"/>
          </w:cols>
          <w:pgMar w:left="320" w:top="1390" w:right="339" w:bottom="1440" w:gutter="0" w:footer="0" w:header="0"/>
        </w:sectPr>
      </w:pPr>
    </w:p>
    <w:bookmarkStart w:id="185" w:name="page186"/>
    <w:bookmarkEnd w:id="185"/>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otherwise exist for determining Term SOFR for any requested Interest Period with respect to a proposed Term SOFR Rate Loan or in connection with an existing or proposed Base Rate Loan, or (iii) adequate and reasonable means do not otherwise exist for determining Daily Simple SOFR in connection with an existing or proposed Daily SOFR Rate Loan, or (b) Administrative Agent or the Required Lenders determine that for any reason that Term SOFR for any requested Interest Period or Daily Simple SOFR with respect to a proposed advance does not adequately and fairly reflect the cost to such Lenders of funding such advance, Administrative Agent will promptly so notify Borrower and each Lender. Thereafter, (x) the obligation of the Lenders to make or maintain Term SOFR Rate Loans, Daily SOFR Rate Loans, or to convert Daily SOFR Rate Loans to Term SOFR Rate Loans, shall be suspended (to the extent of the affected Term SOFR Rate Loans, Daily SOFR Rate Loans, or Interest Periods), and (y) in the event of a determination described in the preceding sentence with respect to the Term SOFR component of the Base Rate, the utilization of the Term SOFR component in determining the Base Rate shall be suspended, in each case until Administrative Agent (or, in the case of a determination by Required Lenders described in </w:t>
      </w:r>
      <w:r>
        <w:rPr>
          <w:rFonts w:ascii="Times New Roman" w:cs="Times New Roman" w:eastAsia="Times New Roman" w:hAnsi="Times New Roman"/>
          <w:sz w:val="19"/>
          <w:szCs w:val="19"/>
          <w:b w:val="1"/>
          <w:bCs w:val="1"/>
          <w:i w:val="1"/>
          <w:iCs w:val="1"/>
          <w:color w:val="auto"/>
        </w:rPr>
        <w:t>Section 4.3(b)</w:t>
      </w:r>
      <w:r>
        <w:rPr>
          <w:rFonts w:ascii="Times New Roman" w:cs="Times New Roman" w:eastAsia="Times New Roman" w:hAnsi="Times New Roman"/>
          <w:sz w:val="19"/>
          <w:szCs w:val="19"/>
          <w:color w:val="auto"/>
        </w:rPr>
        <w:t>, until Administrative Agent upon instruction of Required Lenders) revokes such notice. Upon receipt of such notice, (1) Borrower may revoke any pending request for a borrowing of, or conversion to, or continuation of Term SOFR Rate Loans or Daily SOFR Rate Loans (to the extent of the affected Term SOFR Rate Loans, Daily SOFR Rate Loans, or Interest Periods) or, failing that, will be deemed to have converted such request into a request for a borrowing of Base Rate Loans in the amount specified therein, (2) any outstanding Term SOFR Rate Loans shall be deemed to have been converted to Base Rate Loans immediately at the end of their respective applicable Interest Period, and (3) any outstanding Daily SOFR Rate Loans shall immediately be deemed to have been converted to Base Rate Loans.</w:t>
      </w:r>
    </w:p>
    <w:p>
      <w:pPr>
        <w:spacing w:after="0" w:line="170" w:lineRule="exact"/>
        <w:rPr>
          <w:sz w:val="20"/>
          <w:szCs w:val="20"/>
          <w:color w:val="auto"/>
        </w:rPr>
      </w:pPr>
    </w:p>
    <w:p>
      <w:pPr>
        <w:jc w:val="both"/>
        <w:ind w:firstLine="640"/>
        <w:spacing w:after="0" w:line="273" w:lineRule="auto"/>
        <w:tabs>
          <w:tab w:leader="none" w:pos="1261"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or any other Loan Papers, if Administrative Agent determines (which determination shall be conclusive absent manifest error), or Borrower or Required Lenders notify Administrative Agent (with, in the case of the Required Lenders, a copy to Borrower) that Borrower or Required Lenders (as applicable) have determined, that:</w:t>
      </w:r>
    </w:p>
    <w:p>
      <w:pPr>
        <w:spacing w:after="0" w:line="395" w:lineRule="exact"/>
        <w:rPr>
          <w:rFonts w:ascii="Times New Roman" w:cs="Times New Roman" w:eastAsia="Times New Roman" w:hAnsi="Times New Roman"/>
          <w:sz w:val="19"/>
          <w:szCs w:val="19"/>
          <w:color w:val="auto"/>
        </w:rPr>
      </w:pPr>
    </w:p>
    <w:p>
      <w:pPr>
        <w:jc w:val="both"/>
        <w:ind w:left="640" w:firstLine="636"/>
        <w:spacing w:after="0" w:line="281" w:lineRule="auto"/>
        <w:tabs>
          <w:tab w:leader="none" w:pos="1911" w:val="left"/>
        </w:tabs>
        <w:numPr>
          <w:ilvl w:val="1"/>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adequate and reasonable means do not exist for ascertaining one (1) month, three (3) month or six (6) month interest periods of Term SOFR, including because the Term SOFR Screen Rate is not available or published on a current basis and such circumstances are unlikely to be temporary; or</w:t>
      </w:r>
    </w:p>
    <w:p>
      <w:pPr>
        <w:spacing w:after="0" w:line="147" w:lineRule="exact"/>
        <w:rPr>
          <w:rFonts w:ascii="Times New Roman" w:cs="Times New Roman" w:eastAsia="Times New Roman" w:hAnsi="Times New Roman"/>
          <w:sz w:val="19"/>
          <w:szCs w:val="19"/>
          <w:color w:val="auto"/>
        </w:rPr>
      </w:pPr>
    </w:p>
    <w:p>
      <w:pPr>
        <w:jc w:val="both"/>
        <w:ind w:left="640" w:firstLine="636"/>
        <w:spacing w:after="0" w:line="261" w:lineRule="auto"/>
        <w:tabs>
          <w:tab w:leader="none" w:pos="1912" w:val="left"/>
        </w:tabs>
        <w:numPr>
          <w:ilvl w:val="1"/>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CME or any successor administrator of the Term SOFR Screen Rate or a Governmental Authority having jurisdiction over Administrative Agent or such administrator with respect to its publication of Term SOFR, in each case acting in such capacity, has made a public statement identifying a specific date after which one (1) month, three (3) month or six (6) month interest periods of Term SOFR or the Term SOFR Screen Rate shall or will no longer be made available, or permitted to be used for determining the interest rate of Dollar denominated syndicated loans, or shall or will otherwise cease, provided that, at the time of such statement, there is no successor administrator that is satisfactory to Administrative Agent, that will continue to provide such interest periods of Term SOFR after such specific date (the latest date on which one (1) month, three (3) month or six (6) month interest periods of Term SOFR or the Term SOFR Screen Rate are no longer available permanently or indefinitely, the “</w:t>
      </w:r>
      <w:r>
        <w:rPr>
          <w:rFonts w:ascii="Times New Roman" w:cs="Times New Roman" w:eastAsia="Times New Roman" w:hAnsi="Times New Roman"/>
          <w:sz w:val="19"/>
          <w:szCs w:val="19"/>
          <w:b w:val="1"/>
          <w:bCs w:val="1"/>
          <w:i w:val="1"/>
          <w:iCs w:val="1"/>
          <w:color w:val="auto"/>
        </w:rPr>
        <w:t>Scheduled Unavailability Date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72</w:t>
      </w:r>
    </w:p>
    <w:p>
      <w:pPr>
        <w:sectPr>
          <w:pgSz w:w="11900" w:h="16838" w:orient="portrait"/>
          <w:cols w:equalWidth="0" w:num="1">
            <w:col w:w="10600"/>
          </w:cols>
          <w:pgMar w:left="960" w:top="1390" w:right="339" w:bottom="1440" w:gutter="0" w:footer="0" w:header="0"/>
        </w:sectPr>
      </w:pPr>
    </w:p>
    <w:bookmarkStart w:id="186" w:name="page187"/>
    <w:bookmarkEnd w:id="186"/>
    <w:p>
      <w:pPr>
        <w:jc w:val="both"/>
        <w:ind w:left="160" w:firstLine="637"/>
        <w:spacing w:after="0" w:line="264" w:lineRule="auto"/>
        <w:rPr>
          <w:sz w:val="20"/>
          <w:szCs w:val="20"/>
          <w:color w:val="auto"/>
        </w:rPr>
      </w:pPr>
      <w:r>
        <w:rPr>
          <w:rFonts w:ascii="Times New Roman" w:cs="Times New Roman" w:eastAsia="Times New Roman" w:hAnsi="Times New Roman"/>
          <w:sz w:val="19"/>
          <w:szCs w:val="19"/>
          <w:color w:val="auto"/>
        </w:rPr>
        <w:t>then, on a date and time determined by Administrative Agent (any such date, the “</w:t>
      </w:r>
      <w:r>
        <w:rPr>
          <w:rFonts w:ascii="Times New Roman" w:cs="Times New Roman" w:eastAsia="Times New Roman" w:hAnsi="Times New Roman"/>
          <w:sz w:val="19"/>
          <w:szCs w:val="19"/>
          <w:b w:val="1"/>
          <w:bCs w:val="1"/>
          <w:i w:val="1"/>
          <w:iCs w:val="1"/>
          <w:color w:val="auto"/>
        </w:rPr>
        <w:t>Term SOFR Replacement Date</w:t>
      </w:r>
      <w:r>
        <w:rPr>
          <w:rFonts w:ascii="Times New Roman" w:cs="Times New Roman" w:eastAsia="Times New Roman" w:hAnsi="Times New Roman"/>
          <w:sz w:val="19"/>
          <w:szCs w:val="19"/>
          <w:color w:val="auto"/>
        </w:rPr>
        <w:t xml:space="preserve">”), which date shall be at the end of an Interest Period or on the relevant interest payment date, as applicable, for interest calculated and, solely with respect to </w:t>
      </w:r>
      <w:r>
        <w:rPr>
          <w:rFonts w:ascii="Times New Roman" w:cs="Times New Roman" w:eastAsia="Times New Roman" w:hAnsi="Times New Roman"/>
          <w:sz w:val="19"/>
          <w:szCs w:val="19"/>
          <w:b w:val="1"/>
          <w:bCs w:val="1"/>
          <w:i w:val="1"/>
          <w:iCs w:val="1"/>
          <w:color w:val="auto"/>
        </w:rPr>
        <w:t>clause (b)</w:t>
      </w:r>
      <w:r>
        <w:rPr>
          <w:rFonts w:ascii="Times New Roman" w:cs="Times New Roman" w:eastAsia="Times New Roman" w:hAnsi="Times New Roman"/>
          <w:sz w:val="19"/>
          <w:szCs w:val="19"/>
          <w:color w:val="auto"/>
        </w:rPr>
        <w:t xml:space="preserve"> above, no later than the Scheduled Unavailability Date, Term SOFR will be replaced hereunder and under any Loan Paper with Daily Simple SOFR for any payment period for interest calculated that can be determined by Administrative Agent, in each case, without any amendment to, or further action or consent of any other party to, this Agreement or any other Loan Paper (the “</w:t>
      </w:r>
      <w:r>
        <w:rPr>
          <w:rFonts w:ascii="Times New Roman" w:cs="Times New Roman" w:eastAsia="Times New Roman" w:hAnsi="Times New Roman"/>
          <w:sz w:val="19"/>
          <w:szCs w:val="19"/>
          <w:b w:val="1"/>
          <w:bCs w:val="1"/>
          <w:i w:val="1"/>
          <w:iCs w:val="1"/>
          <w:color w:val="auto"/>
        </w:rPr>
        <w:t>Successor Rate</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auto"/>
        </w:rPr>
        <w:t>If the Successor Rate is Daily Simple SOFR, all interest payments will be payable on the last day of each calendar</w:t>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color w:val="auto"/>
        </w:rPr>
        <w:t>month.</w:t>
      </w:r>
    </w:p>
    <w:p>
      <w:pPr>
        <w:spacing w:after="0" w:line="211" w:lineRule="exact"/>
        <w:rPr>
          <w:sz w:val="20"/>
          <w:szCs w:val="20"/>
          <w:color w:val="auto"/>
        </w:rPr>
      </w:pPr>
    </w:p>
    <w:p>
      <w:pPr>
        <w:jc w:val="both"/>
        <w:ind w:left="160" w:firstLine="637"/>
        <w:spacing w:after="0" w:line="262" w:lineRule="auto"/>
        <w:rPr>
          <w:sz w:val="20"/>
          <w:szCs w:val="20"/>
          <w:color w:val="auto"/>
        </w:rPr>
      </w:pPr>
      <w:r>
        <w:rPr>
          <w:rFonts w:ascii="Times New Roman" w:cs="Times New Roman" w:eastAsia="Times New Roman" w:hAnsi="Times New Roman"/>
          <w:sz w:val="19"/>
          <w:szCs w:val="19"/>
          <w:color w:val="auto"/>
        </w:rPr>
        <w:t>Notwithstanding anything to the contrary herein, (i) if Administrative Agent determines that Daily Simple SOFR is not available on or prior to the Term SOFR Replacement Date, or (ii) if the events or circumstances of the type described in clauses</w:t>
      </w:r>
    </w:p>
    <w:p>
      <w:pPr>
        <w:spacing w:after="0" w:line="2" w:lineRule="exact"/>
        <w:rPr>
          <w:sz w:val="20"/>
          <w:szCs w:val="20"/>
          <w:color w:val="auto"/>
        </w:rPr>
      </w:pPr>
    </w:p>
    <w:p>
      <w:pPr>
        <w:jc w:val="both"/>
        <w:ind w:left="160"/>
        <w:spacing w:after="0" w:line="258" w:lineRule="auto"/>
        <w:tabs>
          <w:tab w:leader="none" w:pos="448"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(b) above have occurred with respect to Daily Simple SOFR or the Successor Rate then in effect, then in each case, Administrative Agent and Borrower may amend this Agreement solely for the purpose of replacing Term SOFR, Daily Simple SOFR, and/or any then current Successor Rate in accordance with this Section at the end of any Interest Period, relevant interest payment date or payment period for interest calculated, as applicable, with an alternative benchmark rate giving due consideration to any evolving or then 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which adjustment or method for calculating such adjustment shall be published on an information service as selected by Administrative Agent from time to time in its reasonable discretion and may be periodically updated. For the avoidance of doubt, any such proposed rate and adjustments, shall constitute a “Successor Rate”. Any such amendment shall become effective at 5:00 p.m. on the fifth (5th) Business Day after Administrative Agent shall have posted such proposed amendment to all Lenders and Borrower unless, prior to such time, Lenders comprising the Required Lenders have delivered to Administrative Agent written notice that such Required Lenders object to such amendment.</w:t>
      </w:r>
    </w:p>
    <w:p>
      <w:pPr>
        <w:spacing w:after="0" w:line="200" w:lineRule="exact"/>
        <w:rPr>
          <w:sz w:val="20"/>
          <w:szCs w:val="20"/>
          <w:color w:val="auto"/>
        </w:rPr>
      </w:pPr>
    </w:p>
    <w:p>
      <w:pPr>
        <w:spacing w:after="0" w:line="208" w:lineRule="exact"/>
        <w:rPr>
          <w:sz w:val="20"/>
          <w:szCs w:val="20"/>
          <w:color w:val="auto"/>
        </w:rPr>
      </w:pPr>
    </w:p>
    <w:p>
      <w:pPr>
        <w:jc w:val="both"/>
        <w:ind w:left="160" w:firstLine="637"/>
        <w:spacing w:after="0" w:line="300" w:lineRule="auto"/>
        <w:rPr>
          <w:sz w:val="20"/>
          <w:szCs w:val="20"/>
          <w:color w:val="auto"/>
        </w:rPr>
      </w:pPr>
      <w:r>
        <w:rPr>
          <w:rFonts w:ascii="Times New Roman" w:cs="Times New Roman" w:eastAsia="Times New Roman" w:hAnsi="Times New Roman"/>
          <w:sz w:val="19"/>
          <w:szCs w:val="19"/>
          <w:color w:val="auto"/>
        </w:rPr>
        <w:t>Administrative Agent will promptly (in one or more notices) notify Borrower and each Lender of the implementation of any Successor Rate.</w:t>
      </w:r>
    </w:p>
    <w:p>
      <w:pPr>
        <w:spacing w:after="0" w:line="130" w:lineRule="exact"/>
        <w:rPr>
          <w:sz w:val="20"/>
          <w:szCs w:val="20"/>
          <w:color w:val="auto"/>
        </w:rPr>
      </w:pPr>
    </w:p>
    <w:p>
      <w:pPr>
        <w:jc w:val="both"/>
        <w:ind w:left="160" w:firstLine="637"/>
        <w:spacing w:after="0" w:line="281" w:lineRule="auto"/>
        <w:rPr>
          <w:sz w:val="20"/>
          <w:szCs w:val="20"/>
          <w:color w:val="auto"/>
        </w:rPr>
      </w:pPr>
      <w:r>
        <w:rPr>
          <w:rFonts w:ascii="Times New Roman" w:cs="Times New Roman" w:eastAsia="Times New Roman" w:hAnsi="Times New Roman"/>
          <w:sz w:val="19"/>
          <w:szCs w:val="19"/>
          <w:color w:val="auto"/>
        </w:rPr>
        <w:t>Any Successor Rate shall be applied in a manner consistent with market practice; provided that to the extent such market practice is not administratively feasible for Administrative Agent, such Successor Rate shall be applied in a manner as otherwise reasonably determined by Administrative Agent.</w:t>
      </w:r>
    </w:p>
    <w:p>
      <w:pPr>
        <w:spacing w:after="0" w:line="148" w:lineRule="exact"/>
        <w:rPr>
          <w:sz w:val="20"/>
          <w:szCs w:val="20"/>
          <w:color w:val="auto"/>
        </w:rPr>
      </w:pPr>
    </w:p>
    <w:p>
      <w:pPr>
        <w:jc w:val="both"/>
        <w:ind w:left="160" w:firstLine="637"/>
        <w:spacing w:after="0" w:line="300" w:lineRule="auto"/>
        <w:rPr>
          <w:sz w:val="20"/>
          <w:szCs w:val="20"/>
          <w:color w:val="auto"/>
        </w:rPr>
      </w:pPr>
      <w:r>
        <w:rPr>
          <w:rFonts w:ascii="Times New Roman" w:cs="Times New Roman" w:eastAsia="Times New Roman" w:hAnsi="Times New Roman"/>
          <w:sz w:val="19"/>
          <w:szCs w:val="19"/>
          <w:color w:val="auto"/>
        </w:rPr>
        <w:t>Notwithstanding anything else herein, if at any time any Successor Rate as so determined would otherwise be less than 0.00%, the Successor Rate will be deemed to be 0.00 % for the purposes of this Agreement and the other Loan Papers.</w:t>
      </w:r>
    </w:p>
    <w:p>
      <w:pPr>
        <w:spacing w:after="0" w:line="130" w:lineRule="exact"/>
        <w:rPr>
          <w:sz w:val="20"/>
          <w:szCs w:val="20"/>
          <w:color w:val="auto"/>
        </w:rPr>
      </w:pPr>
    </w:p>
    <w:p>
      <w:pPr>
        <w:jc w:val="both"/>
        <w:ind w:left="160" w:firstLine="637"/>
        <w:spacing w:after="0" w:line="300" w:lineRule="auto"/>
        <w:rPr>
          <w:sz w:val="20"/>
          <w:szCs w:val="20"/>
          <w:color w:val="auto"/>
        </w:rPr>
      </w:pPr>
      <w:r>
        <w:rPr>
          <w:rFonts w:ascii="Times New Roman" w:cs="Times New Roman" w:eastAsia="Times New Roman" w:hAnsi="Times New Roman"/>
          <w:sz w:val="19"/>
          <w:szCs w:val="19"/>
          <w:color w:val="auto"/>
        </w:rPr>
        <w:t>In connection with the implementation of a Successor Rate, Administrative Agent will have the right to make Conforming Changes from time to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73</w:t>
      </w:r>
    </w:p>
    <w:p>
      <w:pPr>
        <w:sectPr>
          <w:pgSz w:w="11900" w:h="16838" w:orient="portrait"/>
          <w:cols w:equalWidth="0" w:num="1">
            <w:col w:w="10120"/>
          </w:cols>
          <w:pgMar w:left="1440" w:top="1386" w:right="339" w:bottom="1440" w:gutter="0" w:footer="0" w:header="0"/>
        </w:sectPr>
      </w:pPr>
    </w:p>
    <w:bookmarkStart w:id="187" w:name="page188"/>
    <w:bookmarkEnd w:id="187"/>
    <w:p>
      <w:pPr>
        <w:jc w:val="both"/>
        <w:ind w:left="640"/>
        <w:spacing w:after="0" w:line="270" w:lineRule="auto"/>
        <w:rPr>
          <w:sz w:val="20"/>
          <w:szCs w:val="20"/>
          <w:color w:val="auto"/>
        </w:rPr>
      </w:pPr>
      <w:r>
        <w:rPr>
          <w:rFonts w:ascii="Times New Roman" w:cs="Times New Roman" w:eastAsia="Times New Roman" w:hAnsi="Times New Roman"/>
          <w:sz w:val="19"/>
          <w:szCs w:val="19"/>
          <w:color w:val="auto"/>
        </w:rPr>
        <w:t>notwithstanding anything to the contrary herein or in any other Loan Paper, any amendments implementing such Conforming Changes will become effective without any further action or consent of any other party to this Agreement; provided that, with respect to any such amendment effected, Administrative Agent shall post each such amendment implementing such Conforming Changes to Borrower and the Lenders reasonably promptly after such amendment becomes effective.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color w:val="auto"/>
        </w:rPr>
        <w:t>4.4.</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040" w:hanging="400"/>
        <w:spacing w:after="0"/>
        <w:tabs>
          <w:tab w:leader="none" w:pos="104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Increased Costs Generally</w:t>
      </w:r>
      <w:r>
        <w:rPr>
          <w:rFonts w:ascii="Times New Roman" w:cs="Times New Roman" w:eastAsia="Times New Roman" w:hAnsi="Times New Roman"/>
          <w:sz w:val="19"/>
          <w:szCs w:val="19"/>
          <w:color w:val="auto"/>
        </w:rPr>
        <w:t>. If any Change in Law shall:</w:t>
      </w:r>
    </w:p>
    <w:p>
      <w:pPr>
        <w:spacing w:after="0" w:line="236" w:lineRule="exact"/>
        <w:rPr>
          <w:rFonts w:ascii="Times New Roman" w:cs="Times New Roman" w:eastAsia="Times New Roman" w:hAnsi="Times New Roman"/>
          <w:sz w:val="19"/>
          <w:szCs w:val="19"/>
          <w:color w:val="auto"/>
        </w:rPr>
      </w:pPr>
    </w:p>
    <w:p>
      <w:pPr>
        <w:jc w:val="both"/>
        <w:ind w:left="640" w:firstLine="636"/>
        <w:spacing w:after="0" w:line="274" w:lineRule="auto"/>
        <w:tabs>
          <w:tab w:leader="none" w:pos="1911" w:val="left"/>
        </w:tabs>
        <w:numPr>
          <w:ilvl w:val="1"/>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modify, or deem applicable any reserve, special deposit, compulsory loan, insurance charge, or similar requirement against assets of, deposits with, or for the account of, or credit extended, or participated in by, any Lender or the L/C Issuers;</w:t>
      </w:r>
    </w:p>
    <w:p>
      <w:pPr>
        <w:spacing w:after="0" w:line="153" w:lineRule="exact"/>
        <w:rPr>
          <w:rFonts w:ascii="Times New Roman" w:cs="Times New Roman" w:eastAsia="Times New Roman" w:hAnsi="Times New Roman"/>
          <w:sz w:val="19"/>
          <w:szCs w:val="19"/>
          <w:color w:val="auto"/>
        </w:rPr>
      </w:pPr>
    </w:p>
    <w:p>
      <w:pPr>
        <w:jc w:val="both"/>
        <w:ind w:left="640" w:firstLine="636"/>
        <w:spacing w:after="0" w:line="281" w:lineRule="auto"/>
        <w:tabs>
          <w:tab w:leader="none" w:pos="1912" w:val="left"/>
        </w:tabs>
        <w:numPr>
          <w:ilvl w:val="1"/>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any Lender or any L/C Issuer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47" w:lineRule="exact"/>
        <w:rPr>
          <w:rFonts w:ascii="Times New Roman" w:cs="Times New Roman" w:eastAsia="Times New Roman" w:hAnsi="Times New Roman"/>
          <w:sz w:val="19"/>
          <w:szCs w:val="19"/>
          <w:color w:val="auto"/>
        </w:rPr>
      </w:pPr>
    </w:p>
    <w:p>
      <w:pPr>
        <w:ind w:left="640" w:firstLine="636"/>
        <w:spacing w:after="0" w:line="300" w:lineRule="auto"/>
        <w:tabs>
          <w:tab w:leader="none" w:pos="1913" w:val="left"/>
        </w:tabs>
        <w:numPr>
          <w:ilvl w:val="1"/>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on any Lender or any L/C Issuer or any interbank market any other condition, cost, or expense affecting this Agreement or Loans made by such Lender or any L/C or participation therein;</w:t>
      </w:r>
    </w:p>
    <w:p>
      <w:pPr>
        <w:spacing w:after="0" w:line="130" w:lineRule="exact"/>
        <w:rPr>
          <w:sz w:val="20"/>
          <w:szCs w:val="20"/>
          <w:color w:val="auto"/>
        </w:rPr>
      </w:pPr>
    </w:p>
    <w:p>
      <w:pPr>
        <w:jc w:val="both"/>
        <w:ind w:firstLine="637"/>
        <w:spacing w:after="0" w:line="263"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of making, converting to, continuing or maintaining any Loan (or of maintaining its obligation to make any such Loan), or to increase the cost to such Lender or such L/C Issuer of participating in, issuing, or maintaining any L/C (or of maintaining its obligation to participate in or to issue any L/C), or to reduce the amount of any sum received or receivable by such Lender or such L/C Issuer hereunder (whether of principal, interest, or any other amount) then, upon request of such Lender or such L/C Issuer, Borrower will pay to such Lender or such L/C Issuer, as the case may be, such additional amount or amounts as will compensate such Lender or such L/C Issuer, as the case may be, for such additional costs incurred or reduction suffered.</w:t>
      </w:r>
    </w:p>
    <w:p>
      <w:pPr>
        <w:spacing w:after="0" w:line="164" w:lineRule="exact"/>
        <w:rPr>
          <w:sz w:val="20"/>
          <w:szCs w:val="20"/>
          <w:color w:val="auto"/>
        </w:rPr>
      </w:pPr>
    </w:p>
    <w:p>
      <w:pPr>
        <w:jc w:val="both"/>
        <w:ind w:firstLine="640"/>
        <w:spacing w:after="0" w:line="262" w:lineRule="auto"/>
        <w:tabs>
          <w:tab w:leader="none" w:pos="1084"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Capital Requirements</w:t>
      </w:r>
      <w:r>
        <w:rPr>
          <w:rFonts w:ascii="Times New Roman" w:cs="Times New Roman" w:eastAsia="Times New Roman" w:hAnsi="Times New Roman"/>
          <w:sz w:val="19"/>
          <w:szCs w:val="19"/>
          <w:color w:val="auto"/>
        </w:rPr>
        <w:t>. If any Lender or any L/C Issuer determines that any Change in Law affecting such Lender or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applicable L/C Issuer or any Lending Office of such Lender or such Lender’s or the applicable L/C Issuer’s holding company, if any, regarding capital or liquidity requirements has or would have the effect of reducing the rate of return on such Lender’s or the applicable L/C Issuer’s capital or on the capital of such Lender’s or the applicable L/C Issuer’s holding company, if any, as a consequence of this Agreement, the Commitment of such Lender or the Loans made by, or participations in L/Cs held by, such Lender, or the L/Cs issued by the applicable L/C Issuer, to a level below that which such Lender or the applicable L/C Issuer or such Lender’s or the applicable L/C Issuer’s holding company could have achieved but for such Change in Law (taking into consideration such Lender’s or the applicable L/C Issuer’s policies and the policies of such Lender’s or the applicable L/C Issuer’s holding company with respect to capital adequacy and liquidity), then from time to time, upon demand of such Lender or the applicable L/C Issuer, Borrower will pay to such Lender or the applicable L/C Issuer,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74</w:t>
      </w:r>
    </w:p>
    <w:p>
      <w:pPr>
        <w:sectPr>
          <w:pgSz w:w="11900" w:h="16838" w:orient="portrait"/>
          <w:cols w:equalWidth="0" w:num="1">
            <w:col w:w="10600"/>
          </w:cols>
          <w:pgMar w:left="960" w:top="1390" w:right="339" w:bottom="1440" w:gutter="0" w:footer="0" w:header="0"/>
        </w:sectPr>
      </w:pPr>
    </w:p>
    <w:bookmarkStart w:id="188" w:name="page189"/>
    <w:bookmarkEnd w:id="188"/>
    <w:p>
      <w:pPr>
        <w:ind w:left="640"/>
        <w:spacing w:after="0" w:line="300" w:lineRule="auto"/>
        <w:rPr>
          <w:sz w:val="20"/>
          <w:szCs w:val="20"/>
          <w:color w:val="auto"/>
        </w:rPr>
      </w:pPr>
      <w:r>
        <w:rPr>
          <w:rFonts w:ascii="Times New Roman" w:cs="Times New Roman" w:eastAsia="Times New Roman" w:hAnsi="Times New Roman"/>
          <w:sz w:val="19"/>
          <w:szCs w:val="19"/>
          <w:color w:val="auto"/>
        </w:rPr>
        <w:t>case may be, such additional amount as will compensate such Lender or the applicable L/C Issuer or such Lender’s or the applicable L/C Issuer’s holding company for any such reduction suffered.</w:t>
      </w:r>
    </w:p>
    <w:p>
      <w:pPr>
        <w:spacing w:after="0" w:line="126" w:lineRule="exact"/>
        <w:rPr>
          <w:sz w:val="20"/>
          <w:szCs w:val="20"/>
          <w:color w:val="auto"/>
        </w:rPr>
      </w:pPr>
    </w:p>
    <w:p>
      <w:pPr>
        <w:jc w:val="both"/>
        <w:ind w:left="640" w:firstLine="640"/>
        <w:spacing w:after="0" w:line="271" w:lineRule="auto"/>
        <w:tabs>
          <w:tab w:leader="none" w:pos="1833"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Certificates for Reimbursement</w:t>
      </w:r>
      <w:r>
        <w:rPr>
          <w:rFonts w:ascii="Times New Roman" w:cs="Times New Roman" w:eastAsia="Times New Roman" w:hAnsi="Times New Roman"/>
          <w:sz w:val="19"/>
          <w:szCs w:val="19"/>
          <w:color w:val="auto"/>
        </w:rPr>
        <w:t>. A certificate of a Lender or any L/C Issuer setting forth the amount or amounts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necessary to compensate such Lender or the applicable L/C Issuer or its holding company, as the case may be, as specified in </w:t>
      </w:r>
      <w:r>
        <w:rPr>
          <w:rFonts w:ascii="Times New Roman" w:cs="Times New Roman" w:eastAsia="Times New Roman" w:hAnsi="Times New Roman"/>
          <w:sz w:val="19"/>
          <w:szCs w:val="19"/>
          <w:b w:val="1"/>
          <w:bCs w:val="1"/>
          <w:i w:val="1"/>
          <w:iCs w:val="1"/>
          <w:color w:val="auto"/>
        </w:rPr>
        <w:t xml:space="preserve">subsection (a)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i w:val="1"/>
          <w:iCs w:val="1"/>
          <w:color w:val="auto"/>
        </w:rPr>
        <w:t xml:space="preserve"> (b) </w:t>
      </w:r>
      <w:r>
        <w:rPr>
          <w:rFonts w:ascii="Times New Roman" w:cs="Times New Roman" w:eastAsia="Times New Roman" w:hAnsi="Times New Roman"/>
          <w:sz w:val="19"/>
          <w:szCs w:val="19"/>
          <w:color w:val="auto"/>
        </w:rPr>
        <w:t>of this Section and delivered to Borrower shall be conclusive absent manifest error. Borrower shall pay such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Lender or the applicable L/C Issuer, as the case may be, the amount shown as due on any such certificate within 10 days after receipt thereof.</w:t>
      </w:r>
    </w:p>
    <w:p>
      <w:pPr>
        <w:spacing w:after="0" w:line="392" w:lineRule="exact"/>
        <w:rPr>
          <w:rFonts w:ascii="Times New Roman" w:cs="Times New Roman" w:eastAsia="Times New Roman" w:hAnsi="Times New Roman"/>
          <w:sz w:val="19"/>
          <w:szCs w:val="19"/>
          <w:color w:val="auto"/>
        </w:rPr>
      </w:pPr>
    </w:p>
    <w:p>
      <w:pPr>
        <w:jc w:val="both"/>
        <w:ind w:left="640" w:firstLine="640"/>
        <w:spacing w:after="0" w:line="262" w:lineRule="auto"/>
        <w:tabs>
          <w:tab w:leader="none" w:pos="1738"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Delay in Requests</w:t>
      </w:r>
      <w:r>
        <w:rPr>
          <w:rFonts w:ascii="Times New Roman" w:cs="Times New Roman" w:eastAsia="Times New Roman" w:hAnsi="Times New Roman"/>
          <w:sz w:val="19"/>
          <w:szCs w:val="19"/>
          <w:color w:val="auto"/>
        </w:rPr>
        <w:t>. Failure or delay on the part of any Lender or either L/C Issuer to demand compensation pursuant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the foregoing provisions of this Section shall not constitute a waiver of such Lender’s or the applicable L/C Issuer’s right to demand such compensation,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that Borrower shall not be required to compensate a Lender or the applicable L/C Issuer pursuant to the foregoing provisions of this Section for any increased costs incurred or reductions suffered more than nine months prior to the date that such Lender or the applicable L/C Issuer, as the case may be, notifies Borrower of the Change in Law giving rise to such increased costs or reductions and of such Lender’s or the applicable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9" w:lineRule="exact"/>
        <w:rPr>
          <w:sz w:val="20"/>
          <w:szCs w:val="20"/>
          <w:color w:val="auto"/>
        </w:rPr>
      </w:pPr>
    </w:p>
    <w:p>
      <w:pPr>
        <w:ind w:right="380" w:firstLine="637"/>
        <w:spacing w:after="0" w:line="300" w:lineRule="auto"/>
        <w:rPr>
          <w:sz w:val="20"/>
          <w:szCs w:val="20"/>
          <w:color w:val="auto"/>
        </w:rPr>
      </w:pPr>
      <w:r>
        <w:rPr>
          <w:rFonts w:ascii="Times New Roman" w:cs="Times New Roman" w:eastAsia="Times New Roman" w:hAnsi="Times New Roman"/>
          <w:sz w:val="19"/>
          <w:szCs w:val="19"/>
          <w:color w:val="auto"/>
        </w:rPr>
        <w:t xml:space="preserve">4.5. </w:t>
      </w:r>
      <w:r>
        <w:rPr>
          <w:rFonts w:ascii="Times New Roman" w:cs="Times New Roman" w:eastAsia="Times New Roman" w:hAnsi="Times New Roman"/>
          <w:sz w:val="19"/>
          <w:szCs w:val="19"/>
          <w:u w:val="single" w:color="auto"/>
          <w:color w:val="auto"/>
        </w:rPr>
        <w:t>Compensation for Losses</w:t>
      </w:r>
      <w:r>
        <w:rPr>
          <w:rFonts w:ascii="Times New Roman" w:cs="Times New Roman" w:eastAsia="Times New Roman" w:hAnsi="Times New Roman"/>
          <w:sz w:val="19"/>
          <w:szCs w:val="19"/>
          <w:color w:val="auto"/>
        </w:rPr>
        <w:t>. Upon demand of any Lender (with a copy to Administrative Agent) from time to time, Borrower shall promptly compensate such Lender for and hold such Lender harmless from any loss, cost, or expense incurred by it as a result of:</w:t>
      </w:r>
    </w:p>
    <w:p>
      <w:pPr>
        <w:spacing w:after="0" w:line="130" w:lineRule="exact"/>
        <w:rPr>
          <w:sz w:val="20"/>
          <w:szCs w:val="20"/>
          <w:color w:val="auto"/>
        </w:rPr>
      </w:pPr>
    </w:p>
    <w:p>
      <w:pPr>
        <w:ind w:left="640" w:firstLine="640"/>
        <w:spacing w:after="0" w:line="300" w:lineRule="auto"/>
        <w:tabs>
          <w:tab w:leader="none" w:pos="1696"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continuation, conversion, payment, or prepayment of any Loan bearing interest at Term SOFR on a day other than the last day of the Interest Period for such Loan (whether voluntary, mandatory, automatic, by reason of acceleration, or otherwise);</w:t>
      </w:r>
    </w:p>
    <w:p>
      <w:pPr>
        <w:spacing w:after="0" w:line="130" w:lineRule="exact"/>
        <w:rPr>
          <w:rFonts w:ascii="Times New Roman" w:cs="Times New Roman" w:eastAsia="Times New Roman" w:hAnsi="Times New Roman"/>
          <w:sz w:val="19"/>
          <w:szCs w:val="19"/>
          <w:color w:val="auto"/>
        </w:rPr>
      </w:pPr>
    </w:p>
    <w:p>
      <w:pPr>
        <w:ind w:left="640" w:firstLine="640"/>
        <w:spacing w:after="0" w:line="300" w:lineRule="auto"/>
        <w:tabs>
          <w:tab w:leader="none" w:pos="1712"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by Borrower (for a reason other than the failure of such Lender to make an advance at Term SOFR) to prepay, borrow, continue, or convert any Loan other than a Base Rate Loan on the date or in the amount notified by Borrower;</w:t>
      </w:r>
    </w:p>
    <w:p>
      <w:pPr>
        <w:spacing w:after="0" w:line="130" w:lineRule="exact"/>
        <w:rPr>
          <w:rFonts w:ascii="Times New Roman" w:cs="Times New Roman" w:eastAsia="Times New Roman" w:hAnsi="Times New Roman"/>
          <w:sz w:val="19"/>
          <w:szCs w:val="19"/>
          <w:color w:val="auto"/>
        </w:rPr>
      </w:pPr>
    </w:p>
    <w:p>
      <w:pPr>
        <w:ind w:left="640" w:firstLine="640"/>
        <w:spacing w:after="0" w:line="300" w:lineRule="auto"/>
        <w:tabs>
          <w:tab w:leader="none" w:pos="1689"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assignment of Loans bearing interest at Term SOFR on a day other than the last day of the Interest Period therefor as a result of a request by Borrower pursuant to </w:t>
      </w:r>
      <w:r>
        <w:rPr>
          <w:rFonts w:ascii="Times New Roman" w:cs="Times New Roman" w:eastAsia="Times New Roman" w:hAnsi="Times New Roman"/>
          <w:sz w:val="19"/>
          <w:szCs w:val="19"/>
          <w:b w:val="1"/>
          <w:bCs w:val="1"/>
          <w:i w:val="1"/>
          <w:iCs w:val="1"/>
          <w:color w:val="auto"/>
        </w:rPr>
        <w:t>Section 15.14</w:t>
      </w:r>
      <w:r>
        <w:rPr>
          <w:rFonts w:ascii="Times New Roman" w:cs="Times New Roman" w:eastAsia="Times New Roman" w:hAnsi="Times New Roman"/>
          <w:sz w:val="19"/>
          <w:szCs w:val="19"/>
          <w:color w:val="auto"/>
        </w:rPr>
        <w:t>; or</w:t>
      </w:r>
    </w:p>
    <w:p>
      <w:pPr>
        <w:spacing w:after="0" w:line="143" w:lineRule="exact"/>
        <w:rPr>
          <w:rFonts w:ascii="Times New Roman" w:cs="Times New Roman" w:eastAsia="Times New Roman" w:hAnsi="Times New Roman"/>
          <w:sz w:val="19"/>
          <w:szCs w:val="19"/>
          <w:color w:val="auto"/>
        </w:rPr>
      </w:pPr>
    </w:p>
    <w:p>
      <w:pPr>
        <w:ind w:left="640" w:firstLine="640"/>
        <w:spacing w:after="0" w:line="285" w:lineRule="auto"/>
        <w:tabs>
          <w:tab w:leader="none" w:pos="1824"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by Borrower to make payment of any Loan or of any drawing under any L/C (or interest due thereon) denominated in the Alternative Currency on its scheduled due date or any payment thereof in a different currency;</w:t>
      </w:r>
    </w:p>
    <w:p>
      <w:pPr>
        <w:spacing w:after="0" w:line="1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including any loss of anticipated profits and any loss or expense arising from the liquidation or reemployment of funds obtained by it to maintain such Loan bearing interest at Term SOFR or from fees payable to terminate the deposits from which such funds were obtained. Borrower shall also pay any customary administrative fees charged by such Lender in connection with the foregoing.</w:t>
      </w:r>
    </w:p>
    <w:p>
      <w:pPr>
        <w:spacing w:after="0" w:line="16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color w:val="auto"/>
        </w:rPr>
        <w:t xml:space="preserve">The amounts payable under this </w:t>
      </w:r>
      <w:r>
        <w:rPr>
          <w:rFonts w:ascii="Times New Roman" w:cs="Times New Roman" w:eastAsia="Times New Roman" w:hAnsi="Times New Roman"/>
          <w:sz w:val="19"/>
          <w:szCs w:val="19"/>
          <w:b w:val="1"/>
          <w:bCs w:val="1"/>
          <w:i w:val="1"/>
          <w:iCs w:val="1"/>
          <w:color w:val="auto"/>
        </w:rPr>
        <w:t>Section 4.5</w:t>
      </w:r>
      <w:r>
        <w:rPr>
          <w:rFonts w:ascii="Times New Roman" w:cs="Times New Roman" w:eastAsia="Times New Roman" w:hAnsi="Times New Roman"/>
          <w:sz w:val="19"/>
          <w:szCs w:val="19"/>
          <w:color w:val="auto"/>
        </w:rPr>
        <w:t xml:space="preserve"> shall never be less than zero or greater than is permitted by applicable Law. For the avoidance of doubt, no amounts will be owing under this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in connection with the prepayment of any Daily SOFR Rate Loan or Base Rate Loan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1900" w:h="16838" w:orient="portrait"/>
          <w:cols w:equalWidth="0" w:num="1">
            <w:col w:w="11240"/>
          </w:cols>
          <w:pgMar w:left="320" w:top="1390" w:right="339" w:bottom="1440" w:gutter="0" w:footer="0" w:header="0"/>
        </w:sectPr>
      </w:pPr>
    </w:p>
    <w:bookmarkStart w:id="189" w:name="page190"/>
    <w:bookmarkEnd w:id="189"/>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4.6.</w:t>
      </w:r>
      <w:r>
        <w:rPr>
          <w:sz w:val="20"/>
          <w:szCs w:val="20"/>
          <w:color w:val="auto"/>
        </w:rPr>
        <w:tab/>
      </w:r>
      <w:r>
        <w:rPr>
          <w:rFonts w:ascii="Times New Roman" w:cs="Times New Roman" w:eastAsia="Times New Roman" w:hAnsi="Times New Roman"/>
          <w:sz w:val="19"/>
          <w:szCs w:val="19"/>
          <w:u w:val="single" w:color="auto"/>
          <w:color w:val="auto"/>
        </w:rPr>
        <w:t>Mitigation Obligations; Replacement of Lenders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40" w:firstLine="640"/>
        <w:spacing w:after="0" w:line="260" w:lineRule="auto"/>
        <w:tabs>
          <w:tab w:leader="none" w:pos="1793"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Designation of a Different Lending Office</w:t>
      </w:r>
      <w:r>
        <w:rPr>
          <w:rFonts w:ascii="Times New Roman" w:cs="Times New Roman" w:eastAsia="Times New Roman" w:hAnsi="Times New Roman"/>
          <w:sz w:val="19"/>
          <w:szCs w:val="19"/>
          <w:color w:val="auto"/>
        </w:rPr>
        <w:t>. If any Lender requests compensation under</w:t>
      </w:r>
      <w:r>
        <w:rPr>
          <w:rFonts w:ascii="Times New Roman" w:cs="Times New Roman" w:eastAsia="Times New Roman" w:hAnsi="Times New Roman"/>
          <w:sz w:val="19"/>
          <w:szCs w:val="19"/>
          <w:b w:val="1"/>
          <w:bCs w:val="1"/>
          <w:i w:val="1"/>
          <w:iCs w:val="1"/>
          <w:color w:val="auto"/>
        </w:rPr>
        <w:t xml:space="preserve"> Section 4.4</w:t>
      </w:r>
      <w:r>
        <w:rPr>
          <w:rFonts w:ascii="Times New Roman" w:cs="Times New Roman" w:eastAsia="Times New Roman" w:hAnsi="Times New Roman"/>
          <w:sz w:val="19"/>
          <w:szCs w:val="19"/>
          <w:color w:val="auto"/>
        </w:rPr>
        <w:t>, or Borrower 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required to pay any Indemnified Taxes or additional amounts to any Lender or any Governmental Authority for the account of any Lender pursuant to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xml:space="preserve">, or if any Lender gives a notice pursuant to </w:t>
      </w:r>
      <w:r>
        <w:rPr>
          <w:rFonts w:ascii="Times New Roman" w:cs="Times New Roman" w:eastAsia="Times New Roman" w:hAnsi="Times New Roman"/>
          <w:sz w:val="19"/>
          <w:szCs w:val="19"/>
          <w:b w:val="1"/>
          <w:bCs w:val="1"/>
          <w:i w:val="1"/>
          <w:iCs w:val="1"/>
          <w:color w:val="auto"/>
        </w:rPr>
        <w:t>Section 4.2</w:t>
      </w:r>
      <w:r>
        <w:rPr>
          <w:rFonts w:ascii="Times New Roman" w:cs="Times New Roman" w:eastAsia="Times New Roman" w:hAnsi="Times New Roman"/>
          <w:sz w:val="19"/>
          <w:szCs w:val="19"/>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4.4</w:t>
      </w:r>
      <w:r>
        <w:rPr>
          <w:rFonts w:ascii="Times New Roman" w:cs="Times New Roman" w:eastAsia="Times New Roman" w:hAnsi="Times New Roman"/>
          <w:sz w:val="19"/>
          <w:szCs w:val="19"/>
          <w:color w:val="auto"/>
        </w:rPr>
        <w:t xml:space="preserve">, as the case may be, in the future, or eliminate the need for the notice pursuant to </w:t>
      </w:r>
      <w:r>
        <w:rPr>
          <w:rFonts w:ascii="Times New Roman" w:cs="Times New Roman" w:eastAsia="Times New Roman" w:hAnsi="Times New Roman"/>
          <w:sz w:val="19"/>
          <w:szCs w:val="19"/>
          <w:b w:val="1"/>
          <w:bCs w:val="1"/>
          <w:i w:val="1"/>
          <w:iCs w:val="1"/>
          <w:color w:val="auto"/>
        </w:rPr>
        <w:t>Section 4.2</w:t>
      </w:r>
      <w:r>
        <w:rPr>
          <w:rFonts w:ascii="Times New Roman" w:cs="Times New Roman" w:eastAsia="Times New Roman" w:hAnsi="Times New Roman"/>
          <w:sz w:val="19"/>
          <w:szCs w:val="19"/>
          <w:color w:val="auto"/>
        </w:rPr>
        <w:t>, as applicable, and (ii) in each case, would not subject such Lender to any unreimbursed cost or expense and would not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otherwise be materially disadvantageous to such Lender. Borrower hereby agrees to pay all reasonable costs and expenses incurred by any Lender in connection with any such designation or assignment.</w:t>
      </w:r>
    </w:p>
    <w:p>
      <w:pPr>
        <w:spacing w:after="0" w:line="178" w:lineRule="exact"/>
        <w:rPr>
          <w:rFonts w:ascii="Times New Roman" w:cs="Times New Roman" w:eastAsia="Times New Roman" w:hAnsi="Times New Roman"/>
          <w:sz w:val="19"/>
          <w:szCs w:val="19"/>
          <w:color w:val="auto"/>
        </w:rPr>
      </w:pPr>
    </w:p>
    <w:p>
      <w:pPr>
        <w:jc w:val="both"/>
        <w:ind w:left="640" w:firstLine="640"/>
        <w:spacing w:after="0" w:line="276" w:lineRule="auto"/>
        <w:tabs>
          <w:tab w:leader="none" w:pos="1738"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Replacement of Lenders</w:t>
      </w:r>
      <w:r>
        <w:rPr>
          <w:rFonts w:ascii="Times New Roman" w:cs="Times New Roman" w:eastAsia="Times New Roman" w:hAnsi="Times New Roman"/>
          <w:sz w:val="19"/>
          <w:szCs w:val="19"/>
          <w:color w:val="auto"/>
        </w:rPr>
        <w:t>. If any Lender requests compensation under</w:t>
      </w:r>
      <w:r>
        <w:rPr>
          <w:rFonts w:ascii="Times New Roman" w:cs="Times New Roman" w:eastAsia="Times New Roman" w:hAnsi="Times New Roman"/>
          <w:sz w:val="19"/>
          <w:szCs w:val="19"/>
          <w:b w:val="1"/>
          <w:bCs w:val="1"/>
          <w:i w:val="1"/>
          <w:iCs w:val="1"/>
          <w:color w:val="auto"/>
        </w:rPr>
        <w:t xml:space="preserve"> Section 4.4</w:t>
      </w:r>
      <w:r>
        <w:rPr>
          <w:rFonts w:ascii="Times New Roman" w:cs="Times New Roman" w:eastAsia="Times New Roman" w:hAnsi="Times New Roman"/>
          <w:sz w:val="19"/>
          <w:szCs w:val="19"/>
          <w:color w:val="auto"/>
        </w:rPr>
        <w:t>, or if Borrower is required to pay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additional amount to any Lender or any Governmental Authority for the account of any Lender pursuant to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xml:space="preserve">, Borrower may replace such Lender in accordance with </w:t>
      </w:r>
      <w:r>
        <w:rPr>
          <w:rFonts w:ascii="Times New Roman" w:cs="Times New Roman" w:eastAsia="Times New Roman" w:hAnsi="Times New Roman"/>
          <w:sz w:val="19"/>
          <w:szCs w:val="19"/>
          <w:b w:val="1"/>
          <w:bCs w:val="1"/>
          <w:i w:val="1"/>
          <w:iCs w:val="1"/>
          <w:color w:val="auto"/>
        </w:rPr>
        <w:t>Section 15.14</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right="100" w:firstLine="637"/>
        <w:spacing w:after="0" w:line="290" w:lineRule="auto"/>
        <w:rPr>
          <w:sz w:val="20"/>
          <w:szCs w:val="20"/>
          <w:color w:val="auto"/>
        </w:rPr>
      </w:pPr>
      <w:r>
        <w:rPr>
          <w:rFonts w:ascii="Times New Roman" w:cs="Times New Roman" w:eastAsia="Times New Roman" w:hAnsi="Times New Roman"/>
          <w:sz w:val="19"/>
          <w:szCs w:val="19"/>
          <w:color w:val="auto"/>
        </w:rPr>
        <w:t xml:space="preserve">4.7.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xml:space="preserve">. All of Borrower’s obligations under this </w:t>
      </w:r>
      <w:r>
        <w:rPr>
          <w:rFonts w:ascii="Times New Roman" w:cs="Times New Roman" w:eastAsia="Times New Roman" w:hAnsi="Times New Roman"/>
          <w:sz w:val="19"/>
          <w:szCs w:val="19"/>
          <w:b w:val="1"/>
          <w:bCs w:val="1"/>
          <w:i w:val="1"/>
          <w:iCs w:val="1"/>
          <w:color w:val="auto"/>
        </w:rPr>
        <w:t>Section 4</w:t>
      </w:r>
      <w:r>
        <w:rPr>
          <w:rFonts w:ascii="Times New Roman" w:cs="Times New Roman" w:eastAsia="Times New Roman" w:hAnsi="Times New Roman"/>
          <w:sz w:val="19"/>
          <w:szCs w:val="19"/>
          <w:color w:val="auto"/>
        </w:rPr>
        <w:t xml:space="preserve"> shall survive termination of the Total Commitment and repayment of the Obligation hereunder.</w:t>
      </w:r>
    </w:p>
    <w:p>
      <w:pPr>
        <w:spacing w:after="0" w:line="14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9"/>
          <w:szCs w:val="19"/>
          <w:b w:val="1"/>
          <w:bCs w:val="1"/>
          <w:u w:val="single" w:color="auto"/>
          <w:color w:val="auto"/>
        </w:rPr>
        <w:t>SECTION 5</w:t>
        <w:tab/>
        <w:t>FEES.</w:t>
      </w:r>
    </w:p>
    <w:p>
      <w:pPr>
        <w:spacing w:after="0" w:line="23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color w:val="auto"/>
        </w:rPr>
        <w:t xml:space="preserve">5.1. </w:t>
      </w:r>
      <w:r>
        <w:rPr>
          <w:rFonts w:ascii="Times New Roman" w:cs="Times New Roman" w:eastAsia="Times New Roman" w:hAnsi="Times New Roman"/>
          <w:sz w:val="19"/>
          <w:szCs w:val="19"/>
          <w:u w:val="single" w:color="auto"/>
          <w:color w:val="auto"/>
        </w:rPr>
        <w:t>Treatment of Fees</w:t>
      </w:r>
      <w:r>
        <w:rPr>
          <w:rFonts w:ascii="Times New Roman" w:cs="Times New Roman" w:eastAsia="Times New Roman" w:hAnsi="Times New Roman"/>
          <w:sz w:val="19"/>
          <w:szCs w:val="19"/>
          <w:color w:val="auto"/>
        </w:rPr>
        <w:t xml:space="preserve">. The fees described in this </w:t>
      </w:r>
      <w:r>
        <w:rPr>
          <w:rFonts w:ascii="Times New Roman" w:cs="Times New Roman" w:eastAsia="Times New Roman" w:hAnsi="Times New Roman"/>
          <w:sz w:val="19"/>
          <w:szCs w:val="19"/>
          <w:b w:val="1"/>
          <w:bCs w:val="1"/>
          <w:i w:val="1"/>
          <w:iCs w:val="1"/>
          <w:color w:val="auto"/>
        </w:rPr>
        <w:t>Section 5</w:t>
      </w:r>
      <w:r>
        <w:rPr>
          <w:rFonts w:ascii="Times New Roman" w:cs="Times New Roman" w:eastAsia="Times New Roman" w:hAnsi="Times New Roman"/>
          <w:sz w:val="19"/>
          <w:szCs w:val="19"/>
          <w:color w:val="auto"/>
        </w:rPr>
        <w:t xml:space="preserve"> (a) are not compensation for the use, detention, or forbearance of money, (b) are in addition to, and not in lieu of, interest and expenses otherwise described in this Agreement, (c) are payable in accordance with </w:t>
      </w:r>
      <w:r>
        <w:rPr>
          <w:rFonts w:ascii="Times New Roman" w:cs="Times New Roman" w:eastAsia="Times New Roman" w:hAnsi="Times New Roman"/>
          <w:sz w:val="19"/>
          <w:szCs w:val="19"/>
          <w:b w:val="1"/>
          <w:bCs w:val="1"/>
          <w:i w:val="1"/>
          <w:iCs w:val="1"/>
          <w:color w:val="auto"/>
        </w:rPr>
        <w:t>Section 3.1(c)</w:t>
      </w:r>
      <w:r>
        <w:rPr>
          <w:rFonts w:ascii="Times New Roman" w:cs="Times New Roman" w:eastAsia="Times New Roman" w:hAnsi="Times New Roman"/>
          <w:sz w:val="19"/>
          <w:szCs w:val="19"/>
          <w:color w:val="auto"/>
        </w:rPr>
        <w:t>, (d) are non-refundable, and (e) to the fullest extent permitted by Law, bear interest, if not paid when due, at the Default Rate.</w:t>
      </w:r>
    </w:p>
    <w:p>
      <w:pPr>
        <w:spacing w:after="0" w:line="179" w:lineRule="exact"/>
        <w:rPr>
          <w:sz w:val="20"/>
          <w:szCs w:val="20"/>
          <w:color w:val="auto"/>
        </w:rPr>
      </w:pPr>
    </w:p>
    <w:p>
      <w:pPr>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u w:val="single" w:color="auto"/>
          <w:color w:val="auto"/>
        </w:rPr>
        <w:t>Fee Letter</w:t>
      </w:r>
      <w:r>
        <w:rPr>
          <w:rFonts w:ascii="Times New Roman" w:cs="Times New Roman" w:eastAsia="Times New Roman" w:hAnsi="Times New Roman"/>
          <w:sz w:val="19"/>
          <w:szCs w:val="19"/>
          <w:color w:val="auto"/>
        </w:rPr>
        <w:t>. Borrower shall pay to the Joint Lead Arrangers and Administrative Agent, for their respective accounts or for the respective accounts of Lenders, as the case may be, fees in the amounts and at the times specified in the applicable Fee Letter. Such fees shall be fully earned when paid and shall not be refundable for any reason whatsoever.</w:t>
      </w:r>
    </w:p>
    <w:p>
      <w:pPr>
        <w:spacing w:after="0" w:line="16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5.3.</w:t>
      </w:r>
      <w:r>
        <w:rPr>
          <w:sz w:val="20"/>
          <w:szCs w:val="20"/>
          <w:color w:val="auto"/>
        </w:rPr>
        <w:tab/>
      </w:r>
      <w:r>
        <w:rPr>
          <w:rFonts w:ascii="Times New Roman" w:cs="Times New Roman" w:eastAsia="Times New Roman" w:hAnsi="Times New Roman"/>
          <w:sz w:val="19"/>
          <w:szCs w:val="19"/>
          <w:u w:val="single" w:color="auto"/>
          <w:color w:val="auto"/>
        </w:rPr>
        <w:t>L/C Fees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40" w:firstLine="640"/>
        <w:spacing w:after="0" w:line="262" w:lineRule="auto"/>
        <w:tabs>
          <w:tab w:leader="none" w:pos="174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L/C Fees</w:t>
      </w:r>
      <w:r>
        <w:rPr>
          <w:rFonts w:ascii="Times New Roman" w:cs="Times New Roman" w:eastAsia="Times New Roman" w:hAnsi="Times New Roman"/>
          <w:sz w:val="19"/>
          <w:szCs w:val="19"/>
          <w:color w:val="auto"/>
        </w:rPr>
        <w:t>. Borrower shall pay to Administrative Agent for the account of each Revolver Lender in accordance with its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Commitment Percentage (i) a fee for each commercial L/C equal to 1/8 of 1% per annum times the Dollar Equivalent of the actual daily maximum amount available to be drawn under each such L/C, and (ii) a fee for each standby L/C equal to the Applicable Margin for Term Reference Rate Loans </w:t>
      </w:r>
      <w:r>
        <w:rPr>
          <w:rFonts w:ascii="Times New Roman" w:cs="Times New Roman" w:eastAsia="Times New Roman" w:hAnsi="Times New Roman"/>
          <w:sz w:val="19"/>
          <w:szCs w:val="19"/>
          <w:i w:val="1"/>
          <w:iCs w:val="1"/>
          <w:color w:val="auto"/>
        </w:rPr>
        <w:t>times</w:t>
      </w:r>
      <w:r>
        <w:rPr>
          <w:rFonts w:ascii="Times New Roman" w:cs="Times New Roman" w:eastAsia="Times New Roman" w:hAnsi="Times New Roman"/>
          <w:sz w:val="19"/>
          <w:szCs w:val="19"/>
          <w:color w:val="auto"/>
        </w:rPr>
        <w:t xml:space="preserve"> the Dollar Equivalent of the actual daily maximum amount available to be drawn under each such L/C;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any L/C Fees otherwise payable for the account of a Defaulting Lender with respect to any L/C as to which such Defaulting Lender has not provided Cash Collateral satisfactory to the applicable L/C Issuer pursuant to </w:t>
      </w:r>
      <w:r>
        <w:rPr>
          <w:rFonts w:ascii="Times New Roman" w:cs="Times New Roman" w:eastAsia="Times New Roman" w:hAnsi="Times New Roman"/>
          <w:sz w:val="19"/>
          <w:szCs w:val="19"/>
          <w:b w:val="1"/>
          <w:bCs w:val="1"/>
          <w:i w:val="1"/>
          <w:iCs w:val="1"/>
          <w:color w:val="auto"/>
        </w:rPr>
        <w:t>Section 2.3</w:t>
      </w:r>
      <w:r>
        <w:rPr>
          <w:rFonts w:ascii="Times New Roman" w:cs="Times New Roman" w:eastAsia="Times New Roman" w:hAnsi="Times New Roman"/>
          <w:sz w:val="19"/>
          <w:szCs w:val="19"/>
          <w:color w:val="auto"/>
        </w:rPr>
        <w:t xml:space="preserve"> shall be payable, to the maximum extent permitted by applicable Law, to the other Revolver Lenders in accordance with the upward adjustments in their respective Commitment Percentages allocable to such L/C pursuant to </w:t>
      </w:r>
      <w:r>
        <w:rPr>
          <w:rFonts w:ascii="Times New Roman" w:cs="Times New Roman" w:eastAsia="Times New Roman" w:hAnsi="Times New Roman"/>
          <w:sz w:val="19"/>
          <w:szCs w:val="19"/>
          <w:b w:val="1"/>
          <w:bCs w:val="1"/>
          <w:i w:val="1"/>
          <w:iCs w:val="1"/>
          <w:color w:val="auto"/>
        </w:rPr>
        <w:t>Section 3.15(a)(iv)</w:t>
      </w:r>
      <w:r>
        <w:rPr>
          <w:rFonts w:ascii="Times New Roman" w:cs="Times New Roman" w:eastAsia="Times New Roman" w:hAnsi="Times New Roman"/>
          <w:sz w:val="19"/>
          <w:szCs w:val="19"/>
          <w:color w:val="auto"/>
        </w:rPr>
        <w:t>, with the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1900" w:h="16838" w:orient="portrait"/>
          <w:cols w:equalWidth="0" w:num="1">
            <w:col w:w="11240"/>
          </w:cols>
          <w:pgMar w:left="320" w:top="1390" w:right="339" w:bottom="1440" w:gutter="0" w:footer="0" w:header="0"/>
        </w:sectPr>
      </w:pPr>
    </w:p>
    <w:bookmarkStart w:id="190" w:name="page191"/>
    <w:bookmarkEnd w:id="190"/>
    <w:p>
      <w:pPr>
        <w:jc w:val="both"/>
        <w:ind w:left="640"/>
        <w:spacing w:after="0" w:line="264" w:lineRule="auto"/>
        <w:rPr>
          <w:sz w:val="20"/>
          <w:szCs w:val="20"/>
          <w:color w:val="auto"/>
        </w:rPr>
      </w:pPr>
      <w:r>
        <w:rPr>
          <w:rFonts w:ascii="Times New Roman" w:cs="Times New Roman" w:eastAsia="Times New Roman" w:hAnsi="Times New Roman"/>
          <w:sz w:val="19"/>
          <w:szCs w:val="19"/>
          <w:color w:val="auto"/>
        </w:rPr>
        <w:t>of such fee, if any, payable to the applicable L/C Issuer for its own account. Such fee for each L/C shall be due and payable quarterly in arrears on each Quarterly Date, commencing with the first such date to occur after the issuance of such L/C, and on the expiration date of such L/C. If there is any change in the Applicable Margin during any quarter, the actual daily amount of each standby L/C shall be computed and multiplied by the Applicable Margin separately for each period during such quarter that such Applicable Margin was in effect. Notwithstanding anything to the contrary contained herein, upon the request of Required Revolver Lenders, while any Default exists, the fees set forth herein with respect to L/Cs shall accrue at the Default Rate.</w:t>
      </w:r>
    </w:p>
    <w:p>
      <w:pPr>
        <w:spacing w:after="0" w:line="172" w:lineRule="exact"/>
        <w:rPr>
          <w:sz w:val="20"/>
          <w:szCs w:val="20"/>
          <w:color w:val="auto"/>
        </w:rPr>
      </w:pPr>
    </w:p>
    <w:p>
      <w:pPr>
        <w:jc w:val="both"/>
        <w:ind w:left="640" w:firstLine="640"/>
        <w:spacing w:after="0" w:line="259" w:lineRule="auto"/>
        <w:tabs>
          <w:tab w:leader="none" w:pos="1751"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Fronting Fee and Documentary and Processing Charges Payable to L/C Issuers</w:t>
      </w:r>
      <w:r>
        <w:rPr>
          <w:rFonts w:ascii="Times New Roman" w:cs="Times New Roman" w:eastAsia="Times New Roman" w:hAnsi="Times New Roman"/>
          <w:sz w:val="19"/>
          <w:szCs w:val="19"/>
          <w:color w:val="auto"/>
        </w:rPr>
        <w:t>. Borrower shall pay directly to each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L/C Issuer, for its own account, a fronting fee in an amount specified in the applicable Fee Letter executed by Borrower and such L/C Issuer, or such other amount as may be agreed upon by Borrower and such L/C Issuer, or, with respect to commercial L/Cs, in an amount agreed upon by Borrower and such L/C Issuers. Such fronting fee shall be due and payable (i) with respect to standby L/Cs, on the tenth Business Day after the end of each January, April, July, and October in respect of the most recently-ended quarterly period (or portion thereof, in the case of the first payment), commencing with the first such date to occur after the issuance of such L/C, on the L/C Expiration Date, and thereafter on demand, or (ii) with respect to commercial L/Cs, upon the issuance thereof and with respect to any amendment increasing the amount of such commercial L/C, on the amount of such increase, and payable upon the effectiveness of such amendment. For purposes of computing the daily amount available to be drawn under any L/C, the amount of such L/C shall be determined in accordance with </w:t>
      </w:r>
      <w:r>
        <w:rPr>
          <w:rFonts w:ascii="Times New Roman" w:cs="Times New Roman" w:eastAsia="Times New Roman" w:hAnsi="Times New Roman"/>
          <w:sz w:val="19"/>
          <w:szCs w:val="19"/>
          <w:b w:val="1"/>
          <w:bCs w:val="1"/>
          <w:i w:val="1"/>
          <w:iCs w:val="1"/>
          <w:color w:val="auto"/>
        </w:rPr>
        <w:t>Section 1.7</w:t>
      </w:r>
      <w:r>
        <w:rPr>
          <w:rFonts w:ascii="Times New Roman" w:cs="Times New Roman" w:eastAsia="Times New Roman" w:hAnsi="Times New Roman"/>
          <w:sz w:val="19"/>
          <w:szCs w:val="19"/>
          <w:color w:val="auto"/>
        </w:rPr>
        <w:t>. In addition, Borrower shall pay directly to the applicable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200" w:lineRule="exact"/>
        <w:rPr>
          <w:rFonts w:ascii="Times New Roman" w:cs="Times New Roman" w:eastAsia="Times New Roman" w:hAnsi="Times New Roman"/>
          <w:sz w:val="19"/>
          <w:szCs w:val="19"/>
          <w:color w:val="auto"/>
        </w:rPr>
      </w:pPr>
    </w:p>
    <w:p>
      <w:pPr>
        <w:spacing w:after="0" w:line="207" w:lineRule="exact"/>
        <w:rPr>
          <w:rFonts w:ascii="Times New Roman" w:cs="Times New Roman" w:eastAsia="Times New Roman" w:hAnsi="Times New Roman"/>
          <w:sz w:val="19"/>
          <w:szCs w:val="19"/>
          <w:color w:val="auto"/>
        </w:rPr>
      </w:pPr>
    </w:p>
    <w:p>
      <w:pPr>
        <w:ind w:left="640" w:firstLine="640"/>
        <w:spacing w:after="0" w:line="304" w:lineRule="auto"/>
        <w:tabs>
          <w:tab w:leader="none" w:pos="1687"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Calculation of L/C Fees</w:t>
      </w:r>
      <w:r>
        <w:rPr>
          <w:rFonts w:ascii="Times New Roman" w:cs="Times New Roman" w:eastAsia="Times New Roman" w:hAnsi="Times New Roman"/>
          <w:sz w:val="19"/>
          <w:szCs w:val="19"/>
          <w:color w:val="auto"/>
        </w:rPr>
        <w:t>. Each L/C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 fee payable upon the issuance of the L/C) shall be calculated on the basis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a year of 360 days and the actual number of days elapsed.</w:t>
      </w:r>
    </w:p>
    <w:p>
      <w:pPr>
        <w:spacing w:after="0" w:line="127"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19"/>
          <w:szCs w:val="19"/>
          <w:u w:val="single" w:color="auto"/>
          <w:color w:val="auto"/>
        </w:rPr>
        <w:t>Revolver Commitment Fee</w:t>
      </w:r>
      <w:r>
        <w:rPr>
          <w:rFonts w:ascii="Times New Roman" w:cs="Times New Roman" w:eastAsia="Times New Roman" w:hAnsi="Times New Roman"/>
          <w:sz w:val="19"/>
          <w:szCs w:val="19"/>
          <w:color w:val="auto"/>
        </w:rPr>
        <w:t xml:space="preserve">. Borrower shall pay to Administrative Agent for the account of each Revolver Lender in accordance with its Commitment Percentage, a commitment fee equal to the Applicable Percentage times the daily amount by which the Revolver Commitment exceeds the Revolver Commitment Usage. The commitment fee shall accrue at all times from the Closing Date to the Termination Date for the Revolver Facility, including at any time during which one or more of the conditions in </w:t>
      </w:r>
      <w:r>
        <w:rPr>
          <w:rFonts w:ascii="Times New Roman" w:cs="Times New Roman" w:eastAsia="Times New Roman" w:hAnsi="Times New Roman"/>
          <w:sz w:val="19"/>
          <w:szCs w:val="19"/>
          <w:b w:val="1"/>
          <w:bCs w:val="1"/>
          <w:i w:val="1"/>
          <w:iCs w:val="1"/>
          <w:color w:val="auto"/>
        </w:rPr>
        <w:t>Section 7</w:t>
      </w:r>
      <w:r>
        <w:rPr>
          <w:rFonts w:ascii="Times New Roman" w:cs="Times New Roman" w:eastAsia="Times New Roman" w:hAnsi="Times New Roman"/>
          <w:sz w:val="19"/>
          <w:szCs w:val="19"/>
          <w:color w:val="auto"/>
        </w:rPr>
        <w:t xml:space="preserve"> is not met, and shall be due and payable quarterly in arrears on each Quarterly Date, commencing with the first such date to occur after the Closing Date, and on the Termination Date for the Revolver Facility. The commitment fee shall be calculated quarterly in arrears on the basis of the actual days elapsed (including the first day but excluding the last day) in a calendar year of 360 days, and if there is any change in the Applicable Percentage during any quarter, the actual daily amount shall be computed and multiplied by the Applicable Percentage separately for each period during such quarter that such Applicable Percentage was in effect.</w:t>
      </w:r>
    </w:p>
    <w:p>
      <w:pPr>
        <w:spacing w:after="0" w:line="183"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u w:val="single" w:color="auto"/>
          <w:color w:val="3051F2"/>
        </w:rPr>
        <w:t>5.5. Delayed Draw Term Loan Ticking Fee. Borrower shall pay to Administrative Agent for the account of each Delayed Draw Term Loan Lender a ticking fee (the “</w:t>
      </w:r>
      <w:r>
        <w:rPr>
          <w:rFonts w:ascii="Times New Roman" w:cs="Times New Roman" w:eastAsia="Times New Roman" w:hAnsi="Times New Roman"/>
          <w:sz w:val="19"/>
          <w:szCs w:val="19"/>
          <w:b w:val="1"/>
          <w:bCs w:val="1"/>
          <w:i w:val="1"/>
          <w:iCs w:val="1"/>
          <w:u w:val="single" w:color="auto"/>
          <w:color w:val="3051F2"/>
        </w:rPr>
        <w:t>Ticking Fee</w:t>
      </w:r>
      <w:r>
        <w:rPr>
          <w:rFonts w:ascii="Times New Roman" w:cs="Times New Roman" w:eastAsia="Times New Roman" w:hAnsi="Times New Roman"/>
          <w:sz w:val="19"/>
          <w:szCs w:val="19"/>
          <w:u w:val="single" w:color="auto"/>
          <w:color w:val="3051F2"/>
        </w:rPr>
        <w:t>”) equal to 0.30% per annum of the daily unused portion of each Delayed Draw Term Loan Lender’s Delayed Draw Term Loan Commitment. The Ticking Fee shall accrue at all times during the Delayed Draw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1900" w:h="16838" w:orient="portrait"/>
          <w:cols w:equalWidth="0" w:num="1">
            <w:col w:w="11240"/>
          </w:cols>
          <w:pgMar w:left="320" w:top="1390" w:right="339" w:bottom="1440" w:gutter="0" w:footer="0" w:header="0"/>
        </w:sectPr>
      </w:pPr>
    </w:p>
    <w:bookmarkStart w:id="191" w:name="page192"/>
    <w:bookmarkEnd w:id="191"/>
    <w:p>
      <w:pPr>
        <w:jc w:val="both"/>
        <w:spacing w:after="0" w:line="276" w:lineRule="auto"/>
        <w:rPr>
          <w:sz w:val="20"/>
          <w:szCs w:val="20"/>
          <w:color w:val="auto"/>
        </w:rPr>
      </w:pPr>
      <w:r>
        <w:rPr>
          <w:rFonts w:ascii="Times New Roman" w:cs="Times New Roman" w:eastAsia="Times New Roman" w:hAnsi="Times New Roman"/>
          <w:sz w:val="19"/>
          <w:szCs w:val="19"/>
          <w:u w:val="single" w:color="auto"/>
          <w:color w:val="3051F2"/>
        </w:rPr>
        <w:t xml:space="preserve">Availability Period, including at any time during which one or more of the conditions in </w:t>
      </w:r>
      <w:r>
        <w:rPr>
          <w:rFonts w:ascii="Times New Roman" w:cs="Times New Roman" w:eastAsia="Times New Roman" w:hAnsi="Times New Roman"/>
          <w:sz w:val="19"/>
          <w:szCs w:val="19"/>
          <w:b w:val="1"/>
          <w:bCs w:val="1"/>
          <w:i w:val="1"/>
          <w:iCs w:val="1"/>
          <w:u w:val="single" w:color="auto"/>
          <w:color w:val="3051F2"/>
        </w:rPr>
        <w:t>Section 7</w:t>
      </w:r>
      <w:r>
        <w:rPr>
          <w:rFonts w:ascii="Times New Roman" w:cs="Times New Roman" w:eastAsia="Times New Roman" w:hAnsi="Times New Roman"/>
          <w:sz w:val="19"/>
          <w:szCs w:val="19"/>
          <w:u w:val="single" w:color="auto"/>
          <w:color w:val="3051F2"/>
        </w:rPr>
        <w:t xml:space="preserve"> is not met, and shall be due and payable quarterly in arrears on each Quarterly Date to occur during the Delayed Draw Term Loan Availability Period and on the last day of the Delayed Draw Term Loan Availability Period (and, if applicable, thereafter on demand).</w:t>
      </w:r>
    </w:p>
    <w:p>
      <w:pPr>
        <w:spacing w:after="0" w:line="162"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b w:val="1"/>
          <w:bCs w:val="1"/>
          <w:u w:val="single" w:color="auto"/>
          <w:color w:val="auto"/>
        </w:rPr>
        <w:t>SECTION 6</w:t>
        <w:tab/>
        <w:t>GUARANTY AND SECURITY.</w:t>
      </w:r>
    </w:p>
    <w:p>
      <w:pPr>
        <w:spacing w:after="0" w:line="223" w:lineRule="exact"/>
        <w:rPr>
          <w:sz w:val="20"/>
          <w:szCs w:val="20"/>
          <w:color w:val="auto"/>
        </w:rPr>
      </w:pPr>
    </w:p>
    <w:p>
      <w:pPr>
        <w:jc w:val="both"/>
        <w:ind w:right="20" w:firstLine="637"/>
        <w:spacing w:after="0" w:line="300"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Guaranty</w:t>
      </w:r>
      <w:r>
        <w:rPr>
          <w:rFonts w:ascii="Times New Roman" w:cs="Times New Roman" w:eastAsia="Times New Roman" w:hAnsi="Times New Roman"/>
          <w:sz w:val="19"/>
          <w:szCs w:val="19"/>
          <w:color w:val="auto"/>
        </w:rPr>
        <w:t>. Full and complete payment of the Obligation under the Loan Papers shall be guaranteed in accordance with a Guaranty executed by each Restricted Company (other than Borrower) organized under the Laws of the United States (or any state thereof).</w:t>
      </w:r>
    </w:p>
    <w:p>
      <w:pPr>
        <w:spacing w:after="0" w:line="144"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xml:space="preserve">. Full and complete payment of the Obligation under the Loan Papers shall be secured by (a) all capital stock or other equity interests issued to a Restricted Company by any Restricted Subsidiary organized under the Laws of the United States (or any state thereof), other than the Northstar Subsidiaries and the Concessioner Subsidiaries, and (b) 65% of all capital stock or other equity interests issued to a Restricted Company organized under the Laws of the United States (or any state thereof) by any Restricted Subsidiary organized under the Laws of any country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the United States.</w:t>
      </w:r>
    </w:p>
    <w:p>
      <w:pPr>
        <w:spacing w:after="0" w:line="178"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6.3. </w:t>
      </w:r>
      <w:r>
        <w:rPr>
          <w:rFonts w:ascii="Times New Roman" w:cs="Times New Roman" w:eastAsia="Times New Roman" w:hAnsi="Times New Roman"/>
          <w:sz w:val="19"/>
          <w:szCs w:val="19"/>
          <w:u w:val="single" w:color="auto"/>
          <w:color w:val="auto"/>
        </w:rPr>
        <w:t>Additional Collateral and Guaranties</w:t>
      </w:r>
      <w:r>
        <w:rPr>
          <w:rFonts w:ascii="Times New Roman" w:cs="Times New Roman" w:eastAsia="Times New Roman" w:hAnsi="Times New Roman"/>
          <w:sz w:val="19"/>
          <w:szCs w:val="19"/>
          <w:color w:val="auto"/>
        </w:rPr>
        <w:t xml:space="preserve">. Administrative Agent may, without notice or demand and without affecting any Person’s obligations under the Loan Papers, from time to time (a) receive and hold additional collateral from any Person for the payment of all or any part of the Obligation (including, without limitation, collateral assigned to Administrative Agent pursuant to </w:t>
      </w:r>
      <w:r>
        <w:rPr>
          <w:rFonts w:ascii="Times New Roman" w:cs="Times New Roman" w:eastAsia="Times New Roman" w:hAnsi="Times New Roman"/>
          <w:sz w:val="19"/>
          <w:szCs w:val="19"/>
          <w:b w:val="1"/>
          <w:bCs w:val="1"/>
          <w:i w:val="1"/>
          <w:iCs w:val="1"/>
          <w:color w:val="auto"/>
        </w:rPr>
        <w:t>Section 2.3(i)(iv)</w:t>
      </w:r>
      <w:r>
        <w:rPr>
          <w:rFonts w:ascii="Times New Roman" w:cs="Times New Roman" w:eastAsia="Times New Roman" w:hAnsi="Times New Roman"/>
          <w:sz w:val="19"/>
          <w:szCs w:val="19"/>
          <w:color w:val="auto"/>
        </w:rPr>
        <w:t xml:space="preserve"> herein) and exchange, enforce, or release all or any part of such additional collateral (in accordance with </w:t>
      </w:r>
      <w:r>
        <w:rPr>
          <w:rFonts w:ascii="Times New Roman" w:cs="Times New Roman" w:eastAsia="Times New Roman" w:hAnsi="Times New Roman"/>
          <w:sz w:val="19"/>
          <w:szCs w:val="19"/>
          <w:b w:val="1"/>
          <w:bCs w:val="1"/>
          <w:i w:val="1"/>
          <w:iCs w:val="1"/>
          <w:color w:val="auto"/>
        </w:rPr>
        <w:t>Section 14.9</w:t>
      </w:r>
      <w:r>
        <w:rPr>
          <w:rFonts w:ascii="Times New Roman" w:cs="Times New Roman" w:eastAsia="Times New Roman" w:hAnsi="Times New Roman"/>
          <w:sz w:val="19"/>
          <w:szCs w:val="19"/>
          <w:color w:val="auto"/>
        </w:rPr>
        <w:t xml:space="preserve">), and (b) accept and hold any endorsement or guaranty of payment of all or any part of the Obligation and release any endorser or guarantor, or any Person who has given any other security for the payment of all or any part of the Obligation, or any other Person in any way obligated to pay all or any part of the Obligation (in accordance with </w:t>
      </w:r>
      <w:r>
        <w:rPr>
          <w:rFonts w:ascii="Times New Roman" w:cs="Times New Roman" w:eastAsia="Times New Roman" w:hAnsi="Times New Roman"/>
          <w:sz w:val="19"/>
          <w:szCs w:val="19"/>
          <w:b w:val="1"/>
          <w:bCs w:val="1"/>
          <w:i w:val="1"/>
          <w:iCs w:val="1"/>
          <w:color w:val="auto"/>
        </w:rPr>
        <w:t>Section 14.9</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6.4. </w:t>
      </w:r>
      <w:r>
        <w:rPr>
          <w:rFonts w:ascii="Times New Roman" w:cs="Times New Roman" w:eastAsia="Times New Roman" w:hAnsi="Times New Roman"/>
          <w:sz w:val="19"/>
          <w:szCs w:val="19"/>
          <w:u w:val="single" w:color="auto"/>
          <w:color w:val="auto"/>
        </w:rPr>
        <w:t>Additional Documents or Information</w:t>
      </w:r>
      <w:r>
        <w:rPr>
          <w:rFonts w:ascii="Times New Roman" w:cs="Times New Roman" w:eastAsia="Times New Roman" w:hAnsi="Times New Roman"/>
          <w:sz w:val="19"/>
          <w:szCs w:val="19"/>
          <w:color w:val="auto"/>
        </w:rPr>
        <w:t>. Each Restricted Company will execute or cause to be executed, stock powers, control agreements, and other writings in the form and content reasonably required by Administrative Agent, and shall deliver (or grant Administrative Agent the authority to file on behalf of each Restricted Company) financing statements requested by Administrative Agent. Borrower shall pay all costs of (a) filing any financing, continuation, amendment, or terminations statements, or (b) other actions taken by Administrative Agent relating to the Collateral, including, without limitation, costs, and expenses of any Lien search required by Administrative Agent.</w:t>
      </w:r>
    </w:p>
    <w:p>
      <w:pPr>
        <w:spacing w:after="0" w:line="17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b w:val="1"/>
          <w:bCs w:val="1"/>
          <w:u w:val="single" w:color="auto"/>
          <w:color w:val="auto"/>
        </w:rPr>
        <w:t>SECTION 7</w:t>
        <w:tab/>
        <w:t>CONDITIONS PRECEDENT.</w:t>
      </w:r>
    </w:p>
    <w:p>
      <w:pPr>
        <w:spacing w:after="0" w:line="223" w:lineRule="exact"/>
        <w:rPr>
          <w:sz w:val="20"/>
          <w:szCs w:val="20"/>
          <w:color w:val="auto"/>
        </w:rPr>
      </w:pPr>
    </w:p>
    <w:p>
      <w:pPr>
        <w:jc w:val="both"/>
        <w:ind w:firstLine="637"/>
        <w:spacing w:after="0" w:line="268" w:lineRule="auto"/>
        <w:rPr>
          <w:sz w:val="20"/>
          <w:szCs w:val="20"/>
          <w:color w:val="auto"/>
        </w:rPr>
      </w:pPr>
      <w:r>
        <w:rPr>
          <w:rFonts w:ascii="Times New Roman" w:cs="Times New Roman" w:eastAsia="Times New Roman" w:hAnsi="Times New Roman"/>
          <w:sz w:val="19"/>
          <w:szCs w:val="19"/>
          <w:color w:val="auto"/>
        </w:rPr>
        <w:t xml:space="preserve">7.1. </w:t>
      </w:r>
      <w:r>
        <w:rPr>
          <w:rFonts w:ascii="Times New Roman" w:cs="Times New Roman" w:eastAsia="Times New Roman" w:hAnsi="Times New Roman"/>
          <w:sz w:val="19"/>
          <w:szCs w:val="19"/>
          <w:u w:val="single" w:color="auto"/>
          <w:color w:val="auto"/>
        </w:rPr>
        <w:t>Initial Advance</w:t>
      </w:r>
      <w:r>
        <w:rPr>
          <w:rFonts w:ascii="Times New Roman" w:cs="Times New Roman" w:eastAsia="Times New Roman" w:hAnsi="Times New Roman"/>
          <w:sz w:val="19"/>
          <w:szCs w:val="19"/>
          <w:color w:val="auto"/>
        </w:rPr>
        <w:t xml:space="preserve">. Lenders will not be obligated to fund the initial Loans hereunder, and the L/C Issuers will not be obligated to issue the initial L/Cs hereunder, unless Administrative Agent has received each of the items in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b w:val="1"/>
          <w:bCs w:val="1"/>
          <w:i w:val="1"/>
          <w:iCs w:val="1"/>
          <w:color w:val="auto"/>
        </w:rPr>
        <w:t>(k)</w:t>
      </w:r>
      <w:r>
        <w:rPr>
          <w:rFonts w:ascii="Times New Roman" w:cs="Times New Roman" w:eastAsia="Times New Roman" w:hAnsi="Times New Roman"/>
          <w:sz w:val="19"/>
          <w:szCs w:val="19"/>
          <w:color w:val="auto"/>
        </w:rPr>
        <w:t xml:space="preserve"> below, each in form and substance satisfactory to Administrative Agent and each of the Lenders, and the conditions in </w:t>
      </w:r>
      <w:r>
        <w:rPr>
          <w:rFonts w:ascii="Times New Roman" w:cs="Times New Roman" w:eastAsia="Times New Roman" w:hAnsi="Times New Roman"/>
          <w:sz w:val="19"/>
          <w:szCs w:val="19"/>
          <w:b w:val="1"/>
          <w:bCs w:val="1"/>
          <w:i w:val="1"/>
          <w:iCs w:val="1"/>
          <w:color w:val="auto"/>
        </w:rPr>
        <w:t>clauses (l)</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(m)</w:t>
      </w:r>
      <w:r>
        <w:rPr>
          <w:rFonts w:ascii="Times New Roman" w:cs="Times New Roman" w:eastAsia="Times New Roman" w:hAnsi="Times New Roman"/>
          <w:sz w:val="19"/>
          <w:szCs w:val="19"/>
          <w:color w:val="auto"/>
        </w:rPr>
        <w:t xml:space="preserve"> below have been satisfied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each item listed on </w:t>
      </w:r>
      <w:r>
        <w:rPr>
          <w:rFonts w:ascii="Times New Roman" w:cs="Times New Roman" w:eastAsia="Times New Roman" w:hAnsi="Times New Roman"/>
          <w:sz w:val="19"/>
          <w:szCs w:val="19"/>
          <w:b w:val="1"/>
          <w:bCs w:val="1"/>
          <w:i w:val="1"/>
          <w:iCs w:val="1"/>
          <w:color w:val="auto"/>
        </w:rPr>
        <w:t>Schedule 7.1</w:t>
      </w:r>
      <w:r>
        <w:rPr>
          <w:rFonts w:ascii="Times New Roman" w:cs="Times New Roman" w:eastAsia="Times New Roman" w:hAnsi="Times New Roman"/>
          <w:sz w:val="19"/>
          <w:szCs w:val="19"/>
          <w:color w:val="auto"/>
        </w:rPr>
        <w:t xml:space="preserve">, which items are hereby permitted to be delivered or satisfied after the Closing Date, but not later than the respective dates for delivery or satisfaction specified on </w:t>
      </w:r>
      <w:r>
        <w:rPr>
          <w:rFonts w:ascii="Times New Roman" w:cs="Times New Roman" w:eastAsia="Times New Roman" w:hAnsi="Times New Roman"/>
          <w:sz w:val="19"/>
          <w:szCs w:val="19"/>
          <w:b w:val="1"/>
          <w:bCs w:val="1"/>
          <w:i w:val="1"/>
          <w:iCs w:val="1"/>
          <w:color w:val="auto"/>
        </w:rPr>
        <w:t>Schedule 7.1</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ind w:left="1300" w:hanging="498"/>
        <w:spacing w:after="0"/>
        <w:tabs>
          <w:tab w:leader="none" w:pos="130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executed counterpart of this Agreement, sufficient in number for distribution to Administrative Agent, each Lender, and</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1900" w:h="16838" w:orient="portrait"/>
          <w:cols w:equalWidth="0" w:num="1">
            <w:col w:w="11240"/>
          </w:cols>
          <w:pgMar w:left="320" w:top="1386" w:right="339" w:bottom="1440" w:gutter="0" w:footer="0" w:header="0"/>
        </w:sectPr>
      </w:pPr>
    </w:p>
    <w:bookmarkStart w:id="192" w:name="page193"/>
    <w:bookmarkEnd w:id="192"/>
    <w:p>
      <w:pPr>
        <w:jc w:val="both"/>
        <w:ind w:firstLine="802"/>
        <w:spacing w:after="0" w:line="271" w:lineRule="auto"/>
        <w:tabs>
          <w:tab w:leader="none" w:pos="1229"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with respect to any Revolver Lender requesting a Revolver Note pursuant to </w:t>
      </w:r>
      <w:r>
        <w:rPr>
          <w:rFonts w:ascii="Times New Roman" w:cs="Times New Roman" w:eastAsia="Times New Roman" w:hAnsi="Times New Roman"/>
          <w:sz w:val="19"/>
          <w:szCs w:val="19"/>
          <w:b w:val="1"/>
          <w:bCs w:val="1"/>
          <w:i w:val="1"/>
          <w:iCs w:val="1"/>
          <w:color w:val="auto"/>
        </w:rPr>
        <w:t>Section 3.1(a)</w:t>
      </w:r>
      <w:r>
        <w:rPr>
          <w:rFonts w:ascii="Times New Roman" w:cs="Times New Roman" w:eastAsia="Times New Roman" w:hAnsi="Times New Roman"/>
          <w:sz w:val="19"/>
          <w:szCs w:val="19"/>
          <w:color w:val="auto"/>
        </w:rPr>
        <w:t xml:space="preserve">, a Revolver Note, payable to the order of such requesting Revolver Lender, as contemplated in </w:t>
      </w:r>
      <w:r>
        <w:rPr>
          <w:rFonts w:ascii="Times New Roman" w:cs="Times New Roman" w:eastAsia="Times New Roman" w:hAnsi="Times New Roman"/>
          <w:sz w:val="19"/>
          <w:szCs w:val="19"/>
          <w:b w:val="1"/>
          <w:bCs w:val="1"/>
          <w:i w:val="1"/>
          <w:iCs w:val="1"/>
          <w:color w:val="auto"/>
        </w:rPr>
        <w:t>Section 3.1(a)</w:t>
      </w:r>
      <w:r>
        <w:rPr>
          <w:rFonts w:ascii="Times New Roman" w:cs="Times New Roman" w:eastAsia="Times New Roman" w:hAnsi="Times New Roman"/>
          <w:sz w:val="19"/>
          <w:szCs w:val="19"/>
          <w:color w:val="auto"/>
        </w:rPr>
        <w:t xml:space="preserve">, and (ii) with respect to any Term Loan Lender requesting a Term Loan Note pursuant to </w:t>
      </w:r>
      <w:r>
        <w:rPr>
          <w:rFonts w:ascii="Times New Roman" w:cs="Times New Roman" w:eastAsia="Times New Roman" w:hAnsi="Times New Roman"/>
          <w:sz w:val="19"/>
          <w:szCs w:val="19"/>
          <w:b w:val="1"/>
          <w:bCs w:val="1"/>
          <w:i w:val="1"/>
          <w:iCs w:val="1"/>
          <w:color w:val="auto"/>
        </w:rPr>
        <w:t>Section 3.1(a)</w:t>
      </w:r>
      <w:r>
        <w:rPr>
          <w:rFonts w:ascii="Times New Roman" w:cs="Times New Roman" w:eastAsia="Times New Roman" w:hAnsi="Times New Roman"/>
          <w:sz w:val="19"/>
          <w:szCs w:val="19"/>
          <w:color w:val="auto"/>
        </w:rPr>
        <w:t xml:space="preserve">, a Term Loan Note, payable to the order of such requesting Term Loan Lender, as contemplated in </w:t>
      </w:r>
      <w:r>
        <w:rPr>
          <w:rFonts w:ascii="Times New Roman" w:cs="Times New Roman" w:eastAsia="Times New Roman" w:hAnsi="Times New Roman"/>
          <w:sz w:val="19"/>
          <w:szCs w:val="19"/>
          <w:b w:val="1"/>
          <w:bCs w:val="1"/>
          <w:i w:val="1"/>
          <w:iCs w:val="1"/>
          <w:color w:val="auto"/>
        </w:rPr>
        <w:t>Section 3.1(a)</w:t>
      </w:r>
      <w:r>
        <w:rPr>
          <w:rFonts w:ascii="Times New Roman" w:cs="Times New Roman" w:eastAsia="Times New Roman" w:hAnsi="Times New Roman"/>
          <w:sz w:val="19"/>
          <w:szCs w:val="19"/>
          <w:color w:val="auto"/>
        </w:rPr>
        <w:t>;</w:t>
      </w:r>
    </w:p>
    <w:p>
      <w:pPr>
        <w:spacing w:after="0" w:line="169" w:lineRule="exact"/>
        <w:rPr>
          <w:rFonts w:ascii="Times New Roman" w:cs="Times New Roman" w:eastAsia="Times New Roman" w:hAnsi="Times New Roman"/>
          <w:sz w:val="19"/>
          <w:szCs w:val="19"/>
          <w:color w:val="auto"/>
        </w:rPr>
      </w:pPr>
    </w:p>
    <w:p>
      <w:pPr>
        <w:ind w:firstLine="802"/>
        <w:spacing w:after="0" w:line="288" w:lineRule="auto"/>
        <w:tabs>
          <w:tab w:leader="none" w:pos="1272"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any Restricted Company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Borrower) organized under the Laws of the United States (or any state thereof), a Guaranty executed by such Restricted Company;</w:t>
      </w:r>
    </w:p>
    <w:p>
      <w:pPr>
        <w:spacing w:after="0" w:line="154" w:lineRule="exact"/>
        <w:rPr>
          <w:rFonts w:ascii="Times New Roman" w:cs="Times New Roman" w:eastAsia="Times New Roman" w:hAnsi="Times New Roman"/>
          <w:sz w:val="19"/>
          <w:szCs w:val="19"/>
          <w:color w:val="auto"/>
        </w:rPr>
      </w:pPr>
    </w:p>
    <w:p>
      <w:pPr>
        <w:jc w:val="both"/>
        <w:ind w:firstLine="802"/>
        <w:spacing w:after="0" w:line="274" w:lineRule="auto"/>
        <w:tabs>
          <w:tab w:leader="none" w:pos="1219"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from any Restricted Company organized under the Laws of the United States (or any state thereof) holding capital stock or other equity interests of any Restricted Subsidiary (other than stock in the Northstar Subsidiaries and the Concessioner Subsidiaries), a Pledge Agreement executed by such Person, pledging the portion of such capital stock or other equity interests required pursuant to </w:t>
      </w:r>
      <w:r>
        <w:rPr>
          <w:rFonts w:ascii="Times New Roman" w:cs="Times New Roman" w:eastAsia="Times New Roman" w:hAnsi="Times New Roman"/>
          <w:sz w:val="19"/>
          <w:szCs w:val="19"/>
          <w:b w:val="1"/>
          <w:bCs w:val="1"/>
          <w:i w:val="1"/>
          <w:iCs w:val="1"/>
          <w:color w:val="auto"/>
        </w:rPr>
        <w:t>Section 6.2</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ind w:firstLine="802"/>
        <w:spacing w:after="0" w:line="285" w:lineRule="auto"/>
        <w:tabs>
          <w:tab w:leader="none" w:pos="1209"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Officers’ Certificate for each Restricted Company, relating to articles of incorporation or organization, bylaws, regulations, or operating agreements, resolutions, and incumbency, as applicable;</w:t>
      </w:r>
    </w:p>
    <w:p>
      <w:pPr>
        <w:spacing w:after="0" w:line="157" w:lineRule="exact"/>
        <w:rPr>
          <w:rFonts w:ascii="Times New Roman" w:cs="Times New Roman" w:eastAsia="Times New Roman" w:hAnsi="Times New Roman"/>
          <w:sz w:val="19"/>
          <w:szCs w:val="19"/>
          <w:color w:val="auto"/>
        </w:rPr>
      </w:pPr>
    </w:p>
    <w:p>
      <w:pPr>
        <w:ind w:firstLine="802"/>
        <w:spacing w:after="0" w:line="285" w:lineRule="auto"/>
        <w:tabs>
          <w:tab w:leader="none" w:pos="1360"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Certificates of Existence and Good Standing (Account Status) for each domestic Restricted Company from its state of organization, each dated as of a recent date;</w:t>
      </w:r>
    </w:p>
    <w:p>
      <w:pPr>
        <w:spacing w:after="0" w:line="157" w:lineRule="exact"/>
        <w:rPr>
          <w:rFonts w:ascii="Times New Roman" w:cs="Times New Roman" w:eastAsia="Times New Roman" w:hAnsi="Times New Roman"/>
          <w:sz w:val="19"/>
          <w:szCs w:val="19"/>
          <w:color w:val="auto"/>
        </w:rPr>
      </w:pPr>
    </w:p>
    <w:p>
      <w:pPr>
        <w:ind w:firstLine="802"/>
        <w:spacing w:after="0" w:line="300" w:lineRule="auto"/>
        <w:tabs>
          <w:tab w:leader="none" w:pos="1323"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Legal opinions of Gibson, Dunn &amp; Crutcher, LLP, special New York counsel to the Restricted Companies, and such local counsel as Administrative Agent shall request, each in form and substance satisfactory to Administrative Agent;</w:t>
      </w:r>
    </w:p>
    <w:p>
      <w:pPr>
        <w:spacing w:after="0" w:line="130" w:lineRule="exact"/>
        <w:rPr>
          <w:rFonts w:ascii="Times New Roman" w:cs="Times New Roman" w:eastAsia="Times New Roman" w:hAnsi="Times New Roman"/>
          <w:sz w:val="19"/>
          <w:szCs w:val="19"/>
          <w:color w:val="auto"/>
        </w:rPr>
      </w:pPr>
    </w:p>
    <w:p>
      <w:pPr>
        <w:jc w:val="both"/>
        <w:ind w:firstLine="802"/>
        <w:spacing w:after="0" w:line="261" w:lineRule="auto"/>
        <w:tabs>
          <w:tab w:leader="none" w:pos="1237"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signed by a Responsible Officer certifying that (i) all of the representations and warranties of the Companies in the Loan Papers are true and correct in all material respects (except to the extent qualified by materiality, in which case they shall be true and correct); (ii) no Default or Potential Default exists under the Existing Agreement; (iii) no Default or Potential Default exists or would result from the execution and delivery of the Loan Papers or the proposed funding of the Loans or issuance of L/Cs on the Closing Date; (iv) there has been no event or circumstance since July 31, 2023 that has had or could be reasonably expected to result in, either individually or in the aggregate, a Material Adverse Event; and (v) except as set forth on </w:t>
      </w:r>
      <w:r>
        <w:rPr>
          <w:rFonts w:ascii="Times New Roman" w:cs="Times New Roman" w:eastAsia="Times New Roman" w:hAnsi="Times New Roman"/>
          <w:sz w:val="19"/>
          <w:szCs w:val="19"/>
          <w:b w:val="1"/>
          <w:bCs w:val="1"/>
          <w:i w:val="1"/>
          <w:iCs w:val="1"/>
          <w:color w:val="auto"/>
        </w:rPr>
        <w:t>Schedule 8.7</w:t>
      </w:r>
      <w:r>
        <w:rPr>
          <w:rFonts w:ascii="Times New Roman" w:cs="Times New Roman" w:eastAsia="Times New Roman" w:hAnsi="Times New Roman"/>
          <w:sz w:val="19"/>
          <w:szCs w:val="19"/>
          <w:color w:val="auto"/>
        </w:rPr>
        <w:t>, there is no action, suit, investigation, or proceeding pending or, to the knowledge of Borrower, threatened, in any court or before any arbitrator or Governmental Authority that could reasonably be expected to result in a Material Adverse Event;</w:t>
      </w:r>
    </w:p>
    <w:p>
      <w:pPr>
        <w:spacing w:after="0" w:line="181" w:lineRule="exact"/>
        <w:rPr>
          <w:rFonts w:ascii="Times New Roman" w:cs="Times New Roman" w:eastAsia="Times New Roman" w:hAnsi="Times New Roman"/>
          <w:sz w:val="19"/>
          <w:szCs w:val="19"/>
          <w:color w:val="auto"/>
        </w:rPr>
      </w:pPr>
    </w:p>
    <w:p>
      <w:pPr>
        <w:ind w:left="1180" w:hanging="378"/>
        <w:spacing w:after="0"/>
        <w:tabs>
          <w:tab w:leader="none" w:pos="1180"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that all insurance required to be maintained pursuant to the Loan Papers has been obtained and is in effect;</w:t>
      </w:r>
    </w:p>
    <w:p>
      <w:pPr>
        <w:spacing w:after="0" w:line="219" w:lineRule="exact"/>
        <w:rPr>
          <w:rFonts w:ascii="Times New Roman" w:cs="Times New Roman" w:eastAsia="Times New Roman" w:hAnsi="Times New Roman"/>
          <w:sz w:val="19"/>
          <w:szCs w:val="19"/>
          <w:color w:val="auto"/>
        </w:rPr>
      </w:pPr>
    </w:p>
    <w:p>
      <w:pPr>
        <w:jc w:val="both"/>
        <w:ind w:firstLine="802"/>
        <w:spacing w:after="0" w:line="270" w:lineRule="auto"/>
        <w:tabs>
          <w:tab w:leader="none" w:pos="1227"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Lender that reasonably requests at least 5 days prior to the Closing Date, Borrower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3 days prior to the Closing Date.</w:t>
      </w:r>
    </w:p>
    <w:p>
      <w:pPr>
        <w:spacing w:after="0" w:line="170" w:lineRule="exact"/>
        <w:rPr>
          <w:rFonts w:ascii="Times New Roman" w:cs="Times New Roman" w:eastAsia="Times New Roman" w:hAnsi="Times New Roman"/>
          <w:sz w:val="19"/>
          <w:szCs w:val="19"/>
          <w:color w:val="auto"/>
        </w:rPr>
      </w:pPr>
    </w:p>
    <w:p>
      <w:pPr>
        <w:ind w:firstLine="802"/>
        <w:spacing w:after="0" w:line="285" w:lineRule="auto"/>
        <w:tabs>
          <w:tab w:leader="none" w:pos="1268"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least 5 days prior to the Closing Date, Borrower that qualifies as a “legal entity customer” under the Beneficial Ownership Regulation shall deliver, to each Lender that so requests, a Beneficial Ownership Certification in relation to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1900" w:h="16838" w:orient="portrait"/>
          <w:cols w:equalWidth="0" w:num="1">
            <w:col w:w="11240"/>
          </w:cols>
          <w:pgMar w:left="320" w:top="1386" w:right="339" w:bottom="1440" w:gutter="0" w:footer="0" w:header="0"/>
        </w:sectPr>
      </w:pPr>
    </w:p>
    <w:bookmarkStart w:id="193" w:name="page194"/>
    <w:bookmarkEnd w:id="193"/>
    <w:p>
      <w:pPr>
        <w:ind w:firstLine="802"/>
        <w:spacing w:after="0" w:line="300" w:lineRule="auto"/>
        <w:tabs>
          <w:tab w:leader="none" w:pos="1185"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payment of all fees payable on or prior to the Closing Date to Administrative Agent, any Related Party of Administrative Agent, and any Lender as provided for in </w:t>
      </w:r>
      <w:r>
        <w:rPr>
          <w:rFonts w:ascii="Times New Roman" w:cs="Times New Roman" w:eastAsia="Times New Roman" w:hAnsi="Times New Roman"/>
          <w:sz w:val="19"/>
          <w:szCs w:val="19"/>
          <w:b w:val="1"/>
          <w:bCs w:val="1"/>
          <w:i w:val="1"/>
          <w:iCs w:val="1"/>
          <w:color w:val="auto"/>
        </w:rPr>
        <w:t>Section 5</w:t>
      </w:r>
      <w:r>
        <w:rPr>
          <w:rFonts w:ascii="Times New Roman" w:cs="Times New Roman" w:eastAsia="Times New Roman" w:hAnsi="Times New Roman"/>
          <w:sz w:val="19"/>
          <w:szCs w:val="19"/>
          <w:color w:val="auto"/>
        </w:rPr>
        <w:t>; and</w:t>
      </w:r>
    </w:p>
    <w:p>
      <w:pPr>
        <w:spacing w:after="0" w:line="130" w:lineRule="exact"/>
        <w:rPr>
          <w:rFonts w:ascii="Times New Roman" w:cs="Times New Roman" w:eastAsia="Times New Roman" w:hAnsi="Times New Roman"/>
          <w:sz w:val="19"/>
          <w:szCs w:val="19"/>
          <w:color w:val="auto"/>
        </w:rPr>
      </w:pPr>
    </w:p>
    <w:p>
      <w:pPr>
        <w:jc w:val="both"/>
        <w:ind w:firstLine="802"/>
        <w:spacing w:after="0" w:line="264" w:lineRule="auto"/>
        <w:tabs>
          <w:tab w:leader="none" w:pos="1344"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waived by Administrative Agent, payment in full of all reasonable fees, expenses, and disbursements of Haynes and Boone, LLP and, without duplication, the reasonably allocated cost of internal legal services and all reasonable expenses and disbursements of internal counsel (collectively, “</w:t>
      </w:r>
      <w:r>
        <w:rPr>
          <w:rFonts w:ascii="Times New Roman" w:cs="Times New Roman" w:eastAsia="Times New Roman" w:hAnsi="Times New Roman"/>
          <w:sz w:val="19"/>
          <w:szCs w:val="19"/>
          <w:b w:val="1"/>
          <w:bCs w:val="1"/>
          <w:i w:val="1"/>
          <w:iCs w:val="1"/>
          <w:color w:val="auto"/>
        </w:rPr>
        <w:t>Attorney Costs</w:t>
      </w:r>
      <w:r>
        <w:rPr>
          <w:rFonts w:ascii="Times New Roman" w:cs="Times New Roman" w:eastAsia="Times New Roman" w:hAnsi="Times New Roman"/>
          <w:sz w:val="19"/>
          <w:szCs w:val="19"/>
          <w:color w:val="auto"/>
        </w:rPr>
        <w:t>”) of Administrative Agent to the extent invoiced prior to or on the Closing Date, plus such additional amounts of Attorney Costs as shall constitute Administrative Agent’s reasonable estimate of Attorney Costs incurred or to be incurred by it through the closing proceedings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such estimate shall not thereafter preclude a final settling of accounts between Borrower and Administrative Agent).</w:t>
      </w:r>
    </w:p>
    <w:p>
      <w:pPr>
        <w:spacing w:after="0" w:line="172" w:lineRule="exact"/>
        <w:rPr>
          <w:sz w:val="20"/>
          <w:szCs w:val="20"/>
          <w:color w:val="auto"/>
        </w:rPr>
      </w:pPr>
    </w:p>
    <w:p>
      <w:pPr>
        <w:jc w:val="both"/>
        <w:ind w:firstLine="796"/>
        <w:spacing w:after="0" w:line="267" w:lineRule="auto"/>
        <w:rPr>
          <w:sz w:val="20"/>
          <w:szCs w:val="20"/>
          <w:color w:val="auto"/>
        </w:rPr>
      </w:pPr>
      <w:r>
        <w:rPr>
          <w:rFonts w:ascii="Times New Roman" w:cs="Times New Roman" w:eastAsia="Times New Roman" w:hAnsi="Times New Roman"/>
          <w:sz w:val="19"/>
          <w:szCs w:val="19"/>
          <w:color w:val="auto"/>
        </w:rPr>
        <w:t xml:space="preserve">Without limiting the generality of the provisions of the last paragraph of </w:t>
      </w:r>
      <w:r>
        <w:rPr>
          <w:rFonts w:ascii="Times New Roman" w:cs="Times New Roman" w:eastAsia="Times New Roman" w:hAnsi="Times New Roman"/>
          <w:sz w:val="19"/>
          <w:szCs w:val="19"/>
          <w:b w:val="1"/>
          <w:bCs w:val="1"/>
          <w:i w:val="1"/>
          <w:iCs w:val="1"/>
          <w:color w:val="auto"/>
        </w:rPr>
        <w:t>Section 14.5</w:t>
      </w:r>
      <w:r>
        <w:rPr>
          <w:rFonts w:ascii="Times New Roman" w:cs="Times New Roman" w:eastAsia="Times New Roman" w:hAnsi="Times New Roman"/>
          <w:sz w:val="19"/>
          <w:szCs w:val="19"/>
          <w:color w:val="auto"/>
        </w:rPr>
        <w:t xml:space="preserve">, for purposes of determining compliance with the conditions specified in this </w:t>
      </w:r>
      <w:r>
        <w:rPr>
          <w:rFonts w:ascii="Times New Roman" w:cs="Times New Roman" w:eastAsia="Times New Roman" w:hAnsi="Times New Roman"/>
          <w:sz w:val="19"/>
          <w:szCs w:val="19"/>
          <w:b w:val="1"/>
          <w:bCs w:val="1"/>
          <w:i w:val="1"/>
          <w:iCs w:val="1"/>
          <w:color w:val="auto"/>
        </w:rPr>
        <w:t>Section 7.1</w:t>
      </w:r>
      <w:r>
        <w:rPr>
          <w:rFonts w:ascii="Times New Roman" w:cs="Times New Roman" w:eastAsia="Times New Roman" w:hAnsi="Times New Roman"/>
          <w:sz w:val="19"/>
          <w:szCs w:val="19"/>
          <w:color w:val="auto"/>
        </w:rPr>
        <w:t>, each Lender that has signed this Agreement shall be deemed to have consented to, approved or accepted, or been satisfied with each document or other matter required thereunder to be consented to or approved by or acceptable or satisfactory to a Lender, unless Administrative Agent shall have received notice from such Lender prior to the proposed Closing Date specifying its objection thereto.</w:t>
      </w:r>
    </w:p>
    <w:p>
      <w:pPr>
        <w:spacing w:after="0" w:line="200" w:lineRule="exact"/>
        <w:rPr>
          <w:sz w:val="20"/>
          <w:szCs w:val="20"/>
          <w:color w:val="auto"/>
        </w:rPr>
      </w:pPr>
    </w:p>
    <w:p>
      <w:pPr>
        <w:spacing w:after="0" w:line="2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u w:val="single" w:color="auto"/>
          <w:color w:val="auto"/>
        </w:rPr>
        <w:t>Each Loan</w:t>
      </w:r>
      <w:r>
        <w:rPr>
          <w:rFonts w:ascii="Times New Roman" w:cs="Times New Roman" w:eastAsia="Times New Roman" w:hAnsi="Times New Roman"/>
          <w:sz w:val="19"/>
          <w:szCs w:val="19"/>
          <w:color w:val="auto"/>
        </w:rPr>
        <w:t>. The obligation of each Lender to make any Loan (other than a conversion of Loans to the other Type or a continuation of Revolver Loans as Term Reference Rate Loans) is subject to the following conditions precedent: (a) Administrative Agent shall have timely received a Loan Notice or the applicable L/C Issuer shall have timely received the applicable L/C Agreement; (b) the applicable L/C Issuer shall have received any applicable L/C fee; (c) all of the representations and warranties of the Companies in the Loan Papers are true and correct in all material respects (unless they speak to a specific date or are based on facts which have changed by transactions contemplated or permitted by this Agreement); (d) no Material Adverse Event, Default or Potential Default exists or would result from the proposed funding of such Loans or issuance of L/Cs; and (e) the funding of the Loans or issuance of the L/Cs is permitted by Law. Upon Administrative Agent’s reasonable request, Borrower shall deliver to Administrative Agent evidence substantiating any of the matters in the Loan Papers that are necessary to enable Borrower to qualify for the Loans or L/Cs. Each condition precedent in this Agreement is material to the transactions contemplated by this Agreement, and time is of the essence with respect to each condition precedent. Subject to the prior approval of Required Lenders, Required Revolver Lenders</w:t>
      </w:r>
      <w:r>
        <w:rPr>
          <w:rFonts w:ascii="Times New Roman" w:cs="Times New Roman" w:eastAsia="Times New Roman" w:hAnsi="Times New Roman"/>
          <w:sz w:val="19"/>
          <w:szCs w:val="19"/>
          <w:u w:val="single" w:color="auto"/>
          <w:color w:val="3051F2"/>
        </w:rPr>
        <w:t>, Required Term Loan Lenders</w:t>
      </w:r>
      <w:r>
        <w:rPr>
          <w:rFonts w:ascii="Times New Roman" w:cs="Times New Roman" w:eastAsia="Times New Roman" w:hAnsi="Times New Roman"/>
          <w:sz w:val="19"/>
          <w:szCs w:val="19"/>
          <w:color w:val="auto"/>
        </w:rPr>
        <w:t xml:space="preserve"> or Required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 Lenders, as the case may be, Lenders may fund any Loan, and the applicable L/C Issuer may issue any L/C, without all conditions being satisfied, but, to the extent permitted by Law, that funding and issuance shall not be deemed to be a waiver of the requirement that each condition precedent be satisfied as a prerequisite for any subsequent funding or issuance, unless Required Lenders, Required Revolver Lenders </w:t>
      </w:r>
      <w:r>
        <w:rPr>
          <w:rFonts w:ascii="Times New Roman" w:cs="Times New Roman" w:eastAsia="Times New Roman" w:hAnsi="Times New Roman"/>
          <w:sz w:val="19"/>
          <w:szCs w:val="19"/>
          <w:color w:val="EE2724"/>
        </w:rPr>
        <w:t>or</w:t>
      </w:r>
      <w:r>
        <w:rPr>
          <w:rFonts w:ascii="Times New Roman" w:cs="Times New Roman" w:eastAsia="Times New Roman" w:hAnsi="Times New Roman"/>
          <w:sz w:val="19"/>
          <w:szCs w:val="19"/>
          <w:u w:val="single" w:color="auto"/>
          <w:color w:val="3051F2"/>
        </w:rPr>
        <w:t>,</w:t>
      </w:r>
      <w:r>
        <w:rPr>
          <w:rFonts w:ascii="Times New Roman" w:cs="Times New Roman" w:eastAsia="Times New Roman" w:hAnsi="Times New Roman"/>
          <w:sz w:val="19"/>
          <w:szCs w:val="19"/>
          <w:color w:val="auto"/>
        </w:rPr>
        <w:t xml:space="preserve"> Required Term Loan Lenders </w:t>
      </w:r>
      <w:r>
        <w:rPr>
          <w:rFonts w:ascii="Times New Roman" w:cs="Times New Roman" w:eastAsia="Times New Roman" w:hAnsi="Times New Roman"/>
          <w:sz w:val="19"/>
          <w:szCs w:val="19"/>
          <w:color w:val="3051F2"/>
        </w:rPr>
        <w: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Required Delayed Draw Term Loan Lenders</w:t>
      </w:r>
      <w:r>
        <w:rPr>
          <w:rFonts w:ascii="Times New Roman" w:cs="Times New Roman" w:eastAsia="Times New Roman" w:hAnsi="Times New Roman"/>
          <w:sz w:val="19"/>
          <w:szCs w:val="19"/>
          <w:color w:val="000000"/>
        </w:rPr>
        <w:t>, as applicable, specifically waive each item in writing. Each Loan Notice (other than a Loan</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 xml:space="preserve">Notice requesting only a conversion of Loans to the other Type or a continuation as Term Reference Rate Loans), and each L/C Agreement submitted by Borrower shall be deemed to be a representation and warranty that the conditions specified in this </w:t>
      </w:r>
      <w:r>
        <w:rPr>
          <w:rFonts w:ascii="Times New Roman" w:cs="Times New Roman" w:eastAsia="Times New Roman" w:hAnsi="Times New Roman"/>
          <w:sz w:val="19"/>
          <w:szCs w:val="19"/>
          <w:b w:val="1"/>
          <w:bCs w:val="1"/>
          <w:i w:val="1"/>
          <w:iCs w:val="1"/>
          <w:color w:val="000000"/>
        </w:rPr>
        <w:t>Section 7.2</w:t>
      </w:r>
      <w:r>
        <w:rPr>
          <w:rFonts w:ascii="Times New Roman" w:cs="Times New Roman" w:eastAsia="Times New Roman" w:hAnsi="Times New Roman"/>
          <w:sz w:val="19"/>
          <w:szCs w:val="19"/>
          <w:color w:val="000000"/>
        </w:rPr>
        <w:t xml:space="preserve"> have been satisfied on and as of the date of the applicable Loan or issuance of the applicable L/C. Notwithstanding anything to the contrary set forth in this </w:t>
      </w:r>
      <w:r>
        <w:rPr>
          <w:rFonts w:ascii="Times New Roman" w:cs="Times New Roman" w:eastAsia="Times New Roman" w:hAnsi="Times New Roman"/>
          <w:sz w:val="19"/>
          <w:szCs w:val="19"/>
          <w:b w:val="1"/>
          <w:bCs w:val="1"/>
          <w:i w:val="1"/>
          <w:iCs w:val="1"/>
          <w:color w:val="000000"/>
        </w:rPr>
        <w:t>Section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i w:val="1"/>
          <w:iCs w:val="1"/>
          <w:color w:val="000000"/>
        </w:rPr>
        <w:t>7.2</w:t>
      </w:r>
      <w:r>
        <w:rPr>
          <w:rFonts w:ascii="Times New Roman" w:cs="Times New Roman" w:eastAsia="Times New Roman" w:hAnsi="Times New Roman"/>
          <w:sz w:val="19"/>
          <w:szCs w:val="19"/>
          <w:color w:val="000000"/>
        </w:rPr>
        <w:t>, Lenders will not be obligated to honor any Loan Notice (including a Loan Notice converting Base Rate Loans or Daily SOFR Rate Loans</w:t>
      </w:r>
      <w:r>
        <w:rPr>
          <w:rFonts w:ascii="Times New Roman" w:cs="Times New Roman" w:eastAsia="Times New Roman" w:hAnsi="Times New Roman"/>
          <w:sz w:val="19"/>
          <w:szCs w:val="19"/>
          <w:b w:val="1"/>
          <w:bCs w:val="1"/>
          <w:i w:val="1"/>
          <w:iCs w:val="1"/>
          <w:color w:val="000000"/>
        </w:rPr>
        <w:t xml:space="preserve"> </w:t>
      </w:r>
      <w:r>
        <w:rPr>
          <w:rFonts w:ascii="Times New Roman" w:cs="Times New Roman" w:eastAsia="Times New Roman" w:hAnsi="Times New Roman"/>
          <w:sz w:val="19"/>
          <w:szCs w:val="19"/>
          <w:color w:val="000000"/>
        </w:rPr>
        <w:t>to Term Reference Rate Loans or continuing Term Reference Rate Loans) if a Default or Potential Default exists or would result after giving effect to the proposed funding, conversion, or continuation of such Loans or issuance of L/Cs. In the case of a Loan to be denominated in an Alternative Currency, there shall not have occurred any change in national or international financial, political or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5314950</wp:posOffset>
            </wp:positionH>
            <wp:positionV relativeFrom="paragraph">
              <wp:posOffset>-1264920</wp:posOffset>
            </wp:positionV>
            <wp:extent cx="1333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33350" cy="8255"/>
                    </a:xfrm>
                    <a:prstGeom prst="rect">
                      <a:avLst/>
                    </a:prstGeom>
                    <a:noFill/>
                  </pic:spPr>
                </pic:pic>
              </a:graphicData>
            </a:graphic>
          </wp:anchor>
        </w:drawing>
        <w:drawing>
          <wp:anchor simplePos="0" relativeHeight="251657728" behindDoc="1" locked="0" layoutInCell="0" allowOverlap="1">
            <wp:simplePos x="0" y="0"/>
            <wp:positionH relativeFrom="column">
              <wp:posOffset>6990715</wp:posOffset>
            </wp:positionH>
            <wp:positionV relativeFrom="paragraph">
              <wp:posOffset>-1214755</wp:posOffset>
            </wp:positionV>
            <wp:extent cx="1422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2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1900" w:h="16838" w:orient="portrait"/>
          <w:cols w:equalWidth="0" w:num="1">
            <w:col w:w="11240"/>
          </w:cols>
          <w:pgMar w:left="320" w:top="1390" w:right="339" w:bottom="1440" w:gutter="0" w:footer="0" w:header="0"/>
        </w:sectPr>
      </w:pPr>
    </w:p>
    <w:bookmarkStart w:id="194" w:name="page195"/>
    <w:bookmarkEnd w:id="194"/>
    <w:p>
      <w:pPr>
        <w:jc w:val="both"/>
        <w:spacing w:after="0" w:line="274" w:lineRule="auto"/>
        <w:rPr>
          <w:sz w:val="20"/>
          <w:szCs w:val="20"/>
          <w:color w:val="auto"/>
        </w:rPr>
      </w:pPr>
      <w:r>
        <w:rPr>
          <w:rFonts w:ascii="Times New Roman" w:cs="Times New Roman" w:eastAsia="Times New Roman" w:hAnsi="Times New Roman"/>
          <w:sz w:val="19"/>
          <w:szCs w:val="19"/>
          <w:color w:val="auto"/>
        </w:rPr>
        <w:t>or currency exchange rates or exchange controls which in the reasonable opinion of Administrative Agent</w:t>
      </w:r>
      <w:r>
        <w:rPr>
          <w:rFonts w:ascii="Times New Roman" w:cs="Times New Roman" w:eastAsia="Times New Roman" w:hAnsi="Times New Roman"/>
          <w:sz w:val="19"/>
          <w:szCs w:val="19"/>
          <w:color w:val="0F7F40"/>
          <w:strike w:val="1"/>
        </w:rPr>
        <w:t>, the Required Term Loan Lenders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EE2724"/>
          <w:strike w:val="1"/>
        </w:rPr>
        <w:t>(in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EE2724"/>
          <w:strike w:val="1"/>
        </w:rPr>
        <w:t>the case of any Term Loans to be denominated in an Alternative Currency)</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or the L/C Issuer (in the case of any L/C to be denominated in an</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Alternative Currency) would make it impracticable for such Loan to be denominated in the relevant Alternative Currency.</w:t>
      </w:r>
    </w:p>
    <w:p>
      <w:pPr>
        <w:spacing w:after="0" w:line="16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b w:val="1"/>
          <w:bCs w:val="1"/>
          <w:u w:val="single" w:color="auto"/>
          <w:color w:val="auto"/>
        </w:rPr>
        <w:t>SECTION 8 REPRESENTATIONS AND WARRANTIES.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Borrower (and each Guarantor by execution of a Guaranty) represents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warrants to Administrative Agent and Lenders as set forth below; provided however, that representations and warranties of any such Guarantor shall be made solely as to such Guarantor and its Subsidiaries:</w:t>
      </w:r>
    </w:p>
    <w:p>
      <w:pPr>
        <w:spacing w:after="0" w:line="166"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8.1. </w:t>
      </w:r>
      <w:r>
        <w:rPr>
          <w:rFonts w:ascii="Times New Roman" w:cs="Times New Roman" w:eastAsia="Times New Roman" w:hAnsi="Times New Roman"/>
          <w:sz w:val="19"/>
          <w:szCs w:val="19"/>
          <w:u w:val="single" w:color="auto"/>
          <w:color w:val="auto"/>
        </w:rPr>
        <w:t>Regulation U</w:t>
      </w:r>
      <w:r>
        <w:rPr>
          <w:rFonts w:ascii="Times New Roman" w:cs="Times New Roman" w:eastAsia="Times New Roman" w:hAnsi="Times New Roman"/>
          <w:sz w:val="19"/>
          <w:szCs w:val="19"/>
          <w:color w:val="auto"/>
        </w:rPr>
        <w:t>. No Company is engaged principally, or as one of its important activities, in the business of extending credit for the purpose of purchasing or carrying any “</w:t>
      </w:r>
      <w:r>
        <w:rPr>
          <w:rFonts w:ascii="Times New Roman" w:cs="Times New Roman" w:eastAsia="Times New Roman" w:hAnsi="Times New Roman"/>
          <w:sz w:val="19"/>
          <w:szCs w:val="19"/>
          <w:i w:val="1"/>
          <w:iCs w:val="1"/>
          <w:color w:val="auto"/>
        </w:rPr>
        <w:t>margin stock</w:t>
      </w:r>
      <w:r>
        <w:rPr>
          <w:rFonts w:ascii="Times New Roman" w:cs="Times New Roman" w:eastAsia="Times New Roman" w:hAnsi="Times New Roman"/>
          <w:sz w:val="19"/>
          <w:szCs w:val="19"/>
          <w:color w:val="auto"/>
        </w:rPr>
        <w:t xml:space="preserve">” within the meaning of </w:t>
      </w:r>
      <w:r>
        <w:rPr>
          <w:rFonts w:ascii="Times New Roman" w:cs="Times New Roman" w:eastAsia="Times New Roman" w:hAnsi="Times New Roman"/>
          <w:sz w:val="19"/>
          <w:szCs w:val="19"/>
          <w:i w:val="1"/>
          <w:iCs w:val="1"/>
          <w:color w:val="auto"/>
        </w:rPr>
        <w:t>Regulations U</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i w:val="1"/>
          <w:iCs w:val="1"/>
          <w:color w:val="auto"/>
        </w:rPr>
        <w:t>X</w:t>
      </w:r>
      <w:r>
        <w:rPr>
          <w:rFonts w:ascii="Times New Roman" w:cs="Times New Roman" w:eastAsia="Times New Roman" w:hAnsi="Times New Roman"/>
          <w:sz w:val="19"/>
          <w:szCs w:val="19"/>
          <w:color w:val="auto"/>
        </w:rPr>
        <w:t xml:space="preserve"> of the Board of Governors of the Federal Reserve System, as amended. No part of the proceeds of any Loan will be used, directly or indirectly, for a purpose which violates any Law, including, without limitation, the provisions of </w:t>
      </w:r>
      <w:r>
        <w:rPr>
          <w:rFonts w:ascii="Times New Roman" w:cs="Times New Roman" w:eastAsia="Times New Roman" w:hAnsi="Times New Roman"/>
          <w:sz w:val="19"/>
          <w:szCs w:val="19"/>
          <w:i w:val="1"/>
          <w:iCs w:val="1"/>
          <w:color w:val="auto"/>
        </w:rPr>
        <w:t>Regulations U</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i w:val="1"/>
          <w:iCs w:val="1"/>
          <w:color w:val="auto"/>
        </w:rPr>
        <w:t>X</w:t>
      </w:r>
      <w:r>
        <w:rPr>
          <w:rFonts w:ascii="Times New Roman" w:cs="Times New Roman" w:eastAsia="Times New Roman" w:hAnsi="Times New Roman"/>
          <w:sz w:val="19"/>
          <w:szCs w:val="19"/>
          <w:color w:val="auto"/>
        </w:rPr>
        <w:t xml:space="preserve"> (as enacted by the Board of Governors of the Federal Reserve System, as amended). Following the application of the proceeds of each Loan, each L/C Borrowing, or each drawing under each L/C, not more than 25% of the value of the assets (either of Borrower only or the Companies on a consolidated basis) subject to the provisions of </w:t>
      </w:r>
      <w:r>
        <w:rPr>
          <w:rFonts w:ascii="Times New Roman" w:cs="Times New Roman" w:eastAsia="Times New Roman" w:hAnsi="Times New Roman"/>
          <w:sz w:val="19"/>
          <w:szCs w:val="19"/>
          <w:b w:val="1"/>
          <w:bCs w:val="1"/>
          <w:i w:val="1"/>
          <w:iCs w:val="1"/>
          <w:color w:val="auto"/>
        </w:rPr>
        <w:t>Section 10.5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Section 10.10</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b w:val="1"/>
          <w:bCs w:val="1"/>
          <w:i w:val="1"/>
          <w:iCs w:val="1"/>
          <w:color w:val="auto"/>
        </w:rPr>
        <w:t xml:space="preserve"> Section 10.11 </w:t>
      </w:r>
      <w:r>
        <w:rPr>
          <w:rFonts w:ascii="Times New Roman" w:cs="Times New Roman" w:eastAsia="Times New Roman" w:hAnsi="Times New Roman"/>
          <w:sz w:val="19"/>
          <w:szCs w:val="19"/>
          <w:color w:val="auto"/>
        </w:rPr>
        <w:t>or subject to any restriction contained in any agreement or instrument between Borrower and any Lender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any Affiliate of any Lender relating to Debt and within the scope of </w:t>
      </w:r>
      <w:r>
        <w:rPr>
          <w:rFonts w:ascii="Times New Roman" w:cs="Times New Roman" w:eastAsia="Times New Roman" w:hAnsi="Times New Roman"/>
          <w:sz w:val="19"/>
          <w:szCs w:val="19"/>
          <w:b w:val="1"/>
          <w:bCs w:val="1"/>
          <w:i w:val="1"/>
          <w:iCs w:val="1"/>
          <w:color w:val="auto"/>
        </w:rPr>
        <w:t>Section 12.8</w:t>
      </w:r>
      <w:r>
        <w:rPr>
          <w:rFonts w:ascii="Times New Roman" w:cs="Times New Roman" w:eastAsia="Times New Roman" w:hAnsi="Times New Roman"/>
          <w:sz w:val="19"/>
          <w:szCs w:val="19"/>
          <w:color w:val="auto"/>
        </w:rPr>
        <w:t xml:space="preserve"> will be margin stock.</w:t>
      </w:r>
    </w:p>
    <w:p>
      <w:pPr>
        <w:spacing w:after="0" w:line="169"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19"/>
          <w:szCs w:val="19"/>
          <w:u w:val="single" w:color="auto"/>
          <w:color w:val="auto"/>
        </w:rPr>
        <w:t>Corporate Existence, Good Standing, Authority, and Compliance</w:t>
      </w:r>
      <w:r>
        <w:rPr>
          <w:rFonts w:ascii="Times New Roman" w:cs="Times New Roman" w:eastAsia="Times New Roman" w:hAnsi="Times New Roman"/>
          <w:sz w:val="19"/>
          <w:szCs w:val="19"/>
          <w:color w:val="auto"/>
        </w:rPr>
        <w:t xml:space="preserve">. Each Company is duly organized, validly existing, and in good standing under the Laws of the jurisdiction in which it is incorporated or organized as identified on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(or any revised </w:t>
      </w:r>
      <w:r>
        <w:rPr>
          <w:rFonts w:ascii="Times New Roman" w:cs="Times New Roman" w:eastAsia="Times New Roman" w:hAnsi="Times New Roman"/>
          <w:sz w:val="19"/>
          <w:szCs w:val="19"/>
          <w:b w:val="1"/>
          <w:bCs w:val="1"/>
          <w:i w:val="1"/>
          <w:iCs w:val="1"/>
          <w:color w:val="auto"/>
        </w:rPr>
        <w:t xml:space="preserve">Schedule 8.2 </w:t>
      </w:r>
      <w:r>
        <w:rPr>
          <w:rFonts w:ascii="Times New Roman" w:cs="Times New Roman" w:eastAsia="Times New Roman" w:hAnsi="Times New Roman"/>
          <w:sz w:val="19"/>
          <w:szCs w:val="19"/>
          <w:color w:val="auto"/>
        </w:rPr>
        <w:t>delivered by Borrower to Lenders evidencing changes permitted by</w:t>
      </w:r>
      <w:r>
        <w:rPr>
          <w:rFonts w:ascii="Times New Roman" w:cs="Times New Roman" w:eastAsia="Times New Roman" w:hAnsi="Times New Roman"/>
          <w:sz w:val="19"/>
          <w:szCs w:val="19"/>
          <w:b w:val="1"/>
          <w:bCs w:val="1"/>
          <w:i w:val="1"/>
          <w:iCs w:val="1"/>
          <w:color w:val="auto"/>
        </w:rPr>
        <w:t xml:space="preserve"> Sections 9.10, 9.11</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10.10</w:t>
      </w:r>
      <w:r>
        <w:rPr>
          <w:rFonts w:ascii="Times New Roman" w:cs="Times New Roman" w:eastAsia="Times New Roman" w:hAnsi="Times New Roman"/>
          <w:sz w:val="19"/>
          <w:szCs w:val="19"/>
          <w:color w:val="auto"/>
        </w:rPr>
        <w:t>, or</w:t>
      </w:r>
      <w:r>
        <w:rPr>
          <w:rFonts w:ascii="Times New Roman" w:cs="Times New Roman" w:eastAsia="Times New Roman" w:hAnsi="Times New Roman"/>
          <w:sz w:val="19"/>
          <w:szCs w:val="19"/>
          <w:b w:val="1"/>
          <w:bCs w:val="1"/>
          <w:i w:val="1"/>
          <w:iCs w:val="1"/>
          <w:color w:val="auto"/>
        </w:rPr>
        <w:t xml:space="preserve"> 10.11</w:t>
      </w:r>
      <w:r>
        <w:rPr>
          <w:rFonts w:ascii="Times New Roman" w:cs="Times New Roman" w:eastAsia="Times New Roman" w:hAnsi="Times New Roman"/>
          <w:sz w:val="19"/>
          <w:szCs w:val="19"/>
          <w:color w:val="auto"/>
        </w:rPr>
        <w:t>). Except where failure 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not a Material Adverse Event, each Restricted Company (a) is duly qualified to transact business and is in good standing as a foreign corporation or other entity in each jurisdiction where the nature and extent of its business and properties require due qualification and good standing as identified on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(or any such revised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and (b) possesses all requisite authority, permits, licenses, consents, approvals, and power to (i) own or lease its assets and conduct its business as is now being, or is contemplated by this Agreement to be, conducted, and (ii) execute, deliver, and perform its obligations under the Loan Papers to which it is party.</w:t>
      </w:r>
    </w:p>
    <w:p>
      <w:pPr>
        <w:spacing w:after="0" w:line="178"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19"/>
          <w:szCs w:val="19"/>
          <w:color w:val="auto"/>
        </w:rPr>
        <w:t xml:space="preserve">8.3. </w:t>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 xml:space="preserve">. VRI has no Subsidiaries,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as disclosed on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(or on any revised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delivered by Borrower to Lenders evidencing changes permitted by </w:t>
      </w:r>
      <w:r>
        <w:rPr>
          <w:rFonts w:ascii="Times New Roman" w:cs="Times New Roman" w:eastAsia="Times New Roman" w:hAnsi="Times New Roman"/>
          <w:sz w:val="19"/>
          <w:szCs w:val="19"/>
          <w:b w:val="1"/>
          <w:bCs w:val="1"/>
          <w:i w:val="1"/>
          <w:iCs w:val="1"/>
          <w:color w:val="auto"/>
        </w:rPr>
        <w:t>Sections 9.10, 9.11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10.10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10.11</w:t>
      </w:r>
      <w:r>
        <w:rPr>
          <w:rFonts w:ascii="Times New Roman" w:cs="Times New Roman" w:eastAsia="Times New Roman" w:hAnsi="Times New Roman"/>
          <w:sz w:val="19"/>
          <w:szCs w:val="19"/>
          <w:color w:val="auto"/>
        </w:rPr>
        <w:t xml:space="preserve">). All of the outstanding shares of capital stock (or similar voting interests) of the Restricted Companies are duly authorized, validly issued, fully paid, and nonassessable. All of the outstanding shares of capital stock of the Restricted Companies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VRI are owned of record and beneficially as set forth thereon, free and clear of any Liens, restrictions, claims, or Rights of another Person,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Permitted Liens, and are not subject to any warrant, option, or other acquisition Right of any Person or subject to any transfer restriction,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restrictions imposed by securities Laws and general corporate Laws. All Unrestricted Subsidiaries meet the requirements of “</w:t>
      </w:r>
      <w:r>
        <w:rPr>
          <w:rFonts w:ascii="Times New Roman" w:cs="Times New Roman" w:eastAsia="Times New Roman" w:hAnsi="Times New Roman"/>
          <w:sz w:val="19"/>
          <w:szCs w:val="19"/>
          <w:i w:val="1"/>
          <w:iCs w:val="1"/>
          <w:color w:val="auto"/>
        </w:rPr>
        <w:t>Unrestricted Subsidiaries</w:t>
      </w:r>
      <w:r>
        <w:rPr>
          <w:rFonts w:ascii="Times New Roman" w:cs="Times New Roman" w:eastAsia="Times New Roman" w:hAnsi="Times New Roman"/>
          <w:sz w:val="19"/>
          <w:szCs w:val="19"/>
          <w:color w:val="auto"/>
        </w:rPr>
        <w:t>” as set forth in the definition thereof. All Unrestricted Subsidiaries that are being re-designated as “</w:t>
      </w:r>
      <w:r>
        <w:rPr>
          <w:rFonts w:ascii="Times New Roman" w:cs="Times New Roman" w:eastAsia="Times New Roman" w:hAnsi="Times New Roman"/>
          <w:sz w:val="19"/>
          <w:szCs w:val="19"/>
          <w:i w:val="1"/>
          <w:iCs w:val="1"/>
          <w:color w:val="auto"/>
        </w:rPr>
        <w:t>Restricted Subsidiaries</w:t>
      </w:r>
      <w:r>
        <w:rPr>
          <w:rFonts w:ascii="Times New Roman" w:cs="Times New Roman" w:eastAsia="Times New Roman" w:hAnsi="Times New Roman"/>
          <w:sz w:val="19"/>
          <w:szCs w:val="19"/>
          <w:color w:val="auto"/>
        </w:rPr>
        <w:t xml:space="preserve">” on the Closing Date are in compliance with </w:t>
      </w:r>
      <w:r>
        <w:rPr>
          <w:rFonts w:ascii="Times New Roman" w:cs="Times New Roman" w:eastAsia="Times New Roman" w:hAnsi="Times New Roman"/>
          <w:sz w:val="19"/>
          <w:szCs w:val="19"/>
          <w:b w:val="1"/>
          <w:bCs w:val="1"/>
          <w:i w:val="1"/>
          <w:iCs w:val="1"/>
          <w:color w:val="auto"/>
        </w:rPr>
        <w:t>Section 9.11(b)</w:t>
      </w:r>
      <w:r>
        <w:rPr>
          <w:rFonts w:ascii="Times New Roman" w:cs="Times New Roman" w:eastAsia="Times New Roman" w:hAnsi="Times New Roman"/>
          <w:sz w:val="19"/>
          <w:szCs w:val="19"/>
          <w:color w:val="auto"/>
        </w:rPr>
        <w:t xml:space="preserve">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1900" w:h="16838" w:orient="portrait"/>
          <w:cols w:equalWidth="0" w:num="1">
            <w:col w:w="11240"/>
          </w:cols>
          <w:pgMar w:left="320" w:top="1390" w:right="339" w:bottom="1440" w:gutter="0" w:footer="0" w:header="0"/>
        </w:sectPr>
      </w:pPr>
    </w:p>
    <w:bookmarkStart w:id="195" w:name="page196"/>
    <w:bookmarkEnd w:id="195"/>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8.4. </w:t>
      </w:r>
      <w:r>
        <w:rPr>
          <w:rFonts w:ascii="Times New Roman" w:cs="Times New Roman" w:eastAsia="Times New Roman" w:hAnsi="Times New Roman"/>
          <w:sz w:val="19"/>
          <w:szCs w:val="19"/>
          <w:u w:val="single" w:color="auto"/>
          <w:color w:val="auto"/>
        </w:rPr>
        <w:t>Authorization and Contravention</w:t>
      </w:r>
      <w:r>
        <w:rPr>
          <w:rFonts w:ascii="Times New Roman" w:cs="Times New Roman" w:eastAsia="Times New Roman" w:hAnsi="Times New Roman"/>
          <w:sz w:val="19"/>
          <w:szCs w:val="19"/>
          <w:color w:val="auto"/>
        </w:rPr>
        <w:t>. The execution and delivery by, and enforcement against, each Restricted Company of each Loan Paper or related document to which it is a party and the performance by it of its obligations thereunder (a) are within its organizational power, (b) have been duly authorized by all necessary action, (c) require no action by or filing with any Governmental Authority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any action or filing that has been taken or made on or before the Closing Date), (d) do not violate any provision of its organizational documents,</w:t>
      </w:r>
    </w:p>
    <w:p>
      <w:pPr>
        <w:jc w:val="both"/>
        <w:ind w:firstLine="6"/>
        <w:spacing w:after="0" w:line="269" w:lineRule="auto"/>
        <w:tabs>
          <w:tab w:leader="none" w:pos="274"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do not violate any provision of Law or any order of any Governmental Authority applicable to it,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violations that individually or collectively are not a Material Adverse Event, (f) do not violate any Material Agreements to which it is a party, or (g) do not result in the creation or imposition of any Lien on any asset of any Company.</w:t>
      </w:r>
    </w:p>
    <w:p>
      <w:pPr>
        <w:spacing w:after="0" w:line="159"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8.5. </w:t>
      </w:r>
      <w:r>
        <w:rPr>
          <w:rFonts w:ascii="Times New Roman" w:cs="Times New Roman" w:eastAsia="Times New Roman" w:hAnsi="Times New Roman"/>
          <w:sz w:val="19"/>
          <w:szCs w:val="19"/>
          <w:u w:val="single" w:color="auto"/>
          <w:color w:val="auto"/>
        </w:rPr>
        <w:t>Binding Effect</w:t>
      </w:r>
      <w:r>
        <w:rPr>
          <w:rFonts w:ascii="Times New Roman" w:cs="Times New Roman" w:eastAsia="Times New Roman" w:hAnsi="Times New Roman"/>
          <w:sz w:val="19"/>
          <w:szCs w:val="19"/>
          <w:color w:val="auto"/>
        </w:rPr>
        <w:t xml:space="preserve">. Upon execution and delivery by all parties thereto, each Loan Paper which is a contract will constitute a legal and binding obligation of each Restricted Company party thereto, enforceable against it in accordance with its terms,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as enforceability may be limited by applicable Debtor Relief Laws and general principles of equity.</w:t>
      </w:r>
    </w:p>
    <w:p>
      <w:pPr>
        <w:spacing w:after="0" w:line="167" w:lineRule="exact"/>
        <w:rPr>
          <w:sz w:val="20"/>
          <w:szCs w:val="20"/>
          <w:color w:val="auto"/>
        </w:rPr>
      </w:pPr>
    </w:p>
    <w:p>
      <w:pPr>
        <w:jc w:val="both"/>
        <w:ind w:firstLine="637"/>
        <w:spacing w:after="0" w:line="263" w:lineRule="auto"/>
        <w:rPr>
          <w:sz w:val="20"/>
          <w:szCs w:val="20"/>
          <w:color w:val="auto"/>
        </w:rPr>
      </w:pPr>
      <w:r>
        <w:rPr>
          <w:rFonts w:ascii="Times New Roman" w:cs="Times New Roman" w:eastAsia="Times New Roman" w:hAnsi="Times New Roman"/>
          <w:sz w:val="19"/>
          <w:szCs w:val="19"/>
          <w:color w:val="auto"/>
        </w:rPr>
        <w:t xml:space="preserve">8.6. </w:t>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The Current Financials were prepared in accordance with GAAP and, together with the notes thereto, present fairly, in all material respects, the consolidated financial condition, results of operations, and cash flows of the Companies as of, and for the portion of the fiscal year ending on, the date or dates thereof (subject only to normal year-end adjustments)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and show all material indebtedness and other liabilities, direct, or contingent, of the Companies as of such date or dates, including liabilities for Taxes, material commitments and Debt. Since the date of the consolidated Financial Statements of the Companies most recently delivered to Administrative Agent under </w:t>
      </w:r>
      <w:r>
        <w:rPr>
          <w:rFonts w:ascii="Times New Roman" w:cs="Times New Roman" w:eastAsia="Times New Roman" w:hAnsi="Times New Roman"/>
          <w:sz w:val="19"/>
          <w:szCs w:val="19"/>
          <w:b w:val="1"/>
          <w:bCs w:val="1"/>
          <w:i w:val="1"/>
          <w:iCs w:val="1"/>
          <w:color w:val="auto"/>
        </w:rPr>
        <w:t>Section 9.1(a)</w:t>
      </w:r>
      <w:r>
        <w:rPr>
          <w:rFonts w:ascii="Times New Roman" w:cs="Times New Roman" w:eastAsia="Times New Roman" w:hAnsi="Times New Roman"/>
          <w:sz w:val="19"/>
          <w:szCs w:val="19"/>
          <w:color w:val="auto"/>
        </w:rPr>
        <w:t>, there has been no event or circumstance, either individually or in the aggregate, that has resulted in or could reasonably be expected to result in a Material Adverse Event.</w:t>
      </w:r>
    </w:p>
    <w:p>
      <w:pPr>
        <w:spacing w:after="0" w:line="164"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8.7. </w:t>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xml:space="preserve">. Except as disclosed on </w:t>
      </w:r>
      <w:r>
        <w:rPr>
          <w:rFonts w:ascii="Times New Roman" w:cs="Times New Roman" w:eastAsia="Times New Roman" w:hAnsi="Times New Roman"/>
          <w:sz w:val="19"/>
          <w:szCs w:val="19"/>
          <w:b w:val="1"/>
          <w:bCs w:val="1"/>
          <w:i w:val="1"/>
          <w:iCs w:val="1"/>
          <w:color w:val="auto"/>
        </w:rPr>
        <w:t>Schedule 8.7</w:t>
      </w:r>
      <w:r>
        <w:rPr>
          <w:rFonts w:ascii="Times New Roman" w:cs="Times New Roman" w:eastAsia="Times New Roman" w:hAnsi="Times New Roman"/>
          <w:sz w:val="19"/>
          <w:szCs w:val="19"/>
          <w:color w:val="auto"/>
        </w:rPr>
        <w:t>, (a) no Company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as a creditor or claimant) is subject to, or aware of the threat of, any Litigation (i) that is reasonably likely to be determined adversely to any Company and, if so adversely determined, shall result in a Material Adverse Event, or (ii) that purports to affect or pertain to this Agreement or any other Loan Paper, or any of the transactions contemplated hereby, (b) no outstanding or unpaid judgments against any Company exist, and (c) no Company is a party to, or bound by, any judicial or administrative order, judgment, decree, or consent decree relating to any past or present practice, omission, activity, or undertaking which constitutes a Material Adverse Event.</w:t>
      </w:r>
    </w:p>
    <w:p>
      <w:pPr>
        <w:spacing w:after="0" w:line="180"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color w:val="auto"/>
        </w:rPr>
        <w:t xml:space="preserve">8.8.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xml:space="preserve">. All Tax returns of each Company required to be filed have been filed (or extensions have been granted) before delinquency,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returns for which the failure to file is not a Material Adverse Event or, in any event, likely to result in a Lien on the assets of the Companies securing any liability of the Companies (individually or when aggregated with any liability of the Companies contemplated elsewhere in this Section and in </w:t>
      </w:r>
      <w:r>
        <w:rPr>
          <w:rFonts w:ascii="Times New Roman" w:cs="Times New Roman" w:eastAsia="Times New Roman" w:hAnsi="Times New Roman"/>
          <w:sz w:val="19"/>
          <w:szCs w:val="19"/>
          <w:b w:val="1"/>
          <w:bCs w:val="1"/>
          <w:i w:val="1"/>
          <w:iCs w:val="1"/>
          <w:color w:val="auto"/>
        </w:rPr>
        <w:t>Sections 8.9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8.10</w:t>
      </w:r>
      <w:r>
        <w:rPr>
          <w:rFonts w:ascii="Times New Roman" w:cs="Times New Roman" w:eastAsia="Times New Roman" w:hAnsi="Times New Roman"/>
          <w:sz w:val="19"/>
          <w:szCs w:val="19"/>
          <w:color w:val="auto"/>
        </w:rPr>
        <w:t xml:space="preserve"> herein that is reasonably likely to be secured by Liens) in excess of the Threshold Amount, and all Taxes shown as due and payable in such returns have been paid before delinquency,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Taxes for which the criteria for Permitted Liens (as specified in </w:t>
      </w:r>
      <w:r>
        <w:rPr>
          <w:rFonts w:ascii="Times New Roman" w:cs="Times New Roman" w:eastAsia="Times New Roman" w:hAnsi="Times New Roman"/>
          <w:sz w:val="19"/>
          <w:szCs w:val="19"/>
          <w:b w:val="1"/>
          <w:bCs w:val="1"/>
          <w:i w:val="1"/>
          <w:iCs w:val="1"/>
          <w:color w:val="auto"/>
        </w:rPr>
        <w:t>clause (j)</w:t>
      </w:r>
      <w:r>
        <w:rPr>
          <w:rFonts w:ascii="Times New Roman" w:cs="Times New Roman" w:eastAsia="Times New Roman" w:hAnsi="Times New Roman"/>
          <w:sz w:val="19"/>
          <w:szCs w:val="19"/>
          <w:color w:val="auto"/>
        </w:rPr>
        <w:t xml:space="preserve"> of the definition of </w:t>
      </w:r>
      <w:r>
        <w:rPr>
          <w:rFonts w:ascii="Times New Roman" w:cs="Times New Roman" w:eastAsia="Times New Roman" w:hAnsi="Times New Roman"/>
          <w:sz w:val="19"/>
          <w:szCs w:val="19"/>
          <w:i w:val="1"/>
          <w:iCs w:val="1"/>
          <w:color w:val="auto"/>
        </w:rPr>
        <w:t>“Permitted Liens”</w:t>
      </w:r>
      <w:r>
        <w:rPr>
          <w:rFonts w:ascii="Times New Roman" w:cs="Times New Roman" w:eastAsia="Times New Roman" w:hAnsi="Times New Roman"/>
          <w:sz w:val="19"/>
          <w:szCs w:val="19"/>
          <w:color w:val="auto"/>
        </w:rPr>
        <w:t xml:space="preserve">) have been satisfied, for which nonpayment is not a Material Adverse Event or, in any event, likely to result in a Lien on the assets of the Companies securing any liability of the Companies (individually or when aggregated with any liability of the Companies contemplated elsewhere in this Section and in </w:t>
      </w:r>
      <w:r>
        <w:rPr>
          <w:rFonts w:ascii="Times New Roman" w:cs="Times New Roman" w:eastAsia="Times New Roman" w:hAnsi="Times New Roman"/>
          <w:sz w:val="19"/>
          <w:szCs w:val="19"/>
          <w:b w:val="1"/>
          <w:bCs w:val="1"/>
          <w:i w:val="1"/>
          <w:iCs w:val="1"/>
          <w:color w:val="auto"/>
        </w:rPr>
        <w:t>Section 8.9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8.10 </w:t>
      </w:r>
      <w:r>
        <w:rPr>
          <w:rFonts w:ascii="Times New Roman" w:cs="Times New Roman" w:eastAsia="Times New Roman" w:hAnsi="Times New Roman"/>
          <w:sz w:val="19"/>
          <w:szCs w:val="19"/>
          <w:color w:val="auto"/>
        </w:rPr>
        <w:t>herein that reasonably likely to be secured by Liens) in excess of the Threshold Amount, or which are being contested in good faith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appropriate proceedings diligently conducted and for which adequate reserves have been provided. There is no proposed Tax assessment against any Company that would, if made, result in a Material Adverse Event or, in any event, result in a Lien on the assets of such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1900" w:h="16838" w:orient="portrait"/>
          <w:cols w:equalWidth="0" w:num="1">
            <w:col w:w="11240"/>
          </w:cols>
          <w:pgMar w:left="320" w:top="1390" w:right="339" w:bottom="1440" w:gutter="0" w:footer="0" w:header="0"/>
        </w:sectPr>
      </w:pPr>
    </w:p>
    <w:bookmarkStart w:id="196" w:name="page197"/>
    <w:bookmarkEnd w:id="196"/>
    <w:p>
      <w:pPr>
        <w:jc w:val="both"/>
        <w:spacing w:after="0" w:line="300" w:lineRule="auto"/>
        <w:rPr>
          <w:sz w:val="20"/>
          <w:szCs w:val="20"/>
          <w:color w:val="auto"/>
        </w:rPr>
      </w:pPr>
      <w:r>
        <w:rPr>
          <w:rFonts w:ascii="Times New Roman" w:cs="Times New Roman" w:eastAsia="Times New Roman" w:hAnsi="Times New Roman"/>
          <w:sz w:val="19"/>
          <w:szCs w:val="19"/>
          <w:color w:val="auto"/>
        </w:rPr>
        <w:t xml:space="preserve">or Companies securing any liability (individually or when aggregated with any liability of the Companies contemplated elsewhere in this Section and in </w:t>
      </w:r>
      <w:r>
        <w:rPr>
          <w:rFonts w:ascii="Times New Roman" w:cs="Times New Roman" w:eastAsia="Times New Roman" w:hAnsi="Times New Roman"/>
          <w:sz w:val="19"/>
          <w:szCs w:val="19"/>
          <w:b w:val="1"/>
          <w:bCs w:val="1"/>
          <w:i w:val="1"/>
          <w:iCs w:val="1"/>
          <w:color w:val="auto"/>
        </w:rPr>
        <w:t>Section 8.9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8.10</w:t>
      </w:r>
      <w:r>
        <w:rPr>
          <w:rFonts w:ascii="Times New Roman" w:cs="Times New Roman" w:eastAsia="Times New Roman" w:hAnsi="Times New Roman"/>
          <w:sz w:val="19"/>
          <w:szCs w:val="19"/>
          <w:color w:val="auto"/>
        </w:rPr>
        <w:t xml:space="preserve"> herein that is reasonably likely to be secured by Liens) in excess of the Threshold Amount.</w:t>
      </w:r>
    </w:p>
    <w:p>
      <w:pPr>
        <w:spacing w:after="0" w:line="126" w:lineRule="exact"/>
        <w:rPr>
          <w:sz w:val="20"/>
          <w:szCs w:val="20"/>
          <w:color w:val="auto"/>
        </w:rPr>
      </w:pPr>
    </w:p>
    <w:p>
      <w:pPr>
        <w:jc w:val="both"/>
        <w:ind w:firstLine="637"/>
        <w:spacing w:after="0" w:line="259" w:lineRule="auto"/>
        <w:rPr>
          <w:sz w:val="20"/>
          <w:szCs w:val="20"/>
          <w:color w:val="auto"/>
        </w:rPr>
      </w:pPr>
      <w:r>
        <w:rPr>
          <w:rFonts w:ascii="Times New Roman" w:cs="Times New Roman" w:eastAsia="Times New Roman" w:hAnsi="Times New Roman"/>
          <w:sz w:val="19"/>
          <w:szCs w:val="19"/>
          <w:color w:val="auto"/>
        </w:rPr>
        <w:t xml:space="preserve">8.9. </w:t>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 xml:space="preserve">. Except as disclosed on </w:t>
      </w:r>
      <w:r>
        <w:rPr>
          <w:rFonts w:ascii="Times New Roman" w:cs="Times New Roman" w:eastAsia="Times New Roman" w:hAnsi="Times New Roman"/>
          <w:sz w:val="19"/>
          <w:szCs w:val="19"/>
          <w:b w:val="1"/>
          <w:bCs w:val="1"/>
          <w:i w:val="1"/>
          <w:iCs w:val="1"/>
          <w:color w:val="auto"/>
        </w:rPr>
        <w:t>Schedule 8.9</w:t>
      </w:r>
      <w:r>
        <w:rPr>
          <w:rFonts w:ascii="Times New Roman" w:cs="Times New Roman" w:eastAsia="Times New Roman" w:hAnsi="Times New Roman"/>
          <w:sz w:val="19"/>
          <w:szCs w:val="19"/>
          <w:color w:val="auto"/>
        </w:rPr>
        <w:t xml:space="preserve"> and except for conditions, circumstances, or violations that are not, individually or in the aggregate, a Material Adverse Event or, in any event, likely to result in a Lien on the assets of the Companies securing liability of the Companies (individually or when aggregated with any liability of the Companies contemplated elsewhere in this Section and in </w:t>
      </w:r>
      <w:r>
        <w:rPr>
          <w:rFonts w:ascii="Times New Roman" w:cs="Times New Roman" w:eastAsia="Times New Roman" w:hAnsi="Times New Roman"/>
          <w:sz w:val="19"/>
          <w:szCs w:val="19"/>
          <w:b w:val="1"/>
          <w:bCs w:val="1"/>
          <w:i w:val="1"/>
          <w:iCs w:val="1"/>
          <w:color w:val="auto"/>
        </w:rPr>
        <w:t>Section 8.8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8.10</w:t>
      </w:r>
      <w:r>
        <w:rPr>
          <w:rFonts w:ascii="Times New Roman" w:cs="Times New Roman" w:eastAsia="Times New Roman" w:hAnsi="Times New Roman"/>
          <w:sz w:val="19"/>
          <w:szCs w:val="19"/>
          <w:color w:val="auto"/>
        </w:rPr>
        <w:t xml:space="preserve"> herein that is reasonably likely to be secured by Liens) in excess of the Threshold Amount, no Company (a) knows of any environmental condition or circumstance adversely affecting any Company’s properties or operations, (b) has, to its knowledge, received any written report of any Company’s violation of any Environmental Law, or (c) knows that any Company is under any obligation imposed by a Governmental Authority to remedy any violation of any Environmental Law. Except as disclosed on </w:t>
      </w:r>
      <w:r>
        <w:rPr>
          <w:rFonts w:ascii="Times New Roman" w:cs="Times New Roman" w:eastAsia="Times New Roman" w:hAnsi="Times New Roman"/>
          <w:sz w:val="19"/>
          <w:szCs w:val="19"/>
          <w:b w:val="1"/>
          <w:bCs w:val="1"/>
          <w:i w:val="1"/>
          <w:iCs w:val="1"/>
          <w:color w:val="auto"/>
        </w:rPr>
        <w:t>Schedule 8.9</w:t>
      </w:r>
      <w:r>
        <w:rPr>
          <w:rFonts w:ascii="Times New Roman" w:cs="Times New Roman" w:eastAsia="Times New Roman" w:hAnsi="Times New Roman"/>
          <w:sz w:val="19"/>
          <w:szCs w:val="19"/>
          <w:color w:val="auto"/>
        </w:rPr>
        <w:t xml:space="preserve">, each Company believes that its properties and operations do not violate any Environmental Law,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violations that are not, individually or in the aggregate, a Material Adverse Event or, in any event, likely to result in a Lien on the assets of the Companies securing liability of the Companies (individually or when aggregated with any liability of the Companies contemplated elsewhere in this Section and in </w:t>
      </w:r>
      <w:r>
        <w:rPr>
          <w:rFonts w:ascii="Times New Roman" w:cs="Times New Roman" w:eastAsia="Times New Roman" w:hAnsi="Times New Roman"/>
          <w:sz w:val="19"/>
          <w:szCs w:val="19"/>
          <w:b w:val="1"/>
          <w:bCs w:val="1"/>
          <w:i w:val="1"/>
          <w:iCs w:val="1"/>
          <w:color w:val="auto"/>
        </w:rPr>
        <w:t>Section 8.8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 xml:space="preserve">Section 8.10 </w:t>
      </w:r>
      <w:r>
        <w:rPr>
          <w:rFonts w:ascii="Times New Roman" w:cs="Times New Roman" w:eastAsia="Times New Roman" w:hAnsi="Times New Roman"/>
          <w:sz w:val="19"/>
          <w:szCs w:val="19"/>
          <w:color w:val="auto"/>
        </w:rPr>
        <w:t>herein that is reasonably likely to be secured by Liens) in excess of the Threshold Amount. No facility of any Company is used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or to the knowledge of any Company has been used for, treatment or disposal of any Hazardous Substance or storage of Hazardous Substances, </w:t>
      </w:r>
      <w:r>
        <w:rPr>
          <w:rFonts w:ascii="Times New Roman" w:cs="Times New Roman" w:eastAsia="Times New Roman" w:hAnsi="Times New Roman"/>
          <w:sz w:val="19"/>
          <w:szCs w:val="19"/>
          <w:i w:val="1"/>
          <w:iCs w:val="1"/>
          <w:color w:val="auto"/>
        </w:rPr>
        <w:t xml:space="preserve">other than </w:t>
      </w:r>
      <w:r>
        <w:rPr>
          <w:rFonts w:ascii="Times New Roman" w:cs="Times New Roman" w:eastAsia="Times New Roman" w:hAnsi="Times New Roman"/>
          <w:sz w:val="19"/>
          <w:szCs w:val="19"/>
          <w:color w:val="auto"/>
        </w:rPr>
        <w:t>in material compliance with applicable Environmental Laws.</w:t>
      </w:r>
    </w:p>
    <w:p>
      <w:pPr>
        <w:spacing w:after="0" w:line="189" w:lineRule="exact"/>
        <w:rPr>
          <w:sz w:val="20"/>
          <w:szCs w:val="20"/>
          <w:color w:val="auto"/>
        </w:rPr>
      </w:pPr>
    </w:p>
    <w:p>
      <w:pPr>
        <w:jc w:val="both"/>
        <w:ind w:firstLine="637"/>
        <w:spacing w:after="0" w:line="259" w:lineRule="auto"/>
        <w:rPr>
          <w:sz w:val="20"/>
          <w:szCs w:val="20"/>
          <w:color w:val="auto"/>
        </w:rPr>
      </w:pPr>
      <w:r>
        <w:rPr>
          <w:rFonts w:ascii="Times New Roman" w:cs="Times New Roman" w:eastAsia="Times New Roman" w:hAnsi="Times New Roman"/>
          <w:sz w:val="19"/>
          <w:szCs w:val="19"/>
          <w:color w:val="auto"/>
        </w:rPr>
        <w:t xml:space="preserve">8.10. </w:t>
      </w:r>
      <w:r>
        <w:rPr>
          <w:rFonts w:ascii="Times New Roman" w:cs="Times New Roman" w:eastAsia="Times New Roman" w:hAnsi="Times New Roman"/>
          <w:sz w:val="19"/>
          <w:szCs w:val="19"/>
          <w:u w:val="single" w:color="auto"/>
          <w:color w:val="auto"/>
        </w:rPr>
        <w:t>Employee Plans</w:t>
      </w:r>
      <w:r>
        <w:rPr>
          <w:rFonts w:ascii="Times New Roman" w:cs="Times New Roman" w:eastAsia="Times New Roman" w:hAnsi="Times New Roman"/>
          <w:sz w:val="19"/>
          <w:szCs w:val="19"/>
          <w:color w:val="auto"/>
        </w:rPr>
        <w:t>. Each Employee Plan is in compliance in all material respects with, and has been administered in compliance with, the applicable provisions of ERISA, the Code, and any other applicable law. No Employee Plan is subject to the “</w:t>
      </w:r>
      <w:r>
        <w:rPr>
          <w:rFonts w:ascii="Times New Roman" w:cs="Times New Roman" w:eastAsia="Times New Roman" w:hAnsi="Times New Roman"/>
          <w:sz w:val="19"/>
          <w:szCs w:val="19"/>
          <w:i w:val="1"/>
          <w:iCs w:val="1"/>
          <w:color w:val="auto"/>
        </w:rPr>
        <w:t>at-risk</w:t>
      </w:r>
      <w:r>
        <w:rPr>
          <w:rFonts w:ascii="Times New Roman" w:cs="Times New Roman" w:eastAsia="Times New Roman" w:hAnsi="Times New Roman"/>
          <w:sz w:val="19"/>
          <w:szCs w:val="19"/>
          <w:color w:val="auto"/>
        </w:rPr>
        <w:t xml:space="preserve">” requirements in </w:t>
      </w:r>
      <w:r>
        <w:rPr>
          <w:rFonts w:ascii="Times New Roman" w:cs="Times New Roman" w:eastAsia="Times New Roman" w:hAnsi="Times New Roman"/>
          <w:sz w:val="19"/>
          <w:szCs w:val="19"/>
          <w:i w:val="1"/>
          <w:iCs w:val="1"/>
          <w:color w:val="auto"/>
        </w:rPr>
        <w:t xml:space="preserve">section 303 </w:t>
      </w:r>
      <w:r>
        <w:rPr>
          <w:rFonts w:ascii="Times New Roman" w:cs="Times New Roman" w:eastAsia="Times New Roman" w:hAnsi="Times New Roman"/>
          <w:sz w:val="19"/>
          <w:szCs w:val="19"/>
          <w:color w:val="auto"/>
        </w:rPr>
        <w:t>of ERISA and</w:t>
      </w:r>
      <w:r>
        <w:rPr>
          <w:rFonts w:ascii="Times New Roman" w:cs="Times New Roman" w:eastAsia="Times New Roman" w:hAnsi="Times New Roman"/>
          <w:sz w:val="19"/>
          <w:szCs w:val="19"/>
          <w:i w:val="1"/>
          <w:iCs w:val="1"/>
          <w:color w:val="auto"/>
        </w:rPr>
        <w:t xml:space="preserve"> section 430 </w:t>
      </w:r>
      <w:r>
        <w:rPr>
          <w:rFonts w:ascii="Times New Roman" w:cs="Times New Roman" w:eastAsia="Times New Roman" w:hAnsi="Times New Roman"/>
          <w:sz w:val="19"/>
          <w:szCs w:val="19"/>
          <w:color w:val="auto"/>
        </w:rPr>
        <w:t>of the Code. Except where the occurrence or existence, individually or in the aggregate, is not a Material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Adverse Event or, in any event, likely to result in a Lien on the assets of any Company or the Companies securing liability of any Company or the Companies (individually or when aggregated with any liability of the Companies contemplated elsewhere in this Section and in </w:t>
      </w:r>
      <w:r>
        <w:rPr>
          <w:rFonts w:ascii="Times New Roman" w:cs="Times New Roman" w:eastAsia="Times New Roman" w:hAnsi="Times New Roman"/>
          <w:sz w:val="19"/>
          <w:szCs w:val="19"/>
          <w:b w:val="1"/>
          <w:bCs w:val="1"/>
          <w:i w:val="1"/>
          <w:iCs w:val="1"/>
          <w:color w:val="auto"/>
        </w:rPr>
        <w:t>Section 8.8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8.9</w:t>
      </w:r>
      <w:r>
        <w:rPr>
          <w:rFonts w:ascii="Times New Roman" w:cs="Times New Roman" w:eastAsia="Times New Roman" w:hAnsi="Times New Roman"/>
          <w:sz w:val="19"/>
          <w:szCs w:val="19"/>
          <w:color w:val="auto"/>
        </w:rPr>
        <w:t xml:space="preserve"> herein that is reasonably likely to be secured by Liens) in excess of the Threshold Amount, (a) no Employee Plan or Multiemployer Plan, as applicable, has any “</w:t>
      </w:r>
      <w:r>
        <w:rPr>
          <w:rFonts w:ascii="Times New Roman" w:cs="Times New Roman" w:eastAsia="Times New Roman" w:hAnsi="Times New Roman"/>
          <w:sz w:val="19"/>
          <w:szCs w:val="19"/>
          <w:i w:val="1"/>
          <w:iCs w:val="1"/>
          <w:color w:val="auto"/>
        </w:rPr>
        <w:t>unpaid minimum required contribution</w:t>
      </w:r>
      <w:r>
        <w:rPr>
          <w:rFonts w:ascii="Times New Roman" w:cs="Times New Roman" w:eastAsia="Times New Roman" w:hAnsi="Times New Roman"/>
          <w:sz w:val="19"/>
          <w:szCs w:val="19"/>
          <w:color w:val="auto"/>
        </w:rPr>
        <w:t xml:space="preserve">” (as described in </w:t>
      </w:r>
      <w:r>
        <w:rPr>
          <w:rFonts w:ascii="Times New Roman" w:cs="Times New Roman" w:eastAsia="Times New Roman" w:hAnsi="Times New Roman"/>
          <w:sz w:val="19"/>
          <w:szCs w:val="19"/>
          <w:i w:val="1"/>
          <w:iCs w:val="1"/>
          <w:color w:val="auto"/>
        </w:rPr>
        <w:t>section 4971(c)(4)</w:t>
      </w:r>
      <w:r>
        <w:rPr>
          <w:rFonts w:ascii="Times New Roman" w:cs="Times New Roman" w:eastAsia="Times New Roman" w:hAnsi="Times New Roman"/>
          <w:sz w:val="19"/>
          <w:szCs w:val="19"/>
          <w:color w:val="auto"/>
        </w:rPr>
        <w:t xml:space="preserve"> of the Code), whether or not waived, or any “</w:t>
      </w:r>
      <w:r>
        <w:rPr>
          <w:rFonts w:ascii="Times New Roman" w:cs="Times New Roman" w:eastAsia="Times New Roman" w:hAnsi="Times New Roman"/>
          <w:sz w:val="19"/>
          <w:szCs w:val="19"/>
          <w:i w:val="1"/>
          <w:iCs w:val="1"/>
          <w:color w:val="auto"/>
        </w:rPr>
        <w:t>accumulated funding deficiency</w:t>
      </w:r>
      <w:r>
        <w:rPr>
          <w:rFonts w:ascii="Times New Roman" w:cs="Times New Roman" w:eastAsia="Times New Roman" w:hAnsi="Times New Roman"/>
          <w:sz w:val="19"/>
          <w:szCs w:val="19"/>
          <w:color w:val="auto"/>
        </w:rPr>
        <w:t xml:space="preserve">” (as defined in </w:t>
      </w:r>
      <w:r>
        <w:rPr>
          <w:rFonts w:ascii="Times New Roman" w:cs="Times New Roman" w:eastAsia="Times New Roman" w:hAnsi="Times New Roman"/>
          <w:sz w:val="19"/>
          <w:szCs w:val="19"/>
          <w:i w:val="1"/>
          <w:iCs w:val="1"/>
          <w:color w:val="auto"/>
        </w:rPr>
        <w:t>section 302</w:t>
      </w:r>
      <w:r>
        <w:rPr>
          <w:rFonts w:ascii="Times New Roman" w:cs="Times New Roman" w:eastAsia="Times New Roman" w:hAnsi="Times New Roman"/>
          <w:sz w:val="19"/>
          <w:szCs w:val="19"/>
          <w:color w:val="auto"/>
        </w:rPr>
        <w:t xml:space="preserve"> of ERISA or </w:t>
      </w:r>
      <w:r>
        <w:rPr>
          <w:rFonts w:ascii="Times New Roman" w:cs="Times New Roman" w:eastAsia="Times New Roman" w:hAnsi="Times New Roman"/>
          <w:sz w:val="19"/>
          <w:szCs w:val="19"/>
          <w:i w:val="1"/>
          <w:iCs w:val="1"/>
          <w:color w:val="auto"/>
        </w:rPr>
        <w:t>section 412</w:t>
      </w:r>
      <w:r>
        <w:rPr>
          <w:rFonts w:ascii="Times New Roman" w:cs="Times New Roman" w:eastAsia="Times New Roman" w:hAnsi="Times New Roman"/>
          <w:sz w:val="19"/>
          <w:szCs w:val="19"/>
          <w:color w:val="auto"/>
        </w:rPr>
        <w:t xml:space="preserve"> of the Code), (b) no Company nor any ERISA Affiliate has incurred liability under ERISA to the PBGC in connection with any Employee Plan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required insurance premiums, all of which have been paid), (c) no Company nor any ERISA Affiliate has withdrawn in whole or in part from participation in a Multiemployer Plan, (d) no Company nor any ERISA Affiliate, nor any Multiemployer Plan to which any Company or any ERISA Affiliate contributes to or has contributed to, has received notice concerning the determination that the Multiemployer Plan is, or is expected to be, insolvent or in reorganization, within the meaning of Title IV of ERISA, (e) no Company nor any ERISA Affiliate has engaged in any “</w:t>
      </w:r>
      <w:r>
        <w:rPr>
          <w:rFonts w:ascii="Times New Roman" w:cs="Times New Roman" w:eastAsia="Times New Roman" w:hAnsi="Times New Roman"/>
          <w:sz w:val="19"/>
          <w:szCs w:val="19"/>
          <w:i w:val="1"/>
          <w:iCs w:val="1"/>
          <w:color w:val="auto"/>
        </w:rPr>
        <w:t>prohibited transaction</w:t>
      </w:r>
      <w:r>
        <w:rPr>
          <w:rFonts w:ascii="Times New Roman" w:cs="Times New Roman" w:eastAsia="Times New Roman" w:hAnsi="Times New Roman"/>
          <w:sz w:val="19"/>
          <w:szCs w:val="19"/>
          <w:color w:val="auto"/>
        </w:rPr>
        <w:t xml:space="preserve">” (as defined in </w:t>
      </w:r>
      <w:r>
        <w:rPr>
          <w:rFonts w:ascii="Times New Roman" w:cs="Times New Roman" w:eastAsia="Times New Roman" w:hAnsi="Times New Roman"/>
          <w:sz w:val="19"/>
          <w:szCs w:val="19"/>
          <w:i w:val="1"/>
          <w:iCs w:val="1"/>
          <w:color w:val="auto"/>
        </w:rPr>
        <w:t>section 406</w:t>
      </w:r>
      <w:r>
        <w:rPr>
          <w:rFonts w:ascii="Times New Roman" w:cs="Times New Roman" w:eastAsia="Times New Roman" w:hAnsi="Times New Roman"/>
          <w:sz w:val="19"/>
          <w:szCs w:val="19"/>
          <w:color w:val="auto"/>
        </w:rPr>
        <w:t xml:space="preserve"> of ERISA or </w:t>
      </w:r>
      <w:r>
        <w:rPr>
          <w:rFonts w:ascii="Times New Roman" w:cs="Times New Roman" w:eastAsia="Times New Roman" w:hAnsi="Times New Roman"/>
          <w:sz w:val="19"/>
          <w:szCs w:val="19"/>
          <w:i w:val="1"/>
          <w:iCs w:val="1"/>
          <w:color w:val="auto"/>
        </w:rPr>
        <w:t>section 4975</w:t>
      </w:r>
      <w:r>
        <w:rPr>
          <w:rFonts w:ascii="Times New Roman" w:cs="Times New Roman" w:eastAsia="Times New Roman" w:hAnsi="Times New Roman"/>
          <w:sz w:val="19"/>
          <w:szCs w:val="19"/>
          <w:color w:val="auto"/>
        </w:rPr>
        <w:t xml:space="preserve"> of the Code), and (f) no “</w:t>
      </w:r>
      <w:r>
        <w:rPr>
          <w:rFonts w:ascii="Times New Roman" w:cs="Times New Roman" w:eastAsia="Times New Roman" w:hAnsi="Times New Roman"/>
          <w:sz w:val="19"/>
          <w:szCs w:val="19"/>
          <w:i w:val="1"/>
          <w:iCs w:val="1"/>
          <w:color w:val="auto"/>
        </w:rPr>
        <w:t>reportable event</w:t>
      </w:r>
      <w:r>
        <w:rPr>
          <w:rFonts w:ascii="Times New Roman" w:cs="Times New Roman" w:eastAsia="Times New Roman" w:hAnsi="Times New Roman"/>
          <w:sz w:val="19"/>
          <w:szCs w:val="19"/>
          <w:color w:val="auto"/>
        </w:rPr>
        <w:t xml:space="preserve">” (as defined in </w:t>
      </w:r>
      <w:r>
        <w:rPr>
          <w:rFonts w:ascii="Times New Roman" w:cs="Times New Roman" w:eastAsia="Times New Roman" w:hAnsi="Times New Roman"/>
          <w:sz w:val="19"/>
          <w:szCs w:val="19"/>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4043 </w:t>
      </w:r>
      <w:r>
        <w:rPr>
          <w:rFonts w:ascii="Times New Roman" w:cs="Times New Roman" w:eastAsia="Times New Roman" w:hAnsi="Times New Roman"/>
          <w:sz w:val="19"/>
          <w:szCs w:val="19"/>
          <w:color w:val="auto"/>
        </w:rPr>
        <w:t>of ERISA) has occurred with respect to an Employee Plan, excluding events for which the notice requirement is waived under applicable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PBGC regulations.</w:t>
      </w:r>
    </w:p>
    <w:p>
      <w:pPr>
        <w:spacing w:after="0" w:line="200" w:lineRule="exact"/>
        <w:rPr>
          <w:sz w:val="20"/>
          <w:szCs w:val="20"/>
          <w:color w:val="auto"/>
        </w:rPr>
      </w:pPr>
    </w:p>
    <w:p>
      <w:pPr>
        <w:spacing w:after="0" w:line="203"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9"/>
          <w:szCs w:val="19"/>
          <w:color w:val="auto"/>
        </w:rPr>
        <w:t>8.11.</w:t>
      </w:r>
      <w:r>
        <w:rPr>
          <w:sz w:val="20"/>
          <w:szCs w:val="20"/>
          <w:color w:val="auto"/>
        </w:rPr>
        <w:tab/>
      </w:r>
      <w:r>
        <w:rPr>
          <w:rFonts w:ascii="Times New Roman" w:cs="Times New Roman" w:eastAsia="Times New Roman" w:hAnsi="Times New Roman"/>
          <w:sz w:val="19"/>
          <w:szCs w:val="19"/>
          <w:u w:val="single" w:color="auto"/>
          <w:color w:val="auto"/>
        </w:rPr>
        <w:t>Properties and Liens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802"/>
        <w:spacing w:after="0" w:line="300" w:lineRule="auto"/>
        <w:tabs>
          <w:tab w:leader="none" w:pos="1229"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Company has good and marketable title in fee simple to, or a valid leasehold interest in, all material property reflected on the Current Financials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for property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83</w:t>
      </w:r>
    </w:p>
    <w:p>
      <w:pPr>
        <w:sectPr>
          <w:pgSz w:w="11900" w:h="16838" w:orient="portrait"/>
          <w:cols w:equalWidth="0" w:num="1">
            <w:col w:w="11240"/>
          </w:cols>
          <w:pgMar w:left="320" w:top="1390"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9"/>
          <w:szCs w:val="19"/>
          <w:color w:val="auto"/>
        </w:rPr>
        <w:t xml:space="preserve">obsolete or that has been disposed of in the ordinary course of business or as otherwise permitted by </w:t>
      </w:r>
      <w:r>
        <w:rPr>
          <w:rFonts w:ascii="Times New Roman" w:cs="Times New Roman" w:eastAsia="Times New Roman" w:hAnsi="Times New Roman"/>
          <w:sz w:val="19"/>
          <w:szCs w:val="19"/>
          <w:b w:val="1"/>
          <w:bCs w:val="1"/>
          <w:i w:val="1"/>
          <w:iCs w:val="1"/>
          <w:color w:val="auto"/>
        </w:rPr>
        <w:t>Section 10.10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Section 10.11</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jc w:val="both"/>
        <w:ind w:firstLine="802"/>
        <w:spacing w:after="0" w:line="274" w:lineRule="auto"/>
        <w:tabs>
          <w:tab w:leader="none" w:pos="1263"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Permitted Liens, no Lien exists on any property of any Company (including, without limitation, the Forest Service Permits and the Water Rights), and the execution, delivery, performance, or observance of the Loan Papers will not require or result in the creation of any Lien on any Company’s property.</w:t>
      </w:r>
    </w:p>
    <w:p>
      <w:pPr>
        <w:spacing w:after="0" w:line="153" w:lineRule="exact"/>
        <w:rPr>
          <w:rFonts w:ascii="Times New Roman" w:cs="Times New Roman" w:eastAsia="Times New Roman" w:hAnsi="Times New Roman"/>
          <w:sz w:val="19"/>
          <w:szCs w:val="19"/>
          <w:color w:val="auto"/>
        </w:rPr>
      </w:pPr>
    </w:p>
    <w:p>
      <w:pPr>
        <w:ind w:firstLine="802"/>
        <w:spacing w:after="0" w:line="300" w:lineRule="auto"/>
        <w:tabs>
          <w:tab w:leader="none" w:pos="1224"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date hereof, the Forest Service Permits constitute all of the material licenses, permits, or leases from the U.S. held by the Companies for use in connection with their respective skiing businesses.</w:t>
      </w:r>
    </w:p>
    <w:p>
      <w:pPr>
        <w:spacing w:after="0" w:line="143" w:lineRule="exact"/>
        <w:rPr>
          <w:rFonts w:ascii="Times New Roman" w:cs="Times New Roman" w:eastAsia="Times New Roman" w:hAnsi="Times New Roman"/>
          <w:sz w:val="19"/>
          <w:szCs w:val="19"/>
          <w:color w:val="auto"/>
        </w:rPr>
      </w:pPr>
    </w:p>
    <w:p>
      <w:pPr>
        <w:jc w:val="both"/>
        <w:ind w:firstLine="802"/>
        <w:spacing w:after="0" w:line="264" w:lineRule="auto"/>
        <w:tabs>
          <w:tab w:leader="none" w:pos="1360"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Water Rights is, to the knowledge of the Companies, in full force and effect and, to the knowledge of the Companies, there is no material default or existing condition which with the giving of notice or the passage of time or both would cause a material default under any Water Right that is material to the operation of the Companies. Subject to the available supply and to the terms and conditions of the applicable decrees, the Companies’ Water Rights provide a dependable, legal and physical snowmaking, irrigation, and domestic water supply for the operation of the Companies’ businesses.</w:t>
      </w:r>
    </w:p>
    <w:p>
      <w:pPr>
        <w:spacing w:after="0" w:line="173" w:lineRule="exact"/>
        <w:rPr>
          <w:rFonts w:ascii="Times New Roman" w:cs="Times New Roman" w:eastAsia="Times New Roman" w:hAnsi="Times New Roman"/>
          <w:sz w:val="19"/>
          <w:szCs w:val="19"/>
          <w:color w:val="auto"/>
        </w:rPr>
      </w:pPr>
    </w:p>
    <w:p>
      <w:pPr>
        <w:ind w:firstLine="802"/>
        <w:spacing w:after="0" w:line="290" w:lineRule="auto"/>
        <w:tabs>
          <w:tab w:leader="none" w:pos="1204"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of the Closing Date, (i) the Companies own the Critical Assets set forth on </w:t>
      </w:r>
      <w:r>
        <w:rPr>
          <w:rFonts w:ascii="Times New Roman" w:cs="Times New Roman" w:eastAsia="Times New Roman" w:hAnsi="Times New Roman"/>
          <w:sz w:val="19"/>
          <w:szCs w:val="19"/>
          <w:b w:val="1"/>
          <w:bCs w:val="1"/>
          <w:i w:val="1"/>
          <w:iCs w:val="1"/>
          <w:color w:val="auto"/>
        </w:rPr>
        <w:t>Schedule 8.11</w:t>
      </w:r>
      <w:r>
        <w:rPr>
          <w:rFonts w:ascii="Times New Roman" w:cs="Times New Roman" w:eastAsia="Times New Roman" w:hAnsi="Times New Roman"/>
          <w:sz w:val="19"/>
          <w:szCs w:val="19"/>
          <w:color w:val="auto"/>
        </w:rPr>
        <w:t xml:space="preserve">, and (ii) other than as permitted by </w:t>
      </w:r>
      <w:r>
        <w:rPr>
          <w:rFonts w:ascii="Times New Roman" w:cs="Times New Roman" w:eastAsia="Times New Roman" w:hAnsi="Times New Roman"/>
          <w:sz w:val="19"/>
          <w:szCs w:val="19"/>
          <w:b w:val="1"/>
          <w:bCs w:val="1"/>
          <w:i w:val="1"/>
          <w:iCs w:val="1"/>
          <w:color w:val="auto"/>
        </w:rPr>
        <w:t>Section 9.7(b</w:t>
      </w:r>
      <w:r>
        <w:rPr>
          <w:rFonts w:ascii="Times New Roman" w:cs="Times New Roman" w:eastAsia="Times New Roman" w:hAnsi="Times New Roman"/>
          <w:sz w:val="19"/>
          <w:szCs w:val="19"/>
          <w:color w:val="auto"/>
        </w:rPr>
        <w:t>) hereof, each Critical Asset is owned by a Restricted Subsidiary of Borrower.</w:t>
      </w:r>
    </w:p>
    <w:p>
      <w:pPr>
        <w:spacing w:after="0" w:line="151" w:lineRule="exact"/>
        <w:rPr>
          <w:sz w:val="20"/>
          <w:szCs w:val="20"/>
          <w:color w:val="auto"/>
        </w:rPr>
      </w:pPr>
    </w:p>
    <w:p>
      <w:pPr>
        <w:jc w:val="both"/>
        <w:ind w:firstLine="637"/>
        <w:spacing w:after="0" w:line="288" w:lineRule="auto"/>
        <w:rPr>
          <w:sz w:val="20"/>
          <w:szCs w:val="20"/>
          <w:color w:val="auto"/>
        </w:rPr>
      </w:pPr>
      <w:r>
        <w:rPr>
          <w:rFonts w:ascii="Times New Roman" w:cs="Times New Roman" w:eastAsia="Times New Roman" w:hAnsi="Times New Roman"/>
          <w:sz w:val="19"/>
          <w:szCs w:val="19"/>
          <w:color w:val="auto"/>
        </w:rPr>
        <w:t xml:space="preserve">8.12. </w:t>
      </w:r>
      <w:r>
        <w:rPr>
          <w:rFonts w:ascii="Times New Roman" w:cs="Times New Roman" w:eastAsia="Times New Roman" w:hAnsi="Times New Roman"/>
          <w:sz w:val="19"/>
          <w:szCs w:val="19"/>
          <w:u w:val="single" w:color="auto"/>
          <w:color w:val="auto"/>
        </w:rPr>
        <w:t>Government Regulations</w:t>
      </w:r>
      <w:r>
        <w:rPr>
          <w:rFonts w:ascii="Times New Roman" w:cs="Times New Roman" w:eastAsia="Times New Roman" w:hAnsi="Times New Roman"/>
          <w:sz w:val="19"/>
          <w:szCs w:val="19"/>
          <w:color w:val="auto"/>
        </w:rPr>
        <w:t>. No Company or Controlling Person is or is required to be registered as an “</w:t>
      </w:r>
      <w:r>
        <w:rPr>
          <w:rFonts w:ascii="Times New Roman" w:cs="Times New Roman" w:eastAsia="Times New Roman" w:hAnsi="Times New Roman"/>
          <w:sz w:val="19"/>
          <w:szCs w:val="19"/>
          <w:i w:val="1"/>
          <w:iCs w:val="1"/>
          <w:color w:val="auto"/>
        </w:rPr>
        <w:t>investment company</w:t>
      </w:r>
      <w:r>
        <w:rPr>
          <w:rFonts w:ascii="Times New Roman" w:cs="Times New Roman" w:eastAsia="Times New Roman" w:hAnsi="Times New Roman"/>
          <w:sz w:val="19"/>
          <w:szCs w:val="19"/>
          <w:color w:val="auto"/>
        </w:rPr>
        <w:t>” under the Investment Company Act of 1940.</w:t>
      </w:r>
    </w:p>
    <w:p>
      <w:pPr>
        <w:spacing w:after="0" w:line="150"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color w:val="auto"/>
        </w:rPr>
        <w:t xml:space="preserve">8.13.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xml:space="preserve">. Except as set forth in </w:t>
      </w:r>
      <w:r>
        <w:rPr>
          <w:rFonts w:ascii="Times New Roman" w:cs="Times New Roman" w:eastAsia="Times New Roman" w:hAnsi="Times New Roman"/>
          <w:sz w:val="19"/>
          <w:szCs w:val="19"/>
          <w:b w:val="1"/>
          <w:bCs w:val="1"/>
          <w:i w:val="1"/>
          <w:iCs w:val="1"/>
          <w:color w:val="auto"/>
        </w:rPr>
        <w:t>Schedule 8.13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for other transactions which do not, in the aggregate, cost the Restricted Companies more than $2,000,000 in any fiscal year, no Restricted Company is a party to any transaction with any Affiliate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another Restricted Company),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upon fair and reasonable terms not materially less favorable than it could obtain or could become entitled to in an arm’s-length transaction with a Person that was not its Affiliate.</w:t>
      </w:r>
    </w:p>
    <w:p>
      <w:pPr>
        <w:spacing w:after="0" w:line="15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8.14.</w:t>
      </w:r>
      <w:r>
        <w:rPr>
          <w:sz w:val="20"/>
          <w:szCs w:val="20"/>
          <w:color w:val="auto"/>
        </w:rPr>
        <w:tab/>
      </w:r>
      <w:r>
        <w:rPr>
          <w:rFonts w:ascii="Times New Roman" w:cs="Times New Roman" w:eastAsia="Times New Roman" w:hAnsi="Times New Roman"/>
          <w:sz w:val="19"/>
          <w:szCs w:val="19"/>
          <w:u w:val="single" w:color="auto"/>
          <w:color w:val="auto"/>
        </w:rPr>
        <w:t>Debt</w:t>
      </w:r>
      <w:r>
        <w:rPr>
          <w:rFonts w:ascii="Times New Roman" w:cs="Times New Roman" w:eastAsia="Times New Roman" w:hAnsi="Times New Roman"/>
          <w:sz w:val="19"/>
          <w:szCs w:val="19"/>
          <w:color w:val="auto"/>
        </w:rPr>
        <w:t>. No Restricted Company is an obligor on any Debt,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Permitted Debt.</w:t>
      </w:r>
    </w:p>
    <w:p>
      <w:pPr>
        <w:spacing w:after="0" w:line="235"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8.15. </w:t>
      </w:r>
      <w:r>
        <w:rPr>
          <w:rFonts w:ascii="Times New Roman" w:cs="Times New Roman" w:eastAsia="Times New Roman" w:hAnsi="Times New Roman"/>
          <w:sz w:val="19"/>
          <w:szCs w:val="19"/>
          <w:u w:val="single" w:color="auto"/>
          <w:color w:val="auto"/>
        </w:rPr>
        <w:t>Material Agreements</w:t>
      </w:r>
      <w:r>
        <w:rPr>
          <w:rFonts w:ascii="Times New Roman" w:cs="Times New Roman" w:eastAsia="Times New Roman" w:hAnsi="Times New Roman"/>
          <w:sz w:val="19"/>
          <w:szCs w:val="19"/>
          <w:color w:val="auto"/>
        </w:rPr>
        <w:t>. All Material Agreements to which any Restricted Company is a party are in full force and effect, and no default or potential default (a) exists on the part of any Restricted Company thereunder that is a Material Adverse Event or (b) would result from the consummation of the transactions contemplated by this Agreement or any other Loan Paper.</w:t>
      </w:r>
    </w:p>
    <w:p>
      <w:pPr>
        <w:spacing w:after="0" w:line="167"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8.16. </w:t>
      </w:r>
      <w:r>
        <w:rPr>
          <w:rFonts w:ascii="Times New Roman" w:cs="Times New Roman" w:eastAsia="Times New Roman" w:hAnsi="Times New Roman"/>
          <w:sz w:val="19"/>
          <w:szCs w:val="19"/>
          <w:u w:val="single" w:color="auto"/>
          <w:color w:val="auto"/>
        </w:rPr>
        <w:t>Labor Matters</w:t>
      </w:r>
      <w:r>
        <w:rPr>
          <w:rFonts w:ascii="Times New Roman" w:cs="Times New Roman" w:eastAsia="Times New Roman" w:hAnsi="Times New Roman"/>
          <w:sz w:val="19"/>
          <w:szCs w:val="19"/>
          <w:color w:val="auto"/>
        </w:rPr>
        <w:t xml:space="preserve">. There are no binding agreements of any type with any labor union, labor organization, collective bargaining unit or employee group to which any Company is bound,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agreements which may be entered into after the Closing Date which do not constitute a Material Adverse Event. No actual or threatened strikes, labor disputes, slow downs, walkouts, or other concerted interruptions of operations by the employees of any Company that constitute a Material Adverse Event exist. Hours worked by and payment made to employees of the Companies have not been in violation of the </w:t>
      </w:r>
      <w:r>
        <w:rPr>
          <w:rFonts w:ascii="Times New Roman" w:cs="Times New Roman" w:eastAsia="Times New Roman" w:hAnsi="Times New Roman"/>
          <w:sz w:val="19"/>
          <w:szCs w:val="19"/>
          <w:i w:val="1"/>
          <w:iCs w:val="1"/>
          <w:color w:val="auto"/>
        </w:rPr>
        <w:t>Fair Labor Standards Act,</w:t>
      </w:r>
      <w:r>
        <w:rPr>
          <w:rFonts w:ascii="Times New Roman" w:cs="Times New Roman" w:eastAsia="Times New Roman" w:hAnsi="Times New Roman"/>
          <w:sz w:val="19"/>
          <w:szCs w:val="19"/>
          <w:color w:val="auto"/>
        </w:rPr>
        <w:t xml:space="preserve"> as amended, or any other applicable Law dealing with labor matters,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any violations, individually or collectively, that are not a Material Adverse Event. All payments due from any Company for employee health and welfare insurance have been paid or accrued as a liability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84</w:t>
      </w:r>
    </w:p>
    <w:p>
      <w:pPr>
        <w:sectPr>
          <w:pgSz w:w="11900" w:h="16838" w:orient="portrait"/>
          <w:cols w:equalWidth="0" w:num="1">
            <w:col w:w="11240"/>
          </w:cols>
          <w:pgMar w:left="320" w:top="1386"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9"/>
          <w:szCs w:val="19"/>
          <w:color w:val="auto"/>
        </w:rPr>
        <w:t xml:space="preserve">its books,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any nonpayments that are not, individually or collectively, a Material Adverse Event.</w:t>
      </w:r>
    </w:p>
    <w:p>
      <w:pPr>
        <w:spacing w:after="0" w:line="235" w:lineRule="exact"/>
        <w:rPr>
          <w:sz w:val="20"/>
          <w:szCs w:val="20"/>
          <w:color w:val="auto"/>
        </w:rPr>
      </w:pPr>
    </w:p>
    <w:p>
      <w:pPr>
        <w:jc w:val="both"/>
        <w:ind w:firstLine="637"/>
        <w:spacing w:after="0" w:line="285" w:lineRule="auto"/>
        <w:rPr>
          <w:sz w:val="20"/>
          <w:szCs w:val="20"/>
          <w:color w:val="auto"/>
        </w:rPr>
      </w:pPr>
      <w:r>
        <w:rPr>
          <w:rFonts w:ascii="Times New Roman" w:cs="Times New Roman" w:eastAsia="Times New Roman" w:hAnsi="Times New Roman"/>
          <w:sz w:val="19"/>
          <w:szCs w:val="19"/>
          <w:color w:val="auto"/>
        </w:rPr>
        <w:t xml:space="preserve">8.17. </w:t>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 On the Closing Date, on each Loan Date, and on each date of an L/C Credit Extension, Borrower, and each Guarantor are, and after giving effect to the requested Loan, will be, Solvent.</w:t>
      </w:r>
    </w:p>
    <w:p>
      <w:pPr>
        <w:spacing w:after="0" w:line="158"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color w:val="auto"/>
        </w:rPr>
        <w:t xml:space="preserve">8.18. </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xml:space="preserve">. Each Company owns (or otherwise holds rights to use) all material Intellectual Property, licenses, permits, and trade names necessary to continue to conduct its businesses as presently conducted by it and proposed to be conducted by it immediately after the Closing Date. To its knowledge, each Company is conducting its business without infringement or claim of infringement of any license, patent, copyright, service mark, trademark, trade name, trade secret, or other intellectual property right of others,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any infringements or claims that, if successfully asserted against or determined adversely to any Company, would not, individually or collectively, constitute a Material Adverse Event, and to the best of each Company’s knowledge, no slogan or other advertising device, product, process, method, substance, or part or other material now employed, or now contemplated to be employed, by such Company infringes upon any rights held by any other Person. To the knowledge of any Company as of the date hereof, no infringement or claim of infringement by others of any material Intellectual Property, license, permit, trade name, or other intellectual property of any Company exists,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claims which will not result in a Material Adverse Event.</w:t>
      </w:r>
    </w:p>
    <w:p>
      <w:pPr>
        <w:spacing w:after="0" w:line="180"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9"/>
          <w:szCs w:val="19"/>
          <w:color w:val="auto"/>
        </w:rPr>
        <w:t xml:space="preserve">8.19. </w:t>
      </w:r>
      <w:r>
        <w:rPr>
          <w:rFonts w:ascii="Times New Roman" w:cs="Times New Roman" w:eastAsia="Times New Roman" w:hAnsi="Times New Roman"/>
          <w:sz w:val="19"/>
          <w:szCs w:val="19"/>
          <w:u w:val="single" w:color="auto"/>
          <w:color w:val="auto"/>
        </w:rPr>
        <w:t>Full Disclosure</w:t>
      </w:r>
      <w:r>
        <w:rPr>
          <w:rFonts w:ascii="Times New Roman" w:cs="Times New Roman" w:eastAsia="Times New Roman" w:hAnsi="Times New Roman"/>
          <w:sz w:val="19"/>
          <w:szCs w:val="19"/>
          <w:color w:val="auto"/>
        </w:rPr>
        <w:t>. Each material fact or condition relating to the Loan Papers or the financial condition, business, or property of any Company has been disclosed to Administrative Agent. All reports, financial statements, certificates, and other information furnished by any Company to Administrative Agent in connection with the Loan Papers on or before the Closing Date was, taken as a whole, true and accurate in all material respects or based on reasonable estimates on the date the information is stated or certified.</w:t>
      </w:r>
    </w:p>
    <w:p>
      <w:pPr>
        <w:spacing w:after="0" w:line="158"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8.20. </w:t>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The properties of the Companies are insured with financially sound and reputable insurance companies not Affiliates of the Companies, in such amounts, with such deductibles and covering such risks as are customarily carried by companies engaged in similar businesses and owning similar properties in localities where the Companies operate.</w:t>
      </w:r>
    </w:p>
    <w:p>
      <w:pPr>
        <w:spacing w:after="0" w:line="167"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9"/>
          <w:szCs w:val="19"/>
          <w:color w:val="auto"/>
        </w:rPr>
        <w:t xml:space="preserve">8.21. </w:t>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Each Company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result in a Material Adverse Event.</w:t>
      </w:r>
    </w:p>
    <w:p>
      <w:pPr>
        <w:spacing w:after="0" w:line="158" w:lineRule="exact"/>
        <w:rPr>
          <w:sz w:val="20"/>
          <w:szCs w:val="20"/>
          <w:color w:val="auto"/>
        </w:rPr>
      </w:pPr>
    </w:p>
    <w:p>
      <w:pPr>
        <w:jc w:val="both"/>
        <w:ind w:firstLine="637"/>
        <w:spacing w:after="0" w:line="267" w:lineRule="auto"/>
        <w:rPr>
          <w:sz w:val="20"/>
          <w:szCs w:val="20"/>
          <w:color w:val="auto"/>
        </w:rPr>
      </w:pPr>
      <w:r>
        <w:rPr>
          <w:rFonts w:ascii="Times New Roman" w:cs="Times New Roman" w:eastAsia="Times New Roman" w:hAnsi="Times New Roman"/>
          <w:sz w:val="19"/>
          <w:szCs w:val="19"/>
          <w:color w:val="auto"/>
        </w:rPr>
        <w:t xml:space="preserve">8.22. </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No Company, or, to the knowledge of any Company, any director, officer, employee, agent or representative thereof, is an individual or entity that is, or is owned or controlled by any individual or entity that is (a) currently the subject or target of any Sanctions,</w:t>
      </w:r>
    </w:p>
    <w:p>
      <w:pPr>
        <w:jc w:val="both"/>
        <w:ind w:firstLine="6"/>
        <w:spacing w:after="0" w:line="262" w:lineRule="auto"/>
        <w:tabs>
          <w:tab w:leader="none" w:pos="285"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included on OFAC’s List of Specially Designated Nationals or HMT’s Consolidated List of Financial Sanctions Targets, or any similar list enforced by any other relevant sanctions authority or (c) located, organized or resident in a Designated Jurisdiction. Each Company has conducted their businesses in compliance in all material respects with all applicable Sanctions and have instituted and maintained policies and procedures designed to promote and achieve compliance with such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ectPr>
          <w:pgSz w:w="11900" w:h="16838" w:orient="portrait"/>
          <w:cols w:equalWidth="0" w:num="1">
            <w:col w:w="11240"/>
          </w:cols>
          <w:pgMar w:left="320" w:top="1388" w:right="339" w:bottom="1440" w:gutter="0" w:footer="0" w:header="0"/>
        </w:sectPr>
      </w:pPr>
    </w:p>
    <w:bookmarkStart w:id="199" w:name="page200"/>
    <w:bookmarkEnd w:id="199"/>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8.23. </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 Each Company is in compliance in all material respects with Anti-Corruption Laws applicable to such Company, and each Company has instituted and maintains compliance policies and procedures applicable to such Company with respect to applicable Anti-Corruption Laws.</w:t>
      </w:r>
    </w:p>
    <w:p>
      <w:pPr>
        <w:spacing w:after="0" w:line="167" w:lineRule="exact"/>
        <w:rPr>
          <w:sz w:val="20"/>
          <w:szCs w:val="20"/>
          <w:color w:val="auto"/>
        </w:rPr>
      </w:pPr>
    </w:p>
    <w:p>
      <w:pPr>
        <w:jc w:val="both"/>
        <w:ind w:firstLine="637"/>
        <w:spacing w:after="0" w:line="285" w:lineRule="auto"/>
        <w:rPr>
          <w:sz w:val="20"/>
          <w:szCs w:val="20"/>
          <w:color w:val="auto"/>
        </w:rPr>
      </w:pPr>
      <w:r>
        <w:rPr>
          <w:rFonts w:ascii="Times New Roman" w:cs="Times New Roman" w:eastAsia="Times New Roman" w:hAnsi="Times New Roman"/>
          <w:sz w:val="19"/>
          <w:szCs w:val="19"/>
          <w:color w:val="auto"/>
        </w:rPr>
        <w:t xml:space="preserve">8.24. </w:t>
      </w:r>
      <w:r>
        <w:rPr>
          <w:rFonts w:ascii="Times New Roman" w:cs="Times New Roman" w:eastAsia="Times New Roman" w:hAnsi="Times New Roman"/>
          <w:sz w:val="19"/>
          <w:szCs w:val="19"/>
          <w:u w:val="single" w:color="auto"/>
          <w:color w:val="auto"/>
        </w:rPr>
        <w:t>Taxpayer Identification Number</w:t>
      </w:r>
      <w:r>
        <w:rPr>
          <w:rFonts w:ascii="Times New Roman" w:cs="Times New Roman" w:eastAsia="Times New Roman" w:hAnsi="Times New Roman"/>
          <w:sz w:val="19"/>
          <w:szCs w:val="19"/>
          <w:color w:val="auto"/>
        </w:rPr>
        <w:t xml:space="preserve">. The true and correct U.S. taxpayer identification number of Borrower and each Restricted Subsidiary is set forth on </w:t>
      </w:r>
      <w:r>
        <w:rPr>
          <w:rFonts w:ascii="Times New Roman" w:cs="Times New Roman" w:eastAsia="Times New Roman" w:hAnsi="Times New Roman"/>
          <w:sz w:val="19"/>
          <w:szCs w:val="19"/>
          <w:b w:val="1"/>
          <w:bCs w:val="1"/>
          <w:i w:val="1"/>
          <w:iCs w:val="1"/>
          <w:color w:val="auto"/>
        </w:rPr>
        <w:t>Schedule 8.24</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8.25.</w:t>
      </w:r>
      <w:r>
        <w:rPr>
          <w:sz w:val="20"/>
          <w:szCs w:val="20"/>
          <w:color w:val="auto"/>
        </w:rPr>
        <w:tab/>
      </w:r>
      <w:r>
        <w:rPr>
          <w:rFonts w:ascii="Times New Roman" w:cs="Times New Roman" w:eastAsia="Times New Roman" w:hAnsi="Times New Roman"/>
          <w:sz w:val="19"/>
          <w:szCs w:val="19"/>
          <w:u w:val="single" w:color="auto"/>
          <w:color w:val="auto"/>
        </w:rPr>
        <w:t>Affected Financial Institution</w:t>
      </w:r>
      <w:r>
        <w:rPr>
          <w:rFonts w:ascii="Times New Roman" w:cs="Times New Roman" w:eastAsia="Times New Roman" w:hAnsi="Times New Roman"/>
          <w:sz w:val="19"/>
          <w:szCs w:val="19"/>
          <w:color w:val="auto"/>
        </w:rPr>
        <w:t>. Neither Borrower nor any Guarantor is an Affected Financial Institution.</w:t>
      </w:r>
    </w:p>
    <w:p>
      <w:pPr>
        <w:spacing w:after="0" w:line="233" w:lineRule="exact"/>
        <w:rPr>
          <w:sz w:val="20"/>
          <w:szCs w:val="20"/>
          <w:color w:val="auto"/>
        </w:rPr>
      </w:pPr>
    </w:p>
    <w:p>
      <w:pPr>
        <w:jc w:val="both"/>
        <w:ind w:firstLine="637"/>
        <w:spacing w:after="0" w:line="285" w:lineRule="auto"/>
        <w:rPr>
          <w:sz w:val="20"/>
          <w:szCs w:val="20"/>
          <w:color w:val="auto"/>
        </w:rPr>
      </w:pPr>
      <w:r>
        <w:rPr>
          <w:rFonts w:ascii="Times New Roman" w:cs="Times New Roman" w:eastAsia="Times New Roman" w:hAnsi="Times New Roman"/>
          <w:sz w:val="19"/>
          <w:szCs w:val="19"/>
          <w:color w:val="auto"/>
        </w:rPr>
        <w:t xml:space="preserve">8.26. </w:t>
      </w:r>
      <w:r>
        <w:rPr>
          <w:rFonts w:ascii="Times New Roman" w:cs="Times New Roman" w:eastAsia="Times New Roman" w:hAnsi="Times New Roman"/>
          <w:sz w:val="19"/>
          <w:szCs w:val="19"/>
          <w:u w:val="single" w:color="auto"/>
          <w:color w:val="auto"/>
        </w:rPr>
        <w:t>Beneficial Ownership</w:t>
      </w:r>
      <w:r>
        <w:rPr>
          <w:rFonts w:ascii="Times New Roman" w:cs="Times New Roman" w:eastAsia="Times New Roman" w:hAnsi="Times New Roman"/>
          <w:sz w:val="19"/>
          <w:szCs w:val="19"/>
          <w:color w:val="auto"/>
        </w:rPr>
        <w:t>. As of the Closing Date, the information included in each Beneficial Ownership Certification, if applicable, is true and correct in all respects.</w:t>
      </w:r>
    </w:p>
    <w:p>
      <w:pPr>
        <w:spacing w:after="0" w:line="154" w:lineRule="exact"/>
        <w:rPr>
          <w:sz w:val="20"/>
          <w:szCs w:val="20"/>
          <w:color w:val="auto"/>
        </w:rPr>
      </w:pPr>
    </w:p>
    <w:p>
      <w:pPr>
        <w:jc w:val="both"/>
        <w:ind w:firstLine="637"/>
        <w:spacing w:after="0" w:line="290" w:lineRule="auto"/>
        <w:rPr>
          <w:sz w:val="20"/>
          <w:szCs w:val="20"/>
          <w:color w:val="auto"/>
        </w:rPr>
      </w:pPr>
      <w:r>
        <w:rPr>
          <w:rFonts w:ascii="Times New Roman" w:cs="Times New Roman" w:eastAsia="Times New Roman" w:hAnsi="Times New Roman"/>
          <w:sz w:val="19"/>
          <w:szCs w:val="19"/>
          <w:b w:val="1"/>
          <w:bCs w:val="1"/>
          <w:u w:val="single" w:color="auto"/>
          <w:color w:val="auto"/>
        </w:rPr>
        <w:t>SECTION 9 AFFIRMATIVE COVENANTS.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So long as Lenders are committed to fund Loans and the L/C Issuers are committed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issue L/Cs under this Agreement, and thereafter until the Obligation is paid in full, Borrower covenants and agrees as follows:</w:t>
      </w:r>
    </w:p>
    <w:p>
      <w:pPr>
        <w:spacing w:after="0" w:line="15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9.1.</w:t>
      </w:r>
      <w:r>
        <w:rPr>
          <w:sz w:val="20"/>
          <w:szCs w:val="20"/>
          <w:color w:val="auto"/>
        </w:rPr>
        <w:tab/>
      </w:r>
      <w:r>
        <w:rPr>
          <w:rFonts w:ascii="Times New Roman" w:cs="Times New Roman" w:eastAsia="Times New Roman" w:hAnsi="Times New Roman"/>
          <w:sz w:val="19"/>
          <w:szCs w:val="19"/>
          <w:u w:val="single" w:color="auto"/>
          <w:color w:val="auto"/>
        </w:rPr>
        <w:t>Items to be Furnished</w:t>
      </w:r>
      <w:r>
        <w:rPr>
          <w:rFonts w:ascii="Times New Roman" w:cs="Times New Roman" w:eastAsia="Times New Roman" w:hAnsi="Times New Roman"/>
          <w:sz w:val="19"/>
          <w:szCs w:val="19"/>
          <w:color w:val="auto"/>
        </w:rPr>
        <w:t>. Borrower shall cause the following to be furnished to each Lender:</w:t>
      </w:r>
    </w:p>
    <w:p>
      <w:pPr>
        <w:spacing w:after="0" w:line="233" w:lineRule="exact"/>
        <w:rPr>
          <w:sz w:val="20"/>
          <w:szCs w:val="20"/>
          <w:color w:val="auto"/>
        </w:rPr>
      </w:pPr>
    </w:p>
    <w:p>
      <w:pPr>
        <w:jc w:val="both"/>
        <w:ind w:firstLine="643"/>
        <w:spacing w:after="0" w:line="258" w:lineRule="auto"/>
        <w:tabs>
          <w:tab w:leader="none" w:pos="109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fiscal year of the Companies, within 5 Business Days after the date required to be filed with the Securities and Exchange Commission as part of the Companies’ periodic reporting, Financial Statements showing the consolidated financial condition and results of operations of the Companies as of, and for the year ended on, that last day, accompanied by: (A) the unqualified opinion of a “</w:t>
      </w:r>
      <w:r>
        <w:rPr>
          <w:rFonts w:ascii="Times New Roman" w:cs="Times New Roman" w:eastAsia="Times New Roman" w:hAnsi="Times New Roman"/>
          <w:sz w:val="19"/>
          <w:szCs w:val="19"/>
          <w:i w:val="1"/>
          <w:iCs w:val="1"/>
          <w:color w:val="auto"/>
        </w:rPr>
        <w:t>Registered Public Accounting Firm</w:t>
      </w:r>
      <w:r>
        <w:rPr>
          <w:rFonts w:ascii="Times New Roman" w:cs="Times New Roman" w:eastAsia="Times New Roman" w:hAnsi="Times New Roman"/>
          <w:sz w:val="19"/>
          <w:szCs w:val="19"/>
          <w:color w:val="auto"/>
        </w:rPr>
        <w:t xml:space="preserve">” (as such term is specified in the Securities Laws) of nationally-recognized standing, based on an audit using generally accepted auditing standards and applicable Securities Laws, that the Financial Statements were prepared in accordance with GAAP and present fairly, in all material respects, the consolidated financial condition and results of operations of the Companies;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such opinion may include appropriate qualifications related to any actual or potential impact, direct or indirect, arising as a result of or related to (or could reasonably be expected to arise out of or result from) COVID-19 on the Companies’ consolidated financial condition, (B) any management letter prepared by the accounting firm delivered in connection with its audit, (C) a certificate from the accounting firm to Administrative Agent indicating that during its audit it obtained no knowledge of any Default or Potential Default, or if it obtained knowledge, the nature and period of existence thereof, and (D) a Compliance Certificate with respect to the Financial Statements.</w:t>
      </w:r>
    </w:p>
    <w:p>
      <w:pPr>
        <w:spacing w:after="0" w:line="188" w:lineRule="exact"/>
        <w:rPr>
          <w:rFonts w:ascii="Times New Roman" w:cs="Times New Roman" w:eastAsia="Times New Roman" w:hAnsi="Times New Roman"/>
          <w:sz w:val="19"/>
          <w:szCs w:val="19"/>
          <w:color w:val="auto"/>
        </w:rPr>
      </w:pPr>
    </w:p>
    <w:p>
      <w:pPr>
        <w:jc w:val="both"/>
        <w:ind w:firstLine="643"/>
        <w:spacing w:after="0" w:line="264" w:lineRule="auto"/>
        <w:tabs>
          <w:tab w:leader="none" w:pos="1064"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fiscal quarter of the Companies (other than the last fiscal quarter of each fiscal year), within 5 Business Days after the date required to be filed with the Securities and Exchange Commission as part of the Companies’ periodic reportings, Financial Statements showing the consolidated financial condition and results of operations of the Companies for such fiscal quarter and for the period from the beginning of the current fiscal year to the last day of such fiscal quarter, accompanied by a Compliance Certificate with respect to the Financial Statements.</w:t>
      </w:r>
    </w:p>
    <w:p>
      <w:pPr>
        <w:spacing w:after="0" w:line="177" w:lineRule="exact"/>
        <w:rPr>
          <w:rFonts w:ascii="Times New Roman" w:cs="Times New Roman" w:eastAsia="Times New Roman" w:hAnsi="Times New Roman"/>
          <w:sz w:val="19"/>
          <w:szCs w:val="19"/>
          <w:color w:val="auto"/>
        </w:rPr>
      </w:pPr>
    </w:p>
    <w:p>
      <w:pPr>
        <w:ind w:firstLine="643"/>
        <w:spacing w:after="0" w:line="300" w:lineRule="auto"/>
        <w:tabs>
          <w:tab w:leader="none" w:pos="1193"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receipt, a copy of each interim or special audit report, management letter, and recommendations issued by independent accountants with respect to any Company or its financial records.</w:t>
      </w:r>
    </w:p>
    <w:p>
      <w:pPr>
        <w:spacing w:after="0" w:line="130" w:lineRule="exact"/>
        <w:rPr>
          <w:rFonts w:ascii="Times New Roman" w:cs="Times New Roman" w:eastAsia="Times New Roman" w:hAnsi="Times New Roman"/>
          <w:sz w:val="19"/>
          <w:szCs w:val="19"/>
          <w:color w:val="auto"/>
        </w:rPr>
      </w:pPr>
    </w:p>
    <w:p>
      <w:pPr>
        <w:jc w:val="both"/>
        <w:ind w:firstLine="643"/>
        <w:spacing w:after="0" w:line="274" w:lineRule="auto"/>
        <w:tabs>
          <w:tab w:leader="none" w:pos="1175"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promptly after any Company knows or has reason to know, of (i) the existence and status of any Litigation that, if determined adversely to any Company, would be a Material Adverse Event, (ii) any change in any material fact or circumstance represented or warranted by any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ectPr>
          <w:pgSz w:w="11900" w:h="16838" w:orient="portrait"/>
          <w:cols w:equalWidth="0" w:num="1">
            <w:col w:w="11240"/>
          </w:cols>
          <w:pgMar w:left="320" w:top="1390" w:right="339" w:bottom="1440" w:gutter="0" w:footer="0" w:header="0"/>
        </w:sectPr>
      </w:pPr>
    </w:p>
    <w:bookmarkStart w:id="200" w:name="page201"/>
    <w:bookmarkEnd w:id="200"/>
    <w:p>
      <w:pPr>
        <w:jc w:val="both"/>
        <w:spacing w:after="0" w:line="259" w:lineRule="auto"/>
        <w:rPr>
          <w:sz w:val="20"/>
          <w:szCs w:val="20"/>
          <w:color w:val="auto"/>
        </w:rPr>
      </w:pPr>
      <w:r>
        <w:rPr>
          <w:rFonts w:ascii="Times New Roman" w:cs="Times New Roman" w:eastAsia="Times New Roman" w:hAnsi="Times New Roman"/>
          <w:sz w:val="19"/>
          <w:szCs w:val="19"/>
          <w:color w:val="auto"/>
        </w:rPr>
        <w:t>Company in connection with any Loan Paper, (iii) the receipt by any Company of notice of any violation or alleged violation of any Environmental Law or ERISA (which individually or collectively with other violations or allegations is reasonably likely to constitute a Material Adverse Event), (iv) a Default or Potential Default, specifying the nature thereof and what action the Restricted Companies have taken, are taking, or propose to take, (v) any breach or nonperformance of, or default under, a Material Agreement of a Restricted Company that is reasonably likely to result in a Material Adverse Event, (vi) any material change in accounting policies or financial reporting practices by any Restricted Company, (vii) the occurrence of any Internal Control Event, or (viii) the occurrence of any event pursuant to which any “</w:t>
      </w:r>
      <w:r>
        <w:rPr>
          <w:rFonts w:ascii="Times New Roman" w:cs="Times New Roman" w:eastAsia="Times New Roman" w:hAnsi="Times New Roman"/>
          <w:sz w:val="19"/>
          <w:szCs w:val="19"/>
          <w:i w:val="1"/>
          <w:iCs w:val="1"/>
          <w:color w:val="auto"/>
        </w:rPr>
        <w:t>person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i w:val="1"/>
          <w:iCs w:val="1"/>
          <w:color w:val="auto"/>
        </w:rPr>
        <w:t>group</w:t>
      </w:r>
      <w:r>
        <w:rPr>
          <w:rFonts w:ascii="Times New Roman" w:cs="Times New Roman" w:eastAsia="Times New Roman" w:hAnsi="Times New Roman"/>
          <w:sz w:val="19"/>
          <w:szCs w:val="19"/>
          <w:color w:val="auto"/>
        </w:rPr>
        <w:t xml:space="preserve">” (as such terms are used in </w:t>
      </w:r>
      <w:r>
        <w:rPr>
          <w:rFonts w:ascii="Times New Roman" w:cs="Times New Roman" w:eastAsia="Times New Roman" w:hAnsi="Times New Roman"/>
          <w:sz w:val="19"/>
          <w:szCs w:val="19"/>
          <w:i w:val="1"/>
          <w:iCs w:val="1"/>
          <w:color w:val="auto"/>
        </w:rPr>
        <w:t>Sections 13(d)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14(d)</w:t>
      </w:r>
      <w:r>
        <w:rPr>
          <w:rFonts w:ascii="Times New Roman" w:cs="Times New Roman" w:eastAsia="Times New Roman" w:hAnsi="Times New Roman"/>
          <w:sz w:val="19"/>
          <w:szCs w:val="19"/>
          <w:color w:val="auto"/>
        </w:rPr>
        <w:t xml:space="preserve"> of the Securities Exchange Act of 1934, but excluding any employee benefit plan of such person or its subsidiaries, and any person or entity acting in its capacity as trustee, agent, or other fiduciary or administrator of any such plan) is granted or otherwise obtains or receives the right to acquire (such right, an “</w:t>
      </w:r>
      <w:r>
        <w:rPr>
          <w:rFonts w:ascii="Times New Roman" w:cs="Times New Roman" w:eastAsia="Times New Roman" w:hAnsi="Times New Roman"/>
          <w:sz w:val="19"/>
          <w:szCs w:val="19"/>
          <w:b w:val="1"/>
          <w:bCs w:val="1"/>
          <w:i w:val="1"/>
          <w:iCs w:val="1"/>
          <w:color w:val="auto"/>
        </w:rPr>
        <w:t>option right</w:t>
      </w:r>
      <w:r>
        <w:rPr>
          <w:rFonts w:ascii="Times New Roman" w:cs="Times New Roman" w:eastAsia="Times New Roman" w:hAnsi="Times New Roman"/>
          <w:sz w:val="19"/>
          <w:szCs w:val="19"/>
          <w:color w:val="auto"/>
        </w:rPr>
        <w:t xml:space="preserve">”), whether such right is exercisable immediately or only after the passage of time, directly or indirectly, 5% or more of the equity securities of VRI entitled to vote for members of the board of directors or equivalent governing body of VRI on a fully-diluted basis (and taking into account all such securities that such person or group has the right to acquire pursuant to any option right). Each notice pursuant to </w:t>
      </w:r>
      <w:r>
        <w:rPr>
          <w:rFonts w:ascii="Times New Roman" w:cs="Times New Roman" w:eastAsia="Times New Roman" w:hAnsi="Times New Roman"/>
          <w:sz w:val="19"/>
          <w:szCs w:val="19"/>
          <w:b w:val="1"/>
          <w:bCs w:val="1"/>
          <w:i w:val="1"/>
          <w:iCs w:val="1"/>
          <w:color w:val="auto"/>
        </w:rPr>
        <w:t>Section 9.1(d)(iv)</w:t>
      </w:r>
      <w:r>
        <w:rPr>
          <w:rFonts w:ascii="Times New Roman" w:cs="Times New Roman" w:eastAsia="Times New Roman" w:hAnsi="Times New Roman"/>
          <w:sz w:val="19"/>
          <w:szCs w:val="19"/>
          <w:color w:val="auto"/>
        </w:rPr>
        <w:t xml:space="preserve"> shall describe with particularity any and all provisions of this Agreement and any other Loan Paper that have been breached.</w:t>
      </w:r>
    </w:p>
    <w:p>
      <w:pPr>
        <w:spacing w:after="0" w:line="185" w:lineRule="exact"/>
        <w:rPr>
          <w:sz w:val="20"/>
          <w:szCs w:val="20"/>
          <w:color w:val="auto"/>
        </w:rPr>
      </w:pPr>
    </w:p>
    <w:p>
      <w:pPr>
        <w:jc w:val="both"/>
        <w:ind w:firstLine="643"/>
        <w:spacing w:after="0" w:line="274" w:lineRule="auto"/>
        <w:tabs>
          <w:tab w:leader="none" w:pos="1051"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filing, copies of all material reports or filings filed by or on behalf of any Company with any securities exchange or the Securities and Exchange Commission (including, without limitation, copies of each Form 10-K, Form 10-Q, and Form S-8 filed by, or on behalf of, VRI with the Securities and Exchange Commission within 15 days after filing).</w:t>
      </w:r>
    </w:p>
    <w:p>
      <w:pPr>
        <w:spacing w:after="0" w:line="163" w:lineRule="exact"/>
        <w:rPr>
          <w:rFonts w:ascii="Times New Roman" w:cs="Times New Roman" w:eastAsia="Times New Roman" w:hAnsi="Times New Roman"/>
          <w:sz w:val="19"/>
          <w:szCs w:val="19"/>
          <w:color w:val="auto"/>
        </w:rPr>
      </w:pPr>
    </w:p>
    <w:p>
      <w:pPr>
        <w:jc w:val="both"/>
        <w:ind w:firstLine="643"/>
        <w:spacing w:after="0" w:line="258" w:lineRule="auto"/>
        <w:tabs>
          <w:tab w:leader="none" w:pos="1069"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Documents required to be delivered pursuant to </w:t>
      </w:r>
      <w:r>
        <w:rPr>
          <w:rFonts w:ascii="Times New Roman" w:cs="Times New Roman" w:eastAsia="Times New Roman" w:hAnsi="Times New Roman"/>
          <w:sz w:val="19"/>
          <w:szCs w:val="19"/>
          <w:b w:val="1"/>
          <w:bCs w:val="1"/>
          <w:i w:val="1"/>
          <w:iCs w:val="1"/>
          <w:color w:val="auto"/>
        </w:rPr>
        <w:t>Section 9.1(a)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9.1(e)</w:t>
      </w:r>
      <w:r>
        <w:rPr>
          <w:rFonts w:ascii="Times New Roman" w:cs="Times New Roman" w:eastAsia="Times New Roman" w:hAnsi="Times New Roman"/>
          <w:sz w:val="19"/>
          <w:szCs w:val="19"/>
          <w:color w:val="auto"/>
        </w:rPr>
        <w:t xml:space="preserve"> (to the extent any such documents are included in materials otherwise filed with the SEC) may be delivered electronically and if so delivered, shall be deemed to have been delivered on the date (i) on which Borrower posts such documents, or provides a link thereto on Borrower’s website on the Internet at the website address listed on </w:t>
      </w:r>
      <w:r>
        <w:rPr>
          <w:rFonts w:ascii="Times New Roman" w:cs="Times New Roman" w:eastAsia="Times New Roman" w:hAnsi="Times New Roman"/>
          <w:sz w:val="19"/>
          <w:szCs w:val="19"/>
          <w:b w:val="1"/>
          <w:bCs w:val="1"/>
          <w:i w:val="1"/>
          <w:iCs w:val="1"/>
          <w:color w:val="auto"/>
        </w:rPr>
        <w:t>Schedule 1</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or (ii) on which such documents are posted on Borrower’s behalf on an Internet or intranet website, if any, to which each Lender and Administrative Agent have access (whether a commercial, third-party website or whether sponsored by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w:t>
      </w:r>
      <w:r>
        <w:rPr>
          <w:rFonts w:ascii="Times New Roman" w:cs="Times New Roman" w:eastAsia="Times New Roman" w:hAnsi="Times New Roman"/>
          <w:sz w:val="19"/>
          <w:szCs w:val="19"/>
          <w:color w:val="auto"/>
        </w:rPr>
        <w:t>: (x) Borrower shall deliver paper copies of such documents to Administrative Agent or any Lender that requests Borrower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deliver such paper copies until a written request to cease delivering paper copies is given by Administrative Agent or such Lender, and (y) Borrower shall notify Administrative Agent and each Lender (by telecopier or electronic mail) of the posting of any such documents and provide to Administrative Agent by electronic mail electronic versions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soft copies) of such documents. Notwithstanding anything contained herein, in every instance Borrower shall be required to provide paper copies of the Compliance Certificates required by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9.1(a)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i w:val="1"/>
          <w:iCs w:val="1"/>
          <w:color w:val="auto"/>
        </w:rPr>
        <w:t xml:space="preserve"> (b) </w:t>
      </w:r>
      <w:r>
        <w:rPr>
          <w:rFonts w:ascii="Times New Roman" w:cs="Times New Roman" w:eastAsia="Times New Roman" w:hAnsi="Times New Roman"/>
          <w:sz w:val="19"/>
          <w:szCs w:val="19"/>
          <w:color w:val="auto"/>
        </w:rPr>
        <w:t>to Administrative Agent. Except for such Compliance Certificates, Administrative Agent shall have no obligation to request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delivery or to maintain copies of the documents referred to above, and in any event shall have no responsibility to monitor compliance by Borrower with any such request for delivery, and each Lender shall be solely responsible for requesting delivery to it or maintaining its copies of such documents.</w:t>
      </w:r>
    </w:p>
    <w:p>
      <w:pPr>
        <w:spacing w:after="0" w:line="200" w:lineRule="exact"/>
        <w:rPr>
          <w:sz w:val="20"/>
          <w:szCs w:val="20"/>
          <w:color w:val="auto"/>
        </w:rPr>
      </w:pPr>
    </w:p>
    <w:p>
      <w:pPr>
        <w:spacing w:after="0" w:line="226"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9"/>
          <w:szCs w:val="19"/>
          <w:color w:val="auto"/>
        </w:rPr>
        <w:t>Borrower hereby acknowledges that (a) Administrative Agent may, but shall not be obligated to, make available to Lenders and L/C Issuers materials and/or information provided by or on behalf of Borrower hereunder (collectively, “</w:t>
      </w:r>
      <w:r>
        <w:rPr>
          <w:rFonts w:ascii="Times New Roman" w:cs="Times New Roman" w:eastAsia="Times New Roman" w:hAnsi="Times New Roman"/>
          <w:sz w:val="19"/>
          <w:szCs w:val="19"/>
          <w:b w:val="1"/>
          <w:bCs w:val="1"/>
          <w:i w:val="1"/>
          <w:iCs w:val="1"/>
          <w:color w:val="auto"/>
        </w:rPr>
        <w:t>Borrower Materials</w:t>
      </w:r>
      <w:r>
        <w:rPr>
          <w:rFonts w:ascii="Times New Roman" w:cs="Times New Roman" w:eastAsia="Times New Roman" w:hAnsi="Times New Roman"/>
          <w:sz w:val="19"/>
          <w:szCs w:val="19"/>
          <w:color w:val="auto"/>
        </w:rPr>
        <w:t>”) by posting Borrower Materials on DebtDomain, IntraLinks, SyndTrak or another similar electronic system (the “</w:t>
      </w:r>
      <w:r>
        <w:rPr>
          <w:rFonts w:ascii="Times New Roman" w:cs="Times New Roman" w:eastAsia="Times New Roman" w:hAnsi="Times New Roman"/>
          <w:sz w:val="19"/>
          <w:szCs w:val="19"/>
          <w:b w:val="1"/>
          <w:bCs w:val="1"/>
          <w:i w:val="1"/>
          <w:iCs w:val="1"/>
          <w:color w:val="auto"/>
        </w:rPr>
        <w:t>Platform</w:t>
      </w:r>
      <w:r>
        <w:rPr>
          <w:rFonts w:ascii="Times New Roman" w:cs="Times New Roman" w:eastAsia="Times New Roman" w:hAnsi="Times New Roman"/>
          <w:sz w:val="19"/>
          <w:szCs w:val="19"/>
          <w:color w:val="auto"/>
        </w:rPr>
        <w:t>”), and (b) certain of the Lenders (each, a “</w:t>
      </w:r>
      <w:r>
        <w:rPr>
          <w:rFonts w:ascii="Times New Roman" w:cs="Times New Roman" w:eastAsia="Times New Roman" w:hAnsi="Times New Roman"/>
          <w:sz w:val="19"/>
          <w:szCs w:val="19"/>
          <w:b w:val="1"/>
          <w:bCs w:val="1"/>
          <w:i w:val="1"/>
          <w:iCs w:val="1"/>
          <w:color w:val="auto"/>
        </w:rPr>
        <w:t>Public Lender</w:t>
      </w:r>
      <w:r>
        <w:rPr>
          <w:rFonts w:ascii="Times New Roman" w:cs="Times New Roman" w:eastAsia="Times New Roman" w:hAnsi="Times New Roman"/>
          <w:sz w:val="19"/>
          <w:szCs w:val="19"/>
          <w:color w:val="auto"/>
        </w:rPr>
        <w:t>”) may have personnel who do not wish to receive material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87</w:t>
      </w:r>
    </w:p>
    <w:p>
      <w:pPr>
        <w:sectPr>
          <w:pgSz w:w="11900" w:h="16838" w:orient="portrait"/>
          <w:cols w:equalWidth="0" w:num="1">
            <w:col w:w="11240"/>
          </w:cols>
          <w:pgMar w:left="320" w:top="1390" w:right="339" w:bottom="1440" w:gutter="0" w:footer="0" w:header="0"/>
        </w:sectPr>
      </w:pPr>
    </w:p>
    <w:bookmarkStart w:id="201" w:name="page202"/>
    <w:bookmarkEnd w:id="201"/>
    <w:p>
      <w:pPr>
        <w:jc w:val="both"/>
        <w:spacing w:after="0" w:line="260" w:lineRule="auto"/>
        <w:rPr>
          <w:sz w:val="20"/>
          <w:szCs w:val="20"/>
          <w:color w:val="auto"/>
        </w:rPr>
      </w:pPr>
      <w:r>
        <w:rPr>
          <w:rFonts w:ascii="Times New Roman" w:cs="Times New Roman" w:eastAsia="Times New Roman" w:hAnsi="Times New Roman"/>
          <w:sz w:val="19"/>
          <w:szCs w:val="19"/>
          <w:color w:val="auto"/>
        </w:rPr>
        <w:t>public information with respect to Borrower or its Affiliates, or the respective securities of any of the foregoing, and who may be engaged in investment and other market-related activities with respect to such Persons’ securities. Borrower hereby agrees that (w) all Borrower Materials that are to be made available to Public Lenders shall be clearly and conspicuously marked “</w:t>
      </w:r>
      <w:r>
        <w:rPr>
          <w:rFonts w:ascii="Times New Roman" w:cs="Times New Roman" w:eastAsia="Times New Roman" w:hAnsi="Times New Roman"/>
          <w:sz w:val="19"/>
          <w:szCs w:val="19"/>
          <w:i w:val="1"/>
          <w:iCs w:val="1"/>
          <w:color w:val="auto"/>
        </w:rPr>
        <w:t>PUBLIC</w:t>
      </w:r>
      <w:r>
        <w:rPr>
          <w:rFonts w:ascii="Times New Roman" w:cs="Times New Roman" w:eastAsia="Times New Roman" w:hAnsi="Times New Roman"/>
          <w:sz w:val="19"/>
          <w:szCs w:val="19"/>
          <w:color w:val="auto"/>
        </w:rPr>
        <w:t>” which, at a minimum, shall mean that the word “</w:t>
      </w:r>
      <w:r>
        <w:rPr>
          <w:rFonts w:ascii="Times New Roman" w:cs="Times New Roman" w:eastAsia="Times New Roman" w:hAnsi="Times New Roman"/>
          <w:sz w:val="19"/>
          <w:szCs w:val="19"/>
          <w:i w:val="1"/>
          <w:iCs w:val="1"/>
          <w:color w:val="auto"/>
        </w:rPr>
        <w:t>PUBLIC</w:t>
      </w:r>
      <w:r>
        <w:rPr>
          <w:rFonts w:ascii="Times New Roman" w:cs="Times New Roman" w:eastAsia="Times New Roman" w:hAnsi="Times New Roman"/>
          <w:sz w:val="19"/>
          <w:szCs w:val="19"/>
          <w:color w:val="auto"/>
        </w:rPr>
        <w:t>” shall appear prominently on the first page thereof; (x) by marking Borrower Materials “</w:t>
      </w:r>
      <w:r>
        <w:rPr>
          <w:rFonts w:ascii="Times New Roman" w:cs="Times New Roman" w:eastAsia="Times New Roman" w:hAnsi="Times New Roman"/>
          <w:sz w:val="19"/>
          <w:szCs w:val="19"/>
          <w:i w:val="1"/>
          <w:iCs w:val="1"/>
          <w:color w:val="auto"/>
        </w:rPr>
        <w:t>PUBLIC</w:t>
      </w:r>
      <w:r>
        <w:rPr>
          <w:rFonts w:ascii="Times New Roman" w:cs="Times New Roman" w:eastAsia="Times New Roman" w:hAnsi="Times New Roman"/>
          <w:sz w:val="19"/>
          <w:szCs w:val="19"/>
          <w:color w:val="auto"/>
        </w:rPr>
        <w:t>,” Borrower shall be deemed to have authorized Administrative Agent, Joint Lead Arrangers, the L/C Issuers and the Lenders to treat such Borrower Materials as not containing any material non-public information with respect to Borrower or its securities for purposes of United States Federal and state securities laws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to the extent such Borrower Materials constitute Information, they shall be treated as set forth in </w:t>
      </w:r>
      <w:r>
        <w:rPr>
          <w:rFonts w:ascii="Times New Roman" w:cs="Times New Roman" w:eastAsia="Times New Roman" w:hAnsi="Times New Roman"/>
          <w:sz w:val="19"/>
          <w:szCs w:val="19"/>
          <w:b w:val="1"/>
          <w:bCs w:val="1"/>
          <w:i w:val="1"/>
          <w:iCs w:val="1"/>
          <w:color w:val="auto"/>
        </w:rPr>
        <w:t>Section 15.15</w:t>
      </w:r>
      <w:r>
        <w:rPr>
          <w:rFonts w:ascii="Times New Roman" w:cs="Times New Roman" w:eastAsia="Times New Roman" w:hAnsi="Times New Roman"/>
          <w:sz w:val="19"/>
          <w:szCs w:val="19"/>
          <w:color w:val="auto"/>
        </w:rPr>
        <w:t>); (y) all Borrower Materials marked “</w:t>
      </w:r>
      <w:r>
        <w:rPr>
          <w:rFonts w:ascii="Times New Roman" w:cs="Times New Roman" w:eastAsia="Times New Roman" w:hAnsi="Times New Roman"/>
          <w:sz w:val="19"/>
          <w:szCs w:val="19"/>
          <w:i w:val="1"/>
          <w:iCs w:val="1"/>
          <w:color w:val="auto"/>
        </w:rPr>
        <w:t>PUBLIC</w:t>
      </w:r>
      <w:r>
        <w:rPr>
          <w:rFonts w:ascii="Times New Roman" w:cs="Times New Roman" w:eastAsia="Times New Roman" w:hAnsi="Times New Roman"/>
          <w:sz w:val="19"/>
          <w:szCs w:val="19"/>
          <w:color w:val="auto"/>
        </w:rPr>
        <w:t>” are permitted to be made available through a portion of the Platform designated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Public Side Information</w:t>
      </w:r>
      <w:r>
        <w:rPr>
          <w:rFonts w:ascii="Times New Roman" w:cs="Times New Roman" w:eastAsia="Times New Roman" w:hAnsi="Times New Roman"/>
          <w:sz w:val="19"/>
          <w:szCs w:val="19"/>
          <w:color w:val="auto"/>
        </w:rPr>
        <w:t>;” and (z) Administrative Agent and Joint Lead Arrangers shall be entitled to treat any Borrower Materials that are not marked “</w:t>
      </w:r>
      <w:r>
        <w:rPr>
          <w:rFonts w:ascii="Times New Roman" w:cs="Times New Roman" w:eastAsia="Times New Roman" w:hAnsi="Times New Roman"/>
          <w:sz w:val="19"/>
          <w:szCs w:val="19"/>
          <w:i w:val="1"/>
          <w:iCs w:val="1"/>
          <w:color w:val="auto"/>
        </w:rPr>
        <w:t>PUBLIC</w:t>
      </w:r>
      <w:r>
        <w:rPr>
          <w:rFonts w:ascii="Times New Roman" w:cs="Times New Roman" w:eastAsia="Times New Roman" w:hAnsi="Times New Roman"/>
          <w:sz w:val="19"/>
          <w:szCs w:val="19"/>
          <w:color w:val="auto"/>
        </w:rPr>
        <w:t>” as being suitable only for posting on a portion of the Platform not designated “</w:t>
      </w:r>
      <w:r>
        <w:rPr>
          <w:rFonts w:ascii="Times New Roman" w:cs="Times New Roman" w:eastAsia="Times New Roman" w:hAnsi="Times New Roman"/>
          <w:sz w:val="19"/>
          <w:szCs w:val="19"/>
          <w:i w:val="1"/>
          <w:iCs w:val="1"/>
          <w:color w:val="auto"/>
        </w:rPr>
        <w:t>Public Side Information</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jc w:val="both"/>
        <w:ind w:firstLine="643"/>
        <w:spacing w:after="0" w:line="271" w:lineRule="auto"/>
        <w:tabs>
          <w:tab w:leader="none" w:pos="108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confidentiality provisions set forth in </w:t>
      </w:r>
      <w:r>
        <w:rPr>
          <w:rFonts w:ascii="Times New Roman" w:cs="Times New Roman" w:eastAsia="Times New Roman" w:hAnsi="Times New Roman"/>
          <w:sz w:val="19"/>
          <w:szCs w:val="19"/>
          <w:b w:val="1"/>
          <w:bCs w:val="1"/>
          <w:i w:val="1"/>
          <w:iCs w:val="1"/>
          <w:color w:val="auto"/>
        </w:rPr>
        <w:t>Section 15.15</w:t>
      </w:r>
      <w:r>
        <w:rPr>
          <w:rFonts w:ascii="Times New Roman" w:cs="Times New Roman" w:eastAsia="Times New Roman" w:hAnsi="Times New Roman"/>
          <w:sz w:val="19"/>
          <w:szCs w:val="19"/>
          <w:color w:val="auto"/>
        </w:rPr>
        <w:t>, promptly upon reasonable request by Administrative Agent or any Lender (through Administrative Agent), information (not otherwise required to be furnished under the Loan Papers) respecting the business affairs, assets, and liabilities of the Companies (including, but not limited to, seasonal operating statistics, annual budgets, etc.) and opinions, certifications, and documents in addition to those mentioned in this Agreement.</w:t>
      </w:r>
    </w:p>
    <w:p>
      <w:pPr>
        <w:sectPr>
          <w:pgSz w:w="11900" w:h="16838" w:orient="portrait"/>
          <w:cols w:equalWidth="0" w:num="1">
            <w:col w:w="11240"/>
          </w:cols>
          <w:pgMar w:left="320" w:top="1390" w:right="339" w:bottom="1440" w:gutter="0" w:footer="0" w:header="0"/>
        </w:sectPr>
      </w:pPr>
    </w:p>
    <w:p>
      <w:pPr>
        <w:spacing w:after="0" w:line="158" w:lineRule="exact"/>
        <w:rPr>
          <w:sz w:val="20"/>
          <w:szCs w:val="20"/>
          <w:color w:val="auto"/>
        </w:rPr>
      </w:pPr>
    </w:p>
    <w:p>
      <w:pPr>
        <w:jc w:val="both"/>
        <w:ind w:firstLine="643"/>
        <w:spacing w:after="0" w:line="281" w:lineRule="auto"/>
        <w:tabs>
          <w:tab w:leader="none" w:pos="1067"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the post-closing items set forth on all agreements, documents, instruments, or other items listed on </w:t>
      </w:r>
      <w:r>
        <w:rPr>
          <w:rFonts w:ascii="Times New Roman" w:cs="Times New Roman" w:eastAsia="Times New Roman" w:hAnsi="Times New Roman"/>
          <w:sz w:val="19"/>
          <w:szCs w:val="19"/>
          <w:b w:val="1"/>
          <w:bCs w:val="1"/>
          <w:i w:val="1"/>
          <w:iCs w:val="1"/>
          <w:color w:val="auto"/>
        </w:rPr>
        <w:t>7.1</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hanging="38"/>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Schedule 7.1</w:t>
      </w:r>
      <w:r>
        <w:rPr>
          <w:rFonts w:ascii="Times New Roman" w:cs="Times New Roman" w:eastAsia="Times New Roman" w:hAnsi="Times New Roman"/>
          <w:sz w:val="19"/>
          <w:szCs w:val="19"/>
          <w:color w:val="auto"/>
        </w:rPr>
        <w:t>, if any, deliver, or cause to be delivered, to Administrative Agent,</w:t>
      </w:r>
      <w:r>
        <w:rPr>
          <w:rFonts w:ascii="Times New Roman" w:cs="Times New Roman" w:eastAsia="Times New Roman" w:hAnsi="Times New Roman"/>
          <w:sz w:val="19"/>
          <w:szCs w:val="19"/>
          <w:b w:val="1"/>
          <w:bCs w:val="1"/>
          <w:i w:val="1"/>
          <w:iCs w:val="1"/>
          <w:color w:val="auto"/>
        </w:rPr>
        <w:t xml:space="preserve"> Schedule 7.1 </w:t>
      </w:r>
      <w:r>
        <w:rPr>
          <w:rFonts w:ascii="Times New Roman" w:cs="Times New Roman" w:eastAsia="Times New Roman" w:hAnsi="Times New Roman"/>
          <w:sz w:val="19"/>
          <w:szCs w:val="19"/>
          <w:color w:val="auto"/>
        </w:rPr>
        <w:t>on or prior to the date specified for delivery thereof on</w:t>
      </w:r>
      <w:r>
        <w:rPr>
          <w:rFonts w:ascii="Times New Roman" w:cs="Times New Roman" w:eastAsia="Times New Roman" w:hAnsi="Times New Roman"/>
          <w:sz w:val="19"/>
          <w:szCs w:val="19"/>
          <w:b w:val="1"/>
          <w:bCs w:val="1"/>
          <w:i w:val="1"/>
          <w:iCs w:val="1"/>
          <w:color w:val="auto"/>
        </w:rPr>
        <w:t xml:space="preserve"> Schedule</w:t>
      </w:r>
    </w:p>
    <w:p>
      <w:pPr>
        <w:spacing w:after="0" w:line="365" w:lineRule="exact"/>
        <w:rPr>
          <w:sz w:val="20"/>
          <w:szCs w:val="20"/>
          <w:color w:val="auto"/>
        </w:rPr>
      </w:pPr>
    </w:p>
    <w:p>
      <w:pPr>
        <w:sectPr>
          <w:pgSz w:w="11900" w:h="16838" w:orient="portrait"/>
          <w:cols w:equalWidth="0" w:num="2">
            <w:col w:w="5000" w:space="60"/>
            <w:col w:w="6180"/>
          </w:cols>
          <w:pgMar w:left="320" w:top="1390" w:right="339" w:bottom="1440" w:gutter="0" w:footer="0" w:header="0"/>
          <w:type w:val="continuous"/>
        </w:sectPr>
      </w:pPr>
    </w:p>
    <w:p>
      <w:pPr>
        <w:jc w:val="both"/>
        <w:ind w:firstLine="643"/>
        <w:spacing w:after="0" w:line="274" w:lineRule="auto"/>
        <w:tabs>
          <w:tab w:leader="none" w:pos="102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any request therefor, provide information and documentation reasonably requested by Administrative Agent or any Lender for purposes of compliance with applicable “know your customer” and anti-money-laundering rules and regulations, including, without limitation, the Act and the Beneficial Ownership Regulation.</w:t>
      </w:r>
    </w:p>
    <w:p>
      <w:pPr>
        <w:spacing w:after="0" w:line="167"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9.2. </w:t>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xml:space="preserve">. Borrower will use all of the proceeds of (a) Revolving Loans, L/Cs, and L/C Borrowings for working capital, to make advances and other investments permitted by </w:t>
      </w:r>
      <w:r>
        <w:rPr>
          <w:rFonts w:ascii="Times New Roman" w:cs="Times New Roman" w:eastAsia="Times New Roman" w:hAnsi="Times New Roman"/>
          <w:sz w:val="19"/>
          <w:szCs w:val="19"/>
          <w:b w:val="1"/>
          <w:bCs w:val="1"/>
          <w:i w:val="1"/>
          <w:iCs w:val="1"/>
          <w:color w:val="auto"/>
        </w:rPr>
        <w:t>Section 10.8</w:t>
      </w:r>
      <w:r>
        <w:rPr>
          <w:rFonts w:ascii="Times New Roman" w:cs="Times New Roman" w:eastAsia="Times New Roman" w:hAnsi="Times New Roman"/>
          <w:sz w:val="19"/>
          <w:szCs w:val="19"/>
          <w:color w:val="auto"/>
        </w:rPr>
        <w:t xml:space="preserve">, to make acquisitions permitted under </w:t>
      </w:r>
      <w:r>
        <w:rPr>
          <w:rFonts w:ascii="Times New Roman" w:cs="Times New Roman" w:eastAsia="Times New Roman" w:hAnsi="Times New Roman"/>
          <w:sz w:val="19"/>
          <w:szCs w:val="19"/>
          <w:b w:val="1"/>
          <w:bCs w:val="1"/>
          <w:i w:val="1"/>
          <w:iCs w:val="1"/>
          <w:color w:val="auto"/>
        </w:rPr>
        <w:t>Section 10.11</w:t>
      </w:r>
      <w:r>
        <w:rPr>
          <w:rFonts w:ascii="Times New Roman" w:cs="Times New Roman" w:eastAsia="Times New Roman" w:hAnsi="Times New Roman"/>
          <w:sz w:val="19"/>
          <w:szCs w:val="19"/>
          <w:color w:val="auto"/>
        </w:rPr>
        <w:t xml:space="preserve"> and for other general corporate purposes, </w:t>
      </w:r>
      <w:r>
        <w:rPr>
          <w:rFonts w:ascii="Times New Roman" w:cs="Times New Roman" w:eastAsia="Times New Roman" w:hAnsi="Times New Roman"/>
          <w:sz w:val="19"/>
          <w:szCs w:val="19"/>
          <w:color w:val="EE2724"/>
          <w:strike w:val="1"/>
        </w:rPr>
        <w:t>and</w:t>
      </w:r>
      <w:r>
        <w:rPr>
          <w:rFonts w:ascii="Times New Roman" w:cs="Times New Roman" w:eastAsia="Times New Roman" w:hAnsi="Times New Roman"/>
          <w:sz w:val="19"/>
          <w:szCs w:val="19"/>
          <w:color w:val="auto"/>
        </w:rPr>
        <w:t xml:space="preserve"> (b) Term Loans to refinance the “Term Loans” made under the Existing Credit Agreement </w:t>
      </w:r>
      <w:r>
        <w:rPr>
          <w:rFonts w:ascii="Times New Roman" w:cs="Times New Roman" w:eastAsia="Times New Roman" w:hAnsi="Times New Roman"/>
          <w:sz w:val="19"/>
          <w:szCs w:val="19"/>
          <w:color w:val="3051F2"/>
        </w:rPr>
        <w:t>and (c) Delayed Draw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Loans for working capital and for other general corporate purposes</w:t>
      </w:r>
      <w:r>
        <w:rPr>
          <w:rFonts w:ascii="Times New Roman" w:cs="Times New Roman" w:eastAsia="Times New Roman" w:hAnsi="Times New Roman"/>
          <w:sz w:val="19"/>
          <w:szCs w:val="19"/>
          <w:color w:val="000000"/>
        </w:rPr>
        <w:t>. No part of the proceeds of any L/C draft or drawing, any L/C Borrowing, or</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 xml:space="preserve">any Loan will be used, directly or indirectly, for a purpose that violates any Law, including without limitation, the provisions of </w:t>
      </w:r>
      <w:r>
        <w:rPr>
          <w:rFonts w:ascii="Times New Roman" w:cs="Times New Roman" w:eastAsia="Times New Roman" w:hAnsi="Times New Roman"/>
          <w:sz w:val="19"/>
          <w:szCs w:val="19"/>
          <w:i w:val="1"/>
          <w:iCs w:val="1"/>
          <w:color w:val="000000"/>
        </w:rPr>
        <w:t>Regulation U</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5702300</wp:posOffset>
            </wp:positionH>
            <wp:positionV relativeFrom="paragraph">
              <wp:posOffset>-335280</wp:posOffset>
            </wp:positionV>
            <wp:extent cx="14306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58"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9.3. </w:t>
      </w:r>
      <w:r>
        <w:rPr>
          <w:rFonts w:ascii="Times New Roman" w:cs="Times New Roman" w:eastAsia="Times New Roman" w:hAnsi="Times New Roman"/>
          <w:sz w:val="19"/>
          <w:szCs w:val="19"/>
          <w:u w:val="single" w:color="auto"/>
          <w:color w:val="auto"/>
        </w:rPr>
        <w:t>Books and Records</w:t>
      </w:r>
      <w:r>
        <w:rPr>
          <w:rFonts w:ascii="Times New Roman" w:cs="Times New Roman" w:eastAsia="Times New Roman" w:hAnsi="Times New Roman"/>
          <w:sz w:val="19"/>
          <w:szCs w:val="19"/>
          <w:color w:val="auto"/>
        </w:rPr>
        <w:t>. Each Restricted Company will maintain books, records, and accounts necessary to prepare financial statements in accordance with GAAP and in material conformity with all applicable requirements of any Governmental Authority having regulatory jurisdiction over such Restricted Company.</w:t>
      </w:r>
    </w:p>
    <w:p>
      <w:pPr>
        <w:spacing w:after="0" w:line="163"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color w:val="auto"/>
        </w:rPr>
        <w:t xml:space="preserve">9.4. </w:t>
      </w:r>
      <w:r>
        <w:rPr>
          <w:rFonts w:ascii="Times New Roman" w:cs="Times New Roman" w:eastAsia="Times New Roman" w:hAnsi="Times New Roman"/>
          <w:sz w:val="19"/>
          <w:szCs w:val="19"/>
          <w:u w:val="single" w:color="auto"/>
          <w:color w:val="auto"/>
        </w:rPr>
        <w:t>Inspections</w:t>
      </w:r>
      <w:r>
        <w:rPr>
          <w:rFonts w:ascii="Times New Roman" w:cs="Times New Roman" w:eastAsia="Times New Roman" w:hAnsi="Times New Roman"/>
          <w:sz w:val="19"/>
          <w:szCs w:val="19"/>
          <w:color w:val="auto"/>
        </w:rPr>
        <w:t xml:space="preserve">. Upon reasonable request, and subject to the confidentiality provisions set forth in </w:t>
      </w:r>
      <w:r>
        <w:rPr>
          <w:rFonts w:ascii="Times New Roman" w:cs="Times New Roman" w:eastAsia="Times New Roman" w:hAnsi="Times New Roman"/>
          <w:sz w:val="19"/>
          <w:szCs w:val="19"/>
          <w:b w:val="1"/>
          <w:bCs w:val="1"/>
          <w:i w:val="1"/>
          <w:iCs w:val="1"/>
          <w:color w:val="auto"/>
        </w:rPr>
        <w:t>Section 15.15</w:t>
      </w:r>
      <w:r>
        <w:rPr>
          <w:rFonts w:ascii="Times New Roman" w:cs="Times New Roman" w:eastAsia="Times New Roman" w:hAnsi="Times New Roman"/>
          <w:sz w:val="19"/>
          <w:szCs w:val="19"/>
          <w:color w:val="auto"/>
        </w:rPr>
        <w:t xml:space="preserve">, each Restricted Company will allow Administrative Agent (or its Representatives) to inspect any of its properties, to review reports, files, and other records, and to make and take away copies, to conduct tests or investigations, and to discuss any of its affairs, conditions, and finances with its other creditors, directors, officers, employees, or representatives from time to time, during reasonable business hours;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when a Default exists, Administrative Agent or any Lender (or any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ectPr>
          <w:pgSz w:w="11900" w:h="16838" w:orient="portrait"/>
          <w:cols w:equalWidth="0" w:num="1">
            <w:col w:w="11240"/>
          </w:cols>
          <w:pgMar w:left="320" w:top="1390" w:right="339" w:bottom="1440" w:gutter="0" w:footer="0" w:header="0"/>
          <w:type w:val="continuous"/>
        </w:sectPr>
      </w:pPr>
    </w:p>
    <w:bookmarkStart w:id="202" w:name="page203"/>
    <w:bookmarkEnd w:id="202"/>
    <w:p>
      <w:pPr>
        <w:jc w:val="both"/>
        <w:spacing w:after="0" w:line="274" w:lineRule="auto"/>
        <w:rPr>
          <w:sz w:val="20"/>
          <w:szCs w:val="20"/>
          <w:color w:val="auto"/>
        </w:rPr>
      </w:pPr>
      <w:r>
        <w:rPr>
          <w:rFonts w:ascii="Times New Roman" w:cs="Times New Roman" w:eastAsia="Times New Roman" w:hAnsi="Times New Roman"/>
          <w:sz w:val="19"/>
          <w:szCs w:val="19"/>
          <w:color w:val="auto"/>
        </w:rPr>
        <w:t>respective representatives or independent contractors) may do any of the foregoing at the expense of Borrower at any time during normal business hours and with two (2) Business Days advance notice. Any of Lenders (or their Representatives) may accompany Administrative Agent during such inspections.</w:t>
      </w:r>
    </w:p>
    <w:p>
      <w:pPr>
        <w:spacing w:after="0" w:line="165" w:lineRule="exact"/>
        <w:rPr>
          <w:sz w:val="20"/>
          <w:szCs w:val="20"/>
          <w:color w:val="auto"/>
        </w:rPr>
      </w:pPr>
    </w:p>
    <w:p>
      <w:pPr>
        <w:ind w:right="60" w:firstLine="637"/>
        <w:spacing w:after="0" w:line="274" w:lineRule="auto"/>
        <w:rPr>
          <w:sz w:val="20"/>
          <w:szCs w:val="20"/>
          <w:color w:val="auto"/>
        </w:rPr>
      </w:pPr>
      <w:r>
        <w:rPr>
          <w:rFonts w:ascii="Times New Roman" w:cs="Times New Roman" w:eastAsia="Times New Roman" w:hAnsi="Times New Roman"/>
          <w:sz w:val="19"/>
          <w:szCs w:val="19"/>
          <w:color w:val="auto"/>
        </w:rPr>
        <w:t xml:space="preserve">9.5.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xml:space="preserve">. Each Restricted Company will promptly pay when due any and all Taxes,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Taxes which are being contested in good faith by lawful proceedings diligently conducted, against which reserve or other provision required by GAAP has been made;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however, that </w:t>
      </w:r>
      <w:r>
        <w:rPr>
          <w:rFonts w:ascii="Times New Roman" w:cs="Times New Roman" w:eastAsia="Times New Roman" w:hAnsi="Times New Roman"/>
          <w:sz w:val="19"/>
          <w:szCs w:val="19"/>
          <w:color w:val="auto"/>
        </w:rPr>
        <w:t>all such Taxes shall, in any event, be paid prior to any levy for execution in respect of any Lien on any property of a Restricted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w:t>
      </w:r>
    </w:p>
    <w:p>
      <w:pPr>
        <w:spacing w:after="0" w:line="395" w:lineRule="exact"/>
        <w:rPr>
          <w:sz w:val="20"/>
          <w:szCs w:val="20"/>
          <w:color w:val="auto"/>
        </w:rPr>
      </w:pPr>
    </w:p>
    <w:p>
      <w:pPr>
        <w:ind w:right="360" w:firstLine="637"/>
        <w:spacing w:after="0" w:line="274" w:lineRule="auto"/>
        <w:rPr>
          <w:sz w:val="20"/>
          <w:szCs w:val="20"/>
          <w:color w:val="auto"/>
        </w:rPr>
      </w:pPr>
      <w:r>
        <w:rPr>
          <w:rFonts w:ascii="Times New Roman" w:cs="Times New Roman" w:eastAsia="Times New Roman" w:hAnsi="Times New Roman"/>
          <w:sz w:val="19"/>
          <w:szCs w:val="19"/>
          <w:color w:val="auto"/>
        </w:rPr>
        <w:t xml:space="preserve">9.6. </w:t>
      </w:r>
      <w:r>
        <w:rPr>
          <w:rFonts w:ascii="Times New Roman" w:cs="Times New Roman" w:eastAsia="Times New Roman" w:hAnsi="Times New Roman"/>
          <w:sz w:val="19"/>
          <w:szCs w:val="19"/>
          <w:u w:val="single" w:color="auto"/>
          <w:color w:val="auto"/>
        </w:rPr>
        <w:t>Payment of Obligation</w:t>
      </w:r>
      <w:r>
        <w:rPr>
          <w:rFonts w:ascii="Times New Roman" w:cs="Times New Roman" w:eastAsia="Times New Roman" w:hAnsi="Times New Roman"/>
          <w:sz w:val="19"/>
          <w:szCs w:val="19"/>
          <w:color w:val="auto"/>
        </w:rPr>
        <w:t>s. Each Restricted Company will pay (or renew and extend) all of its obligations at such times and to such extent as may be necessary to prevent a Material Adverse Event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for obligations,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Funded Debt, which are being contested in good faith by appropriate proceedings).</w:t>
      </w:r>
    </w:p>
    <w:p>
      <w:pPr>
        <w:spacing w:after="0" w:line="16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9.7.</w:t>
      </w:r>
      <w:r>
        <w:rPr>
          <w:sz w:val="20"/>
          <w:szCs w:val="20"/>
          <w:color w:val="auto"/>
        </w:rPr>
        <w:tab/>
      </w:r>
      <w:r>
        <w:rPr>
          <w:rFonts w:ascii="Times New Roman" w:cs="Times New Roman" w:eastAsia="Times New Roman" w:hAnsi="Times New Roman"/>
          <w:sz w:val="19"/>
          <w:szCs w:val="19"/>
          <w:u w:val="single" w:color="auto"/>
          <w:color w:val="auto"/>
        </w:rPr>
        <w:t>Maintenance of Existence, Assets, and Business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808"/>
        <w:spacing w:after="0" w:line="262" w:lineRule="auto"/>
        <w:tabs>
          <w:tab w:leader="none" w:pos="1295"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permitted by </w:t>
      </w:r>
      <w:r>
        <w:rPr>
          <w:rFonts w:ascii="Times New Roman" w:cs="Times New Roman" w:eastAsia="Times New Roman" w:hAnsi="Times New Roman"/>
          <w:sz w:val="19"/>
          <w:szCs w:val="19"/>
          <w:b w:val="1"/>
          <w:bCs w:val="1"/>
          <w:i w:val="1"/>
          <w:iCs w:val="1"/>
          <w:color w:val="auto"/>
        </w:rPr>
        <w:t>Section 10.11</w:t>
      </w:r>
      <w:r>
        <w:rPr>
          <w:rFonts w:ascii="Times New Roman" w:cs="Times New Roman" w:eastAsia="Times New Roman" w:hAnsi="Times New Roman"/>
          <w:sz w:val="19"/>
          <w:szCs w:val="19"/>
          <w:color w:val="auto"/>
        </w:rPr>
        <w:t>, each Restricted Company will (i) maintain its organizational existence and good standing in its state of organization and its authority to transact business in all other states where failure to maintain its authority to transact business is a Material Adverse Event; (ii) maintain all Water Rights, licenses, permits (including, without limitation, the Forest Service Permits), and franchises necessary for its business where failure to maintain is a Material Adverse Event; (iii) preserve or renew all of its Intellectual Property, the non-preservation of which could reasonably be expected to result in a Material Adverse Event; and (iv) keep all of its assets that are useful in and necessary to its business in good working order and condition (ordinary wear and tear excepted) and make all necessary repairs and replacements.</w:t>
      </w:r>
    </w:p>
    <w:p>
      <w:pPr>
        <w:spacing w:after="0" w:line="174" w:lineRule="exact"/>
        <w:rPr>
          <w:rFonts w:ascii="Times New Roman" w:cs="Times New Roman" w:eastAsia="Times New Roman" w:hAnsi="Times New Roman"/>
          <w:sz w:val="19"/>
          <w:szCs w:val="19"/>
          <w:color w:val="auto"/>
        </w:rPr>
      </w:pPr>
    </w:p>
    <w:p>
      <w:pPr>
        <w:jc w:val="both"/>
        <w:ind w:firstLine="802"/>
        <w:spacing w:after="0" w:line="260" w:lineRule="auto"/>
        <w:tabs>
          <w:tab w:leader="none" w:pos="1259"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dispositions permitted pursuant to </w:t>
      </w:r>
      <w:r>
        <w:rPr>
          <w:rFonts w:ascii="Times New Roman" w:cs="Times New Roman" w:eastAsia="Times New Roman" w:hAnsi="Times New Roman"/>
          <w:sz w:val="19"/>
          <w:szCs w:val="19"/>
          <w:b w:val="1"/>
          <w:bCs w:val="1"/>
          <w:i w:val="1"/>
          <w:iCs w:val="1"/>
          <w:color w:val="auto"/>
        </w:rPr>
        <w:t>Section 10.10</w:t>
      </w:r>
      <w:r>
        <w:rPr>
          <w:rFonts w:ascii="Times New Roman" w:cs="Times New Roman" w:eastAsia="Times New Roman" w:hAnsi="Times New Roman"/>
          <w:sz w:val="19"/>
          <w:szCs w:val="19"/>
          <w:color w:val="auto"/>
        </w:rPr>
        <w:t xml:space="preserve"> hereof, all Critical Assets owned by any Company shall be owned by either a Wholly Owned Restricted Subsidiary of Borrower or a Restricted Subsidiary of Borrower,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(i) if owned by a Wholly Owned Restricted Subsidiary, such Wholly Owned Restricted Subsidiary has provided a Guaranty and Pledge Agreement in accordance with the provisions set forth in </w:t>
      </w:r>
      <w:r>
        <w:rPr>
          <w:rFonts w:ascii="Times New Roman" w:cs="Times New Roman" w:eastAsia="Times New Roman" w:hAnsi="Times New Roman"/>
          <w:sz w:val="19"/>
          <w:szCs w:val="19"/>
          <w:b w:val="1"/>
          <w:bCs w:val="1"/>
          <w:i w:val="1"/>
          <w:iCs w:val="1"/>
          <w:color w:val="auto"/>
        </w:rPr>
        <w:t>Sections 6.1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6.2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9.10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9.11</w:t>
      </w:r>
      <w:r>
        <w:rPr>
          <w:rFonts w:ascii="Times New Roman" w:cs="Times New Roman" w:eastAsia="Times New Roman" w:hAnsi="Times New Roman"/>
          <w:sz w:val="19"/>
          <w:szCs w:val="19"/>
          <w:color w:val="auto"/>
        </w:rPr>
        <w:t xml:space="preserve"> herein, as the case may be, (ii) the stock or other equity interests in such Restricted Subsidiary owned by a Wholly Owned Restricted Company (other than stock in the Northstar Subsidiaries and Grand Teton Lodge Company) have been pledged to Administrative Agent, for the benefit of Lenders, pursuant to a Pledge Agreement, and (iii) such Restricted Subsidiary has otherwise complied with the terms and provisions set forth in the Loan Papers, including, without limitation, </w:t>
      </w:r>
      <w:r>
        <w:rPr>
          <w:rFonts w:ascii="Times New Roman" w:cs="Times New Roman" w:eastAsia="Times New Roman" w:hAnsi="Times New Roman"/>
          <w:sz w:val="19"/>
          <w:szCs w:val="19"/>
          <w:b w:val="1"/>
          <w:bCs w:val="1"/>
          <w:i w:val="1"/>
          <w:iCs w:val="1"/>
          <w:color w:val="auto"/>
        </w:rPr>
        <w:t>Section 10.16</w:t>
      </w:r>
      <w:r>
        <w:rPr>
          <w:rFonts w:ascii="Times New Roman" w:cs="Times New Roman" w:eastAsia="Times New Roman" w:hAnsi="Times New Roman"/>
          <w:sz w:val="19"/>
          <w:szCs w:val="19"/>
          <w:color w:val="auto"/>
        </w:rPr>
        <w:t xml:space="preserve"> herein;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that </w:t>
      </w:r>
      <w:r>
        <w:rPr>
          <w:rFonts w:ascii="Times New Roman" w:cs="Times New Roman" w:eastAsia="Times New Roman" w:hAnsi="Times New Roman"/>
          <w:sz w:val="19"/>
          <w:szCs w:val="19"/>
          <w:color w:val="auto"/>
        </w:rPr>
        <w:t>Unrestricted Subsidiaries may own Critical Assets,</w:t>
      </w:r>
      <w:r>
        <w:rPr>
          <w:rFonts w:ascii="Times New Roman" w:cs="Times New Roman" w:eastAsia="Times New Roman" w:hAnsi="Times New Roman"/>
          <w:sz w:val="19"/>
          <w:szCs w:val="19"/>
          <w:i w:val="1"/>
          <w:iCs w:val="1"/>
          <w:color w:val="auto"/>
        </w:rPr>
        <w:t xml:space="preserve"> so long as </w:t>
      </w:r>
      <w:r>
        <w:rPr>
          <w:rFonts w:ascii="Times New Roman" w:cs="Times New Roman" w:eastAsia="Times New Roman" w:hAnsi="Times New Roman"/>
          <w:sz w:val="19"/>
          <w:szCs w:val="19"/>
          <w:color w:val="auto"/>
        </w:rPr>
        <w:t>on the Closing Date and on the date an Unrestricted Subsidiary acquires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Critical Asset, the aggregate fair market value of such assets and all Critical Assets owned by Unrestricted Subsidiaries (in each case as determined on the Closing Date or the later applicable acquisition date, as applicable, without giving subsequent effect to increases or decreases in value), does not exceed 25% of Total Assets as of the last day of the most-recently-ended fiscal quarter.</w:t>
      </w:r>
    </w:p>
    <w:p>
      <w:pPr>
        <w:spacing w:after="0" w:line="170" w:lineRule="exact"/>
        <w:rPr>
          <w:rFonts w:ascii="Times New Roman" w:cs="Times New Roman" w:eastAsia="Times New Roman" w:hAnsi="Times New Roman"/>
          <w:sz w:val="19"/>
          <w:szCs w:val="19"/>
          <w:color w:val="auto"/>
        </w:rPr>
      </w:pPr>
    </w:p>
    <w:p>
      <w:pPr>
        <w:jc w:val="both"/>
        <w:ind w:firstLine="802"/>
        <w:spacing w:after="0" w:line="275" w:lineRule="auto"/>
        <w:tabs>
          <w:tab w:leader="none" w:pos="1217"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Restricted Company party to a Pledge Agreement will change its name in any manner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by registering additional trade names) unless such Restricted Company shall have given Administrative Agent prior notice thereof. Borrower shall promptly notify Administrative Agent of any change in name of any other Company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the registering of additional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ectPr>
          <w:pgSz w:w="11900" w:h="16838" w:orient="portrait"/>
          <w:cols w:equalWidth="0" w:num="1">
            <w:col w:w="11240"/>
          </w:cols>
          <w:pgMar w:left="320" w:top="1390" w:right="339" w:bottom="1440" w:gutter="0" w:footer="0" w:header="0"/>
        </w:sectPr>
      </w:pPr>
    </w:p>
    <w:bookmarkStart w:id="203" w:name="page204"/>
    <w:bookmarkEnd w:id="203"/>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9.8. </w:t>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Each Restricted Company will maintain with financially sound, responsible, and reputable insurance companies or associations (or, as to workers’ compensation or similar insurance, with an insurance fund or by self-insurance authorized by the jurisdictions in which it operates) insurance concerning its properties and businesses against casualties and contingencies and of types and in amounts (and with co-insurance and deductibles) as is customary in the case of similar businesses. At Administrative Agent’s request, each Restricted Company will deliver to Administrative Agent certificates of insurance for each policy of insurance and evidence of payment of all premiums.</w:t>
      </w:r>
    </w:p>
    <w:p>
      <w:pPr>
        <w:spacing w:after="0" w:line="178"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9.9. </w:t>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Each Restricted Company will (a) conduct its business so as to comply in all material respects with all applicable Environmental Laws and shall promptly take required corrective action to remedy any non-compliance with any Environmental Law, except where failure to comply or take action would not be a Material Adverse Event, and (b) establish and maintain a management system designed to ensure compliance with applicable Environmental Laws and minimize material financial and other risks to each Restricted Company arising under applicable Environmental Laws or as the result of environmentally related injuries to Persons or property, except where failure to comply would not be a Material Adverse Event. Borrower shall deliver reasonable evidence of compliance with the foregoing covenant to Administrative Agent within 30 days after any written request from Required Lenders, which request shall be made only if Required Lenders reasonably believe that a failure to comply with the foregoing covenant would be a Material Adverse Event.</w:t>
      </w:r>
    </w:p>
    <w:p>
      <w:pPr>
        <w:spacing w:after="0" w:line="182" w:lineRule="exact"/>
        <w:rPr>
          <w:sz w:val="20"/>
          <w:szCs w:val="20"/>
          <w:color w:val="auto"/>
        </w:rPr>
      </w:pPr>
    </w:p>
    <w:p>
      <w:pPr>
        <w:jc w:val="both"/>
        <w:ind w:firstLine="637"/>
        <w:spacing w:after="0" w:line="259" w:lineRule="auto"/>
        <w:rPr>
          <w:sz w:val="20"/>
          <w:szCs w:val="20"/>
          <w:color w:val="auto"/>
        </w:rPr>
      </w:pPr>
      <w:r>
        <w:rPr>
          <w:rFonts w:ascii="Times New Roman" w:cs="Times New Roman" w:eastAsia="Times New Roman" w:hAnsi="Times New Roman"/>
          <w:sz w:val="19"/>
          <w:szCs w:val="19"/>
          <w:color w:val="auto"/>
        </w:rPr>
        <w:t xml:space="preserve">9.10. </w:t>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 xml:space="preserve">. The Restricted Companies may create or acquire additional Subsidiaries (including Unrestricted Subsidiaries); </w:t>
      </w:r>
      <w:r>
        <w:rPr>
          <w:rFonts w:ascii="Times New Roman" w:cs="Times New Roman" w:eastAsia="Times New Roman" w:hAnsi="Times New Roman"/>
          <w:sz w:val="19"/>
          <w:szCs w:val="19"/>
          <w:i w:val="1"/>
          <w:iCs w:val="1"/>
          <w:color w:val="auto"/>
        </w:rPr>
        <w:t xml:space="preserve">provided that </w:t>
      </w:r>
      <w:r>
        <w:rPr>
          <w:rFonts w:ascii="Times New Roman" w:cs="Times New Roman" w:eastAsia="Times New Roman" w:hAnsi="Times New Roman"/>
          <w:sz w:val="19"/>
          <w:szCs w:val="19"/>
          <w:color w:val="auto"/>
        </w:rPr>
        <w:t>(a) each Person organized under the Laws of the United States (or any state thereof) that becomes a Restricted Subsidiary after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Closing Date (whether as a result of an acquisition permitted under </w:t>
      </w:r>
      <w:r>
        <w:rPr>
          <w:rFonts w:ascii="Times New Roman" w:cs="Times New Roman" w:eastAsia="Times New Roman" w:hAnsi="Times New Roman"/>
          <w:sz w:val="19"/>
          <w:szCs w:val="19"/>
          <w:b w:val="1"/>
          <w:bCs w:val="1"/>
          <w:i w:val="1"/>
          <w:iCs w:val="1"/>
          <w:color w:val="auto"/>
        </w:rPr>
        <w:t>Section 10.11</w:t>
      </w:r>
      <w:r>
        <w:rPr>
          <w:rFonts w:ascii="Times New Roman" w:cs="Times New Roman" w:eastAsia="Times New Roman" w:hAnsi="Times New Roman"/>
          <w:sz w:val="19"/>
          <w:szCs w:val="19"/>
          <w:color w:val="auto"/>
        </w:rPr>
        <w:t>, creation, the failure of such Subsidiary to meet the requirements of an “</w:t>
      </w:r>
      <w:r>
        <w:rPr>
          <w:rFonts w:ascii="Times New Roman" w:cs="Times New Roman" w:eastAsia="Times New Roman" w:hAnsi="Times New Roman"/>
          <w:sz w:val="19"/>
          <w:szCs w:val="19"/>
          <w:i w:val="1"/>
          <w:iCs w:val="1"/>
          <w:color w:val="auto"/>
        </w:rPr>
        <w:t>Unrestricted Subsidiary</w:t>
      </w:r>
      <w:r>
        <w:rPr>
          <w:rFonts w:ascii="Times New Roman" w:cs="Times New Roman" w:eastAsia="Times New Roman" w:hAnsi="Times New Roman"/>
          <w:sz w:val="19"/>
          <w:szCs w:val="19"/>
          <w:color w:val="auto"/>
        </w:rPr>
        <w:t xml:space="preserve">” as set forth in the definition thereof, or otherwise) shall execute and deliver to Administrative Agent a Guaranty within 30 days after becoming a Restricted Subsidiary, (b) except as otherwise provided in </w:t>
      </w:r>
      <w:r>
        <w:rPr>
          <w:rFonts w:ascii="Times New Roman" w:cs="Times New Roman" w:eastAsia="Times New Roman" w:hAnsi="Times New Roman"/>
          <w:sz w:val="19"/>
          <w:szCs w:val="19"/>
          <w:b w:val="1"/>
          <w:bCs w:val="1"/>
          <w:i w:val="1"/>
          <w:iCs w:val="1"/>
          <w:color w:val="auto"/>
        </w:rPr>
        <w:t>Section 6.2</w:t>
      </w:r>
      <w:r>
        <w:rPr>
          <w:rFonts w:ascii="Times New Roman" w:cs="Times New Roman" w:eastAsia="Times New Roman" w:hAnsi="Times New Roman"/>
          <w:sz w:val="19"/>
          <w:szCs w:val="19"/>
          <w:color w:val="auto"/>
        </w:rPr>
        <w:t xml:space="preserve">, each Restricted Company organized under the Laws of the United States (or any state thereof) that becomes the holder of the capital stock or equity interest of each Person that becomes a Restricted Subsidiary after the Closing Date (whether as a result of an acquisition permitted under </w:t>
      </w:r>
      <w:r>
        <w:rPr>
          <w:rFonts w:ascii="Times New Roman" w:cs="Times New Roman" w:eastAsia="Times New Roman" w:hAnsi="Times New Roman"/>
          <w:sz w:val="19"/>
          <w:szCs w:val="19"/>
          <w:b w:val="1"/>
          <w:bCs w:val="1"/>
          <w:i w:val="1"/>
          <w:iCs w:val="1"/>
          <w:color w:val="auto"/>
        </w:rPr>
        <w:t>Section 10.11</w:t>
      </w:r>
      <w:r>
        <w:rPr>
          <w:rFonts w:ascii="Times New Roman" w:cs="Times New Roman" w:eastAsia="Times New Roman" w:hAnsi="Times New Roman"/>
          <w:sz w:val="19"/>
          <w:szCs w:val="19"/>
          <w:color w:val="auto"/>
        </w:rPr>
        <w:t>, creation, the failure of such Subsidiary to meet the requirements of an “</w:t>
      </w:r>
      <w:r>
        <w:rPr>
          <w:rFonts w:ascii="Times New Roman" w:cs="Times New Roman" w:eastAsia="Times New Roman" w:hAnsi="Times New Roman"/>
          <w:sz w:val="19"/>
          <w:szCs w:val="19"/>
          <w:i w:val="1"/>
          <w:iCs w:val="1"/>
          <w:color w:val="auto"/>
        </w:rPr>
        <w:t>Unrestricted Subsidiary</w:t>
      </w:r>
      <w:r>
        <w:rPr>
          <w:rFonts w:ascii="Times New Roman" w:cs="Times New Roman" w:eastAsia="Times New Roman" w:hAnsi="Times New Roman"/>
          <w:sz w:val="19"/>
          <w:szCs w:val="19"/>
          <w:color w:val="auto"/>
        </w:rPr>
        <w:t xml:space="preserve">” as set forth in the definition thereof, or otherwise) shall execute and deliver to Administrative Agent a Pledge Agreement, together with any related Security Documents reasonably required by Administrative Agent, pledging such capital stock or equity interests required to be pledged by it under this Agreement within 30 days after such Person becomes a Subsidiary, (c) Borrower shall deliver to Administrative Agent a revised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reflecting such new Subsidiary within 30 days after it becomes a Subsidiary, and (d) no Default or Potential Default exists or arises after giving pro forma effect to the creation, acquisition, or addition of such Subsidiary;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for purposes of determining compliance, (x) Debt of each Restricted Subsidiary created or acquired shall be deemed to have been incurred on the date of such acquisition or creation, and (y) Adjusted EBITDA for the most-recently-ended four fiscal quarters shall include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for such period the EBITDA of each Restricted Subsidiary created or acquired.</w:t>
      </w:r>
    </w:p>
    <w:p>
      <w:pPr>
        <w:spacing w:after="0" w:line="200" w:lineRule="exact"/>
        <w:rPr>
          <w:sz w:val="20"/>
          <w:szCs w:val="20"/>
          <w:color w:val="auto"/>
        </w:rPr>
      </w:pPr>
    </w:p>
    <w:p>
      <w:pPr>
        <w:spacing w:after="0" w:line="203"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9"/>
          <w:szCs w:val="19"/>
          <w:color w:val="auto"/>
        </w:rPr>
        <w:t>9.11.</w:t>
      </w:r>
      <w:r>
        <w:rPr>
          <w:sz w:val="20"/>
          <w:szCs w:val="20"/>
          <w:color w:val="auto"/>
        </w:rPr>
        <w:tab/>
      </w:r>
      <w:r>
        <w:rPr>
          <w:rFonts w:ascii="Times New Roman" w:cs="Times New Roman" w:eastAsia="Times New Roman" w:hAnsi="Times New Roman"/>
          <w:sz w:val="19"/>
          <w:szCs w:val="19"/>
          <w:u w:val="single" w:color="auto"/>
          <w:color w:val="auto"/>
        </w:rPr>
        <w:t>Designation and Re-designation of Subsidiaries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802"/>
        <w:spacing w:after="0" w:line="270" w:lineRule="auto"/>
        <w:tabs>
          <w:tab w:leader="none" w:pos="128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may designate any Subsidiary as an Unrestricted Subsidiary and may re-designate any Restricted Subsidiary as an Unrestricted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(i) Borrower shall deliver to Administrative Agent a revised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reflecting the designation of such Subsidiary as an Unrestricted Subsidiary or the re-designation of such Restricted Subsidiary as an Unrestricted Subsidiary within 30 days after it becomes an Unrestricted Subsidiary, (ii) such Subsidiary otherwise meets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90</w:t>
      </w:r>
    </w:p>
    <w:p>
      <w:pPr>
        <w:sectPr>
          <w:pgSz w:w="11900" w:h="16838" w:orient="portrait"/>
          <w:cols w:equalWidth="0" w:num="1">
            <w:col w:w="11240"/>
          </w:cols>
          <w:pgMar w:left="320" w:top="1390" w:right="339" w:bottom="1440" w:gutter="0" w:footer="0" w:header="0"/>
        </w:sectPr>
      </w:pPr>
    </w:p>
    <w:bookmarkStart w:id="204" w:name="page205"/>
    <w:bookmarkEnd w:id="204"/>
    <w:p>
      <w:pPr>
        <w:jc w:val="both"/>
        <w:spacing w:after="0" w:line="262" w:lineRule="auto"/>
        <w:rPr>
          <w:sz w:val="20"/>
          <w:szCs w:val="20"/>
          <w:color w:val="auto"/>
        </w:rPr>
      </w:pPr>
      <w:r>
        <w:rPr>
          <w:rFonts w:ascii="Times New Roman" w:cs="Times New Roman" w:eastAsia="Times New Roman" w:hAnsi="Times New Roman"/>
          <w:sz w:val="19"/>
          <w:szCs w:val="19"/>
          <w:color w:val="auto"/>
        </w:rPr>
        <w:t>would meet concurrently with the effectiveness of such re-designation) the requirements of an “</w:t>
      </w:r>
      <w:r>
        <w:rPr>
          <w:rFonts w:ascii="Times New Roman" w:cs="Times New Roman" w:eastAsia="Times New Roman" w:hAnsi="Times New Roman"/>
          <w:sz w:val="19"/>
          <w:szCs w:val="19"/>
          <w:i w:val="1"/>
          <w:iCs w:val="1"/>
          <w:color w:val="auto"/>
        </w:rPr>
        <w:t>Unrestricted Subsidiary</w:t>
      </w:r>
      <w:r>
        <w:rPr>
          <w:rFonts w:ascii="Times New Roman" w:cs="Times New Roman" w:eastAsia="Times New Roman" w:hAnsi="Times New Roman"/>
          <w:sz w:val="19"/>
          <w:szCs w:val="19"/>
          <w:color w:val="auto"/>
        </w:rPr>
        <w:t xml:space="preserve">” as set forth in the definition thereof, and (iii) no Default or Potential Default exists or will arise after giving pro forma effect to such designation or re-designation;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 </w:t>
      </w:r>
      <w:r>
        <w:rPr>
          <w:rFonts w:ascii="Times New Roman" w:cs="Times New Roman" w:eastAsia="Times New Roman" w:hAnsi="Times New Roman"/>
          <w:sz w:val="19"/>
          <w:szCs w:val="19"/>
          <w:color w:val="auto"/>
        </w:rPr>
        <w:t>for purposes of determining compliance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Section 10.8</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hereof, (x) all outstanding loans, advances, and investments in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designated or re-designated Subsidiary shall be deemed to have been made on (and shall be valued as of) the date of such designation or re-designation, as applicable, and (y) Adjusted EBITDA for the most-recently-ended four fiscal quarters shall exclude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for such period the EBITDA of such designated or re-designated Subsidiary. Subject to </w:t>
      </w:r>
      <w:r>
        <w:rPr>
          <w:rFonts w:ascii="Times New Roman" w:cs="Times New Roman" w:eastAsia="Times New Roman" w:hAnsi="Times New Roman"/>
          <w:sz w:val="19"/>
          <w:szCs w:val="19"/>
          <w:b w:val="1"/>
          <w:bCs w:val="1"/>
          <w:i w:val="1"/>
          <w:iCs w:val="1"/>
          <w:color w:val="auto"/>
        </w:rPr>
        <w:t>Section 15.9(g)</w:t>
      </w:r>
      <w:r>
        <w:rPr>
          <w:rFonts w:ascii="Times New Roman" w:cs="Times New Roman" w:eastAsia="Times New Roman" w:hAnsi="Times New Roman"/>
          <w:sz w:val="19"/>
          <w:szCs w:val="19"/>
          <w:color w:val="auto"/>
        </w:rPr>
        <w:t>, Administrative Agent shall execute documentation reasonably required to release any Restricted Subsidiary which is re-designated by Borrower as an Unrestricted Subsidiary from its Guaranty.</w:t>
      </w:r>
    </w:p>
    <w:p>
      <w:pPr>
        <w:spacing w:after="0" w:line="200" w:lineRule="exact"/>
        <w:rPr>
          <w:sz w:val="20"/>
          <w:szCs w:val="20"/>
          <w:color w:val="auto"/>
        </w:rPr>
      </w:pPr>
    </w:p>
    <w:p>
      <w:pPr>
        <w:spacing w:after="0" w:line="213" w:lineRule="exact"/>
        <w:rPr>
          <w:sz w:val="20"/>
          <w:szCs w:val="20"/>
          <w:color w:val="auto"/>
        </w:rPr>
      </w:pPr>
    </w:p>
    <w:p>
      <w:pPr>
        <w:jc w:val="both"/>
        <w:ind w:firstLine="802"/>
        <w:spacing w:after="0" w:line="261" w:lineRule="auto"/>
        <w:tabs>
          <w:tab w:leader="none" w:pos="1228"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may re-designate any Unrestricted Subsidiary as a Restricted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(i) such Subsidiary shall have complied with </w:t>
      </w:r>
      <w:r>
        <w:rPr>
          <w:rFonts w:ascii="Times New Roman" w:cs="Times New Roman" w:eastAsia="Times New Roman" w:hAnsi="Times New Roman"/>
          <w:sz w:val="19"/>
          <w:szCs w:val="19"/>
          <w:b w:val="1"/>
          <w:bCs w:val="1"/>
          <w:i w:val="1"/>
          <w:iCs w:val="1"/>
          <w:color w:val="auto"/>
        </w:rPr>
        <w:t>Section 9.10</w:t>
      </w:r>
      <w:r>
        <w:rPr>
          <w:rFonts w:ascii="Times New Roman" w:cs="Times New Roman" w:eastAsia="Times New Roman" w:hAnsi="Times New Roman"/>
          <w:sz w:val="19"/>
          <w:szCs w:val="19"/>
          <w:color w:val="auto"/>
        </w:rPr>
        <w:t xml:space="preserve"> hereof, (ii) Borrower shall deliver to Administrative Agent a revised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reflecting the re-designation of such Unrestricted Subsidiary as a Restricted Subsidiary within 30 days after it becomes a Restricted Subsidiary, (iii) after giving effect to such re-designation, such Subsidiary is in compliance with </w:t>
      </w:r>
      <w:r>
        <w:rPr>
          <w:rFonts w:ascii="Times New Roman" w:cs="Times New Roman" w:eastAsia="Times New Roman" w:hAnsi="Times New Roman"/>
          <w:sz w:val="19"/>
          <w:szCs w:val="19"/>
          <w:b w:val="1"/>
          <w:bCs w:val="1"/>
          <w:i w:val="1"/>
          <w:iCs w:val="1"/>
          <w:color w:val="auto"/>
        </w:rPr>
        <w:t>Section 10.16</w:t>
      </w:r>
      <w:r>
        <w:rPr>
          <w:rFonts w:ascii="Times New Roman" w:cs="Times New Roman" w:eastAsia="Times New Roman" w:hAnsi="Times New Roman"/>
          <w:sz w:val="19"/>
          <w:szCs w:val="19"/>
          <w:color w:val="auto"/>
        </w:rPr>
        <w:t xml:space="preserve">, and (iv) no Default or Potential Default exists or will arise after giving pro forma effect to such re-designation;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for purposes of determining compliance with </w:t>
      </w:r>
      <w:r>
        <w:rPr>
          <w:rFonts w:ascii="Times New Roman" w:cs="Times New Roman" w:eastAsia="Times New Roman" w:hAnsi="Times New Roman"/>
          <w:sz w:val="19"/>
          <w:szCs w:val="19"/>
          <w:b w:val="1"/>
          <w:bCs w:val="1"/>
          <w:i w:val="1"/>
          <w:iCs w:val="1"/>
          <w:color w:val="auto"/>
        </w:rPr>
        <w:t>Section 10.4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10.8</w:t>
      </w:r>
      <w:r>
        <w:rPr>
          <w:rFonts w:ascii="Times New Roman" w:cs="Times New Roman" w:eastAsia="Times New Roman" w:hAnsi="Times New Roman"/>
          <w:sz w:val="19"/>
          <w:szCs w:val="19"/>
          <w:color w:val="auto"/>
        </w:rPr>
        <w:t xml:space="preserve"> hereof, (x) all existing Debt of, and loans, advances, or investments made by, such re-designated Subsidiary shall be deemed to have been incurred on the date of such re-designation, and (y) Adjusted EBITDA for the most-recently-ended four fiscal quarters shall include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for such period the EBITDA of such re-designated Subsidiary.</w:t>
      </w:r>
    </w:p>
    <w:p>
      <w:pPr>
        <w:spacing w:after="0" w:line="184" w:lineRule="exact"/>
        <w:rPr>
          <w:sz w:val="20"/>
          <w:szCs w:val="20"/>
          <w:color w:val="auto"/>
        </w:rPr>
      </w:pPr>
    </w:p>
    <w:p>
      <w:pPr>
        <w:jc w:val="both"/>
        <w:ind w:firstLine="637"/>
        <w:spacing w:after="0" w:line="259" w:lineRule="auto"/>
        <w:rPr>
          <w:sz w:val="20"/>
          <w:szCs w:val="20"/>
          <w:color w:val="auto"/>
        </w:rPr>
      </w:pPr>
      <w:r>
        <w:rPr>
          <w:rFonts w:ascii="Times New Roman" w:cs="Times New Roman" w:eastAsia="Times New Roman" w:hAnsi="Times New Roman"/>
          <w:sz w:val="19"/>
          <w:szCs w:val="19"/>
          <w:color w:val="auto"/>
        </w:rPr>
        <w:t xml:space="preserve">9.12. </w:t>
      </w:r>
      <w:r>
        <w:rPr>
          <w:rFonts w:ascii="Times New Roman" w:cs="Times New Roman" w:eastAsia="Times New Roman" w:hAnsi="Times New Roman"/>
          <w:sz w:val="19"/>
          <w:szCs w:val="19"/>
          <w:u w:val="single" w:color="auto"/>
          <w:color w:val="auto"/>
        </w:rPr>
        <w:t>Keepwell Requirements</w:t>
      </w:r>
      <w:r>
        <w:rPr>
          <w:rFonts w:ascii="Times New Roman" w:cs="Times New Roman" w:eastAsia="Times New Roman" w:hAnsi="Times New Roman"/>
          <w:sz w:val="19"/>
          <w:szCs w:val="19"/>
          <w:color w:val="auto"/>
        </w:rPr>
        <w:t>. Each Qualified ECP Guarantor, jointly and severally, absolutely, unconditionally and irrevocably undertakes to provide such funds or other support as may be needed from time to time by each other Guarantor to honor all of its obligations under this Agreement or any other Loan Paper in respect of Swap Obligations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each Qualified ECP Guarantor shall only be liable under this </w:t>
      </w:r>
      <w:r>
        <w:rPr>
          <w:rFonts w:ascii="Times New Roman" w:cs="Times New Roman" w:eastAsia="Times New Roman" w:hAnsi="Times New Roman"/>
          <w:sz w:val="19"/>
          <w:szCs w:val="19"/>
          <w:b w:val="1"/>
          <w:bCs w:val="1"/>
          <w:i w:val="1"/>
          <w:iCs w:val="1"/>
          <w:color w:val="auto"/>
        </w:rPr>
        <w:t>Section 9.12</w:t>
      </w:r>
      <w:r>
        <w:rPr>
          <w:rFonts w:ascii="Times New Roman" w:cs="Times New Roman" w:eastAsia="Times New Roman" w:hAnsi="Times New Roman"/>
          <w:sz w:val="19"/>
          <w:szCs w:val="19"/>
          <w:color w:val="auto"/>
        </w:rPr>
        <w:t xml:space="preserve"> for the maximum amount of such liability that can be hereby incurred without rendering its obligations under this </w:t>
      </w:r>
      <w:r>
        <w:rPr>
          <w:rFonts w:ascii="Times New Roman" w:cs="Times New Roman" w:eastAsia="Times New Roman" w:hAnsi="Times New Roman"/>
          <w:sz w:val="19"/>
          <w:szCs w:val="19"/>
          <w:b w:val="1"/>
          <w:bCs w:val="1"/>
          <w:i w:val="1"/>
          <w:iCs w:val="1"/>
          <w:color w:val="auto"/>
        </w:rPr>
        <w:t>Section 9.12</w:t>
      </w:r>
      <w:r>
        <w:rPr>
          <w:rFonts w:ascii="Times New Roman" w:cs="Times New Roman" w:eastAsia="Times New Roman" w:hAnsi="Times New Roman"/>
          <w:sz w:val="19"/>
          <w:szCs w:val="19"/>
          <w:color w:val="auto"/>
        </w:rPr>
        <w:t>, or otherwise under this Agreement or any other Loan Paper, voidable under applicable law relating to fraudulent conveyance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fraudulent transfer, and not for any greater amount). The obligations of each Qualified ECP Guarantor under this Section shall remain in full force and effect until the full and final payment of the Obligations (other than contingent Obligations for which no claim has been made), termination of the Commitments of all Lenders and L/C Issuers, and termination of all L/Cs (or cash collateralization thereof as acceptable to the applicable L/C Issuer). Each Qualified ECP Guarantor intends that this </w:t>
      </w:r>
      <w:r>
        <w:rPr>
          <w:rFonts w:ascii="Times New Roman" w:cs="Times New Roman" w:eastAsia="Times New Roman" w:hAnsi="Times New Roman"/>
          <w:sz w:val="19"/>
          <w:szCs w:val="19"/>
          <w:b w:val="1"/>
          <w:bCs w:val="1"/>
          <w:i w:val="1"/>
          <w:iCs w:val="1"/>
          <w:color w:val="auto"/>
        </w:rPr>
        <w:t>Section 9.12</w:t>
      </w:r>
      <w:r>
        <w:rPr>
          <w:rFonts w:ascii="Times New Roman" w:cs="Times New Roman" w:eastAsia="Times New Roman" w:hAnsi="Times New Roman"/>
          <w:sz w:val="19"/>
          <w:szCs w:val="19"/>
          <w:color w:val="auto"/>
        </w:rPr>
        <w:t xml:space="preserve"> constitute, and this </w:t>
      </w:r>
      <w:r>
        <w:rPr>
          <w:rFonts w:ascii="Times New Roman" w:cs="Times New Roman" w:eastAsia="Times New Roman" w:hAnsi="Times New Roman"/>
          <w:sz w:val="19"/>
          <w:szCs w:val="19"/>
          <w:b w:val="1"/>
          <w:bCs w:val="1"/>
          <w:i w:val="1"/>
          <w:iCs w:val="1"/>
          <w:color w:val="auto"/>
        </w:rPr>
        <w:t>Section 9.12</w:t>
      </w:r>
      <w:r>
        <w:rPr>
          <w:rFonts w:ascii="Times New Roman" w:cs="Times New Roman" w:eastAsia="Times New Roman" w:hAnsi="Times New Roman"/>
          <w:sz w:val="19"/>
          <w:szCs w:val="19"/>
          <w:color w:val="auto"/>
        </w:rPr>
        <w:t xml:space="preserve"> shall be deemed to constitute, a “</w:t>
      </w:r>
      <w:r>
        <w:rPr>
          <w:rFonts w:ascii="Times New Roman" w:cs="Times New Roman" w:eastAsia="Times New Roman" w:hAnsi="Times New Roman"/>
          <w:sz w:val="19"/>
          <w:szCs w:val="19"/>
          <w:i w:val="1"/>
          <w:iCs w:val="1"/>
          <w:color w:val="auto"/>
        </w:rPr>
        <w:t>keepwell, support, or other agreement</w:t>
      </w:r>
      <w:r>
        <w:rPr>
          <w:rFonts w:ascii="Times New Roman" w:cs="Times New Roman" w:eastAsia="Times New Roman" w:hAnsi="Times New Roman"/>
          <w:sz w:val="19"/>
          <w:szCs w:val="19"/>
          <w:color w:val="auto"/>
        </w:rPr>
        <w:t xml:space="preserve">” for the benefit of each other Guarantor for all purposes of </w:t>
      </w:r>
      <w:r>
        <w:rPr>
          <w:rFonts w:ascii="Times New Roman" w:cs="Times New Roman" w:eastAsia="Times New Roman" w:hAnsi="Times New Roman"/>
          <w:sz w:val="19"/>
          <w:szCs w:val="19"/>
          <w:i w:val="1"/>
          <w:iCs w:val="1"/>
          <w:color w:val="auto"/>
        </w:rPr>
        <w:t>Section 1a(18)(A)(v)(II)</w:t>
      </w:r>
      <w:r>
        <w:rPr>
          <w:rFonts w:ascii="Times New Roman" w:cs="Times New Roman" w:eastAsia="Times New Roman" w:hAnsi="Times New Roman"/>
          <w:sz w:val="19"/>
          <w:szCs w:val="19"/>
          <w:color w:val="auto"/>
        </w:rPr>
        <w:t xml:space="preserve"> of the Commodity Exchange Act.</w:t>
      </w:r>
    </w:p>
    <w:p>
      <w:pPr>
        <w:spacing w:after="0" w:line="200" w:lineRule="exact"/>
        <w:rPr>
          <w:sz w:val="20"/>
          <w:szCs w:val="20"/>
          <w:color w:val="auto"/>
        </w:rPr>
      </w:pPr>
    </w:p>
    <w:p>
      <w:pPr>
        <w:spacing w:after="0" w:line="215"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9.13. </w:t>
      </w:r>
      <w:r>
        <w:rPr>
          <w:rFonts w:ascii="Times New Roman" w:cs="Times New Roman" w:eastAsia="Times New Roman" w:hAnsi="Times New Roman"/>
          <w:sz w:val="19"/>
          <w:szCs w:val="19"/>
          <w:u w:val="single" w:color="auto"/>
          <w:color w:val="auto"/>
        </w:rPr>
        <w:t>Anti-Corruption Laws; Sanctions</w:t>
      </w:r>
      <w:r>
        <w:rPr>
          <w:rFonts w:ascii="Times New Roman" w:cs="Times New Roman" w:eastAsia="Times New Roman" w:hAnsi="Times New Roman"/>
          <w:sz w:val="19"/>
          <w:szCs w:val="19"/>
          <w:color w:val="auto"/>
        </w:rPr>
        <w:t>. Each Company will comply in all material respects with Anti-Corruption Laws applicable to such Company and other applicable anti-corruption legislation, and each Company will maintain compliance policies and procedures applicable to such Company with respect to applicable Anti-Corruption Laws and Sanctions.</w:t>
      </w:r>
    </w:p>
    <w:p>
      <w:pPr>
        <w:spacing w:after="0" w:line="163" w:lineRule="exact"/>
        <w:rPr>
          <w:sz w:val="20"/>
          <w:szCs w:val="20"/>
          <w:color w:val="auto"/>
        </w:rPr>
      </w:pPr>
    </w:p>
    <w:p>
      <w:pPr>
        <w:ind w:right="240" w:firstLine="637"/>
        <w:spacing w:after="0" w:line="290" w:lineRule="auto"/>
        <w:rPr>
          <w:sz w:val="20"/>
          <w:szCs w:val="20"/>
          <w:color w:val="auto"/>
        </w:rPr>
      </w:pPr>
      <w:r>
        <w:rPr>
          <w:rFonts w:ascii="Times New Roman" w:cs="Times New Roman" w:eastAsia="Times New Roman" w:hAnsi="Times New Roman"/>
          <w:sz w:val="19"/>
          <w:szCs w:val="19"/>
          <w:b w:val="1"/>
          <w:bCs w:val="1"/>
          <w:u w:val="single" w:color="auto"/>
          <w:color w:val="auto"/>
        </w:rPr>
        <w:t>SECTION 10 NEGATIVE COVENANTS.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So long as Lenders are committed to fund Loans and the L/C Issuers are committed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issue L/Cs under this Agreement, and thereafter until the Obligation is paid in full, Borrower covenants and agrees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91</w:t>
      </w:r>
    </w:p>
    <w:p>
      <w:pPr>
        <w:sectPr>
          <w:pgSz w:w="11900" w:h="16838" w:orient="portrait"/>
          <w:cols w:equalWidth="0" w:num="1">
            <w:col w:w="11240"/>
          </w:cols>
          <w:pgMar w:left="320" w:top="1388" w:right="339" w:bottom="1440" w:gutter="0" w:footer="0" w:header="0"/>
        </w:sectPr>
      </w:pPr>
    </w:p>
    <w:bookmarkStart w:id="205" w:name="page206"/>
    <w:bookmarkEnd w:id="205"/>
    <w:p>
      <w:pPr>
        <w:ind w:firstLine="637"/>
        <w:spacing w:after="0" w:line="300" w:lineRule="auto"/>
        <w:rPr>
          <w:sz w:val="20"/>
          <w:szCs w:val="20"/>
          <w:color w:val="auto"/>
        </w:rPr>
      </w:pPr>
      <w:r>
        <w:rPr>
          <w:rFonts w:ascii="Times New Roman" w:cs="Times New Roman" w:eastAsia="Times New Roman" w:hAnsi="Times New Roman"/>
          <w:sz w:val="19"/>
          <w:szCs w:val="19"/>
          <w:color w:val="auto"/>
        </w:rPr>
        <w:t xml:space="preserve">10.1.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No Restricted Company shall use any portion of the proceeds of any Loan to pay the wages of employees, unless a timely payment to or deposit with the U.S. of all amounts of Tax required to be deducted and withheld with respect to such wages is also made.</w:t>
      </w:r>
    </w:p>
    <w:p>
      <w:pPr>
        <w:spacing w:after="0" w:line="130" w:lineRule="exact"/>
        <w:rPr>
          <w:sz w:val="20"/>
          <w:szCs w:val="20"/>
          <w:color w:val="auto"/>
        </w:rPr>
      </w:pPr>
    </w:p>
    <w:p>
      <w:pPr>
        <w:ind w:right="20" w:firstLine="637"/>
        <w:spacing w:after="0" w:line="300" w:lineRule="auto"/>
        <w:rPr>
          <w:sz w:val="20"/>
          <w:szCs w:val="20"/>
          <w:color w:val="auto"/>
        </w:rPr>
      </w:pPr>
      <w:r>
        <w:rPr>
          <w:rFonts w:ascii="Times New Roman" w:cs="Times New Roman" w:eastAsia="Times New Roman" w:hAnsi="Times New Roman"/>
          <w:sz w:val="19"/>
          <w:szCs w:val="19"/>
          <w:color w:val="auto"/>
        </w:rPr>
        <w:t xml:space="preserve">10.2. </w:t>
      </w:r>
      <w:r>
        <w:rPr>
          <w:rFonts w:ascii="Times New Roman" w:cs="Times New Roman" w:eastAsia="Times New Roman" w:hAnsi="Times New Roman"/>
          <w:sz w:val="19"/>
          <w:szCs w:val="19"/>
          <w:u w:val="single" w:color="auto"/>
          <w:color w:val="auto"/>
        </w:rPr>
        <w:t>Payment of Obligations</w:t>
      </w:r>
      <w:r>
        <w:rPr>
          <w:rFonts w:ascii="Times New Roman" w:cs="Times New Roman" w:eastAsia="Times New Roman" w:hAnsi="Times New Roman"/>
          <w:sz w:val="19"/>
          <w:szCs w:val="19"/>
          <w:color w:val="auto"/>
        </w:rPr>
        <w:t xml:space="preserve">. No Restricted Company shall voluntarily prepay principal of, or interest on, or tender for, repurchase, redeem, repay, defease, or discharge, Subordinated Debt, High-Yield Debt or Convertible Debt Securities;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Borrower or VRI may:</w:t>
      </w:r>
    </w:p>
    <w:p>
      <w:pPr>
        <w:spacing w:after="0" w:line="157" w:lineRule="exact"/>
        <w:rPr>
          <w:sz w:val="20"/>
          <w:szCs w:val="20"/>
          <w:color w:val="auto"/>
        </w:rPr>
      </w:pPr>
    </w:p>
    <w:p>
      <w:pPr>
        <w:jc w:val="both"/>
        <w:ind w:firstLine="802"/>
        <w:spacing w:after="0" w:line="268" w:lineRule="auto"/>
        <w:tabs>
          <w:tab w:leader="none" w:pos="128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tender for, repurchase (including, without limitation, in open market transactions or private negotiated transactions), redeem, defease, or discharge Subordinated Debt, High-Yield Debt or Convertible Debt Securities,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(i) on and as of the date of each such redemption, no Default or Potential Default then exists or arises, and (ii) Borrower has delivered to Administrative Agent a certificate reflecting Availability and Unrestricted Cash in an aggregate amount of </w:t>
      </w:r>
      <w:r>
        <w:rPr>
          <w:rFonts w:ascii="Times New Roman" w:cs="Times New Roman" w:eastAsia="Times New Roman" w:hAnsi="Times New Roman"/>
          <w:sz w:val="19"/>
          <w:szCs w:val="19"/>
          <w:i w:val="1"/>
          <w:iCs w:val="1"/>
          <w:color w:val="auto"/>
        </w:rPr>
        <w:t>at least</w:t>
      </w:r>
      <w:r>
        <w:rPr>
          <w:rFonts w:ascii="Times New Roman" w:cs="Times New Roman" w:eastAsia="Times New Roman" w:hAnsi="Times New Roman"/>
          <w:sz w:val="19"/>
          <w:szCs w:val="19"/>
          <w:color w:val="auto"/>
        </w:rPr>
        <w:t xml:space="preserve"> $150,000,000 immediately after giving effect to such tender, repurchase, redemption, defeasance or discharge; and</w:t>
      </w:r>
    </w:p>
    <w:p>
      <w:pPr>
        <w:spacing w:after="0" w:line="159" w:lineRule="exact"/>
        <w:rPr>
          <w:rFonts w:ascii="Times New Roman" w:cs="Times New Roman" w:eastAsia="Times New Roman" w:hAnsi="Times New Roman"/>
          <w:sz w:val="19"/>
          <w:szCs w:val="19"/>
          <w:color w:val="auto"/>
        </w:rPr>
      </w:pPr>
    </w:p>
    <w:p>
      <w:pPr>
        <w:jc w:val="both"/>
        <w:ind w:firstLine="802"/>
        <w:spacing w:after="0" w:line="261" w:lineRule="auto"/>
        <w:tabs>
          <w:tab w:leader="none" w:pos="1239"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repay Subordinated Debt, High-Yield Debt or Convertible Debt Securities (i) with the proceeds of a </w:t>
      </w:r>
      <w:r>
        <w:rPr>
          <w:rFonts w:ascii="Times New Roman" w:cs="Times New Roman" w:eastAsia="Times New Roman" w:hAnsi="Times New Roman"/>
          <w:sz w:val="19"/>
          <w:szCs w:val="19"/>
          <w:u w:val="single" w:color="auto"/>
          <w:color w:val="3051F2"/>
        </w:rPr>
        <w:t>Term Loan, Delayed Draw</w:t>
      </w:r>
      <w:r>
        <w:rPr>
          <w:rFonts w:ascii="Times New Roman" w:cs="Times New Roman" w:eastAsia="Times New Roman" w:hAnsi="Times New Roman"/>
          <w:sz w:val="19"/>
          <w:szCs w:val="19"/>
          <w:color w:val="auto"/>
        </w:rPr>
        <w:t xml:space="preserve"> Term Loan or an Incremental Term Loan, or (ii) in connection with the concurrent issuance of (A) Subordinated Debt,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(1) on and as of the date of such refinancing, no Default or Potential Default then exists or arises, (2) the Subordinated Debt issued in connection with such refinancing (“</w:t>
      </w:r>
      <w:r>
        <w:rPr>
          <w:rFonts w:ascii="Times New Roman" w:cs="Times New Roman" w:eastAsia="Times New Roman" w:hAnsi="Times New Roman"/>
          <w:sz w:val="19"/>
          <w:szCs w:val="19"/>
          <w:b w:val="1"/>
          <w:bCs w:val="1"/>
          <w:i w:val="1"/>
          <w:iCs w:val="1"/>
          <w:color w:val="auto"/>
        </w:rPr>
        <w:t>Replacement Subordinated Debt</w:t>
      </w:r>
      <w:r>
        <w:rPr>
          <w:rFonts w:ascii="Times New Roman" w:cs="Times New Roman" w:eastAsia="Times New Roman" w:hAnsi="Times New Roman"/>
          <w:sz w:val="19"/>
          <w:szCs w:val="19"/>
          <w:color w:val="auto"/>
        </w:rPr>
        <w:t>”) satisfies the requirements for permitted Subordinated Debt as set forth in the Loan Papers, including, without limitation, the requirements imposed by the definition of “</w:t>
      </w:r>
      <w:r>
        <w:rPr>
          <w:rFonts w:ascii="Times New Roman" w:cs="Times New Roman" w:eastAsia="Times New Roman" w:hAnsi="Times New Roman"/>
          <w:sz w:val="19"/>
          <w:szCs w:val="19"/>
          <w:i w:val="1"/>
          <w:iCs w:val="1"/>
          <w:color w:val="auto"/>
        </w:rPr>
        <w:t>Subordinated Debt</w:t>
      </w:r>
      <w:r>
        <w:rPr>
          <w:rFonts w:ascii="Times New Roman" w:cs="Times New Roman" w:eastAsia="Times New Roman" w:hAnsi="Times New Roman"/>
          <w:sz w:val="19"/>
          <w:szCs w:val="19"/>
          <w:color w:val="auto"/>
        </w:rPr>
        <w:t xml:space="preserve">” in </w:t>
      </w:r>
      <w:r>
        <w:rPr>
          <w:rFonts w:ascii="Times New Roman" w:cs="Times New Roman" w:eastAsia="Times New Roman" w:hAnsi="Times New Roman"/>
          <w:sz w:val="19"/>
          <w:szCs w:val="19"/>
          <w:b w:val="1"/>
          <w:bCs w:val="1"/>
          <w:i w:val="1"/>
          <w:iCs w:val="1"/>
          <w:color w:val="auto"/>
        </w:rPr>
        <w:t>Section 1.1</w:t>
      </w:r>
      <w:r>
        <w:rPr>
          <w:rFonts w:ascii="Times New Roman" w:cs="Times New Roman" w:eastAsia="Times New Roman" w:hAnsi="Times New Roman"/>
          <w:sz w:val="19"/>
          <w:szCs w:val="19"/>
          <w:color w:val="auto"/>
        </w:rPr>
        <w:t xml:space="preserve"> and by </w:t>
      </w:r>
      <w:r>
        <w:rPr>
          <w:rFonts w:ascii="Times New Roman" w:cs="Times New Roman" w:eastAsia="Times New Roman" w:hAnsi="Times New Roman"/>
          <w:sz w:val="19"/>
          <w:szCs w:val="19"/>
          <w:b w:val="1"/>
          <w:bCs w:val="1"/>
          <w:i w:val="1"/>
          <w:iCs w:val="1"/>
          <w:color w:val="auto"/>
        </w:rPr>
        <w:t>Section 10.16</w:t>
      </w:r>
      <w:r>
        <w:rPr>
          <w:rFonts w:ascii="Times New Roman" w:cs="Times New Roman" w:eastAsia="Times New Roman" w:hAnsi="Times New Roman"/>
          <w:sz w:val="19"/>
          <w:szCs w:val="19"/>
          <w:color w:val="auto"/>
        </w:rPr>
        <w:t xml:space="preserve">, and (3) such Replacement Subordinated Debt has a final maturity date later than the final maturity date of the Debt so refinanced, or (B) High-Yield Debt or Convertible Debt Securities,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on and as of the date of such refinancing, no Default or Potential Default then exists or arises and such High-Yield Debt or Convertible Debt Securities, as applicable, have a final maturity date later than the final maturity date of the Debt so refinanced.</w:t>
      </w:r>
    </w:p>
    <w:p>
      <w:pPr>
        <w:spacing w:after="0" w:line="183"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10.3. </w:t>
      </w:r>
      <w:r>
        <w:rPr>
          <w:rFonts w:ascii="Times New Roman" w:cs="Times New Roman" w:eastAsia="Times New Roman" w:hAnsi="Times New Roman"/>
          <w:sz w:val="19"/>
          <w:szCs w:val="19"/>
          <w:u w:val="single" w:color="auto"/>
          <w:color w:val="auto"/>
        </w:rPr>
        <w:t>Employee Plans</w:t>
      </w:r>
      <w:r>
        <w:rPr>
          <w:rFonts w:ascii="Times New Roman" w:cs="Times New Roman" w:eastAsia="Times New Roman" w:hAnsi="Times New Roman"/>
          <w:sz w:val="19"/>
          <w:szCs w:val="19"/>
          <w:color w:val="auto"/>
        </w:rPr>
        <w:t xml:space="preserve">. Except where, individually or in the aggregate, a Material Adverse Event would not result or a Lien on the assets of any Restricted Company or Restricted Companies securing liability of any Restricted Company or Restricted Companies (individually or when aggregated with any liability of Restricted Companies contemplated elsewhere in this Section and in </w:t>
      </w:r>
      <w:r>
        <w:rPr>
          <w:rFonts w:ascii="Times New Roman" w:cs="Times New Roman" w:eastAsia="Times New Roman" w:hAnsi="Times New Roman"/>
          <w:sz w:val="19"/>
          <w:szCs w:val="19"/>
          <w:b w:val="1"/>
          <w:bCs w:val="1"/>
          <w:i w:val="1"/>
          <w:iCs w:val="1"/>
          <w:color w:val="auto"/>
        </w:rPr>
        <w:t>Section 8.8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8.9</w:t>
      </w:r>
      <w:r>
        <w:rPr>
          <w:rFonts w:ascii="Times New Roman" w:cs="Times New Roman" w:eastAsia="Times New Roman" w:hAnsi="Times New Roman"/>
          <w:sz w:val="19"/>
          <w:szCs w:val="19"/>
          <w:color w:val="auto"/>
        </w:rPr>
        <w:t xml:space="preserve"> herein that is reasonably likely to be secured by Liens) in excess of the Threshold Amount is likely to result, no Restricted Company or any ERISA Affiliate shall permit any of the events or circumstances described in </w:t>
      </w:r>
      <w:r>
        <w:rPr>
          <w:rFonts w:ascii="Times New Roman" w:cs="Times New Roman" w:eastAsia="Times New Roman" w:hAnsi="Times New Roman"/>
          <w:sz w:val="19"/>
          <w:szCs w:val="19"/>
          <w:b w:val="1"/>
          <w:bCs w:val="1"/>
          <w:i w:val="1"/>
          <w:iCs w:val="1"/>
          <w:color w:val="auto"/>
        </w:rPr>
        <w:t>Section 8.10</w:t>
      </w:r>
      <w:r>
        <w:rPr>
          <w:rFonts w:ascii="Times New Roman" w:cs="Times New Roman" w:eastAsia="Times New Roman" w:hAnsi="Times New Roman"/>
          <w:sz w:val="19"/>
          <w:szCs w:val="19"/>
          <w:color w:val="auto"/>
        </w:rPr>
        <w:t xml:space="preserve"> to exist or occur.</w:t>
      </w:r>
    </w:p>
    <w:p>
      <w:pPr>
        <w:spacing w:after="0" w:line="17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10.4.</w:t>
      </w:r>
      <w:r>
        <w:rPr>
          <w:sz w:val="20"/>
          <w:szCs w:val="20"/>
          <w:color w:val="auto"/>
        </w:rPr>
        <w:tab/>
      </w:r>
      <w:r>
        <w:rPr>
          <w:rFonts w:ascii="Times New Roman" w:cs="Times New Roman" w:eastAsia="Times New Roman" w:hAnsi="Times New Roman"/>
          <w:sz w:val="19"/>
          <w:szCs w:val="19"/>
          <w:u w:val="single" w:color="auto"/>
          <w:color w:val="auto"/>
        </w:rPr>
        <w:t>Debt</w:t>
      </w:r>
      <w:r>
        <w:rPr>
          <w:rFonts w:ascii="Times New Roman" w:cs="Times New Roman" w:eastAsia="Times New Roman" w:hAnsi="Times New Roman"/>
          <w:sz w:val="19"/>
          <w:szCs w:val="19"/>
          <w:color w:val="auto"/>
        </w:rPr>
        <w:t>. No Restricted Company shall create, incur or suffer to exist any Debt, other than Permitted Debt.</w:t>
      </w:r>
    </w:p>
    <w:p>
      <w:pPr>
        <w:spacing w:after="0" w:line="219" w:lineRule="exact"/>
        <w:rPr>
          <w:sz w:val="20"/>
          <w:szCs w:val="20"/>
          <w:color w:val="auto"/>
        </w:rPr>
      </w:pPr>
    </w:p>
    <w:p>
      <w:pPr>
        <w:jc w:val="both"/>
        <w:ind w:firstLine="637"/>
        <w:spacing w:after="0" w:line="300" w:lineRule="auto"/>
        <w:rPr>
          <w:sz w:val="20"/>
          <w:szCs w:val="20"/>
          <w:color w:val="auto"/>
        </w:rPr>
      </w:pPr>
      <w:r>
        <w:rPr>
          <w:rFonts w:ascii="Times New Roman" w:cs="Times New Roman" w:eastAsia="Times New Roman" w:hAnsi="Times New Roman"/>
          <w:sz w:val="19"/>
          <w:szCs w:val="19"/>
          <w:color w:val="auto"/>
        </w:rPr>
        <w:t xml:space="preserve">10.5. </w:t>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xml:space="preserve">. No Restricted Company shall create, incur, or suffer or permit to be created or incurred or to exist any Lien upon any of its assets,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Permitted Liens.</w:t>
      </w:r>
    </w:p>
    <w:p>
      <w:pPr>
        <w:spacing w:after="0" w:line="130"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10.6.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Except for transactions which do not, in the aggregate, cost the Restricted Companies more than $2,000,000 in any fiscal year, no Restricted Company shall enter into or suffer to exist any transaction with any Affiliate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another Restricted Company), or guaranty, obtain any letter of credit or similar instrument in support of, or create, incur, or suffer to exist any Lien upon any of its assets as security for, any Debt or other obligation of any Affiliate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Debts or other obligations of another Restricted Company) unless (a) such transaction is an advance or equity contribution to an Unrestricted Subsidiary permitted by </w:t>
      </w:r>
      <w:r>
        <w:rPr>
          <w:rFonts w:ascii="Times New Roman" w:cs="Times New Roman" w:eastAsia="Times New Roman" w:hAnsi="Times New Roman"/>
          <w:sz w:val="19"/>
          <w:szCs w:val="19"/>
          <w:b w:val="1"/>
          <w:bCs w:val="1"/>
          <w:i w:val="1"/>
          <w:iCs w:val="1"/>
          <w:color w:val="auto"/>
        </w:rPr>
        <w:t>Sections 10.8(j)</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10.8(l)</w:t>
      </w:r>
      <w:r>
        <w:rPr>
          <w:rFonts w:ascii="Times New Roman" w:cs="Times New Roman" w:eastAsia="Times New Roman" w:hAnsi="Times New Roman"/>
          <w:sz w:val="19"/>
          <w:szCs w:val="19"/>
          <w:color w:val="auto"/>
        </w:rPr>
        <w:t xml:space="preserve"> or to a Person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92</w:t>
      </w:r>
    </w:p>
    <w:p>
      <w:pPr>
        <w:sectPr>
          <w:pgSz w:w="11900" w:h="16838" w:orient="portrait"/>
          <w:cols w:equalWidth="0" w:num="1">
            <w:col w:w="11240"/>
          </w:cols>
          <w:pgMar w:left="320" w:top="1390" w:right="339" w:bottom="1440" w:gutter="0" w:footer="0" w:header="0"/>
        </w:sectPr>
      </w:pPr>
    </w:p>
    <w:bookmarkStart w:id="206" w:name="page207"/>
    <w:bookmarkEnd w:id="206"/>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than a Company) in which a Restricted Company has made an investment permitted by </w:t>
      </w:r>
      <w:r>
        <w:rPr>
          <w:rFonts w:ascii="Times New Roman" w:cs="Times New Roman" w:eastAsia="Times New Roman" w:hAnsi="Times New Roman"/>
          <w:sz w:val="19"/>
          <w:szCs w:val="19"/>
          <w:b w:val="1"/>
          <w:bCs w:val="1"/>
          <w:i w:val="1"/>
          <w:iCs w:val="1"/>
          <w:color w:val="auto"/>
        </w:rPr>
        <w:t>Section 10.8(m)</w:t>
      </w:r>
      <w:r>
        <w:rPr>
          <w:rFonts w:ascii="Times New Roman" w:cs="Times New Roman" w:eastAsia="Times New Roman" w:hAnsi="Times New Roman"/>
          <w:sz w:val="19"/>
          <w:szCs w:val="19"/>
          <w:color w:val="auto"/>
        </w:rPr>
        <w:t xml:space="preserve">, (b) such transaction is described in </w:t>
      </w:r>
      <w:r>
        <w:rPr>
          <w:rFonts w:ascii="Times New Roman" w:cs="Times New Roman" w:eastAsia="Times New Roman" w:hAnsi="Times New Roman"/>
          <w:sz w:val="19"/>
          <w:szCs w:val="19"/>
          <w:b w:val="1"/>
          <w:bCs w:val="1"/>
          <w:i w:val="1"/>
          <w:iCs w:val="1"/>
          <w:color w:val="auto"/>
        </w:rPr>
        <w:t xml:space="preserve">Section 10.9 </w:t>
      </w:r>
      <w:r>
        <w:rPr>
          <w:rFonts w:ascii="Times New Roman" w:cs="Times New Roman" w:eastAsia="Times New Roman" w:hAnsi="Times New Roman"/>
          <w:sz w:val="19"/>
          <w:szCs w:val="19"/>
          <w:color w:val="auto"/>
        </w:rPr>
        <w:t>or on</w:t>
      </w:r>
      <w:r>
        <w:rPr>
          <w:rFonts w:ascii="Times New Roman" w:cs="Times New Roman" w:eastAsia="Times New Roman" w:hAnsi="Times New Roman"/>
          <w:sz w:val="19"/>
          <w:szCs w:val="19"/>
          <w:b w:val="1"/>
          <w:bCs w:val="1"/>
          <w:i w:val="1"/>
          <w:iCs w:val="1"/>
          <w:color w:val="auto"/>
        </w:rPr>
        <w:t xml:space="preserve"> Schedule 8.13</w:t>
      </w:r>
      <w:r>
        <w:rPr>
          <w:rFonts w:ascii="Times New Roman" w:cs="Times New Roman" w:eastAsia="Times New Roman" w:hAnsi="Times New Roman"/>
          <w:sz w:val="19"/>
          <w:szCs w:val="19"/>
          <w:color w:val="auto"/>
        </w:rPr>
        <w:t>, (c) such transaction is an investment in employee residences permitted by</w:t>
      </w:r>
      <w:r>
        <w:rPr>
          <w:rFonts w:ascii="Times New Roman" w:cs="Times New Roman" w:eastAsia="Times New Roman" w:hAnsi="Times New Roman"/>
          <w:sz w:val="19"/>
          <w:szCs w:val="19"/>
          <w:b w:val="1"/>
          <w:bCs w:val="1"/>
          <w:i w:val="1"/>
          <w:iCs w:val="1"/>
          <w:color w:val="auto"/>
        </w:rPr>
        <w:t xml:space="preserve"> Section 10.8(n)(iii)</w:t>
      </w:r>
      <w:r>
        <w:rPr>
          <w:rFonts w:ascii="Times New Roman" w:cs="Times New Roman" w:eastAsia="Times New Roman" w:hAnsi="Times New Roman"/>
          <w:sz w:val="19"/>
          <w:szCs w:val="19"/>
          <w:color w:val="auto"/>
        </w:rPr>
        <w:t>, or (d) such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transaction is upon fair and reasonable terms not materially less favorable than it could obtain or could become entitled to in an arm’s-length transaction with a Person that was not its Affiliate;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any Restricted Company may enter into Permitted Recourse Obligations or guarantees or other credit support permitted by </w:t>
      </w:r>
      <w:r>
        <w:rPr>
          <w:rFonts w:ascii="Times New Roman" w:cs="Times New Roman" w:eastAsia="Times New Roman" w:hAnsi="Times New Roman"/>
          <w:sz w:val="19"/>
          <w:szCs w:val="19"/>
          <w:b w:val="1"/>
          <w:bCs w:val="1"/>
          <w:i w:val="1"/>
          <w:iCs w:val="1"/>
          <w:color w:val="auto"/>
        </w:rPr>
        <w:t>clause (h)(ii)</w:t>
      </w:r>
      <w:r>
        <w:rPr>
          <w:rFonts w:ascii="Times New Roman" w:cs="Times New Roman" w:eastAsia="Times New Roman" w:hAnsi="Times New Roman"/>
          <w:sz w:val="19"/>
          <w:szCs w:val="19"/>
          <w:color w:val="auto"/>
        </w:rPr>
        <w:t xml:space="preserve"> of the definition of “</w:t>
      </w:r>
      <w:r>
        <w:rPr>
          <w:rFonts w:ascii="Times New Roman" w:cs="Times New Roman" w:eastAsia="Times New Roman" w:hAnsi="Times New Roman"/>
          <w:sz w:val="19"/>
          <w:szCs w:val="19"/>
          <w:i w:val="1"/>
          <w:iCs w:val="1"/>
          <w:color w:val="auto"/>
        </w:rPr>
        <w:t>Permitted Debt</w:t>
      </w:r>
      <w:r>
        <w:rPr>
          <w:rFonts w:ascii="Times New Roman" w:cs="Times New Roman" w:eastAsia="Times New Roman" w:hAnsi="Times New Roman"/>
          <w:sz w:val="19"/>
          <w:szCs w:val="19"/>
          <w:color w:val="auto"/>
        </w:rPr>
        <w:t xml:space="preserve">” in support of obligations of Unrestricted Subsidiaries,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no Default or Potential Default then exists or arises.</w:t>
      </w:r>
    </w:p>
    <w:p>
      <w:pPr>
        <w:spacing w:after="0" w:line="180"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10.7. </w:t>
      </w:r>
      <w:r>
        <w:rPr>
          <w:rFonts w:ascii="Times New Roman" w:cs="Times New Roman" w:eastAsia="Times New Roman" w:hAnsi="Times New Roman"/>
          <w:sz w:val="19"/>
          <w:szCs w:val="19"/>
          <w:u w:val="single" w:color="auto"/>
          <w:color w:val="auto"/>
        </w:rPr>
        <w:t>Compliance with Laws and Documents</w:t>
      </w:r>
      <w:r>
        <w:rPr>
          <w:rFonts w:ascii="Times New Roman" w:cs="Times New Roman" w:eastAsia="Times New Roman" w:hAnsi="Times New Roman"/>
          <w:sz w:val="19"/>
          <w:szCs w:val="19"/>
          <w:color w:val="auto"/>
        </w:rPr>
        <w:t>. No Restricted Company shall (a) violate the provisions of any Laws or rulings of any Governmental Authority applicable to it or of any Material Agreement to which it is a party if that violation alone, or when aggregated with all other violations, would be a Material Adverse Event, (b) violate the provisions of its organizational documents if such violation would cause a Material Adverse Event, or (c) repeal, replace, or amend any provision of its organizational documents if that action would be a Material Adverse Event.</w:t>
      </w:r>
    </w:p>
    <w:p>
      <w:pPr>
        <w:spacing w:after="0" w:line="178"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10.8. </w:t>
      </w:r>
      <w:r>
        <w:rPr>
          <w:rFonts w:ascii="Times New Roman" w:cs="Times New Roman" w:eastAsia="Times New Roman" w:hAnsi="Times New Roman"/>
          <w:sz w:val="19"/>
          <w:szCs w:val="19"/>
          <w:u w:val="single" w:color="auto"/>
          <w:color w:val="auto"/>
        </w:rPr>
        <w:t>Loans, Advances and Investments</w:t>
      </w:r>
      <w:r>
        <w:rPr>
          <w:rFonts w:ascii="Times New Roman" w:cs="Times New Roman" w:eastAsia="Times New Roman" w:hAnsi="Times New Roman"/>
          <w:sz w:val="19"/>
          <w:szCs w:val="19"/>
          <w:color w:val="auto"/>
        </w:rPr>
        <w:t xml:space="preserve">. No Restricted Company shall make or suffer to exist any loan, advance, extension of credit or capital contribution to, make any investment in, purchase or commit to purchase any stock or other securities or evidences of Debt of, or interests in, any other Person, or permit to exist Permitted Recourse Obligations constituting Debt,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ind w:firstLine="643"/>
        <w:spacing w:after="0" w:line="300" w:lineRule="auto"/>
        <w:tabs>
          <w:tab w:leader="none" w:pos="1109"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expense accounts for and other loans or advances to its directors, officers, and employees in the ordinary course of business in accordance with applicable Law;</w:t>
      </w:r>
    </w:p>
    <w:p>
      <w:pPr>
        <w:spacing w:after="0" w:line="143" w:lineRule="exact"/>
        <w:rPr>
          <w:rFonts w:ascii="Times New Roman" w:cs="Times New Roman" w:eastAsia="Times New Roman" w:hAnsi="Times New Roman"/>
          <w:sz w:val="19"/>
          <w:szCs w:val="19"/>
          <w:color w:val="auto"/>
        </w:rPr>
      </w:pPr>
    </w:p>
    <w:p>
      <w:pPr>
        <w:jc w:val="both"/>
        <w:ind w:firstLine="643"/>
        <w:spacing w:after="0" w:line="274" w:lineRule="auto"/>
        <w:tabs>
          <w:tab w:leader="none" w:pos="1083"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marketable obligations issued or unconditionally guaranteed by an Approved Jurisdiction or issued by an agency of an Approved Jurisdiction and backed by the full faith and credit of such Approved Jurisdiction, in each case maturing within one year from the date of acquisition;</w:t>
      </w:r>
    </w:p>
    <w:p>
      <w:pPr>
        <w:spacing w:after="0" w:line="153" w:lineRule="exact"/>
        <w:rPr>
          <w:rFonts w:ascii="Times New Roman" w:cs="Times New Roman" w:eastAsia="Times New Roman" w:hAnsi="Times New Roman"/>
          <w:sz w:val="19"/>
          <w:szCs w:val="19"/>
          <w:color w:val="auto"/>
        </w:rPr>
      </w:pPr>
    </w:p>
    <w:p>
      <w:pPr>
        <w:jc w:val="both"/>
        <w:ind w:firstLine="643"/>
        <w:spacing w:after="0" w:line="270" w:lineRule="auto"/>
        <w:tabs>
          <w:tab w:leader="none" w:pos="1088"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short-term investment grade domestic and eurodollar certificates of deposit or time deposits that are fully insured by the Federal Deposit Insurance Corporation or similar agency of an Approved Jurisdiction or are issued by commercial banks organized under the Laws of an Approved Jurisdiction or any state or province of an Approved Jurisdiction having combined capital, surplus, and undivided profits of not less than $100,000,000 (as shown on its most recently published statement of condition);</w:t>
      </w:r>
    </w:p>
    <w:p>
      <w:pPr>
        <w:spacing w:after="0" w:line="168" w:lineRule="exact"/>
        <w:rPr>
          <w:rFonts w:ascii="Times New Roman" w:cs="Times New Roman" w:eastAsia="Times New Roman" w:hAnsi="Times New Roman"/>
          <w:sz w:val="19"/>
          <w:szCs w:val="19"/>
          <w:color w:val="auto"/>
        </w:rPr>
      </w:pPr>
    </w:p>
    <w:p>
      <w:pPr>
        <w:ind w:left="1060" w:hanging="417"/>
        <w:spacing w:after="0"/>
        <w:tabs>
          <w:tab w:leader="none" w:pos="106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commercial paper and similar obligations rated </w:t>
      </w:r>
      <w:r>
        <w:rPr>
          <w:rFonts w:ascii="Times New Roman" w:cs="Times New Roman" w:eastAsia="Times New Roman" w:hAnsi="Times New Roman"/>
          <w:sz w:val="19"/>
          <w:szCs w:val="19"/>
          <w:i w:val="1"/>
          <w:iCs w:val="1"/>
          <w:color w:val="auto"/>
        </w:rPr>
        <w:t>“P-1”</w:t>
      </w:r>
      <w:r>
        <w:rPr>
          <w:rFonts w:ascii="Times New Roman" w:cs="Times New Roman" w:eastAsia="Times New Roman" w:hAnsi="Times New Roman"/>
          <w:sz w:val="19"/>
          <w:szCs w:val="19"/>
          <w:color w:val="auto"/>
        </w:rPr>
        <w:t xml:space="preserve"> by Moody’s or </w:t>
      </w:r>
      <w:r>
        <w:rPr>
          <w:rFonts w:ascii="Times New Roman" w:cs="Times New Roman" w:eastAsia="Times New Roman" w:hAnsi="Times New Roman"/>
          <w:sz w:val="19"/>
          <w:szCs w:val="19"/>
          <w:i w:val="1"/>
          <w:iCs w:val="1"/>
          <w:color w:val="auto"/>
        </w:rPr>
        <w:t>“A-1”</w:t>
      </w:r>
      <w:r>
        <w:rPr>
          <w:rFonts w:ascii="Times New Roman" w:cs="Times New Roman" w:eastAsia="Times New Roman" w:hAnsi="Times New Roman"/>
          <w:sz w:val="19"/>
          <w:szCs w:val="19"/>
          <w:color w:val="auto"/>
        </w:rPr>
        <w:t xml:space="preserve"> by S&amp;P;</w:t>
      </w:r>
    </w:p>
    <w:p>
      <w:pPr>
        <w:spacing w:after="0" w:line="219" w:lineRule="exact"/>
        <w:rPr>
          <w:rFonts w:ascii="Times New Roman" w:cs="Times New Roman" w:eastAsia="Times New Roman" w:hAnsi="Times New Roman"/>
          <w:sz w:val="19"/>
          <w:szCs w:val="19"/>
          <w:color w:val="auto"/>
        </w:rPr>
      </w:pPr>
    </w:p>
    <w:p>
      <w:pPr>
        <w:ind w:firstLine="643"/>
        <w:spacing w:after="0" w:line="302" w:lineRule="auto"/>
        <w:tabs>
          <w:tab w:leader="none" w:pos="1062"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readily marketable Tax-free municipal bonds of a domestic issuer rated </w:t>
      </w:r>
      <w:r>
        <w:rPr>
          <w:rFonts w:ascii="Times New Roman" w:cs="Times New Roman" w:eastAsia="Times New Roman" w:hAnsi="Times New Roman"/>
          <w:sz w:val="19"/>
          <w:szCs w:val="19"/>
          <w:i w:val="1"/>
          <w:iCs w:val="1"/>
          <w:color w:val="auto"/>
        </w:rPr>
        <w:t>“A-2”</w:t>
      </w:r>
      <w:r>
        <w:rPr>
          <w:rFonts w:ascii="Times New Roman" w:cs="Times New Roman" w:eastAsia="Times New Roman" w:hAnsi="Times New Roman"/>
          <w:sz w:val="19"/>
          <w:szCs w:val="19"/>
          <w:color w:val="auto"/>
        </w:rPr>
        <w:t xml:space="preserve"> or better by Moody’s or </w:t>
      </w:r>
      <w:r>
        <w:rPr>
          <w:rFonts w:ascii="Times New Roman" w:cs="Times New Roman" w:eastAsia="Times New Roman" w:hAnsi="Times New Roman"/>
          <w:sz w:val="19"/>
          <w:szCs w:val="19"/>
          <w:i w:val="1"/>
          <w:iCs w:val="1"/>
          <w:color w:val="auto"/>
        </w:rPr>
        <w:t>“A”</w:t>
      </w:r>
      <w:r>
        <w:rPr>
          <w:rFonts w:ascii="Times New Roman" w:cs="Times New Roman" w:eastAsia="Times New Roman" w:hAnsi="Times New Roman"/>
          <w:sz w:val="19"/>
          <w:szCs w:val="19"/>
          <w:color w:val="auto"/>
        </w:rPr>
        <w:t xml:space="preserve"> or better by S&amp;P, and maturing within one year from the date of issuance;</w:t>
      </w:r>
    </w:p>
    <w:p>
      <w:pPr>
        <w:spacing w:after="0" w:line="124" w:lineRule="exact"/>
        <w:rPr>
          <w:rFonts w:ascii="Times New Roman" w:cs="Times New Roman" w:eastAsia="Times New Roman" w:hAnsi="Times New Roman"/>
          <w:sz w:val="19"/>
          <w:szCs w:val="19"/>
          <w:color w:val="auto"/>
        </w:rPr>
      </w:pPr>
    </w:p>
    <w:p>
      <w:pPr>
        <w:ind w:left="1040" w:hanging="397"/>
        <w:spacing w:after="0"/>
        <w:tabs>
          <w:tab w:leader="none" w:pos="104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mutual funds or money market accounts investing primarily in items described in clauses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b w:val="1"/>
          <w:bCs w:val="1"/>
          <w:i w:val="1"/>
          <w:iCs w:val="1"/>
          <w:color w:val="auto"/>
        </w:rPr>
        <w:t>(e)</w:t>
      </w:r>
      <w:r>
        <w:rPr>
          <w:rFonts w:ascii="Times New Roman" w:cs="Times New Roman" w:eastAsia="Times New Roman" w:hAnsi="Times New Roman"/>
          <w:sz w:val="19"/>
          <w:szCs w:val="19"/>
          <w:color w:val="auto"/>
        </w:rPr>
        <w:t xml:space="preserve"> above;</w:t>
      </w:r>
    </w:p>
    <w:p>
      <w:pPr>
        <w:spacing w:after="0" w:line="236" w:lineRule="exact"/>
        <w:rPr>
          <w:rFonts w:ascii="Times New Roman" w:cs="Times New Roman" w:eastAsia="Times New Roman" w:hAnsi="Times New Roman"/>
          <w:sz w:val="19"/>
          <w:szCs w:val="19"/>
          <w:color w:val="auto"/>
        </w:rPr>
      </w:pPr>
    </w:p>
    <w:p>
      <w:pPr>
        <w:ind w:left="1060" w:hanging="417"/>
        <w:spacing w:after="0"/>
        <w:tabs>
          <w:tab w:leader="none" w:pos="106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demand deposit accounts maintained in the ordinary course of business;</w:t>
      </w:r>
    </w:p>
    <w:p>
      <w:pPr>
        <w:spacing w:after="0" w:line="232" w:lineRule="exact"/>
        <w:rPr>
          <w:rFonts w:ascii="Times New Roman" w:cs="Times New Roman" w:eastAsia="Times New Roman" w:hAnsi="Times New Roman"/>
          <w:sz w:val="19"/>
          <w:szCs w:val="19"/>
          <w:color w:val="auto"/>
        </w:rPr>
      </w:pPr>
    </w:p>
    <w:p>
      <w:pPr>
        <w:ind w:firstLine="643"/>
        <w:spacing w:after="0" w:line="285" w:lineRule="auto"/>
        <w:tabs>
          <w:tab w:leader="none" w:pos="1065"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current trade and customer accounts receivable that are for goods furnished or services rendered in the ordinary course of business and that are payable in accordance with customary trade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ectPr>
          <w:pgSz w:w="11900" w:h="16838" w:orient="portrait"/>
          <w:cols w:equalWidth="0" w:num="1">
            <w:col w:w="11240"/>
          </w:cols>
          <w:pgMar w:left="320" w:top="1386" w:right="339" w:bottom="1440" w:gutter="0" w:footer="0" w:header="0"/>
        </w:sectPr>
      </w:pPr>
    </w:p>
    <w:bookmarkStart w:id="207" w:name="page208"/>
    <w:bookmarkEnd w:id="207"/>
    <w:p>
      <w:pPr>
        <w:ind w:firstLine="643"/>
        <w:spacing w:after="0" w:line="300" w:lineRule="auto"/>
        <w:tabs>
          <w:tab w:leader="none" w:pos="1058"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Hedges existing on the date hereof which have previously been approved by Administrative Agent and other Financial Hedges entered into after the date hereof under terms reasonably acceptable to Administrative Agent;</w:t>
      </w:r>
    </w:p>
    <w:p>
      <w:pPr>
        <w:spacing w:after="0" w:line="130" w:lineRule="exact"/>
        <w:rPr>
          <w:rFonts w:ascii="Times New Roman" w:cs="Times New Roman" w:eastAsia="Times New Roman" w:hAnsi="Times New Roman"/>
          <w:sz w:val="19"/>
          <w:szCs w:val="19"/>
          <w:color w:val="auto"/>
        </w:rPr>
      </w:pPr>
    </w:p>
    <w:p>
      <w:pPr>
        <w:jc w:val="both"/>
        <w:ind w:firstLine="643"/>
        <w:spacing w:after="0" w:line="270" w:lineRule="auto"/>
        <w:tabs>
          <w:tab w:leader="none" w:pos="1054"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advances, and investments of the Restricted Companies existing as of April 30, 2018 (i) in the Existing Housing Districts, Existing Metro Districts, and Keystone/IntraWest LLC, which investments are identified on </w:t>
      </w:r>
      <w:r>
        <w:rPr>
          <w:rFonts w:ascii="Times New Roman" w:cs="Times New Roman" w:eastAsia="Times New Roman" w:hAnsi="Times New Roman"/>
          <w:sz w:val="19"/>
          <w:szCs w:val="19"/>
          <w:b w:val="1"/>
          <w:bCs w:val="1"/>
          <w:i w:val="1"/>
          <w:iCs w:val="1"/>
          <w:color w:val="auto"/>
        </w:rPr>
        <w:t>part (a)</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i w:val="1"/>
          <w:iCs w:val="1"/>
          <w:color w:val="auto"/>
        </w:rPr>
        <w:t>Schedule 10.8</w:t>
      </w:r>
      <w:r>
        <w:rPr>
          <w:rFonts w:ascii="Times New Roman" w:cs="Times New Roman" w:eastAsia="Times New Roman" w:hAnsi="Times New Roman"/>
          <w:sz w:val="19"/>
          <w:szCs w:val="19"/>
          <w:color w:val="auto"/>
        </w:rPr>
        <w:t xml:space="preserve">, and (ii) in Persons other than Restricted Companies, Existing Housing Districts, Existing Metro Districts, and Keystone IntraWest LLC, which loans and investments are identified on </w:t>
      </w:r>
      <w:r>
        <w:rPr>
          <w:rFonts w:ascii="Times New Roman" w:cs="Times New Roman" w:eastAsia="Times New Roman" w:hAnsi="Times New Roman"/>
          <w:sz w:val="19"/>
          <w:szCs w:val="19"/>
          <w:b w:val="1"/>
          <w:bCs w:val="1"/>
          <w:i w:val="1"/>
          <w:iCs w:val="1"/>
          <w:color w:val="auto"/>
        </w:rPr>
        <w:t>part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i w:val="1"/>
          <w:iCs w:val="1"/>
          <w:color w:val="auto"/>
        </w:rPr>
        <w:t>Schedule 10.8</w:t>
      </w:r>
      <w:r>
        <w:rPr>
          <w:rFonts w:ascii="Times New Roman" w:cs="Times New Roman" w:eastAsia="Times New Roman" w:hAnsi="Times New Roman"/>
          <w:sz w:val="19"/>
          <w:szCs w:val="19"/>
          <w:color w:val="auto"/>
        </w:rPr>
        <w:t>;</w:t>
      </w:r>
    </w:p>
    <w:p>
      <w:pPr>
        <w:spacing w:after="0" w:line="170" w:lineRule="exact"/>
        <w:rPr>
          <w:rFonts w:ascii="Times New Roman" w:cs="Times New Roman" w:eastAsia="Times New Roman" w:hAnsi="Times New Roman"/>
          <w:sz w:val="19"/>
          <w:szCs w:val="19"/>
          <w:color w:val="auto"/>
        </w:rPr>
      </w:pPr>
    </w:p>
    <w:p>
      <w:pPr>
        <w:ind w:firstLine="643"/>
        <w:spacing w:after="0" w:line="285" w:lineRule="auto"/>
        <w:tabs>
          <w:tab w:leader="none" w:pos="1117"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additional loans, advances, and investments in Restricted Companies, including, without limitation, investments in Persons that become Restricted Subsidiaries upon transactions consummated in compliance with </w:t>
      </w:r>
      <w:r>
        <w:rPr>
          <w:rFonts w:ascii="Times New Roman" w:cs="Times New Roman" w:eastAsia="Times New Roman" w:hAnsi="Times New Roman"/>
          <w:sz w:val="19"/>
          <w:szCs w:val="19"/>
          <w:b w:val="1"/>
          <w:bCs w:val="1"/>
          <w:i w:val="1"/>
          <w:iCs w:val="1"/>
          <w:color w:val="auto"/>
        </w:rPr>
        <w:t>Section 10.11</w:t>
      </w:r>
      <w:r>
        <w:rPr>
          <w:rFonts w:ascii="Times New Roman" w:cs="Times New Roman" w:eastAsia="Times New Roman" w:hAnsi="Times New Roman"/>
          <w:sz w:val="19"/>
          <w:szCs w:val="19"/>
          <w:color w:val="auto"/>
        </w:rPr>
        <w:t xml:space="preserve"> herein;</w:t>
      </w:r>
    </w:p>
    <w:p>
      <w:pPr>
        <w:spacing w:after="0" w:line="157" w:lineRule="exact"/>
        <w:rPr>
          <w:rFonts w:ascii="Times New Roman" w:cs="Times New Roman" w:eastAsia="Times New Roman" w:hAnsi="Times New Roman"/>
          <w:sz w:val="19"/>
          <w:szCs w:val="19"/>
          <w:color w:val="auto"/>
        </w:rPr>
      </w:pPr>
    </w:p>
    <w:p>
      <w:pPr>
        <w:jc w:val="both"/>
        <w:ind w:firstLine="643"/>
        <w:spacing w:after="0" w:line="261" w:lineRule="auto"/>
        <w:tabs>
          <w:tab w:leader="none" w:pos="1037"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advances, and investments in Similar Businesses (including, without limitation, any loans, advances, and investments made in any Unrestricted Subsidiaries in a Similar Business and the amount of any Permitted Recourse Obligations constituting Debt and other credit support and contingent obligations with respect to Debt of such Unrestricted Subsidiaries),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(i) no Default or Potential Default exists or arises, and (ii) the aggregate amount of all loans, advances, and investments made pursuant to this </w:t>
      </w:r>
      <w:r>
        <w:rPr>
          <w:rFonts w:ascii="Times New Roman" w:cs="Times New Roman" w:eastAsia="Times New Roman" w:hAnsi="Times New Roman"/>
          <w:sz w:val="19"/>
          <w:szCs w:val="19"/>
          <w:b w:val="1"/>
          <w:bCs w:val="1"/>
          <w:i w:val="1"/>
          <w:iCs w:val="1"/>
          <w:color w:val="auto"/>
        </w:rPr>
        <w:t>clause (l)</w:t>
      </w:r>
      <w:r>
        <w:rPr>
          <w:rFonts w:ascii="Times New Roman" w:cs="Times New Roman" w:eastAsia="Times New Roman" w:hAnsi="Times New Roman"/>
          <w:sz w:val="19"/>
          <w:szCs w:val="19"/>
          <w:color w:val="auto"/>
        </w:rPr>
        <w:t xml:space="preserve"> (determined with respect to each such loan and advance based on the value thereof on the date of determination, determined with respect to each such investment based on the value thereof on the date made, and determined with respect to each such Permitted Recourse Obligation constituting Debt and other credit support and contingent obligation based on the maximum potential financial exposure therefrom on the date of determination) does not exceed the Investment Limit (Similar Businesses);</w:t>
      </w:r>
    </w:p>
    <w:p>
      <w:pPr>
        <w:spacing w:after="0" w:line="181" w:lineRule="exact"/>
        <w:rPr>
          <w:rFonts w:ascii="Times New Roman" w:cs="Times New Roman" w:eastAsia="Times New Roman" w:hAnsi="Times New Roman"/>
          <w:sz w:val="19"/>
          <w:szCs w:val="19"/>
          <w:color w:val="auto"/>
        </w:rPr>
      </w:pPr>
    </w:p>
    <w:p>
      <w:pPr>
        <w:jc w:val="both"/>
        <w:ind w:firstLine="643"/>
        <w:spacing w:after="0" w:line="261" w:lineRule="auto"/>
        <w:tabs>
          <w:tab w:leader="none" w:pos="1198"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advances, and investments in joint ventures in which a Restricted Company has an Equity Interest (including, without limitation, credit support and contingent obligations with respect to Debt of such joint ventures),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(i) no Default or Potential Default exists or arises, and (ii) the aggregate amount of all loans, advances, and investments made pursuant to this </w:t>
      </w:r>
      <w:r>
        <w:rPr>
          <w:rFonts w:ascii="Times New Roman" w:cs="Times New Roman" w:eastAsia="Times New Roman" w:hAnsi="Times New Roman"/>
          <w:sz w:val="19"/>
          <w:szCs w:val="19"/>
          <w:b w:val="1"/>
          <w:bCs w:val="1"/>
          <w:i w:val="1"/>
          <w:iCs w:val="1"/>
          <w:color w:val="auto"/>
        </w:rPr>
        <w:t>clause (m)</w:t>
      </w:r>
      <w:r>
        <w:rPr>
          <w:rFonts w:ascii="Times New Roman" w:cs="Times New Roman" w:eastAsia="Times New Roman" w:hAnsi="Times New Roman"/>
          <w:sz w:val="19"/>
          <w:szCs w:val="19"/>
          <w:color w:val="auto"/>
        </w:rPr>
        <w:t xml:space="preserve"> (determined with respect to each such loan and advance based on the value thereof on the date of determination, determined with respect to each such investment based on the value thereof on the date made, and determined with respect to each such credit support and contingent obligation based on the maximum potential financial exposure therefrom on the date of determination) does not exceed the Investment Limit (Joint Ventures);</w:t>
      </w:r>
    </w:p>
    <w:p>
      <w:pPr>
        <w:spacing w:after="0" w:line="179" w:lineRule="exact"/>
        <w:rPr>
          <w:rFonts w:ascii="Times New Roman" w:cs="Times New Roman" w:eastAsia="Times New Roman" w:hAnsi="Times New Roman"/>
          <w:sz w:val="19"/>
          <w:szCs w:val="19"/>
          <w:color w:val="auto"/>
        </w:rPr>
      </w:pPr>
    </w:p>
    <w:p>
      <w:pPr>
        <w:ind w:left="1060" w:hanging="417"/>
        <w:spacing w:after="0"/>
        <w:tabs>
          <w:tab w:leader="none" w:pos="106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investments:</w:t>
      </w:r>
    </w:p>
    <w:p>
      <w:pPr>
        <w:spacing w:after="0" w:line="233" w:lineRule="exact"/>
        <w:rPr>
          <w:sz w:val="20"/>
          <w:szCs w:val="20"/>
          <w:color w:val="auto"/>
        </w:rPr>
      </w:pPr>
    </w:p>
    <w:p>
      <w:pPr>
        <w:ind w:left="1280" w:hanging="637"/>
        <w:spacing w:after="0"/>
        <w:tabs>
          <w:tab w:leader="none" w:pos="1280"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capital contribution, in an amount not to exceed $650,000, in Boulder/Beaver LLC;</w:t>
      </w:r>
    </w:p>
    <w:p>
      <w:pPr>
        <w:spacing w:after="0" w:line="219" w:lineRule="exact"/>
        <w:rPr>
          <w:rFonts w:ascii="Times New Roman" w:cs="Times New Roman" w:eastAsia="Times New Roman" w:hAnsi="Times New Roman"/>
          <w:sz w:val="19"/>
          <w:szCs w:val="19"/>
          <w:color w:val="auto"/>
        </w:rPr>
      </w:pPr>
    </w:p>
    <w:p>
      <w:pPr>
        <w:jc w:val="both"/>
        <w:ind w:firstLine="643"/>
        <w:spacing w:after="0" w:line="267" w:lineRule="auto"/>
        <w:tabs>
          <w:tab w:leader="none" w:pos="1272"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workers compensation reserve account, established pursuant to a self-insurance permit from the Department of Labor or comparable agency in any state in which the Companies’ businesses are located, invested exclusively in items described in </w:t>
      </w:r>
      <w:r>
        <w:rPr>
          <w:rFonts w:ascii="Times New Roman" w:cs="Times New Roman" w:eastAsia="Times New Roman" w:hAnsi="Times New Roman"/>
          <w:sz w:val="19"/>
          <w:szCs w:val="19"/>
          <w:b w:val="1"/>
          <w:bCs w:val="1"/>
          <w:i w:val="1"/>
          <w:iCs w:val="1"/>
          <w:color w:val="auto"/>
        </w:rPr>
        <w:t>clauses (b)</w:t>
      </w:r>
      <w:r>
        <w:rPr>
          <w:rFonts w:ascii="Times New Roman" w:cs="Times New Roman" w:eastAsia="Times New Roman" w:hAnsi="Times New Roman"/>
          <w:sz w:val="19"/>
          <w:szCs w:val="19"/>
          <w:color w:val="auto"/>
        </w:rPr>
        <w:t xml:space="preserve"> through</w:t>
      </w:r>
    </w:p>
    <w:p>
      <w:pPr>
        <w:ind w:left="240" w:hanging="234"/>
        <w:spacing w:after="0"/>
        <w:tabs>
          <w:tab w:leader="none" w:pos="240" w:val="left"/>
        </w:tabs>
        <w:numPr>
          <w:ilvl w:val="0"/>
          <w:numId w:val="18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above; and</w:t>
      </w:r>
    </w:p>
    <w:p>
      <w:pPr>
        <w:spacing w:after="0" w:line="210" w:lineRule="exact"/>
        <w:rPr>
          <w:rFonts w:ascii="Times New Roman" w:cs="Times New Roman" w:eastAsia="Times New Roman" w:hAnsi="Times New Roman"/>
          <w:sz w:val="19"/>
          <w:szCs w:val="19"/>
          <w:b w:val="1"/>
          <w:bCs w:val="1"/>
          <w:i w:val="1"/>
          <w:iCs w:val="1"/>
          <w:color w:val="auto"/>
        </w:rPr>
      </w:pPr>
    </w:p>
    <w:p>
      <w:pPr>
        <w:ind w:firstLine="643"/>
        <w:spacing w:after="0" w:line="300" w:lineRule="auto"/>
        <w:tabs>
          <w:tab w:leader="none" w:pos="1273" w:val="left"/>
        </w:tabs>
        <w:numPr>
          <w:ilvl w:val="1"/>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loans and contributions to employees for investments in employee residences as part of such employees’ compensation packages not to exceed $10,000,000 in the aggregate;</w:t>
      </w:r>
    </w:p>
    <w:p>
      <w:pPr>
        <w:spacing w:after="0" w:line="126" w:lineRule="exact"/>
        <w:rPr>
          <w:sz w:val="20"/>
          <w:szCs w:val="20"/>
          <w:color w:val="auto"/>
        </w:rPr>
      </w:pPr>
    </w:p>
    <w:p>
      <w:pPr>
        <w:ind w:firstLine="643"/>
        <w:spacing w:after="0" w:line="304" w:lineRule="auto"/>
        <w:tabs>
          <w:tab w:leader="none" w:pos="1091"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no Default or Potential Default exists or arises, investments set forth on </w:t>
      </w:r>
      <w:r>
        <w:rPr>
          <w:rFonts w:ascii="Times New Roman" w:cs="Times New Roman" w:eastAsia="Times New Roman" w:hAnsi="Times New Roman"/>
          <w:sz w:val="19"/>
          <w:szCs w:val="19"/>
          <w:b w:val="1"/>
          <w:bCs w:val="1"/>
          <w:i w:val="1"/>
          <w:iCs w:val="1"/>
          <w:color w:val="auto"/>
        </w:rPr>
        <w:t>part (c)</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i w:val="1"/>
          <w:iCs w:val="1"/>
          <w:color w:val="auto"/>
        </w:rPr>
        <w:t>Schedule 10.8</w:t>
      </w:r>
      <w:r>
        <w:rPr>
          <w:rFonts w:ascii="Times New Roman" w:cs="Times New Roman" w:eastAsia="Times New Roman" w:hAnsi="Times New Roman"/>
          <w:sz w:val="19"/>
          <w:szCs w:val="19"/>
          <w:color w:val="auto"/>
        </w:rPr>
        <w:t>, which investments are made (i) as a result of the exercise of put options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ectPr>
          <w:pgSz w:w="11900" w:h="16838" w:orient="portrait"/>
          <w:cols w:equalWidth="0" w:num="1">
            <w:col w:w="11240"/>
          </w:cols>
          <w:pgMar w:left="320" w:top="1390"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9"/>
          <w:szCs w:val="19"/>
          <w:color w:val="auto"/>
        </w:rPr>
        <w:t xml:space="preserve">owners thereof, and (ii) in accordance with the agreements set forth on </w:t>
      </w:r>
      <w:r>
        <w:rPr>
          <w:rFonts w:ascii="Times New Roman" w:cs="Times New Roman" w:eastAsia="Times New Roman" w:hAnsi="Times New Roman"/>
          <w:sz w:val="19"/>
          <w:szCs w:val="19"/>
          <w:b w:val="1"/>
          <w:bCs w:val="1"/>
          <w:i w:val="1"/>
          <w:iCs w:val="1"/>
          <w:color w:val="auto"/>
        </w:rPr>
        <w:t>part (c)</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i w:val="1"/>
          <w:iCs w:val="1"/>
          <w:color w:val="auto"/>
        </w:rPr>
        <w:t>Schedule 10.8</w:t>
      </w:r>
      <w:r>
        <w:rPr>
          <w:rFonts w:ascii="Times New Roman" w:cs="Times New Roman" w:eastAsia="Times New Roman" w:hAnsi="Times New Roman"/>
          <w:sz w:val="19"/>
          <w:szCs w:val="19"/>
          <w:color w:val="auto"/>
        </w:rPr>
        <w:t xml:space="preserve"> as in effect on the Closing Date;</w:t>
      </w:r>
    </w:p>
    <w:p>
      <w:pPr>
        <w:spacing w:after="0" w:line="237" w:lineRule="exact"/>
        <w:rPr>
          <w:sz w:val="20"/>
          <w:szCs w:val="20"/>
          <w:color w:val="auto"/>
        </w:rPr>
      </w:pPr>
    </w:p>
    <w:p>
      <w:pPr>
        <w:jc w:val="both"/>
        <w:ind w:firstLine="643"/>
        <w:spacing w:after="0" w:line="274" w:lineRule="auto"/>
        <w:tabs>
          <w:tab w:leader="none" w:pos="1098"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short-term repurchase agreements with major banks and authorized dealers, fully collateralized to at least 100% of market value by marketable obligations issued or unconditionally guaranteed by an Approved Jurisdiction or issued by any agency of an Approved Jurisdiction and backed by the full faith and credit of such Approved Jurisdiction;</w:t>
      </w:r>
    </w:p>
    <w:p>
      <w:pPr>
        <w:spacing w:after="0" w:line="151" w:lineRule="exact"/>
        <w:rPr>
          <w:rFonts w:ascii="Times New Roman" w:cs="Times New Roman" w:eastAsia="Times New Roman" w:hAnsi="Times New Roman"/>
          <w:sz w:val="19"/>
          <w:szCs w:val="19"/>
          <w:color w:val="auto"/>
        </w:rPr>
      </w:pPr>
    </w:p>
    <w:p>
      <w:pPr>
        <w:jc w:val="both"/>
        <w:ind w:firstLine="643"/>
        <w:spacing w:after="0" w:line="270" w:lineRule="auto"/>
        <w:tabs>
          <w:tab w:leader="none" w:pos="1061"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short-term variable rate demand notes that invest in tax-free municipal bonds of domestic issuers rated “</w:t>
      </w:r>
      <w:r>
        <w:rPr>
          <w:rFonts w:ascii="Times New Roman" w:cs="Times New Roman" w:eastAsia="Times New Roman" w:hAnsi="Times New Roman"/>
          <w:sz w:val="19"/>
          <w:szCs w:val="19"/>
          <w:i w:val="1"/>
          <w:iCs w:val="1"/>
          <w:color w:val="auto"/>
        </w:rPr>
        <w:t>A-2</w:t>
      </w:r>
      <w:r>
        <w:rPr>
          <w:rFonts w:ascii="Times New Roman" w:cs="Times New Roman" w:eastAsia="Times New Roman" w:hAnsi="Times New Roman"/>
          <w:sz w:val="19"/>
          <w:szCs w:val="19"/>
          <w:color w:val="auto"/>
        </w:rPr>
        <w:t>” or better by Moody’s or “</w:t>
      </w:r>
      <w:r>
        <w:rPr>
          <w:rFonts w:ascii="Times New Roman" w:cs="Times New Roman" w:eastAsia="Times New Roman" w:hAnsi="Times New Roman"/>
          <w:sz w:val="19"/>
          <w:szCs w:val="19"/>
          <w:i w:val="1"/>
          <w:iCs w:val="1"/>
          <w:color w:val="auto"/>
        </w:rPr>
        <w:t>A</w:t>
      </w:r>
      <w:r>
        <w:rPr>
          <w:rFonts w:ascii="Times New Roman" w:cs="Times New Roman" w:eastAsia="Times New Roman" w:hAnsi="Times New Roman"/>
          <w:sz w:val="19"/>
          <w:szCs w:val="19"/>
          <w:color w:val="auto"/>
        </w:rPr>
        <w:t>” or better by S&amp;P that are supported by irrevocable letters of credit issued by commercial banks organized under the laws of an Approved Jurisdiction or any state or province of an Approved Jurisdiction having combined capital, surplus, and undivided profits of not less than $100,000,000;</w:t>
      </w:r>
    </w:p>
    <w:p>
      <w:pPr>
        <w:spacing w:after="0" w:line="172" w:lineRule="exact"/>
        <w:rPr>
          <w:rFonts w:ascii="Times New Roman" w:cs="Times New Roman" w:eastAsia="Times New Roman" w:hAnsi="Times New Roman"/>
          <w:sz w:val="19"/>
          <w:szCs w:val="19"/>
          <w:color w:val="auto"/>
        </w:rPr>
      </w:pPr>
    </w:p>
    <w:p>
      <w:pPr>
        <w:jc w:val="both"/>
        <w:ind w:firstLine="643"/>
        <w:spacing w:after="0" w:line="274" w:lineRule="auto"/>
        <w:tabs>
          <w:tab w:leader="none" w:pos="1025"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no Default or Potential Default exists or arises, loans to Persons in which a Restricted Company does not have an Equity Interest,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the aggregate amount of all loans made pursuant to this </w:t>
      </w:r>
      <w:r>
        <w:rPr>
          <w:rFonts w:ascii="Times New Roman" w:cs="Times New Roman" w:eastAsia="Times New Roman" w:hAnsi="Times New Roman"/>
          <w:sz w:val="19"/>
          <w:szCs w:val="19"/>
          <w:b w:val="1"/>
          <w:bCs w:val="1"/>
          <w:i w:val="1"/>
          <w:iCs w:val="1"/>
          <w:color w:val="auto"/>
        </w:rPr>
        <w:t>clause (r)</w:t>
      </w:r>
      <w:r>
        <w:rPr>
          <w:rFonts w:ascii="Times New Roman" w:cs="Times New Roman" w:eastAsia="Times New Roman" w:hAnsi="Times New Roman"/>
          <w:sz w:val="19"/>
          <w:szCs w:val="19"/>
          <w:color w:val="auto"/>
        </w:rPr>
        <w:t xml:space="preserve"> (determined with respect to each such loan based on the value thereof on the date of determination) does not exceed $15,000,000;</w:t>
      </w:r>
    </w:p>
    <w:p>
      <w:pPr>
        <w:spacing w:after="0" w:line="165" w:lineRule="exact"/>
        <w:rPr>
          <w:rFonts w:ascii="Times New Roman" w:cs="Times New Roman" w:eastAsia="Times New Roman" w:hAnsi="Times New Roman"/>
          <w:sz w:val="19"/>
          <w:szCs w:val="19"/>
          <w:color w:val="auto"/>
        </w:rPr>
      </w:pPr>
    </w:p>
    <w:p>
      <w:pPr>
        <w:jc w:val="both"/>
        <w:ind w:firstLine="643"/>
        <w:spacing w:after="0" w:line="266" w:lineRule="auto"/>
        <w:tabs>
          <w:tab w:leader="none" w:pos="1126"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Permitted Recourse Obligations not constituting Debt;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for the avoidance of doubt, if an event or circumstance occurs that triggers a direct payment liability or reimbursement obligation (as opposed to a contingent or performance obligation) of any Restricted Company to a lender or other party to whom such Permitted Recourse Obligation is owed, then such Permitted Recourse Obligation will no longer be permitted pursuant to this </w:t>
      </w:r>
      <w:r>
        <w:rPr>
          <w:rFonts w:ascii="Times New Roman" w:cs="Times New Roman" w:eastAsia="Times New Roman" w:hAnsi="Times New Roman"/>
          <w:sz w:val="19"/>
          <w:szCs w:val="19"/>
          <w:b w:val="1"/>
          <w:bCs w:val="1"/>
          <w:i w:val="1"/>
          <w:iCs w:val="1"/>
          <w:color w:val="auto"/>
        </w:rPr>
        <w:t>clause (s)</w:t>
      </w:r>
      <w:r>
        <w:rPr>
          <w:rFonts w:ascii="Times New Roman" w:cs="Times New Roman" w:eastAsia="Times New Roman" w:hAnsi="Times New Roman"/>
          <w:sz w:val="19"/>
          <w:szCs w:val="19"/>
          <w:color w:val="auto"/>
        </w:rPr>
        <w:t>;</w:t>
      </w:r>
    </w:p>
    <w:p>
      <w:pPr>
        <w:spacing w:after="0" w:line="174" w:lineRule="exact"/>
        <w:rPr>
          <w:rFonts w:ascii="Times New Roman" w:cs="Times New Roman" w:eastAsia="Times New Roman" w:hAnsi="Times New Roman"/>
          <w:sz w:val="19"/>
          <w:szCs w:val="19"/>
          <w:color w:val="auto"/>
        </w:rPr>
      </w:pPr>
    </w:p>
    <w:p>
      <w:pPr>
        <w:jc w:val="both"/>
        <w:ind w:firstLine="643"/>
        <w:spacing w:after="0" w:line="261" w:lineRule="auto"/>
        <w:tabs>
          <w:tab w:leader="none" w:pos="1037"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advances, and investments in Similar Businesses (including, without limitation, any loans, advances, and investments made in any Unrestricted Subsidiaries in a Similar Business and the amount of any Permitted Recourse Obligations constituting Debt and other credit support and contingent obligations with respect to Debt of such Unrestricted Subsidiaries) or joint ventures in which a Restricted Company has an Equity Interest (including, without limitation, credit support and contingent obligations with respect to Debt of such joint ventures), </w:t>
      </w:r>
      <w:r>
        <w:rPr>
          <w:rFonts w:ascii="Times New Roman" w:cs="Times New Roman" w:eastAsia="Times New Roman" w:hAnsi="Times New Roman"/>
          <w:sz w:val="19"/>
          <w:szCs w:val="19"/>
          <w:i w:val="1"/>
          <w:iCs w:val="1"/>
          <w:color w:val="auto"/>
        </w:rPr>
        <w:t>so long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as </w:t>
      </w:r>
      <w:r>
        <w:rPr>
          <w:rFonts w:ascii="Times New Roman" w:cs="Times New Roman" w:eastAsia="Times New Roman" w:hAnsi="Times New Roman"/>
          <w:sz w:val="19"/>
          <w:szCs w:val="19"/>
          <w:color w:val="auto"/>
        </w:rPr>
        <w:t>(i) no Default or Potential Default exists or arises, (ii) Borrower has delivered to Administrative Agent a certificate reflecting Availability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and Unrestricted Cash in an aggregate amount of </w:t>
      </w:r>
      <w:r>
        <w:rPr>
          <w:rFonts w:ascii="Times New Roman" w:cs="Times New Roman" w:eastAsia="Times New Roman" w:hAnsi="Times New Roman"/>
          <w:sz w:val="19"/>
          <w:szCs w:val="19"/>
          <w:i w:val="1"/>
          <w:iCs w:val="1"/>
          <w:color w:val="auto"/>
        </w:rPr>
        <w:t>at least</w:t>
      </w:r>
      <w:r>
        <w:rPr>
          <w:rFonts w:ascii="Times New Roman" w:cs="Times New Roman" w:eastAsia="Times New Roman" w:hAnsi="Times New Roman"/>
          <w:sz w:val="19"/>
          <w:szCs w:val="19"/>
          <w:color w:val="auto"/>
        </w:rPr>
        <w:t xml:space="preserve"> $150,000,000 immediately after giving effect to such loan, advance, or investment, and (iii) the Total Leverage Ratio is less than 3.75 to 1.00;</w:t>
      </w:r>
    </w:p>
    <w:p>
      <w:pPr>
        <w:spacing w:after="0" w:line="180" w:lineRule="exact"/>
        <w:rPr>
          <w:rFonts w:ascii="Times New Roman" w:cs="Times New Roman" w:eastAsia="Times New Roman" w:hAnsi="Times New Roman"/>
          <w:sz w:val="19"/>
          <w:szCs w:val="19"/>
          <w:color w:val="auto"/>
        </w:rPr>
      </w:pPr>
    </w:p>
    <w:p>
      <w:pPr>
        <w:ind w:firstLine="643"/>
        <w:spacing w:after="0" w:line="300" w:lineRule="auto"/>
        <w:tabs>
          <w:tab w:leader="none" w:pos="1063"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loans, advances, investments in the Whistler Acquisition Subsidiaries required to consummate the Whistler Acquisition and (ii) loans, advances, investments in the Peak Resorts Acquisition Subsidiaries to consummate the Peak Resorts Acquisition;</w:t>
      </w:r>
    </w:p>
    <w:p>
      <w:pPr>
        <w:spacing w:after="0" w:line="130" w:lineRule="exact"/>
        <w:rPr>
          <w:rFonts w:ascii="Times New Roman" w:cs="Times New Roman" w:eastAsia="Times New Roman" w:hAnsi="Times New Roman"/>
          <w:sz w:val="19"/>
          <w:szCs w:val="19"/>
          <w:color w:val="auto"/>
        </w:rPr>
      </w:pPr>
    </w:p>
    <w:p>
      <w:pPr>
        <w:jc w:val="both"/>
        <w:ind w:firstLine="643"/>
        <w:spacing w:after="0" w:line="274" w:lineRule="auto"/>
        <w:tabs>
          <w:tab w:leader="none" w:pos="1161"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advances, and investments in Unrestricted Subsidiaries as contemplated by the Whistler Acquisition Agreement, in an equivalent amount to any Distributions made by Borrower and permitted pursuant to </w:t>
      </w:r>
      <w:r>
        <w:rPr>
          <w:rFonts w:ascii="Times New Roman" w:cs="Times New Roman" w:eastAsia="Times New Roman" w:hAnsi="Times New Roman"/>
          <w:sz w:val="19"/>
          <w:szCs w:val="19"/>
          <w:b w:val="1"/>
          <w:bCs w:val="1"/>
          <w:i w:val="1"/>
          <w:iCs w:val="1"/>
          <w:color w:val="auto"/>
        </w:rPr>
        <w:t>Section 10.9</w:t>
      </w:r>
      <w:r>
        <w:rPr>
          <w:rFonts w:ascii="Times New Roman" w:cs="Times New Roman" w:eastAsia="Times New Roman" w:hAnsi="Times New Roman"/>
          <w:sz w:val="19"/>
          <w:szCs w:val="19"/>
          <w:color w:val="auto"/>
        </w:rPr>
        <w:t>, in order to enable an equivalent Distribution to be made to the holders of the Equity Interests of Exchangeco or any successor entity thereto; and</w:t>
      </w:r>
    </w:p>
    <w:p>
      <w:pPr>
        <w:spacing w:after="0" w:line="167" w:lineRule="exact"/>
        <w:rPr>
          <w:rFonts w:ascii="Times New Roman" w:cs="Times New Roman" w:eastAsia="Times New Roman" w:hAnsi="Times New Roman"/>
          <w:sz w:val="19"/>
          <w:szCs w:val="19"/>
          <w:color w:val="auto"/>
        </w:rPr>
      </w:pPr>
    </w:p>
    <w:p>
      <w:pPr>
        <w:ind w:left="1100" w:hanging="457"/>
        <w:spacing w:after="0"/>
        <w:tabs>
          <w:tab w:leader="none" w:pos="1100"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Equity Hedges in connection with the issuance of convertible debt securities.</w:t>
      </w:r>
    </w:p>
    <w:p>
      <w:pPr>
        <w:spacing w:after="0" w:line="22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10.9.</w:t>
      </w:r>
      <w:r>
        <w:rPr>
          <w:sz w:val="20"/>
          <w:szCs w:val="20"/>
          <w:color w:val="auto"/>
        </w:rPr>
        <w:tab/>
      </w:r>
      <w:r>
        <w:rPr>
          <w:rFonts w:ascii="Times New Roman" w:cs="Times New Roman" w:eastAsia="Times New Roman" w:hAnsi="Times New Roman"/>
          <w:sz w:val="19"/>
          <w:szCs w:val="19"/>
          <w:u w:val="single" w:color="auto"/>
          <w:color w:val="auto"/>
        </w:rPr>
        <w:t>Distributions</w:t>
      </w:r>
      <w:r>
        <w:rPr>
          <w:rFonts w:ascii="Times New Roman" w:cs="Times New Roman" w:eastAsia="Times New Roman" w:hAnsi="Times New Roman"/>
          <w:sz w:val="19"/>
          <w:szCs w:val="19"/>
          <w:color w:val="auto"/>
        </w:rPr>
        <w:t>. Except as set forth on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b w:val="1"/>
          <w:bCs w:val="1"/>
          <w:i w:val="1"/>
          <w:iCs w:val="1"/>
          <w:color w:val="auto"/>
        </w:rPr>
        <w:t>Schedule 10.9</w:t>
      </w:r>
      <w:r>
        <w:rPr>
          <w:rFonts w:ascii="Times New Roman" w:cs="Times New Roman" w:eastAsia="Times New Roman" w:hAnsi="Times New Roman"/>
          <w:sz w:val="19"/>
          <w:szCs w:val="19"/>
          <w:color w:val="auto"/>
        </w:rPr>
        <w:t>, no Restricted Company shall make any Distribution,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95</w:t>
      </w:r>
    </w:p>
    <w:p>
      <w:pPr>
        <w:sectPr>
          <w:pgSz w:w="11900" w:h="16838" w:orient="portrait"/>
          <w:cols w:equalWidth="0" w:num="1">
            <w:col w:w="11240"/>
          </w:cols>
          <w:pgMar w:left="320" w:top="1386" w:right="339" w:bottom="1440" w:gutter="0" w:footer="0" w:header="0"/>
        </w:sectPr>
      </w:pPr>
    </w:p>
    <w:bookmarkStart w:id="209" w:name="page210"/>
    <w:bookmarkEnd w:id="209"/>
    <w:p>
      <w:pPr>
        <w:ind w:left="1200" w:hanging="398"/>
        <w:spacing w:after="0"/>
        <w:tabs>
          <w:tab w:leader="none" w:pos="120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VRI may make payments of approximately $100,000 accruing to certain option holders;</w:t>
      </w:r>
    </w:p>
    <w:p>
      <w:pPr>
        <w:spacing w:after="0" w:line="232" w:lineRule="exact"/>
        <w:rPr>
          <w:rFonts w:ascii="Times New Roman" w:cs="Times New Roman" w:eastAsia="Times New Roman" w:hAnsi="Times New Roman"/>
          <w:sz w:val="19"/>
          <w:szCs w:val="19"/>
          <w:color w:val="auto"/>
        </w:rPr>
      </w:pPr>
    </w:p>
    <w:p>
      <w:pPr>
        <w:ind w:left="1220" w:hanging="418"/>
        <w:spacing w:after="0"/>
        <w:tabs>
          <w:tab w:leader="none" w:pos="122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Company may make Distributions to a Restricted Company;</w:t>
      </w:r>
    </w:p>
    <w:p>
      <w:pPr>
        <w:spacing w:after="0" w:line="219" w:lineRule="exact"/>
        <w:rPr>
          <w:rFonts w:ascii="Times New Roman" w:cs="Times New Roman" w:eastAsia="Times New Roman" w:hAnsi="Times New Roman"/>
          <w:sz w:val="19"/>
          <w:szCs w:val="19"/>
          <w:color w:val="auto"/>
        </w:rPr>
      </w:pPr>
    </w:p>
    <w:p>
      <w:pPr>
        <w:jc w:val="both"/>
        <w:ind w:firstLine="802"/>
        <w:spacing w:after="0" w:line="268" w:lineRule="auto"/>
        <w:tabs>
          <w:tab w:leader="none" w:pos="1261"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VRI issues any Subordinated Debt which is subsequently converted to preferred stock, VRI may, if no Default or Potential Default exists (or would result therefrom), pay dividends on such stock at an annual rate which is less than or equal to the annual rate of interest payable on such Subordinated Debt prior to its conversion, so long as the terms on such preferred stock are no more favorable to the holders of the preferred stock than the terms afforded to the holders of the Subordinated Debt set forth in the indenture and other documents evidencing or executed in connection with such Subordinated Debt;</w:t>
      </w:r>
    </w:p>
    <w:p>
      <w:pPr>
        <w:spacing w:after="0" w:line="159" w:lineRule="exact"/>
        <w:rPr>
          <w:rFonts w:ascii="Times New Roman" w:cs="Times New Roman" w:eastAsia="Times New Roman" w:hAnsi="Times New Roman"/>
          <w:sz w:val="19"/>
          <w:szCs w:val="19"/>
          <w:color w:val="auto"/>
        </w:rPr>
      </w:pPr>
    </w:p>
    <w:p>
      <w:pPr>
        <w:ind w:left="1220" w:hanging="418"/>
        <w:spacing w:after="0"/>
        <w:tabs>
          <w:tab w:leader="none" w:pos="122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VRI may make additional Distributions as follows:</w:t>
      </w:r>
    </w:p>
    <w:p>
      <w:pPr>
        <w:spacing w:after="0" w:line="233" w:lineRule="exact"/>
        <w:rPr>
          <w:sz w:val="20"/>
          <w:szCs w:val="20"/>
          <w:color w:val="auto"/>
        </w:rPr>
      </w:pPr>
    </w:p>
    <w:p>
      <w:pPr>
        <w:jc w:val="both"/>
        <w:ind w:firstLine="802"/>
        <w:spacing w:after="0" w:line="259" w:lineRule="auto"/>
        <w:tabs>
          <w:tab w:leader="none" w:pos="1289"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no Default or Potential Default exists or arises after giving pro forma effect thereto, (B) Borrower has delivered to Administrative Agent a certificate reflecting Availability and Unrestricted Cash in an aggregate amount of at least $150,000,000 immediately after giving effect to such Distribution, and (C) the Total Leverage Ratio equals or exceeds 3.75 to 1.00, then VRI may make Distributions in an amount, when aggregated with all other Distributions by VRI from and after the Closing Date (including, without limitation, all Distributions pursuant to this </w:t>
      </w:r>
      <w:r>
        <w:rPr>
          <w:rFonts w:ascii="Times New Roman" w:cs="Times New Roman" w:eastAsia="Times New Roman" w:hAnsi="Times New Roman"/>
          <w:sz w:val="19"/>
          <w:szCs w:val="19"/>
          <w:b w:val="1"/>
          <w:bCs w:val="1"/>
          <w:i w:val="1"/>
          <w:iCs w:val="1"/>
          <w:color w:val="auto"/>
        </w:rPr>
        <w:t>clause (d)(i)</w:t>
      </w:r>
      <w:r>
        <w:rPr>
          <w:rFonts w:ascii="Times New Roman" w:cs="Times New Roman" w:eastAsia="Times New Roman" w:hAnsi="Times New Roman"/>
          <w:sz w:val="19"/>
          <w:szCs w:val="19"/>
          <w:color w:val="auto"/>
        </w:rPr>
        <w:t xml:space="preserve">, but excluding all Distributions pursuant to </w:t>
      </w:r>
      <w:r>
        <w:rPr>
          <w:rFonts w:ascii="Times New Roman" w:cs="Times New Roman" w:eastAsia="Times New Roman" w:hAnsi="Times New Roman"/>
          <w:sz w:val="19"/>
          <w:szCs w:val="19"/>
          <w:b w:val="1"/>
          <w:bCs w:val="1"/>
          <w:i w:val="1"/>
          <w:iCs w:val="1"/>
          <w:color w:val="auto"/>
        </w:rPr>
        <w:t>clauses (d)(ii)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(e)</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b w:val="1"/>
          <w:bCs w:val="1"/>
          <w:i w:val="1"/>
          <w:iCs w:val="1"/>
          <w:color w:val="auto"/>
        </w:rPr>
        <w:t>(h)</w:t>
      </w:r>
      <w:r>
        <w:rPr>
          <w:rFonts w:ascii="Times New Roman" w:cs="Times New Roman" w:eastAsia="Times New Roman" w:hAnsi="Times New Roman"/>
          <w:sz w:val="19"/>
          <w:szCs w:val="19"/>
          <w:color w:val="auto"/>
        </w:rPr>
        <w:t xml:space="preserve"> below), not to exceed the sum of (v) $200,000,000,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(w) 50% of Consolidated Net Income from and after February 1, 2014 (determined as of the last day of the most-recently-ended fiscal quarter of the Restricted Companies),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(x) if Consolidated Net Income from and after February 1, 2014 (determined as of the last day of the most-recently-ended fiscal quarter of the Restricted Companies) is a deficit, 100% of such deficit,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(y) 100% of the Restricted Companies’ net cash proceeds from the issuance of Equity Interests by any Restricted Company from and after the Closing Date, </w:t>
      </w:r>
      <w:r>
        <w:rPr>
          <w:rFonts w:ascii="Times New Roman" w:cs="Times New Roman" w:eastAsia="Times New Roman" w:hAnsi="Times New Roman"/>
          <w:sz w:val="19"/>
          <w:szCs w:val="19"/>
          <w:i w:val="1"/>
          <w:iCs w:val="1"/>
          <w:color w:val="auto"/>
        </w:rPr>
        <w:t xml:space="preserve">minus </w:t>
      </w:r>
      <w:r>
        <w:rPr>
          <w:rFonts w:ascii="Times New Roman" w:cs="Times New Roman" w:eastAsia="Times New Roman" w:hAnsi="Times New Roman"/>
          <w:sz w:val="19"/>
          <w:szCs w:val="19"/>
          <w:color w:val="auto"/>
        </w:rPr>
        <w:t>(z) the sum of repayments of Subordinated Debt, High-Yield Debt or Convertible Debt Securities pursuant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Section 10.2(a)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than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such repayment in connection with a refinancing of Subordinated Debt, High-Yield Debt or Convertible Debt Securities, as applicable, permitted under this Agreement);</w:t>
      </w:r>
    </w:p>
    <w:p>
      <w:pPr>
        <w:spacing w:after="0" w:line="181" w:lineRule="exact"/>
        <w:rPr>
          <w:rFonts w:ascii="Times New Roman" w:cs="Times New Roman" w:eastAsia="Times New Roman" w:hAnsi="Times New Roman"/>
          <w:sz w:val="19"/>
          <w:szCs w:val="19"/>
          <w:color w:val="auto"/>
        </w:rPr>
      </w:pPr>
    </w:p>
    <w:p>
      <w:pPr>
        <w:jc w:val="both"/>
        <w:ind w:firstLine="802"/>
        <w:spacing w:after="0" w:line="270" w:lineRule="auto"/>
        <w:tabs>
          <w:tab w:leader="none" w:pos="1334"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no Default or Potential Default exists or arises after giving pro forma effect thereto, (B) Borrower has delivered to Administrative Agent a certificate reflecting Availability and Unrestricted Cash in an aggregate amount of </w:t>
      </w:r>
      <w:r>
        <w:rPr>
          <w:rFonts w:ascii="Times New Roman" w:cs="Times New Roman" w:eastAsia="Times New Roman" w:hAnsi="Times New Roman"/>
          <w:sz w:val="19"/>
          <w:szCs w:val="19"/>
          <w:i w:val="1"/>
          <w:iCs w:val="1"/>
          <w:color w:val="auto"/>
        </w:rPr>
        <w:t>at least</w:t>
      </w:r>
      <w:r>
        <w:rPr>
          <w:rFonts w:ascii="Times New Roman" w:cs="Times New Roman" w:eastAsia="Times New Roman" w:hAnsi="Times New Roman"/>
          <w:sz w:val="19"/>
          <w:szCs w:val="19"/>
          <w:color w:val="auto"/>
        </w:rPr>
        <w:t xml:space="preserve"> $75,000,000 immediately after giving effect to such Distribution, and (C) the Total Leverage Ratio is less than 3.75 to 1.00, then VRI may make Distributions in an unlimited amount; and</w:t>
      </w:r>
    </w:p>
    <w:p>
      <w:pPr>
        <w:spacing w:after="0" w:line="157" w:lineRule="exact"/>
        <w:rPr>
          <w:rFonts w:ascii="Times New Roman" w:cs="Times New Roman" w:eastAsia="Times New Roman" w:hAnsi="Times New Roman"/>
          <w:sz w:val="19"/>
          <w:szCs w:val="19"/>
          <w:color w:val="auto"/>
        </w:rPr>
      </w:pPr>
    </w:p>
    <w:p>
      <w:pPr>
        <w:jc w:val="both"/>
        <w:ind w:firstLine="802"/>
        <w:spacing w:after="0" w:line="270" w:lineRule="auto"/>
        <w:tabs>
          <w:tab w:leader="none" w:pos="1273"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no Default or Potential Default exists or arises after giving pro forma effect thereto, then VRI may pay dividends in an amount not to exceed, for any fiscal quarter, the greater of (a) $160,000,000, or (b) an amount equal to twenty percent (20%) of Adjusted EBITDA for the trailing twelve month period ended on the last day of the most-recently ended fiscal quarter (as calculated in the Compliance Certificate most-recently delivered pursuant to </w:t>
      </w:r>
      <w:r>
        <w:rPr>
          <w:rFonts w:ascii="Times New Roman" w:cs="Times New Roman" w:eastAsia="Times New Roman" w:hAnsi="Times New Roman"/>
          <w:sz w:val="19"/>
          <w:szCs w:val="19"/>
          <w:b w:val="1"/>
          <w:bCs w:val="1"/>
          <w:i w:val="1"/>
          <w:iCs w:val="1"/>
          <w:color w:val="auto"/>
        </w:rPr>
        <w:t>Section 9.1(a)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ind w:firstLine="802"/>
        <w:spacing w:after="0" w:line="268" w:lineRule="auto"/>
        <w:tabs>
          <w:tab w:leader="none" w:pos="1248"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no Default or Potential Default exists or arises after giving pro forma effect thereto, VRI may make Distributions on Equity Interests (other than Disqualified Equity Interests) payable solely in the form of common stock or other common equity interests of VRI;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 </w:t>
      </w:r>
      <w:r>
        <w:rPr>
          <w:rFonts w:ascii="Times New Roman" w:cs="Times New Roman" w:eastAsia="Times New Roman" w:hAnsi="Times New Roman"/>
          <w:sz w:val="19"/>
          <w:szCs w:val="19"/>
          <w:color w:val="auto"/>
        </w:rPr>
        <w:t>VRI may make Distributions on Disqualified Equity Interests in the form of additional Disqualified Equity Interests of the same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96</w:t>
      </w:r>
    </w:p>
    <w:p>
      <w:pPr>
        <w:sectPr>
          <w:pgSz w:w="11900" w:h="16838" w:orient="portrait"/>
          <w:cols w:equalWidth="0" w:num="1">
            <w:col w:w="11240"/>
          </w:cols>
          <w:pgMar w:left="320" w:top="1390" w:right="339" w:bottom="1440" w:gutter="0" w:footer="0" w:header="0"/>
        </w:sectPr>
      </w:pPr>
    </w:p>
    <w:bookmarkStart w:id="210" w:name="page211"/>
    <w:bookmarkEnd w:id="210"/>
    <w:p>
      <w:pPr>
        <w:ind w:firstLine="802"/>
        <w:spacing w:after="0" w:line="300" w:lineRule="auto"/>
        <w:tabs>
          <w:tab w:leader="none" w:pos="1193"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no Default or Potential Default exists or arises after giving pro forma effect thereto, the Companies may make Distributions to their respective employees, officers, or directors in an aggregate amount not exceeding $2,000,000 in any twelve (12) month period;</w:t>
      </w:r>
    </w:p>
    <w:p>
      <w:pPr>
        <w:spacing w:after="0" w:line="130" w:lineRule="exact"/>
        <w:rPr>
          <w:rFonts w:ascii="Times New Roman" w:cs="Times New Roman" w:eastAsia="Times New Roman" w:hAnsi="Times New Roman"/>
          <w:sz w:val="19"/>
          <w:szCs w:val="19"/>
          <w:color w:val="auto"/>
        </w:rPr>
      </w:pPr>
    </w:p>
    <w:p>
      <w:pPr>
        <w:jc w:val="both"/>
        <w:ind w:firstLine="802"/>
        <w:spacing w:after="0" w:line="270" w:lineRule="auto"/>
        <w:tabs>
          <w:tab w:leader="none" w:pos="1261"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no Default or Potential Default exists or arises after giving pro forma effect thereto, the redemption, repurchase, or other acquisition of Equity Interests of VRI in exchange for, or out of the net cash proceeds of the substantially concurrent sale (other than to a Subsidiary of VRI) of, Equity Interests of VRI (except for any such redemption, repurchase, or acquisition effected through the concurrent issuance of Disqualified Equity Interests of the same type); and</w:t>
      </w:r>
    </w:p>
    <w:p>
      <w:pPr>
        <w:spacing w:after="0" w:line="170" w:lineRule="exact"/>
        <w:rPr>
          <w:rFonts w:ascii="Times New Roman" w:cs="Times New Roman" w:eastAsia="Times New Roman" w:hAnsi="Times New Roman"/>
          <w:sz w:val="19"/>
          <w:szCs w:val="19"/>
          <w:color w:val="auto"/>
        </w:rPr>
      </w:pPr>
    </w:p>
    <w:p>
      <w:pPr>
        <w:ind w:firstLine="802"/>
        <w:spacing w:after="0" w:line="285" w:lineRule="auto"/>
        <w:tabs>
          <w:tab w:leader="none" w:pos="1324"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no Default or Potential Default exists or arises after giving pro forma effect thereto, any Restricted Company may make Distributions of net cash proceeds from Designated Condominium Sales.</w:t>
      </w:r>
    </w:p>
    <w:p>
      <w:pPr>
        <w:spacing w:after="0" w:line="158"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9"/>
          <w:szCs w:val="19"/>
          <w:color w:val="auto"/>
        </w:rPr>
        <w:t xml:space="preserve">10.10. </w:t>
      </w:r>
      <w:r>
        <w:rPr>
          <w:rFonts w:ascii="Times New Roman" w:cs="Times New Roman" w:eastAsia="Times New Roman" w:hAnsi="Times New Roman"/>
          <w:sz w:val="19"/>
          <w:szCs w:val="19"/>
          <w:u w:val="single" w:color="auto"/>
          <w:color w:val="auto"/>
        </w:rPr>
        <w:t>Sale of Assets</w:t>
      </w:r>
      <w:r>
        <w:rPr>
          <w:rFonts w:ascii="Times New Roman" w:cs="Times New Roman" w:eastAsia="Times New Roman" w:hAnsi="Times New Roman"/>
          <w:sz w:val="19"/>
          <w:szCs w:val="19"/>
          <w:color w:val="auto"/>
        </w:rPr>
        <w:t xml:space="preserve">. No Restricted Company may sell, assign, lease, transfer, or otherwise dispose of Critical Assets in an aggregate amount (taking into account all dispositions after the Closing Date) in excess of 10% of Total Assets (measured prior to giving effect to such sale, assignment, lease transfer or disposal), if the ratio described in </w:t>
      </w:r>
      <w:r>
        <w:rPr>
          <w:rFonts w:ascii="Times New Roman" w:cs="Times New Roman" w:eastAsia="Times New Roman" w:hAnsi="Times New Roman"/>
          <w:sz w:val="19"/>
          <w:szCs w:val="19"/>
          <w:b w:val="1"/>
          <w:bCs w:val="1"/>
          <w:i w:val="1"/>
          <w:iCs w:val="1"/>
          <w:color w:val="auto"/>
        </w:rPr>
        <w:t>Section 11.1</w:t>
      </w:r>
      <w:r>
        <w:rPr>
          <w:rFonts w:ascii="Times New Roman" w:cs="Times New Roman" w:eastAsia="Times New Roman" w:hAnsi="Times New Roman"/>
          <w:sz w:val="19"/>
          <w:szCs w:val="19"/>
          <w:color w:val="auto"/>
        </w:rPr>
        <w:t xml:space="preserve"> would,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(taking the disposition into account), increase as a result of such disposition.</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10.11.  </w:t>
      </w:r>
      <w:r>
        <w:rPr>
          <w:rFonts w:ascii="Times New Roman" w:cs="Times New Roman" w:eastAsia="Times New Roman" w:hAnsi="Times New Roman"/>
          <w:sz w:val="19"/>
          <w:szCs w:val="19"/>
          <w:u w:val="single" w:color="auto"/>
          <w:color w:val="auto"/>
        </w:rPr>
        <w:t>Acquisitions, Mergers, and Dissolutions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802"/>
        <w:spacing w:after="0" w:line="274" w:lineRule="auto"/>
        <w:tabs>
          <w:tab w:leader="none" w:pos="1223"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Restricted Company may not acquire all or any substantial portion of the capital stock (or other equity or voting interests) of any other Person, acquire all or any substantial portion of the assets of any other Person, merge or consolidate with any other Person, or liquidate, wind up or dissolve (or suffer any liquidation or dissolution), except as follows:</w:t>
      </w:r>
    </w:p>
    <w:p>
      <w:pPr>
        <w:spacing w:after="0" w:line="167" w:lineRule="exact"/>
        <w:rPr>
          <w:sz w:val="20"/>
          <w:szCs w:val="20"/>
          <w:color w:val="auto"/>
        </w:rPr>
      </w:pPr>
    </w:p>
    <w:p>
      <w:pPr>
        <w:jc w:val="both"/>
        <w:ind w:firstLine="802"/>
        <w:spacing w:after="0" w:line="265" w:lineRule="auto"/>
        <w:tabs>
          <w:tab w:leader="none" w:pos="1178"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Restricted Company may acquire all or any substantial portion of the capital stock (or other equity or voting interests) issued by any other Restricted Company, acquire all or any substantial portion of the assets of any other Restricted Company, and merge or consolidate with any other Restricted Company (and, in the case of such merger or consolidation or, in the case of the conveyance or distribution of such assets, the non-surviving or selling entity, as the case may be, may be liquidated, wound up or dissolved), </w:t>
      </w:r>
      <w:r>
        <w:rPr>
          <w:rFonts w:ascii="Times New Roman" w:cs="Times New Roman" w:eastAsia="Times New Roman" w:hAnsi="Times New Roman"/>
          <w:sz w:val="19"/>
          <w:szCs w:val="19"/>
          <w:i w:val="1"/>
          <w:iCs w:val="1"/>
          <w:color w:val="auto"/>
        </w:rPr>
        <w:t>so long</w:t>
      </w:r>
      <w:r>
        <w:rPr>
          <w:rFonts w:ascii="Times New Roman" w:cs="Times New Roman" w:eastAsia="Times New Roman" w:hAnsi="Times New Roman"/>
          <w:sz w:val="19"/>
          <w:szCs w:val="19"/>
          <w:color w:val="auto"/>
        </w:rPr>
        <w:t xml:space="preserve"> as:</w:t>
      </w:r>
    </w:p>
    <w:p>
      <w:pPr>
        <w:spacing w:after="0" w:line="176" w:lineRule="exact"/>
        <w:rPr>
          <w:sz w:val="20"/>
          <w:szCs w:val="20"/>
          <w:color w:val="auto"/>
        </w:rPr>
      </w:pPr>
    </w:p>
    <w:p>
      <w:pPr>
        <w:ind w:left="1280" w:hanging="478"/>
        <w:spacing w:after="0"/>
        <w:tabs>
          <w:tab w:leader="none" w:pos="1280"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 merger or consolidation, (1) if VRI is a party to such merger or consolidation, then VRI is the surviving entity,</w:t>
      </w:r>
    </w:p>
    <w:p>
      <w:pPr>
        <w:spacing w:after="0" w:line="29" w:lineRule="exact"/>
        <w:rPr>
          <w:rFonts w:ascii="Times New Roman" w:cs="Times New Roman" w:eastAsia="Times New Roman" w:hAnsi="Times New Roman"/>
          <w:sz w:val="19"/>
          <w:szCs w:val="19"/>
          <w:color w:val="auto"/>
        </w:rPr>
      </w:pPr>
    </w:p>
    <w:p>
      <w:pPr>
        <w:ind w:left="300" w:hanging="294"/>
        <w:spacing w:after="0"/>
        <w:tabs>
          <w:tab w:leader="none" w:pos="30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Borrower is a party to such merger or consolidation, then Borrower is the surviving entity, (3) if neither VRI nor Borrower is a party to</w:t>
      </w:r>
    </w:p>
    <w:p>
      <w:pPr>
        <w:spacing w:after="0" w:line="1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9"/>
          <w:szCs w:val="19"/>
          <w:color w:val="auto"/>
        </w:rPr>
        <w:t xml:space="preserve">such merger or consolidation, then another Restricted Company is the surviving entity, and (4) the surviving entity delivers Guaranties and Security Documents to the extent required under </w:t>
      </w:r>
      <w:r>
        <w:rPr>
          <w:rFonts w:ascii="Times New Roman" w:cs="Times New Roman" w:eastAsia="Times New Roman" w:hAnsi="Times New Roman"/>
          <w:sz w:val="19"/>
          <w:szCs w:val="19"/>
          <w:b w:val="1"/>
          <w:bCs w:val="1"/>
          <w:i w:val="1"/>
          <w:iCs w:val="1"/>
          <w:color w:val="auto"/>
        </w:rPr>
        <w:t>Section 9.10</w:t>
      </w:r>
      <w:r>
        <w:rPr>
          <w:rFonts w:ascii="Times New Roman" w:cs="Times New Roman" w:eastAsia="Times New Roman" w:hAnsi="Times New Roman"/>
          <w:sz w:val="19"/>
          <w:szCs w:val="19"/>
          <w:color w:val="auto"/>
        </w:rPr>
        <w:t>; and</w:t>
      </w:r>
    </w:p>
    <w:p>
      <w:pPr>
        <w:spacing w:after="0" w:line="145" w:lineRule="exact"/>
        <w:rPr>
          <w:sz w:val="20"/>
          <w:szCs w:val="20"/>
          <w:color w:val="auto"/>
        </w:rPr>
      </w:pPr>
    </w:p>
    <w:p>
      <w:pPr>
        <w:ind w:firstLine="802"/>
        <w:spacing w:after="0" w:line="300" w:lineRule="auto"/>
        <w:tabs>
          <w:tab w:leader="none" w:pos="1401"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Critical Assets are acquired by a Restricted Company in connection with the foregoing transactions, such Restricted Company must be in compliance with </w:t>
      </w:r>
      <w:r>
        <w:rPr>
          <w:rFonts w:ascii="Times New Roman" w:cs="Times New Roman" w:eastAsia="Times New Roman" w:hAnsi="Times New Roman"/>
          <w:sz w:val="19"/>
          <w:szCs w:val="19"/>
          <w:b w:val="1"/>
          <w:bCs w:val="1"/>
          <w:i w:val="1"/>
          <w:iCs w:val="1"/>
          <w:color w:val="auto"/>
        </w:rPr>
        <w:t>Section 9.7(b)</w:t>
      </w:r>
      <w:r>
        <w:rPr>
          <w:rFonts w:ascii="Times New Roman" w:cs="Times New Roman" w:eastAsia="Times New Roman" w:hAnsi="Times New Roman"/>
          <w:sz w:val="19"/>
          <w:szCs w:val="19"/>
          <w:color w:val="auto"/>
        </w:rPr>
        <w:t xml:space="preserve"> after giving effect thereto; and</w:t>
      </w:r>
    </w:p>
    <w:p>
      <w:pPr>
        <w:spacing w:after="0" w:line="130" w:lineRule="exact"/>
        <w:rPr>
          <w:sz w:val="20"/>
          <w:szCs w:val="20"/>
          <w:color w:val="auto"/>
        </w:rPr>
      </w:pPr>
    </w:p>
    <w:p>
      <w:pPr>
        <w:jc w:val="both"/>
        <w:ind w:firstLine="802"/>
        <w:spacing w:after="0" w:line="270" w:lineRule="auto"/>
        <w:tabs>
          <w:tab w:leader="none" w:pos="1315"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Restricted Company may acquire all or any substantial portion of the capital stock (or other equity or voting interests) issued by any Person (other than a Restricted Company), acquire all or any substantial portion of the assets of any Person (other than a Restricted Company), or merge or consolidate with any other Person (other than a Restricted Company) (and, in the case of such merger or consolidation, the non-surviving entity may be liquidated, wound up or dissolved),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97</w:t>
      </w:r>
    </w:p>
    <w:p>
      <w:pPr>
        <w:sectPr>
          <w:pgSz w:w="11900" w:h="16838" w:orient="portrait"/>
          <w:cols w:equalWidth="0" w:num="1">
            <w:col w:w="11240"/>
          </w:cols>
          <w:pgMar w:left="320" w:top="1390" w:right="339" w:bottom="1440" w:gutter="0" w:footer="0" w:header="0"/>
        </w:sectPr>
      </w:pPr>
    </w:p>
    <w:bookmarkStart w:id="211" w:name="page212"/>
    <w:bookmarkEnd w:id="211"/>
    <w:p>
      <w:pPr>
        <w:ind w:left="1280" w:hanging="478"/>
        <w:spacing w:after="0"/>
        <w:tabs>
          <w:tab w:leader="none" w:pos="1280"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 merger or consolidation, (1) if VRI is a party to such merger or consolidation, then VRI is the surviving entity,</w:t>
      </w:r>
    </w:p>
    <w:p>
      <w:pPr>
        <w:spacing w:after="0" w:line="34" w:lineRule="exact"/>
        <w:rPr>
          <w:rFonts w:ascii="Times New Roman" w:cs="Times New Roman" w:eastAsia="Times New Roman" w:hAnsi="Times New Roman"/>
          <w:sz w:val="19"/>
          <w:szCs w:val="19"/>
          <w:color w:val="auto"/>
        </w:rPr>
      </w:pPr>
    </w:p>
    <w:p>
      <w:pPr>
        <w:jc w:val="both"/>
        <w:ind w:firstLine="6"/>
        <w:spacing w:after="0" w:line="266" w:lineRule="auto"/>
        <w:tabs>
          <w:tab w:leader="none" w:pos="286"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Borrower is a party to such merger or consolidation, then Borrower is the surviving entity, (3) if neither VRI nor Borrower is a party to such merger or consolidation, then another Restricted Company is the surviving entity and (4) the surviving entity delivers Guaranties and Security Documents to the extent required under </w:t>
      </w:r>
      <w:r>
        <w:rPr>
          <w:rFonts w:ascii="Times New Roman" w:cs="Times New Roman" w:eastAsia="Times New Roman" w:hAnsi="Times New Roman"/>
          <w:sz w:val="19"/>
          <w:szCs w:val="19"/>
          <w:b w:val="1"/>
          <w:bCs w:val="1"/>
          <w:i w:val="1"/>
          <w:iCs w:val="1"/>
          <w:color w:val="auto"/>
        </w:rPr>
        <w:t>Section 9.10</w:t>
      </w:r>
      <w:r>
        <w:rPr>
          <w:rFonts w:ascii="Times New Roman" w:cs="Times New Roman" w:eastAsia="Times New Roman" w:hAnsi="Times New Roman"/>
          <w:sz w:val="19"/>
          <w:szCs w:val="19"/>
          <w:color w:val="auto"/>
        </w:rPr>
        <w:t>;</w:t>
      </w:r>
    </w:p>
    <w:p>
      <w:pPr>
        <w:spacing w:after="0" w:line="161" w:lineRule="exact"/>
        <w:rPr>
          <w:rFonts w:ascii="Times New Roman" w:cs="Times New Roman" w:eastAsia="Times New Roman" w:hAnsi="Times New Roman"/>
          <w:sz w:val="19"/>
          <w:szCs w:val="19"/>
          <w:color w:val="auto"/>
        </w:rPr>
      </w:pPr>
    </w:p>
    <w:p>
      <w:pPr>
        <w:ind w:firstLine="802"/>
        <w:spacing w:after="0" w:line="300" w:lineRule="auto"/>
        <w:tabs>
          <w:tab w:leader="none" w:pos="1401"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Critical Assets are acquired by a Restricted Company in connection with the foregoing transactions, such Restricted Company must be in compliance with </w:t>
      </w:r>
      <w:r>
        <w:rPr>
          <w:rFonts w:ascii="Times New Roman" w:cs="Times New Roman" w:eastAsia="Times New Roman" w:hAnsi="Times New Roman"/>
          <w:sz w:val="19"/>
          <w:szCs w:val="19"/>
          <w:b w:val="1"/>
          <w:bCs w:val="1"/>
          <w:i w:val="1"/>
          <w:iCs w:val="1"/>
          <w:color w:val="auto"/>
        </w:rPr>
        <w:t>Section 9.7(b)</w:t>
      </w:r>
      <w:r>
        <w:rPr>
          <w:rFonts w:ascii="Times New Roman" w:cs="Times New Roman" w:eastAsia="Times New Roman" w:hAnsi="Times New Roman"/>
          <w:sz w:val="19"/>
          <w:szCs w:val="19"/>
          <w:color w:val="auto"/>
        </w:rPr>
        <w:t xml:space="preserve"> after giving effect thereto;</w:t>
      </w:r>
    </w:p>
    <w:p>
      <w:pPr>
        <w:spacing w:after="0" w:line="143" w:lineRule="exact"/>
        <w:rPr>
          <w:rFonts w:ascii="Times New Roman" w:cs="Times New Roman" w:eastAsia="Times New Roman" w:hAnsi="Times New Roman"/>
          <w:sz w:val="19"/>
          <w:szCs w:val="19"/>
          <w:color w:val="auto"/>
        </w:rPr>
      </w:pPr>
    </w:p>
    <w:p>
      <w:pPr>
        <w:ind w:firstLine="802"/>
        <w:spacing w:after="0" w:line="285" w:lineRule="auto"/>
        <w:tabs>
          <w:tab w:leader="none" w:pos="1257"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certifies in writing to Administrative Agent as follows (with such calculations and other supporting evidence attached thereto as Administrative Agent shall request):</w:t>
      </w:r>
    </w:p>
    <w:p>
      <w:pPr>
        <w:spacing w:after="0" w:line="158" w:lineRule="exact"/>
        <w:rPr>
          <w:sz w:val="20"/>
          <w:szCs w:val="20"/>
          <w:color w:val="auto"/>
        </w:rPr>
      </w:pPr>
    </w:p>
    <w:p>
      <w:pPr>
        <w:jc w:val="both"/>
        <w:ind w:firstLine="802"/>
        <w:spacing w:after="0" w:line="270" w:lineRule="auto"/>
        <w:tabs>
          <w:tab w:leader="none" w:pos="1266"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 the ratio of Net Funded Debt on the closing date of the transaction to Adjusted EBITDA for the most-recently-ended four fiscal quarters, after giving pro forma effect to the transaction, is less than or equal to 6.25 to 1.00, and (y) the ratio of outstanding secured Net Funded Debt on the closing date of the transaction to Adjusted EBITDA for the most-recently-ended four fiscal quarters, after giving pro forma effect to the transaction, is less than or equal to 4.00 to 1.00,</w:t>
      </w:r>
    </w:p>
    <w:p>
      <w:pPr>
        <w:spacing w:after="0" w:line="153" w:lineRule="exact"/>
        <w:rPr>
          <w:rFonts w:ascii="Times New Roman" w:cs="Times New Roman" w:eastAsia="Times New Roman" w:hAnsi="Times New Roman"/>
          <w:sz w:val="19"/>
          <w:szCs w:val="19"/>
          <w:color w:val="auto"/>
        </w:rPr>
      </w:pPr>
    </w:p>
    <w:p>
      <w:pPr>
        <w:ind w:left="1220" w:hanging="418"/>
        <w:spacing w:after="0"/>
        <w:tabs>
          <w:tab w:leader="none" w:pos="122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other Person is engaged in a business in which a Restricted Company would be permitted to engage under </w:t>
      </w:r>
      <w:r>
        <w:rPr>
          <w:rFonts w:ascii="Times New Roman" w:cs="Times New Roman" w:eastAsia="Times New Roman" w:hAnsi="Times New Roman"/>
          <w:sz w:val="19"/>
          <w:szCs w:val="19"/>
          <w:b w:val="1"/>
          <w:bCs w:val="1"/>
          <w:i w:val="1"/>
          <w:iCs w:val="1"/>
          <w:color w:val="auto"/>
        </w:rPr>
        <w:t>Section 10.14</w:t>
      </w:r>
      <w:r>
        <w:rPr>
          <w:rFonts w:ascii="Times New Roman" w:cs="Times New Roman" w:eastAsia="Times New Roman" w:hAnsi="Times New Roman"/>
          <w:sz w:val="19"/>
          <w:szCs w:val="19"/>
          <w:color w:val="auto"/>
        </w:rPr>
        <w:t>,</w:t>
      </w:r>
    </w:p>
    <w:p>
      <w:pPr>
        <w:spacing w:after="0" w:line="236" w:lineRule="exact"/>
        <w:rPr>
          <w:rFonts w:ascii="Times New Roman" w:cs="Times New Roman" w:eastAsia="Times New Roman" w:hAnsi="Times New Roman"/>
          <w:sz w:val="19"/>
          <w:szCs w:val="19"/>
          <w:color w:val="auto"/>
        </w:rPr>
      </w:pPr>
    </w:p>
    <w:p>
      <w:pPr>
        <w:ind w:firstLine="802"/>
        <w:spacing w:after="0" w:line="285" w:lineRule="auto"/>
        <w:tabs>
          <w:tab w:leader="none" w:pos="1253"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closing of any such transaction, the transaction has been approved and recommended by the board of directors of the Person to be acquired or from which such business is to be acquired,</w:t>
      </w:r>
    </w:p>
    <w:p>
      <w:pPr>
        <w:spacing w:after="0" w:line="157" w:lineRule="exact"/>
        <w:rPr>
          <w:rFonts w:ascii="Times New Roman" w:cs="Times New Roman" w:eastAsia="Times New Roman" w:hAnsi="Times New Roman"/>
          <w:sz w:val="19"/>
          <w:szCs w:val="19"/>
          <w:color w:val="auto"/>
        </w:rPr>
      </w:pPr>
    </w:p>
    <w:p>
      <w:pPr>
        <w:ind w:firstLine="802"/>
        <w:spacing w:after="0" w:line="300" w:lineRule="auto"/>
        <w:tabs>
          <w:tab w:leader="none" w:pos="1298"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closing of any transaction, after giving effect to such acquisition or merger, the acquiring party is Solvent and the Restricted Companies, on a consolidated basis, are Solvent, and</w:t>
      </w:r>
    </w:p>
    <w:p>
      <w:pPr>
        <w:spacing w:after="0" w:line="130" w:lineRule="exact"/>
        <w:rPr>
          <w:rFonts w:ascii="Times New Roman" w:cs="Times New Roman" w:eastAsia="Times New Roman" w:hAnsi="Times New Roman"/>
          <w:sz w:val="19"/>
          <w:szCs w:val="19"/>
          <w:color w:val="auto"/>
        </w:rPr>
      </w:pPr>
    </w:p>
    <w:p>
      <w:pPr>
        <w:ind w:firstLine="802"/>
        <w:spacing w:after="0" w:line="300" w:lineRule="auto"/>
        <w:tabs>
          <w:tab w:leader="none" w:pos="123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closing of any transaction, no Default or Potential Default exists or shall occur as a result of, and after giving effect to, such transaction, and</w:t>
      </w:r>
    </w:p>
    <w:p>
      <w:pPr>
        <w:spacing w:after="0" w:line="130" w:lineRule="exact"/>
        <w:rPr>
          <w:sz w:val="20"/>
          <w:szCs w:val="20"/>
          <w:color w:val="auto"/>
        </w:rPr>
      </w:pPr>
    </w:p>
    <w:p>
      <w:pPr>
        <w:jc w:val="both"/>
        <w:ind w:firstLine="802"/>
        <w:spacing w:after="0" w:line="261" w:lineRule="auto"/>
        <w:tabs>
          <w:tab w:leader="none" w:pos="141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any such transaction for which the sum of the Purchase Price exceeds $50,000,000, Borrower delivers to Administrative Agent (1) at least 15 days prior to the closing date of the transaction, a written description of the transaction, including the funding sources, the Purchase Price, calculations demonstrating pro forma compliance with the terms and conditions of the Loan Papers after giving effect to the transaction (including compliance with the Restricted Companies’ applicable financial covenants), and estimates of any actual and identifiable cost synergies, and a draft of the applicable purchase agreement or merger agreement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a draft of the applicable purchase agreement or merger agreement is not available at least 15 days prior to the closing date of the transaction, then such draft may be delivered as soon as available, but in any event no later than 5 days prior to the closing date of the transaction), and (2) on or prior to the closing date of the transaction, a copy of the executed purchase agreement or executed merger agreement relating to the transaction (and, to the extent available, all schedules and exhibits thereto).</w:t>
      </w:r>
    </w:p>
    <w:p>
      <w:pPr>
        <w:spacing w:after="0" w:line="183" w:lineRule="exact"/>
        <w:rPr>
          <w:sz w:val="20"/>
          <w:szCs w:val="20"/>
          <w:color w:val="auto"/>
        </w:rPr>
      </w:pPr>
    </w:p>
    <w:p>
      <w:pPr>
        <w:ind w:left="1280" w:hanging="478"/>
        <w:spacing w:after="0"/>
        <w:tabs>
          <w:tab w:leader="none" w:pos="1280"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VRI, VHI and the Whistler Acquisition Subsidiaries may consummate the Whistler Acquisition.</w:t>
      </w:r>
    </w:p>
    <w:p>
      <w:pPr>
        <w:spacing w:after="0" w:line="219" w:lineRule="exact"/>
        <w:rPr>
          <w:rFonts w:ascii="Times New Roman" w:cs="Times New Roman" w:eastAsia="Times New Roman" w:hAnsi="Times New Roman"/>
          <w:sz w:val="19"/>
          <w:szCs w:val="19"/>
          <w:color w:val="auto"/>
        </w:rPr>
      </w:pPr>
    </w:p>
    <w:p>
      <w:pPr>
        <w:ind w:left="1440" w:hanging="638"/>
        <w:spacing w:after="0"/>
        <w:tabs>
          <w:tab w:leader="none" w:pos="1440"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VRAD Holdings, Inc. and the Peak Resorts Acquisition Subsidiaries may consummate the Peak Resorts</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98</w:t>
      </w:r>
    </w:p>
    <w:p>
      <w:pPr>
        <w:sectPr>
          <w:pgSz w:w="11900" w:h="16838" w:orient="portrait"/>
          <w:cols w:equalWidth="0" w:num="1">
            <w:col w:w="11240"/>
          </w:cols>
          <w:pgMar w:left="320" w:top="1390" w:right="339" w:bottom="1440" w:gutter="0" w:footer="0" w:header="0"/>
        </w:sectPr>
      </w:pPr>
    </w:p>
    <w:bookmarkStart w:id="212" w:name="page213"/>
    <w:bookmarkEnd w:id="212"/>
    <w:p>
      <w:pPr>
        <w:ind w:firstLine="802"/>
        <w:spacing w:after="0" w:line="300" w:lineRule="auto"/>
        <w:tabs>
          <w:tab w:leader="none" w:pos="1236"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Restricted Company (other than VRI or Borrower) that does not own any assets may be dissolved provided that Borrower gives Administrative Agent prior written notice of such dissolution.</w:t>
      </w:r>
    </w:p>
    <w:p>
      <w:pPr>
        <w:spacing w:after="0" w:line="126" w:lineRule="exact"/>
        <w:rPr>
          <w:rFonts w:ascii="Times New Roman" w:cs="Times New Roman" w:eastAsia="Times New Roman" w:hAnsi="Times New Roman"/>
          <w:sz w:val="19"/>
          <w:szCs w:val="19"/>
          <w:color w:val="auto"/>
        </w:rPr>
      </w:pPr>
    </w:p>
    <w:p>
      <w:pPr>
        <w:jc w:val="both"/>
        <w:ind w:firstLine="802"/>
        <w:spacing w:after="0" w:line="276" w:lineRule="auto"/>
        <w:tabs>
          <w:tab w:leader="none" w:pos="1214"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limited liability company organized or formed under the laws of the State of Delaware (a “</w:t>
      </w:r>
      <w:r>
        <w:rPr>
          <w:rFonts w:ascii="Times New Roman" w:cs="Times New Roman" w:eastAsia="Times New Roman" w:hAnsi="Times New Roman"/>
          <w:sz w:val="19"/>
          <w:szCs w:val="19"/>
          <w:b w:val="1"/>
          <w:bCs w:val="1"/>
          <w:i w:val="1"/>
          <w:iCs w:val="1"/>
          <w:color w:val="auto"/>
        </w:rPr>
        <w:t>Delaware LLC</w:t>
      </w:r>
      <w:r>
        <w:rPr>
          <w:rFonts w:ascii="Times New Roman" w:cs="Times New Roman" w:eastAsia="Times New Roman" w:hAnsi="Times New Roman"/>
          <w:sz w:val="19"/>
          <w:szCs w:val="19"/>
          <w:color w:val="auto"/>
        </w:rPr>
        <w:t>”) shall divide into two or more Delaware LLCs pursuant to Section 18-217 of the Delaware Limited Liability Company Act without giving Administrative Agent prior written notice of such division.</w:t>
      </w:r>
    </w:p>
    <w:p>
      <w:pPr>
        <w:spacing w:after="0" w:line="166" w:lineRule="exact"/>
        <w:rPr>
          <w:sz w:val="20"/>
          <w:szCs w:val="20"/>
          <w:color w:val="auto"/>
        </w:rPr>
      </w:pPr>
    </w:p>
    <w:p>
      <w:pPr>
        <w:jc w:val="both"/>
        <w:ind w:right="20" w:firstLine="637"/>
        <w:spacing w:after="0" w:line="300" w:lineRule="auto"/>
        <w:rPr>
          <w:sz w:val="20"/>
          <w:szCs w:val="20"/>
          <w:color w:val="auto"/>
        </w:rPr>
      </w:pPr>
      <w:r>
        <w:rPr>
          <w:rFonts w:ascii="Times New Roman" w:cs="Times New Roman" w:eastAsia="Times New Roman" w:hAnsi="Times New Roman"/>
          <w:sz w:val="19"/>
          <w:szCs w:val="19"/>
          <w:color w:val="auto"/>
        </w:rPr>
        <w:t xml:space="preserve">10.12. </w:t>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No Restricted Company shall assign or transfer any of its Rights or cause to be delegated its duties or obligations under any of the Loan Papers.</w:t>
      </w:r>
    </w:p>
    <w:p>
      <w:pPr>
        <w:spacing w:after="0" w:line="128" w:lineRule="exact"/>
        <w:rPr>
          <w:sz w:val="20"/>
          <w:szCs w:val="20"/>
          <w:color w:val="auto"/>
        </w:rPr>
      </w:pPr>
    </w:p>
    <w:p>
      <w:pPr>
        <w:jc w:val="both"/>
        <w:ind w:firstLine="637"/>
        <w:spacing w:after="0" w:line="268" w:lineRule="auto"/>
        <w:rPr>
          <w:sz w:val="20"/>
          <w:szCs w:val="20"/>
          <w:color w:val="auto"/>
        </w:rPr>
      </w:pPr>
      <w:r>
        <w:rPr>
          <w:rFonts w:ascii="Times New Roman" w:cs="Times New Roman" w:eastAsia="Times New Roman" w:hAnsi="Times New Roman"/>
          <w:sz w:val="19"/>
          <w:szCs w:val="19"/>
          <w:color w:val="auto"/>
        </w:rPr>
        <w:t xml:space="preserve">10.13. </w:t>
      </w:r>
      <w:r>
        <w:rPr>
          <w:rFonts w:ascii="Times New Roman" w:cs="Times New Roman" w:eastAsia="Times New Roman" w:hAnsi="Times New Roman"/>
          <w:sz w:val="19"/>
          <w:szCs w:val="19"/>
          <w:u w:val="single" w:color="auto"/>
          <w:color w:val="auto"/>
        </w:rPr>
        <w:t>Fiscal Year and Accounting Methods</w:t>
      </w:r>
      <w:r>
        <w:rPr>
          <w:rFonts w:ascii="Times New Roman" w:cs="Times New Roman" w:eastAsia="Times New Roman" w:hAnsi="Times New Roman"/>
          <w:sz w:val="19"/>
          <w:szCs w:val="19"/>
          <w:color w:val="auto"/>
        </w:rPr>
        <w:t>. No Restricted Company shall change its method of accounting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immaterial changes in methods or as required by GAAP), nor, without first obtaining Administrative Agent’s written consent, change its fiscal year. In the event that any Restricted Company changes its fiscal year, to the extent requested by Administrative Agent or Required Lenders, Borrower, Administrative Agent, Required Lenders, and Guarantors agree to negotiate such amendments to this Agreement and other Loan Papers as necessary to effect the change of its fiscal year.</w:t>
      </w:r>
    </w:p>
    <w:p>
      <w:pPr>
        <w:spacing w:after="0" w:line="160"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9"/>
          <w:szCs w:val="19"/>
          <w:color w:val="auto"/>
        </w:rPr>
        <w:t xml:space="preserve">10.14. </w:t>
      </w:r>
      <w:r>
        <w:rPr>
          <w:rFonts w:ascii="Times New Roman" w:cs="Times New Roman" w:eastAsia="Times New Roman" w:hAnsi="Times New Roman"/>
          <w:sz w:val="19"/>
          <w:szCs w:val="19"/>
          <w:u w:val="single" w:color="auto"/>
          <w:color w:val="auto"/>
        </w:rPr>
        <w:t>New Businesses</w:t>
      </w:r>
      <w:r>
        <w:rPr>
          <w:rFonts w:ascii="Times New Roman" w:cs="Times New Roman" w:eastAsia="Times New Roman" w:hAnsi="Times New Roman"/>
          <w:sz w:val="19"/>
          <w:szCs w:val="19"/>
          <w:color w:val="auto"/>
        </w:rPr>
        <w:t xml:space="preserve">. No Restricted Company shall engage in any business,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the businesses in which they are engaged on the Closing Date and any other Similar Business; </w:t>
      </w:r>
      <w:r>
        <w:rPr>
          <w:rFonts w:ascii="Times New Roman" w:cs="Times New Roman" w:eastAsia="Times New Roman" w:hAnsi="Times New Roman"/>
          <w:sz w:val="19"/>
          <w:szCs w:val="19"/>
          <w:i w:val="1"/>
          <w:iCs w:val="1"/>
          <w:color w:val="auto"/>
        </w:rPr>
        <w:t>provided, however, that</w:t>
      </w:r>
      <w:r>
        <w:rPr>
          <w:rFonts w:ascii="Times New Roman" w:cs="Times New Roman" w:eastAsia="Times New Roman" w:hAnsi="Times New Roman"/>
          <w:sz w:val="19"/>
          <w:szCs w:val="19"/>
          <w:color w:val="auto"/>
        </w:rPr>
        <w:t xml:space="preserve"> the foregoing shall not be construed to prohibit the cessation by any Restricted Company of its business activities or the sale or transfer of the business or assets of such Restricted Company to the extent not otherwise prohibited by this Agreement.</w:t>
      </w:r>
    </w:p>
    <w:p>
      <w:pPr>
        <w:spacing w:after="0" w:line="173" w:lineRule="exact"/>
        <w:rPr>
          <w:sz w:val="20"/>
          <w:szCs w:val="20"/>
          <w:color w:val="auto"/>
        </w:rPr>
      </w:pPr>
    </w:p>
    <w:p>
      <w:pPr>
        <w:jc w:val="both"/>
        <w:ind w:firstLine="637"/>
        <w:spacing w:after="0" w:line="285" w:lineRule="auto"/>
        <w:rPr>
          <w:sz w:val="20"/>
          <w:szCs w:val="20"/>
          <w:color w:val="auto"/>
        </w:rPr>
      </w:pPr>
      <w:r>
        <w:rPr>
          <w:rFonts w:ascii="Times New Roman" w:cs="Times New Roman" w:eastAsia="Times New Roman" w:hAnsi="Times New Roman"/>
          <w:sz w:val="19"/>
          <w:szCs w:val="19"/>
          <w:color w:val="auto"/>
        </w:rPr>
        <w:t xml:space="preserve">10.15. </w:t>
      </w:r>
      <w:r>
        <w:rPr>
          <w:rFonts w:ascii="Times New Roman" w:cs="Times New Roman" w:eastAsia="Times New Roman" w:hAnsi="Times New Roman"/>
          <w:sz w:val="19"/>
          <w:szCs w:val="19"/>
          <w:u w:val="single" w:color="auto"/>
          <w:color w:val="auto"/>
        </w:rPr>
        <w:t>Government Regulations</w:t>
      </w:r>
      <w:r>
        <w:rPr>
          <w:rFonts w:ascii="Times New Roman" w:cs="Times New Roman" w:eastAsia="Times New Roman" w:hAnsi="Times New Roman"/>
          <w:sz w:val="19"/>
          <w:szCs w:val="19"/>
          <w:color w:val="auto"/>
        </w:rPr>
        <w:t xml:space="preserve">. No Restricted Company shall conduct its business in a way that it becomes regulated under the </w:t>
      </w:r>
      <w:r>
        <w:rPr>
          <w:rFonts w:ascii="Times New Roman" w:cs="Times New Roman" w:eastAsia="Times New Roman" w:hAnsi="Times New Roman"/>
          <w:sz w:val="19"/>
          <w:szCs w:val="19"/>
          <w:i w:val="1"/>
          <w:iCs w:val="1"/>
          <w:color w:val="auto"/>
        </w:rPr>
        <w:t>Investment Company Act of 1940</w:t>
      </w:r>
      <w:r>
        <w:rPr>
          <w:rFonts w:ascii="Times New Roman" w:cs="Times New Roman" w:eastAsia="Times New Roman" w:hAnsi="Times New Roman"/>
          <w:sz w:val="19"/>
          <w:szCs w:val="19"/>
          <w:color w:val="auto"/>
        </w:rPr>
        <w:t>, as amended.</w:t>
      </w:r>
    </w:p>
    <w:p>
      <w:pPr>
        <w:spacing w:after="0" w:line="158" w:lineRule="exact"/>
        <w:rPr>
          <w:sz w:val="20"/>
          <w:szCs w:val="20"/>
          <w:color w:val="auto"/>
        </w:rPr>
      </w:pPr>
    </w:p>
    <w:p>
      <w:pPr>
        <w:jc w:val="both"/>
        <w:ind w:firstLine="637"/>
        <w:spacing w:after="0" w:line="258" w:lineRule="auto"/>
        <w:rPr>
          <w:sz w:val="20"/>
          <w:szCs w:val="20"/>
          <w:color w:val="auto"/>
        </w:rPr>
      </w:pPr>
      <w:r>
        <w:rPr>
          <w:rFonts w:ascii="Times New Roman" w:cs="Times New Roman" w:eastAsia="Times New Roman" w:hAnsi="Times New Roman"/>
          <w:sz w:val="19"/>
          <w:szCs w:val="19"/>
          <w:color w:val="auto"/>
        </w:rPr>
        <w:t xml:space="preserve">10.16. </w:t>
      </w:r>
      <w:r>
        <w:rPr>
          <w:rFonts w:ascii="Times New Roman" w:cs="Times New Roman" w:eastAsia="Times New Roman" w:hAnsi="Times New Roman"/>
          <w:sz w:val="19"/>
          <w:szCs w:val="19"/>
          <w:u w:val="single" w:color="auto"/>
          <w:color w:val="auto"/>
        </w:rPr>
        <w:t>Burdensome Agreements</w:t>
      </w:r>
      <w:r>
        <w:rPr>
          <w:rFonts w:ascii="Times New Roman" w:cs="Times New Roman" w:eastAsia="Times New Roman" w:hAnsi="Times New Roman"/>
          <w:sz w:val="19"/>
          <w:szCs w:val="19"/>
          <w:color w:val="auto"/>
        </w:rPr>
        <w:t xml:space="preserve">. No Restricted Company shall enter into, incur, or permit to exist any agreement or other arrangement (other than this Agreement or any other Loan Paper) that prohibits, restricts, or imposes any condition upon (a) the ability of any Restricted Company to create, incur, or permit to exist any Lien upon any of its property or assets securing Debt, or (b) the ability of any Restricted Company to pay dividends or other Distributions with respect to any shares of its capital stock to Borrower or any Guarantor, to otherwise transfer property or assets to Borrower or any Guarantor, to make or repay loans or advances to Borrower or any other Guarantor, or to guarantee the Debt of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(x)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above shall not apply to (A) restrictions and conditions (1) imposed by Law, the Loan Papers, or any documentation for Debt constituting “</w:t>
      </w:r>
      <w:r>
        <w:rPr>
          <w:rFonts w:ascii="Times New Roman" w:cs="Times New Roman" w:eastAsia="Times New Roman" w:hAnsi="Times New Roman"/>
          <w:sz w:val="19"/>
          <w:szCs w:val="19"/>
          <w:i w:val="1"/>
          <w:iCs w:val="1"/>
          <w:color w:val="auto"/>
        </w:rPr>
        <w:t>Permitted Debt</w:t>
      </w:r>
      <w:r>
        <w:rPr>
          <w:rFonts w:ascii="Times New Roman" w:cs="Times New Roman" w:eastAsia="Times New Roman" w:hAnsi="Times New Roman"/>
          <w:sz w:val="19"/>
          <w:szCs w:val="19"/>
          <w:color w:val="auto"/>
        </w:rPr>
        <w:t xml:space="preserve">” under </w:t>
      </w:r>
      <w:r>
        <w:rPr>
          <w:rFonts w:ascii="Times New Roman" w:cs="Times New Roman" w:eastAsia="Times New Roman" w:hAnsi="Times New Roman"/>
          <w:sz w:val="19"/>
          <w:szCs w:val="19"/>
          <w:b w:val="1"/>
          <w:bCs w:val="1"/>
          <w:i w:val="1"/>
          <w:iCs w:val="1"/>
          <w:color w:val="auto"/>
        </w:rPr>
        <w:t>clauses (d)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(n)</w:t>
      </w:r>
      <w:r>
        <w:rPr>
          <w:rFonts w:ascii="Times New Roman" w:cs="Times New Roman" w:eastAsia="Times New Roman" w:hAnsi="Times New Roman"/>
          <w:sz w:val="19"/>
          <w:szCs w:val="19"/>
          <w:color w:val="auto"/>
        </w:rPr>
        <w:t xml:space="preserve"> (solely with respect to Debt existing at the time of such acquisition, except to the extent entered into in connection therewith or in contemplation thereof), or </w:t>
      </w:r>
      <w:r>
        <w:rPr>
          <w:rFonts w:ascii="Times New Roman" w:cs="Times New Roman" w:eastAsia="Times New Roman" w:hAnsi="Times New Roman"/>
          <w:sz w:val="19"/>
          <w:szCs w:val="19"/>
          <w:b w:val="1"/>
          <w:bCs w:val="1"/>
          <w:i w:val="1"/>
          <w:iCs w:val="1"/>
          <w:color w:val="auto"/>
        </w:rPr>
        <w:t>(q)</w:t>
      </w:r>
      <w:r>
        <w:rPr>
          <w:rFonts w:ascii="Times New Roman" w:cs="Times New Roman" w:eastAsia="Times New Roman" w:hAnsi="Times New Roman"/>
          <w:sz w:val="19"/>
          <w:szCs w:val="19"/>
          <w:color w:val="auto"/>
        </w:rPr>
        <w:t xml:space="preserve"> of the definition thereof, so long as such restrictions do not prevent, impede, or impair (I) the creation of Liens and Guaranties in favor of Lenders under the Loan Papers or (II) the satisfaction of the obligations of Borrower and Guarantors under the Loan Papers, (2) contained in agreements relating to the sale of a Subsidiary or other asset, so long as the sale of such Subsidiary or other asset is permitted pursuant to this Agreement, and (3) contained in agreements set forth on </w:t>
      </w:r>
      <w:r>
        <w:rPr>
          <w:rFonts w:ascii="Times New Roman" w:cs="Times New Roman" w:eastAsia="Times New Roman" w:hAnsi="Times New Roman"/>
          <w:sz w:val="19"/>
          <w:szCs w:val="19"/>
          <w:b w:val="1"/>
          <w:bCs w:val="1"/>
          <w:i w:val="1"/>
          <w:iCs w:val="1"/>
          <w:color w:val="auto"/>
        </w:rPr>
        <w:t>Schedule 10.16</w:t>
      </w:r>
      <w:r>
        <w:rPr>
          <w:rFonts w:ascii="Times New Roman" w:cs="Times New Roman" w:eastAsia="Times New Roman" w:hAnsi="Times New Roman"/>
          <w:sz w:val="19"/>
          <w:szCs w:val="19"/>
          <w:color w:val="auto"/>
        </w:rPr>
        <w:t xml:space="preserve">, (B) the Northstar Leases, and (C) the Canyons-Park City Lease as in effect on the Closing Date, and (y)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xml:space="preserve"> above shall not apply to customary provisions in leases and other agreements restricting the assignment thereof or the granting of Liens on leased or licensed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99</w:t>
      </w:r>
    </w:p>
    <w:p>
      <w:pPr>
        <w:sectPr>
          <w:pgSz w:w="11900" w:h="16838" w:orient="portrait"/>
          <w:cols w:equalWidth="0" w:num="1">
            <w:col w:w="11240"/>
          </w:cols>
          <w:pgMar w:left="320" w:top="1390" w:right="339" w:bottom="1440" w:gutter="0" w:footer="0" w:header="0"/>
        </w:sectPr>
      </w:pPr>
    </w:p>
    <w:bookmarkStart w:id="213" w:name="page214"/>
    <w:bookmarkEnd w:id="213"/>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10.17. </w:t>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xml:space="preserve">. Borrower shall not, and Borrower shall not permit any other Restricted Company to, use any part of the proceeds of any Loan, directly or indirectly, for a purpose which violates any Law, including, without limitation, the provisions of </w:t>
      </w:r>
      <w:r>
        <w:rPr>
          <w:rFonts w:ascii="Times New Roman" w:cs="Times New Roman" w:eastAsia="Times New Roman" w:hAnsi="Times New Roman"/>
          <w:sz w:val="19"/>
          <w:szCs w:val="19"/>
          <w:i w:val="1"/>
          <w:iCs w:val="1"/>
          <w:color w:val="auto"/>
        </w:rPr>
        <w:t>Regulations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U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i w:val="1"/>
          <w:iCs w:val="1"/>
          <w:color w:val="auto"/>
        </w:rPr>
        <w:t xml:space="preserve"> X </w:t>
      </w:r>
      <w:r>
        <w:rPr>
          <w:rFonts w:ascii="Times New Roman" w:cs="Times New Roman" w:eastAsia="Times New Roman" w:hAnsi="Times New Roman"/>
          <w:sz w:val="19"/>
          <w:szCs w:val="19"/>
          <w:color w:val="auto"/>
        </w:rPr>
        <w:t>(as enacted by the Board of Governors of the Federal Reserve System, as amended).</w:t>
      </w:r>
    </w:p>
    <w:p>
      <w:pPr>
        <w:spacing w:after="0" w:line="167"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10.18. </w:t>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 (a) VRI shall have no direct Subsidiaries other than Borrower and Gillett, (b) Gillett shall have no Subsidiaries, and VRI shall not permit Gillett to have any Subsidiaries, and (c) Gillett shall not own any Critical Assets, and VRI shall not permit Gillett to own any Critical Assets.</w:t>
      </w:r>
    </w:p>
    <w:p>
      <w:pPr>
        <w:spacing w:after="0" w:line="167"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color w:val="auto"/>
        </w:rPr>
        <w:t xml:space="preserve">10.19. </w:t>
      </w:r>
      <w:r>
        <w:rPr>
          <w:rFonts w:ascii="Times New Roman" w:cs="Times New Roman" w:eastAsia="Times New Roman" w:hAnsi="Times New Roman"/>
          <w:sz w:val="19"/>
          <w:szCs w:val="19"/>
          <w:u w:val="single" w:color="auto"/>
          <w:color w:val="auto"/>
        </w:rPr>
        <w:t>Sanctions; Anti-Corruption Laws</w:t>
      </w:r>
      <w:r>
        <w:rPr>
          <w:rFonts w:ascii="Times New Roman" w:cs="Times New Roman" w:eastAsia="Times New Roman" w:hAnsi="Times New Roman"/>
          <w:sz w:val="19"/>
          <w:szCs w:val="19"/>
          <w:color w:val="auto"/>
        </w:rPr>
        <w:t>. Borrower shall not, and Borrower shall not permit any other Restricted Company to, directly or indirectly, use the proceeds of any Loan or otherwise make available such proceeds (a) to fund any activities of or business with any individual or entity that, at the time of such funding, is the subject of Sanctions or located, organized or resident in a Designated Jurisdiction,</w:t>
      </w:r>
    </w:p>
    <w:p>
      <w:pPr>
        <w:spacing w:after="0" w:line="2" w:lineRule="exact"/>
        <w:rPr>
          <w:sz w:val="20"/>
          <w:szCs w:val="20"/>
          <w:color w:val="auto"/>
        </w:rPr>
      </w:pPr>
    </w:p>
    <w:p>
      <w:pPr>
        <w:jc w:val="both"/>
        <w:ind w:firstLine="6"/>
        <w:spacing w:after="0" w:line="269" w:lineRule="auto"/>
        <w:tabs>
          <w:tab w:leader="none" w:pos="297"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any other manner that will result in a violation by Borrower, any Restricted Company or any individual or entity participating in the transaction, whether as Lender, Joint Lead Arranger, Administrative Agent, L/C Issuer or otherwise, of Sanctions, or (c) for any purpose which would breach any Anti-Corruption Law.</w:t>
      </w:r>
    </w:p>
    <w:p>
      <w:pPr>
        <w:spacing w:after="0" w:line="155"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b w:val="1"/>
          <w:bCs w:val="1"/>
          <w:u w:val="single" w:color="auto"/>
          <w:color w:val="auto"/>
        </w:rPr>
        <w:t>SECTION 11 FINANCIAL COVENANTS.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So long as Lenders are committed to fund Loans and the L/C Issuers are committed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issue L/Cs under this Agreement, and thereafter until the Obligation is paid and performed in full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for provisions under the Loan Papers expressly intended to survive payment of the Obligation and termination of the Loan Papers), Borrower covenants and agrees to comply with each of the following ratios. Borrower shall calculate each such ratio after giving effect to the provisions of </w:t>
      </w:r>
      <w:r>
        <w:rPr>
          <w:rFonts w:ascii="Times New Roman" w:cs="Times New Roman" w:eastAsia="Times New Roman" w:hAnsi="Times New Roman"/>
          <w:sz w:val="19"/>
          <w:szCs w:val="19"/>
          <w:b w:val="1"/>
          <w:bCs w:val="1"/>
          <w:i w:val="1"/>
          <w:iCs w:val="1"/>
          <w:color w:val="auto"/>
        </w:rPr>
        <w:t>Section 1.3</w:t>
      </w:r>
      <w:r>
        <w:rPr>
          <w:rFonts w:ascii="Times New Roman" w:cs="Times New Roman" w:eastAsia="Times New Roman" w:hAnsi="Times New Roman"/>
          <w:sz w:val="19"/>
          <w:szCs w:val="19"/>
          <w:color w:val="auto"/>
        </w:rPr>
        <w:t xml:space="preserve"> hereof.</w:t>
      </w:r>
    </w:p>
    <w:p>
      <w:pPr>
        <w:spacing w:after="0" w:line="171"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11.1. </w:t>
      </w:r>
      <w:r>
        <w:rPr>
          <w:rFonts w:ascii="Times New Roman" w:cs="Times New Roman" w:eastAsia="Times New Roman" w:hAnsi="Times New Roman"/>
          <w:sz w:val="19"/>
          <w:szCs w:val="19"/>
          <w:u w:val="single" w:color="auto"/>
          <w:color w:val="auto"/>
        </w:rPr>
        <w:t>Maximum Leverage Ratio</w:t>
      </w:r>
      <w:r>
        <w:rPr>
          <w:rFonts w:ascii="Times New Roman" w:cs="Times New Roman" w:eastAsia="Times New Roman" w:hAnsi="Times New Roman"/>
          <w:sz w:val="19"/>
          <w:szCs w:val="19"/>
          <w:color w:val="auto"/>
        </w:rPr>
        <w:t>. As calculated as of the last day of each fiscal quarter of the Restricted Companies set forth below, the Restricted Companies shall not permit the ratio of (a) the unpaid principal amount of Net Funded Debt existing as of such last day to (b) Adjusted EBITDA for the four fiscal quarters ending on such last day to exceed 6.25 to 1.00 for each fiscal quarter.</w:t>
      </w:r>
    </w:p>
    <w:p>
      <w:pPr>
        <w:spacing w:after="0" w:line="154" w:lineRule="exact"/>
        <w:rPr>
          <w:sz w:val="20"/>
          <w:szCs w:val="20"/>
          <w:color w:val="auto"/>
        </w:rPr>
      </w:pPr>
    </w:p>
    <w:p>
      <w:pPr>
        <w:jc w:val="both"/>
        <w:ind w:firstLine="637"/>
        <w:spacing w:after="0" w:line="268" w:lineRule="auto"/>
        <w:rPr>
          <w:sz w:val="20"/>
          <w:szCs w:val="20"/>
          <w:color w:val="auto"/>
        </w:rPr>
      </w:pPr>
      <w:r>
        <w:rPr>
          <w:rFonts w:ascii="Times New Roman" w:cs="Times New Roman" w:eastAsia="Times New Roman" w:hAnsi="Times New Roman"/>
          <w:sz w:val="19"/>
          <w:szCs w:val="19"/>
          <w:color w:val="auto"/>
        </w:rPr>
        <w:t xml:space="preserve">11.2. </w:t>
      </w:r>
      <w:r>
        <w:rPr>
          <w:rFonts w:ascii="Times New Roman" w:cs="Times New Roman" w:eastAsia="Times New Roman" w:hAnsi="Times New Roman"/>
          <w:sz w:val="19"/>
          <w:szCs w:val="19"/>
          <w:u w:val="single" w:color="auto"/>
          <w:color w:val="auto"/>
        </w:rPr>
        <w:t>Interest Coverage Ratio</w:t>
      </w:r>
      <w:r>
        <w:rPr>
          <w:rFonts w:ascii="Times New Roman" w:cs="Times New Roman" w:eastAsia="Times New Roman" w:hAnsi="Times New Roman"/>
          <w:sz w:val="19"/>
          <w:szCs w:val="19"/>
          <w:color w:val="auto"/>
        </w:rPr>
        <w:t xml:space="preserve">. As calculated as of the last day of each fiscal quarter of the Restricted Companies, the Restricted Companies shall not permit the ratio of (a) Adjusted EBITDA for the four fiscal quarters ending on such last day to (b) interest on Funded Debt (excluding amortization of deferred financing costs and original issue discounts and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with respect to any Capital Lease permitted under this Agreement, interest attributable thereto shall be limited to that portion of the lease payments that is characterized as an interest expense under GAAP and paid in cash during the applicable period) in such four fiscal quarters to be less than 2.00 to 1.00.</w:t>
      </w:r>
    </w:p>
    <w:p>
      <w:pPr>
        <w:spacing w:after="0" w:line="160"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11.3. </w:t>
      </w:r>
      <w:r>
        <w:rPr>
          <w:rFonts w:ascii="Times New Roman" w:cs="Times New Roman" w:eastAsia="Times New Roman" w:hAnsi="Times New Roman"/>
          <w:sz w:val="19"/>
          <w:szCs w:val="19"/>
          <w:u w:val="single" w:color="auto"/>
          <w:color w:val="auto"/>
        </w:rPr>
        <w:t>Senior Secured Leverage Ratio</w:t>
      </w:r>
      <w:r>
        <w:rPr>
          <w:rFonts w:ascii="Times New Roman" w:cs="Times New Roman" w:eastAsia="Times New Roman" w:hAnsi="Times New Roman"/>
          <w:sz w:val="19"/>
          <w:szCs w:val="19"/>
          <w:color w:val="auto"/>
        </w:rPr>
        <w:t>. As calculated as of the last day of each fiscal quarter of the Restricted Companies, the Restricted Companies shall not permit the ratio of (a) the unpaid principal amount of outstanding secured Net Funded Debt existing as of such last day to (b) Adjusted EBITDA for the four fiscal quarters ending on such last day to exceed 4.00 to 1.00 for each fiscal quarter.</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u w:val="single" w:color="auto"/>
          <w:color w:val="auto"/>
        </w:rPr>
        <w:t>SECTION 12  DEFAULT.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term “Default” means the occurrence of any one or more of the following events:</w:t>
      </w:r>
    </w:p>
    <w:p>
      <w:pPr>
        <w:spacing w:after="0" w:line="233" w:lineRule="exact"/>
        <w:rPr>
          <w:sz w:val="20"/>
          <w:szCs w:val="20"/>
          <w:color w:val="auto"/>
        </w:rPr>
      </w:pPr>
    </w:p>
    <w:p>
      <w:pPr>
        <w:jc w:val="both"/>
        <w:ind w:firstLine="637"/>
        <w:spacing w:after="0" w:line="276" w:lineRule="auto"/>
        <w:rPr>
          <w:sz w:val="20"/>
          <w:szCs w:val="20"/>
          <w:color w:val="auto"/>
        </w:rPr>
      </w:pPr>
      <w:r>
        <w:rPr>
          <w:rFonts w:ascii="Times New Roman" w:cs="Times New Roman" w:eastAsia="Times New Roman" w:hAnsi="Times New Roman"/>
          <w:sz w:val="19"/>
          <w:szCs w:val="19"/>
          <w:color w:val="auto"/>
        </w:rPr>
        <w:t xml:space="preserve">12.1. </w:t>
      </w:r>
      <w:r>
        <w:rPr>
          <w:rFonts w:ascii="Times New Roman" w:cs="Times New Roman" w:eastAsia="Times New Roman" w:hAnsi="Times New Roman"/>
          <w:sz w:val="19"/>
          <w:szCs w:val="19"/>
          <w:u w:val="single" w:color="auto"/>
          <w:color w:val="auto"/>
        </w:rPr>
        <w:t>Payment of Obligation</w:t>
      </w:r>
      <w:r>
        <w:rPr>
          <w:rFonts w:ascii="Times New Roman" w:cs="Times New Roman" w:eastAsia="Times New Roman" w:hAnsi="Times New Roman"/>
          <w:sz w:val="19"/>
          <w:szCs w:val="19"/>
          <w:color w:val="auto"/>
        </w:rPr>
        <w:t xml:space="preserve">. The failure or refusal of any Company to pay (a) any principal payment contemplated by </w:t>
      </w:r>
      <w:r>
        <w:rPr>
          <w:rFonts w:ascii="Times New Roman" w:cs="Times New Roman" w:eastAsia="Times New Roman" w:hAnsi="Times New Roman"/>
          <w:sz w:val="19"/>
          <w:szCs w:val="19"/>
          <w:b w:val="1"/>
          <w:bCs w:val="1"/>
          <w:i w:val="1"/>
          <w:iCs w:val="1"/>
          <w:color w:val="auto"/>
        </w:rPr>
        <w:t>Sections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3.2(b) </w:t>
      </w:r>
      <w:r>
        <w:rPr>
          <w:rFonts w:ascii="Times New Roman" w:cs="Times New Roman" w:eastAsia="Times New Roman" w:hAnsi="Times New Roman"/>
          <w:sz w:val="19"/>
          <w:szCs w:val="19"/>
          <w:color w:val="EE2724"/>
        </w:rPr>
        <w:t>and</w:t>
      </w:r>
      <w:r>
        <w:rPr>
          <w:rFonts w:ascii="Times New Roman" w:cs="Times New Roman" w:eastAsia="Times New Roman" w:hAnsi="Times New Roman"/>
          <w:sz w:val="19"/>
          <w:szCs w:val="19"/>
          <w:u w:val="single" w:color="auto"/>
          <w:color w:val="3051F2"/>
        </w:rPr>
        <w:t>,</w:t>
      </w:r>
      <w:r>
        <w:rPr>
          <w:rFonts w:ascii="Times New Roman" w:cs="Times New Roman" w:eastAsia="Times New Roman" w:hAnsi="Times New Roman"/>
          <w:sz w:val="19"/>
          <w:szCs w:val="19"/>
          <w:b w:val="1"/>
          <w:bCs w:val="1"/>
          <w:i w:val="1"/>
          <w:iCs w:val="1"/>
          <w:color w:val="auto"/>
        </w:rPr>
        <w:t xml:space="preserve"> 3.2(c) </w:t>
      </w:r>
      <w:r>
        <w:rPr>
          <w:rFonts w:ascii="Times New Roman" w:cs="Times New Roman" w:eastAsia="Times New Roman" w:hAnsi="Times New Roman"/>
          <w:sz w:val="19"/>
          <w:szCs w:val="19"/>
          <w:color w:val="3051F2"/>
        </w:rPr>
        <w:t>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b w:val="1"/>
          <w:bCs w:val="1"/>
          <w:i w:val="1"/>
          <w:iCs w:val="1"/>
          <w:color w:val="3051F2"/>
        </w:rPr>
        <w:t>3.2(d)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this Agreement after such payment becomes due and payable hereunder, (b) any principal payment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those contemplated by </w:t>
      </w:r>
      <w:r>
        <w:rPr>
          <w:rFonts w:ascii="Times New Roman" w:cs="Times New Roman" w:eastAsia="Times New Roman" w:hAnsi="Times New Roman"/>
          <w:sz w:val="19"/>
          <w:szCs w:val="19"/>
          <w:b w:val="1"/>
          <w:bCs w:val="1"/>
          <w:i w:val="1"/>
          <w:iCs w:val="1"/>
          <w:color w:val="auto"/>
        </w:rPr>
        <w:t>Sections 3.2(b)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EE2724"/>
        </w:rPr>
        <w:t>and</w:t>
      </w:r>
      <w:r>
        <w:rPr>
          <w:rFonts w:ascii="Times New Roman" w:cs="Times New Roman" w:eastAsia="Times New Roman" w:hAnsi="Times New Roman"/>
          <w:sz w:val="19"/>
          <w:szCs w:val="19"/>
          <w:u w:val="single" w:color="auto"/>
          <w:color w:val="3051F2"/>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3.2(c)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3051F2"/>
        </w:rPr>
        <w:t>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3051F2"/>
        </w:rPr>
        <w:t>3.2(d)</w:t>
      </w:r>
      <w:r>
        <w:rPr>
          <w:rFonts w:ascii="Times New Roman" w:cs="Times New Roman" w:eastAsia="Times New Roman" w:hAnsi="Times New Roman"/>
          <w:sz w:val="19"/>
          <w:szCs w:val="19"/>
          <w:color w:val="auto"/>
        </w:rPr>
        <w:t>) or interest payment contemplated to be made hereunder within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-250190</wp:posOffset>
            </wp:positionV>
            <wp:extent cx="2089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8915" cy="8255"/>
                    </a:xfrm>
                    <a:prstGeom prst="rect">
                      <a:avLst/>
                    </a:prstGeom>
                    <a:noFill/>
                  </pic:spPr>
                </pic:pic>
              </a:graphicData>
            </a:graphic>
          </wp:anchor>
        </w:drawing>
        <w:drawing>
          <wp:anchor simplePos="0" relativeHeight="251657728" behindDoc="1" locked="0" layoutInCell="0" allowOverlap="1">
            <wp:simplePos x="0" y="0"/>
            <wp:positionH relativeFrom="column">
              <wp:posOffset>864235</wp:posOffset>
            </wp:positionH>
            <wp:positionV relativeFrom="paragraph">
              <wp:posOffset>-200025</wp:posOffset>
            </wp:positionV>
            <wp:extent cx="5378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37845"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-99060</wp:posOffset>
            </wp:positionV>
            <wp:extent cx="2089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8915" cy="8255"/>
                    </a:xfrm>
                    <a:prstGeom prst="rect">
                      <a:avLst/>
                    </a:prstGeom>
                    <a:noFill/>
                  </pic:spPr>
                </pic:pic>
              </a:graphicData>
            </a:graphic>
          </wp:anchor>
        </w:drawing>
        <w:drawing>
          <wp:anchor simplePos="0" relativeHeight="251657728" behindDoc="1" locked="0" layoutInCell="0" allowOverlap="1">
            <wp:simplePos x="0" y="0"/>
            <wp:positionH relativeFrom="column">
              <wp:posOffset>2461895</wp:posOffset>
            </wp:positionH>
            <wp:positionV relativeFrom="paragraph">
              <wp:posOffset>-48260</wp:posOffset>
            </wp:positionV>
            <wp:extent cx="5378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100</w:t>
      </w:r>
    </w:p>
    <w:p>
      <w:pPr>
        <w:sectPr>
          <w:pgSz w:w="11900" w:h="16838" w:orient="portrait"/>
          <w:cols w:equalWidth="0" w:num="1">
            <w:col w:w="11240"/>
          </w:cols>
          <w:pgMar w:left="320" w:top="1390" w:right="339" w:bottom="1440" w:gutter="0" w:footer="0" w:header="0"/>
        </w:sectPr>
      </w:pPr>
    </w:p>
    <w:bookmarkStart w:id="214" w:name="page215"/>
    <w:bookmarkEnd w:id="214"/>
    <w:p>
      <w:pPr>
        <w:jc w:val="both"/>
        <w:spacing w:after="0" w:line="270" w:lineRule="auto"/>
        <w:rPr>
          <w:sz w:val="20"/>
          <w:szCs w:val="20"/>
          <w:color w:val="auto"/>
        </w:rPr>
      </w:pPr>
      <w:r>
        <w:rPr>
          <w:rFonts w:ascii="Times New Roman" w:cs="Times New Roman" w:eastAsia="Times New Roman" w:hAnsi="Times New Roman"/>
          <w:sz w:val="19"/>
          <w:szCs w:val="19"/>
          <w:color w:val="auto"/>
        </w:rPr>
        <w:t>Business Days after demand therefor by Administrative Agent, (c) any amount contemplated to be paid hereunder in respect of fees, costs, expenses, or indemnities within 10 Business Days after demand therefor by Administrative Agent and (d) any amount in respect of its reimbursement obligations in connection with any drawing under an L/C (including, without limitation, any L/C Borrowing) within 3 Business Days after demand therefor by Administrative Agent.</w:t>
      </w:r>
    </w:p>
    <w:p>
      <w:pPr>
        <w:spacing w:after="0" w:line="15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12.2.</w:t>
      </w:r>
      <w:r>
        <w:rPr>
          <w:sz w:val="20"/>
          <w:szCs w:val="20"/>
          <w:color w:val="auto"/>
        </w:rPr>
        <w:tab/>
      </w:r>
      <w:r>
        <w:rPr>
          <w:rFonts w:ascii="Times New Roman" w:cs="Times New Roman" w:eastAsia="Times New Roman" w:hAnsi="Times New Roman"/>
          <w:sz w:val="19"/>
          <w:szCs w:val="19"/>
          <w:u w:val="single" w:color="auto"/>
          <w:color w:val="auto"/>
        </w:rPr>
        <w:t>Covenants</w:t>
      </w:r>
      <w:r>
        <w:rPr>
          <w:rFonts w:ascii="Times New Roman" w:cs="Times New Roman" w:eastAsia="Times New Roman" w:hAnsi="Times New Roman"/>
          <w:sz w:val="19"/>
          <w:szCs w:val="19"/>
          <w:color w:val="auto"/>
        </w:rPr>
        <w:t>. The failure or refusal of any Company to punctually and properly perform, observe, and comply with:</w:t>
      </w:r>
    </w:p>
    <w:p>
      <w:pPr>
        <w:spacing w:after="0" w:line="229" w:lineRule="exact"/>
        <w:rPr>
          <w:sz w:val="20"/>
          <w:szCs w:val="20"/>
          <w:color w:val="auto"/>
        </w:rPr>
      </w:pPr>
    </w:p>
    <w:p>
      <w:pPr>
        <w:ind w:left="1240" w:hanging="438"/>
        <w:spacing w:after="0"/>
        <w:tabs>
          <w:tab w:leader="none" w:pos="1240"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covenant, agreement, or condition applicable to it contained in </w:t>
      </w:r>
      <w:r>
        <w:rPr>
          <w:rFonts w:ascii="Times New Roman" w:cs="Times New Roman" w:eastAsia="Times New Roman" w:hAnsi="Times New Roman"/>
          <w:sz w:val="19"/>
          <w:szCs w:val="19"/>
          <w:b w:val="1"/>
          <w:bCs w:val="1"/>
          <w:i w:val="1"/>
          <w:iCs w:val="1"/>
          <w:color w:val="auto"/>
        </w:rPr>
        <w:t>Sections 9.2, 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Sections 10.1, 10.3, 10.6</w:t>
      </w:r>
      <w:r>
        <w:rPr>
          <w:rFonts w:ascii="Times New Roman" w:cs="Times New Roman" w:eastAsia="Times New Roman" w:hAnsi="Times New Roman"/>
          <w:sz w:val="19"/>
          <w:szCs w:val="19"/>
          <w:color w:val="auto"/>
        </w:rPr>
        <w:t>, and</w:t>
      </w:r>
    </w:p>
    <w:p>
      <w:pPr>
        <w:spacing w:after="0" w:line="38"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10.7</w:t>
      </w:r>
      <w:r>
        <w:rPr>
          <w:rFonts w:ascii="Times New Roman" w:cs="Times New Roman" w:eastAsia="Times New Roman" w:hAnsi="Times New Roman"/>
          <w:sz w:val="19"/>
          <w:szCs w:val="19"/>
          <w:color w:val="auto"/>
        </w:rPr>
        <w:t>), or</w:t>
      </w:r>
      <w:r>
        <w:rPr>
          <w:rFonts w:ascii="Times New Roman" w:cs="Times New Roman" w:eastAsia="Times New Roman" w:hAnsi="Times New Roman"/>
          <w:sz w:val="19"/>
          <w:szCs w:val="19"/>
          <w:b w:val="1"/>
          <w:bCs w:val="1"/>
          <w:i w:val="1"/>
          <w:iCs w:val="1"/>
          <w:color w:val="auto"/>
        </w:rPr>
        <w:t xml:space="preserve"> 11</w:t>
      </w:r>
      <w:r>
        <w:rPr>
          <w:rFonts w:ascii="Times New Roman" w:cs="Times New Roman" w:eastAsia="Times New Roman" w:hAnsi="Times New Roman"/>
          <w:sz w:val="19"/>
          <w:szCs w:val="19"/>
          <w:color w:val="auto"/>
        </w:rPr>
        <w:t>; or</w:t>
      </w:r>
    </w:p>
    <w:p>
      <w:pPr>
        <w:spacing w:after="0" w:line="202" w:lineRule="exact"/>
        <w:rPr>
          <w:rFonts w:ascii="Times New Roman" w:cs="Times New Roman" w:eastAsia="Times New Roman" w:hAnsi="Times New Roman"/>
          <w:sz w:val="19"/>
          <w:szCs w:val="19"/>
          <w:color w:val="auto"/>
        </w:rPr>
      </w:pPr>
    </w:p>
    <w:p>
      <w:pPr>
        <w:ind w:right="20" w:firstLine="802"/>
        <w:spacing w:after="0" w:line="302" w:lineRule="auto"/>
        <w:tabs>
          <w:tab w:leader="none" w:pos="1242"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covenant, agreement, or condition applicable to it contained in any Loan Paper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the covenants to pay the Obligation and the covenants in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xml:space="preserve"> preceding), and such failure or refusal continues for 30 days.</w:t>
      </w:r>
    </w:p>
    <w:p>
      <w:pPr>
        <w:spacing w:after="0" w:line="129"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12.3. </w:t>
      </w:r>
      <w:r>
        <w:rPr>
          <w:rFonts w:ascii="Times New Roman" w:cs="Times New Roman" w:eastAsia="Times New Roman" w:hAnsi="Times New Roman"/>
          <w:sz w:val="19"/>
          <w:szCs w:val="19"/>
          <w:u w:val="single" w:color="auto"/>
          <w:color w:val="auto"/>
        </w:rPr>
        <w:t>Debtor Relief</w:t>
      </w:r>
      <w:r>
        <w:rPr>
          <w:rFonts w:ascii="Times New Roman" w:cs="Times New Roman" w:eastAsia="Times New Roman" w:hAnsi="Times New Roman"/>
          <w:sz w:val="19"/>
          <w:szCs w:val="19"/>
          <w:color w:val="auto"/>
        </w:rPr>
        <w:t>. Any Restricted Company (a) fails, or admits in writing its inability, to pay its Debts generally as they become due, (b) voluntarily seeks, consents to, or acquiesces in the benefit of any Debtor Relief Law, (c) becomes a party to or is made the subject of any proceeding provided for by any Debtor Relief Law that could suspend or otherwise adversely affect the Rights of Administrative Agent or any Lender granted in the Loan Papers (unless, if the proceeding is involuntary, the applicable petition is dismissed within 60 days after its filing), (d) becomes subject to an order for relief granted under the Bankruptcy Reform Act of 1978, as amended from time to time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as a creditor or claimant), or (e) takes any action to authorize any of the foregoing actions set forth in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b w:val="1"/>
          <w:bCs w:val="1"/>
          <w:i w:val="1"/>
          <w:iCs w:val="1"/>
          <w:color w:val="auto"/>
        </w:rPr>
        <w:t>(d)</w:t>
      </w:r>
      <w:r>
        <w:rPr>
          <w:rFonts w:ascii="Times New Roman" w:cs="Times New Roman" w:eastAsia="Times New Roman" w:hAnsi="Times New Roman"/>
          <w:sz w:val="19"/>
          <w:szCs w:val="19"/>
          <w:color w:val="auto"/>
        </w:rPr>
        <w:t xml:space="preserve"> herein.</w:t>
      </w:r>
    </w:p>
    <w:p>
      <w:pPr>
        <w:spacing w:after="0" w:line="176"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12.4. </w:t>
      </w:r>
      <w:r>
        <w:rPr>
          <w:rFonts w:ascii="Times New Roman" w:cs="Times New Roman" w:eastAsia="Times New Roman" w:hAnsi="Times New Roman"/>
          <w:sz w:val="19"/>
          <w:szCs w:val="19"/>
          <w:u w:val="single" w:color="auto"/>
          <w:color w:val="auto"/>
        </w:rPr>
        <w:t>Judgments and Attachments.</w:t>
      </w:r>
      <w:r>
        <w:rPr>
          <w:rFonts w:ascii="Times New Roman" w:cs="Times New Roman" w:eastAsia="Times New Roman" w:hAnsi="Times New Roman"/>
          <w:sz w:val="19"/>
          <w:szCs w:val="19"/>
          <w:color w:val="auto"/>
        </w:rPr>
        <w:t xml:space="preserve"> Any Restricted Company fails, within 60 days after entry, to pay, bond, or otherwise discharge any judgment or order for the payment of money in excess of $15,000,000 (individually or collectively) or any warrant of attachment, sequestration, or similar proceeding against any assets of any Restricted Company having a value (individually or collectively) of $15,000,000, which is neither (a) stayed on appeal nor (b) diligently contested in good faith by appropriate proceedings and adequate reserves have been set aside on its books in accordance with GAAP.</w:t>
      </w:r>
    </w:p>
    <w:p>
      <w:pPr>
        <w:spacing w:after="0" w:line="178" w:lineRule="exact"/>
        <w:rPr>
          <w:sz w:val="20"/>
          <w:szCs w:val="20"/>
          <w:color w:val="auto"/>
        </w:rPr>
      </w:pPr>
    </w:p>
    <w:p>
      <w:pPr>
        <w:jc w:val="both"/>
        <w:ind w:right="20" w:firstLine="637"/>
        <w:spacing w:after="0" w:line="285" w:lineRule="auto"/>
        <w:rPr>
          <w:sz w:val="20"/>
          <w:szCs w:val="20"/>
          <w:color w:val="auto"/>
        </w:rPr>
      </w:pPr>
      <w:r>
        <w:rPr>
          <w:rFonts w:ascii="Times New Roman" w:cs="Times New Roman" w:eastAsia="Times New Roman" w:hAnsi="Times New Roman"/>
          <w:sz w:val="19"/>
          <w:szCs w:val="19"/>
          <w:color w:val="auto"/>
        </w:rPr>
        <w:t xml:space="preserve">12.5. </w:t>
      </w:r>
      <w:r>
        <w:rPr>
          <w:rFonts w:ascii="Times New Roman" w:cs="Times New Roman" w:eastAsia="Times New Roman" w:hAnsi="Times New Roman"/>
          <w:sz w:val="19"/>
          <w:szCs w:val="19"/>
          <w:u w:val="single" w:color="auto"/>
          <w:color w:val="auto"/>
        </w:rPr>
        <w:t>Government Action</w:t>
      </w:r>
      <w:r>
        <w:rPr>
          <w:rFonts w:ascii="Times New Roman" w:cs="Times New Roman" w:eastAsia="Times New Roman" w:hAnsi="Times New Roman"/>
          <w:sz w:val="19"/>
          <w:szCs w:val="19"/>
          <w:color w:val="auto"/>
        </w:rPr>
        <w:t>. Any Governmental Authority condemns, seizes, or otherwise appropriates, or takes custody or control of all or any substantial portion of the Critical Assets.</w:t>
      </w:r>
    </w:p>
    <w:p>
      <w:pPr>
        <w:spacing w:after="0" w:line="158" w:lineRule="exact"/>
        <w:rPr>
          <w:sz w:val="20"/>
          <w:szCs w:val="20"/>
          <w:color w:val="auto"/>
        </w:rPr>
      </w:pPr>
    </w:p>
    <w:p>
      <w:pPr>
        <w:jc w:val="both"/>
        <w:ind w:firstLine="637"/>
        <w:spacing w:after="0" w:line="300" w:lineRule="auto"/>
        <w:rPr>
          <w:sz w:val="20"/>
          <w:szCs w:val="20"/>
          <w:color w:val="auto"/>
        </w:rPr>
      </w:pPr>
      <w:r>
        <w:rPr>
          <w:rFonts w:ascii="Times New Roman" w:cs="Times New Roman" w:eastAsia="Times New Roman" w:hAnsi="Times New Roman"/>
          <w:sz w:val="19"/>
          <w:szCs w:val="19"/>
          <w:color w:val="auto"/>
        </w:rPr>
        <w:t xml:space="preserve">12.6. </w:t>
      </w:r>
      <w:r>
        <w:rPr>
          <w:rFonts w:ascii="Times New Roman" w:cs="Times New Roman" w:eastAsia="Times New Roman" w:hAnsi="Times New Roman"/>
          <w:sz w:val="19"/>
          <w:szCs w:val="19"/>
          <w:u w:val="single" w:color="auto"/>
          <w:color w:val="auto"/>
        </w:rPr>
        <w:t>Misrepresentation</w:t>
      </w:r>
      <w:r>
        <w:rPr>
          <w:rFonts w:ascii="Times New Roman" w:cs="Times New Roman" w:eastAsia="Times New Roman" w:hAnsi="Times New Roman"/>
          <w:sz w:val="19"/>
          <w:szCs w:val="19"/>
          <w:color w:val="auto"/>
        </w:rPr>
        <w:t>. Any material representation or warranty made or deemed made by any Company in connection with any Loan Paper at any time proves to have been materially incorrect when made.</w:t>
      </w:r>
    </w:p>
    <w:p>
      <w:pPr>
        <w:spacing w:after="0" w:line="13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12.7.</w:t>
      </w:r>
      <w:r>
        <w:rPr>
          <w:sz w:val="20"/>
          <w:szCs w:val="20"/>
          <w:color w:val="auto"/>
        </w:rPr>
        <w:tab/>
      </w:r>
      <w:r>
        <w:rPr>
          <w:rFonts w:ascii="Times New Roman" w:cs="Times New Roman" w:eastAsia="Times New Roman" w:hAnsi="Times New Roman"/>
          <w:sz w:val="19"/>
          <w:szCs w:val="19"/>
          <w:u w:val="single" w:color="auto"/>
          <w:color w:val="auto"/>
        </w:rPr>
        <w:t>Ownership</w:t>
      </w:r>
      <w:r>
        <w:rPr>
          <w:rFonts w:ascii="Times New Roman" w:cs="Times New Roman" w:eastAsia="Times New Roman" w:hAnsi="Times New Roman"/>
          <w:sz w:val="19"/>
          <w:szCs w:val="19"/>
          <w:color w:val="auto"/>
        </w:rPr>
        <w:t>. There shall occur a Change of Control Transaction.</w:t>
      </w:r>
    </w:p>
    <w:p>
      <w:pPr>
        <w:spacing w:after="0" w:line="229"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color w:val="auto"/>
        </w:rPr>
        <w:t xml:space="preserve">12.8. </w:t>
      </w:r>
      <w:r>
        <w:rPr>
          <w:rFonts w:ascii="Times New Roman" w:cs="Times New Roman" w:eastAsia="Times New Roman" w:hAnsi="Times New Roman"/>
          <w:sz w:val="19"/>
          <w:szCs w:val="19"/>
          <w:u w:val="single" w:color="auto"/>
          <w:color w:val="auto"/>
        </w:rPr>
        <w:t>Default Under Other Agreements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b w:val="1"/>
          <w:bCs w:val="1"/>
          <w:i w:val="1"/>
          <w:iCs w:val="1"/>
          <w:color w:val="auto"/>
        </w:rPr>
        <w:t>Section 12.9</w:t>
      </w:r>
      <w:r>
        <w:rPr>
          <w:rFonts w:ascii="Times New Roman" w:cs="Times New Roman" w:eastAsia="Times New Roman" w:hAnsi="Times New Roman"/>
          <w:sz w:val="19"/>
          <w:szCs w:val="19"/>
          <w:color w:val="auto"/>
        </w:rPr>
        <w:t xml:space="preserve"> below, (a) any Restricted Company fails to pay when due (after lapse of any applicable grace period) any recourse Debt in excess (individually or collectively) of $15,000,000; or (b) any default exists under any agreement to which any Restricted Company is a party, the effect of which is to cause, or to permit any Person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 Restricted Company) to cause, any recourse obligation in excess (individually or collectively) of $15,000,000 to become due and payable by any Restricted Company before its stated maturity,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101</w:t>
      </w:r>
    </w:p>
    <w:p>
      <w:pPr>
        <w:sectPr>
          <w:pgSz w:w="11900" w:h="16838" w:orient="portrait"/>
          <w:cols w:equalWidth="0" w:num="1">
            <w:col w:w="11240"/>
          </w:cols>
          <w:pgMar w:left="320" w:top="1390"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9"/>
          <w:szCs w:val="19"/>
          <w:color w:val="auto"/>
        </w:rPr>
        <w:t>the extent such obligation is declared to be due and payable as a result of the sale of any asset to which it relates.</w:t>
      </w:r>
    </w:p>
    <w:p>
      <w:pPr>
        <w:spacing w:after="0" w:line="23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12.9.</w:t>
      </w:r>
      <w:r>
        <w:rPr>
          <w:sz w:val="20"/>
          <w:szCs w:val="20"/>
          <w:color w:val="auto"/>
        </w:rPr>
        <w:tab/>
      </w:r>
      <w:r>
        <w:rPr>
          <w:rFonts w:ascii="Times New Roman" w:cs="Times New Roman" w:eastAsia="Times New Roman" w:hAnsi="Times New Roman"/>
          <w:sz w:val="19"/>
          <w:szCs w:val="19"/>
          <w:u w:val="single" w:color="auto"/>
          <w:color w:val="auto"/>
        </w:rPr>
        <w:t>Subordinated Debt</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jc w:val="both"/>
        <w:ind w:firstLine="802"/>
        <w:spacing w:after="0" w:line="268" w:lineRule="auto"/>
        <w:tabs>
          <w:tab w:leader="none" w:pos="1241"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occurrence of any “</w:t>
      </w:r>
      <w:r>
        <w:rPr>
          <w:rFonts w:ascii="Times New Roman" w:cs="Times New Roman" w:eastAsia="Times New Roman" w:hAnsi="Times New Roman"/>
          <w:sz w:val="19"/>
          <w:szCs w:val="19"/>
          <w:i w:val="1"/>
          <w:iCs w:val="1"/>
          <w:color w:val="auto"/>
        </w:rPr>
        <w:t>default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event of default</w:t>
      </w:r>
      <w:r>
        <w:rPr>
          <w:rFonts w:ascii="Times New Roman" w:cs="Times New Roman" w:eastAsia="Times New Roman" w:hAnsi="Times New Roman"/>
          <w:sz w:val="19"/>
          <w:szCs w:val="19"/>
          <w:color w:val="auto"/>
        </w:rPr>
        <w:t>,” or other breach under or with respect to any Subordinated Debt, which “</w:t>
      </w:r>
      <w:r>
        <w:rPr>
          <w:rFonts w:ascii="Times New Roman" w:cs="Times New Roman" w:eastAsia="Times New Roman" w:hAnsi="Times New Roman"/>
          <w:sz w:val="19"/>
          <w:szCs w:val="19"/>
          <w:i w:val="1"/>
          <w:iCs w:val="1"/>
          <w:color w:val="auto"/>
        </w:rPr>
        <w:t>default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event of default</w:t>
      </w:r>
      <w:r>
        <w:rPr>
          <w:rFonts w:ascii="Times New Roman" w:cs="Times New Roman" w:eastAsia="Times New Roman" w:hAnsi="Times New Roman"/>
          <w:sz w:val="19"/>
          <w:szCs w:val="19"/>
          <w:color w:val="auto"/>
        </w:rPr>
        <w:t>,” or other breach remains uncured (after lapse of any applicable cure periods) on any date of determination; (ii) the trustee with respect to, or any holder of, any Subordinated Debt shall effectively declare all or any portion of such Debt or obligation thereunder due and payable prior to the stated maturity thereof; or (iii) any obligations under the Subordinated Debt become due before its stated maturity by acceleration of the maturity thereof.</w:t>
      </w:r>
    </w:p>
    <w:p>
      <w:pPr>
        <w:spacing w:after="0" w:line="161" w:lineRule="exact"/>
        <w:rPr>
          <w:rFonts w:ascii="Times New Roman" w:cs="Times New Roman" w:eastAsia="Times New Roman" w:hAnsi="Times New Roman"/>
          <w:sz w:val="19"/>
          <w:szCs w:val="19"/>
          <w:color w:val="auto"/>
        </w:rPr>
      </w:pPr>
    </w:p>
    <w:p>
      <w:pPr>
        <w:jc w:val="both"/>
        <w:ind w:firstLine="802"/>
        <w:spacing w:after="0" w:line="261" w:lineRule="auto"/>
        <w:tabs>
          <w:tab w:leader="none" w:pos="1322"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directly or indirectly (including, without limitation, any payment in respect of any sinking fund, defeasance, redemption, or payment of any dividend or distribution) by any Company of any amount of any Subordinated Debt in a manner or at a time during which such payment is not permitted under the terms of the Loan Papers or under any instrument or document evidencing or creating the Subordinated Debt, including, without limitation, any subordination provisions set forth therein, or if an event shall occur, including, without limitation, a “</w:t>
      </w:r>
      <w:r>
        <w:rPr>
          <w:rFonts w:ascii="Times New Roman" w:cs="Times New Roman" w:eastAsia="Times New Roman" w:hAnsi="Times New Roman"/>
          <w:sz w:val="19"/>
          <w:szCs w:val="19"/>
          <w:i w:val="1"/>
          <w:iCs w:val="1"/>
          <w:color w:val="auto"/>
        </w:rPr>
        <w:t>Change of Control</w:t>
      </w:r>
      <w:r>
        <w:rPr>
          <w:rFonts w:ascii="Times New Roman" w:cs="Times New Roman" w:eastAsia="Times New Roman" w:hAnsi="Times New Roman"/>
          <w:sz w:val="19"/>
          <w:szCs w:val="19"/>
          <w:color w:val="auto"/>
        </w:rPr>
        <w:t>” as defined in any agreement evidencing or creating the Subordinated Debt, and (i) such event results in the ability of the trustee or the holders of any such Debt or obligation to request or require (or any Company shall automatically be so required) to redeem or repurchase such Debt or obligation, or (ii) any Company shall initiate notice of redemption to holders of the Subordinated Debt or obligation, in connection with a redemption of any Debt or obligation arising under such agreements or instruments.</w:t>
      </w:r>
    </w:p>
    <w:p>
      <w:pPr>
        <w:spacing w:after="0" w:line="182"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9"/>
          <w:szCs w:val="19"/>
          <w:color w:val="auto"/>
        </w:rPr>
        <w:t xml:space="preserve">12.10. </w:t>
      </w:r>
      <w:r>
        <w:rPr>
          <w:rFonts w:ascii="Times New Roman" w:cs="Times New Roman" w:eastAsia="Times New Roman" w:hAnsi="Times New Roman"/>
          <w:sz w:val="19"/>
          <w:szCs w:val="19"/>
          <w:u w:val="single" w:color="auto"/>
          <w:color w:val="auto"/>
        </w:rPr>
        <w:t>Validity and Enforceability of Loan Papers</w:t>
      </w:r>
      <w:r>
        <w:rPr>
          <w:rFonts w:ascii="Times New Roman" w:cs="Times New Roman" w:eastAsia="Times New Roman" w:hAnsi="Times New Roman"/>
          <w:sz w:val="19"/>
          <w:szCs w:val="19"/>
          <w:color w:val="auto"/>
        </w:rPr>
        <w:t>. Except in accordance with its terms or as otherwise expressly permitted by this Agreement, any Loan Paper at any time after its execution and delivery ceases to be in full force and effect in any material respect or is declared to be null and void or its validity or enforceability is contested by any Company party thereto or any Company denies that it has any further liability or obligations under any Loan Paper to which it is a party.</w:t>
      </w:r>
    </w:p>
    <w:p>
      <w:pPr>
        <w:spacing w:after="0" w:line="158" w:lineRule="exact"/>
        <w:rPr>
          <w:sz w:val="20"/>
          <w:szCs w:val="20"/>
          <w:color w:val="auto"/>
        </w:rPr>
      </w:pPr>
    </w:p>
    <w:p>
      <w:pPr>
        <w:jc w:val="both"/>
        <w:ind w:firstLine="637"/>
        <w:spacing w:after="0" w:line="259" w:lineRule="auto"/>
        <w:rPr>
          <w:sz w:val="20"/>
          <w:szCs w:val="20"/>
          <w:color w:val="auto"/>
        </w:rPr>
      </w:pPr>
      <w:r>
        <w:rPr>
          <w:rFonts w:ascii="Times New Roman" w:cs="Times New Roman" w:eastAsia="Times New Roman" w:hAnsi="Times New Roman"/>
          <w:sz w:val="19"/>
          <w:szCs w:val="19"/>
          <w:color w:val="auto"/>
        </w:rPr>
        <w:t xml:space="preserve">12.11. </w:t>
      </w:r>
      <w:r>
        <w:rPr>
          <w:rFonts w:ascii="Times New Roman" w:cs="Times New Roman" w:eastAsia="Times New Roman" w:hAnsi="Times New Roman"/>
          <w:sz w:val="19"/>
          <w:szCs w:val="19"/>
          <w:u w:val="single" w:color="auto"/>
          <w:color w:val="auto"/>
        </w:rPr>
        <w:t>Employee Plans</w:t>
      </w:r>
      <w:r>
        <w:rPr>
          <w:rFonts w:ascii="Times New Roman" w:cs="Times New Roman" w:eastAsia="Times New Roman" w:hAnsi="Times New Roman"/>
          <w:sz w:val="19"/>
          <w:szCs w:val="19"/>
          <w:color w:val="auto"/>
        </w:rPr>
        <w:t xml:space="preserve">. Except where the occurrence or existence, individually or in the aggregate, is not a Material Adverse Event or, in any event, likely to result in a Lien on the assets of any Company or the Companies securing liability for any Company or the Companies (individually or when aggregated with any liability of the Companies contemplated by </w:t>
      </w:r>
      <w:r>
        <w:rPr>
          <w:rFonts w:ascii="Times New Roman" w:cs="Times New Roman" w:eastAsia="Times New Roman" w:hAnsi="Times New Roman"/>
          <w:sz w:val="19"/>
          <w:szCs w:val="19"/>
          <w:b w:val="1"/>
          <w:bCs w:val="1"/>
          <w:i w:val="1"/>
          <w:iCs w:val="1"/>
          <w:color w:val="auto"/>
        </w:rPr>
        <w:t>Section 8.8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8.9</w:t>
      </w:r>
      <w:r>
        <w:rPr>
          <w:rFonts w:ascii="Times New Roman" w:cs="Times New Roman" w:eastAsia="Times New Roman" w:hAnsi="Times New Roman"/>
          <w:sz w:val="19"/>
          <w:szCs w:val="19"/>
          <w:color w:val="auto"/>
        </w:rPr>
        <w:t xml:space="preserve"> herein that is reasonably likely to be secured by Liens) in excess of the Threshold Amount, (a) an Employee Plan or Multiemployer Plan, as applicable, has any “</w:t>
      </w:r>
      <w:r>
        <w:rPr>
          <w:rFonts w:ascii="Times New Roman" w:cs="Times New Roman" w:eastAsia="Times New Roman" w:hAnsi="Times New Roman"/>
          <w:sz w:val="19"/>
          <w:szCs w:val="19"/>
          <w:i w:val="1"/>
          <w:iCs w:val="1"/>
          <w:color w:val="auto"/>
        </w:rPr>
        <w:t>unpaid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minimum required contribution</w:t>
      </w:r>
      <w:r>
        <w:rPr>
          <w:rFonts w:ascii="Times New Roman" w:cs="Times New Roman" w:eastAsia="Times New Roman" w:hAnsi="Times New Roman"/>
          <w:sz w:val="19"/>
          <w:szCs w:val="19"/>
          <w:color w:val="auto"/>
        </w:rPr>
        <w:t>” (as described in</w:t>
      </w:r>
      <w:r>
        <w:rPr>
          <w:rFonts w:ascii="Times New Roman" w:cs="Times New Roman" w:eastAsia="Times New Roman" w:hAnsi="Times New Roman"/>
          <w:sz w:val="19"/>
          <w:szCs w:val="19"/>
          <w:i w:val="1"/>
          <w:iCs w:val="1"/>
          <w:color w:val="auto"/>
        </w:rPr>
        <w:t xml:space="preserve"> section 4971(c)(4) </w:t>
      </w:r>
      <w:r>
        <w:rPr>
          <w:rFonts w:ascii="Times New Roman" w:cs="Times New Roman" w:eastAsia="Times New Roman" w:hAnsi="Times New Roman"/>
          <w:sz w:val="19"/>
          <w:szCs w:val="19"/>
          <w:color w:val="auto"/>
        </w:rPr>
        <w:t>of the Code), whether or not waived, or any</w:t>
      </w:r>
      <w:r>
        <w:rPr>
          <w:rFonts w:ascii="Times New Roman" w:cs="Times New Roman" w:eastAsia="Times New Roman" w:hAnsi="Times New Roman"/>
          <w:sz w:val="19"/>
          <w:szCs w:val="19"/>
          <w:i w:val="1"/>
          <w:iCs w:val="1"/>
          <w:color w:val="auto"/>
        </w:rPr>
        <w:t xml:space="preserve"> “accumulated funding deficiency” </w:t>
      </w:r>
      <w:r>
        <w:rPr>
          <w:rFonts w:ascii="Times New Roman" w:cs="Times New Roman" w:eastAsia="Times New Roman" w:hAnsi="Times New Roman"/>
          <w:sz w:val="19"/>
          <w:szCs w:val="19"/>
          <w:color w:val="auto"/>
        </w:rPr>
        <w:t>(as defined in</w:t>
      </w:r>
      <w:r>
        <w:rPr>
          <w:rFonts w:ascii="Times New Roman" w:cs="Times New Roman" w:eastAsia="Times New Roman" w:hAnsi="Times New Roman"/>
          <w:sz w:val="19"/>
          <w:szCs w:val="19"/>
          <w:i w:val="1"/>
          <w:iCs w:val="1"/>
          <w:color w:val="auto"/>
        </w:rPr>
        <w:t xml:space="preserve"> section 302 </w:t>
      </w:r>
      <w:r>
        <w:rPr>
          <w:rFonts w:ascii="Times New Roman" w:cs="Times New Roman" w:eastAsia="Times New Roman" w:hAnsi="Times New Roman"/>
          <w:sz w:val="19"/>
          <w:szCs w:val="19"/>
          <w:color w:val="auto"/>
        </w:rPr>
        <w:t>of ERISA or</w:t>
      </w:r>
      <w:r>
        <w:rPr>
          <w:rFonts w:ascii="Times New Roman" w:cs="Times New Roman" w:eastAsia="Times New Roman" w:hAnsi="Times New Roman"/>
          <w:sz w:val="19"/>
          <w:szCs w:val="19"/>
          <w:i w:val="1"/>
          <w:iCs w:val="1"/>
          <w:color w:val="auto"/>
        </w:rPr>
        <w:t xml:space="preserve"> section 412 </w:t>
      </w:r>
      <w:r>
        <w:rPr>
          <w:rFonts w:ascii="Times New Roman" w:cs="Times New Roman" w:eastAsia="Times New Roman" w:hAnsi="Times New Roman"/>
          <w:sz w:val="19"/>
          <w:szCs w:val="19"/>
          <w:color w:val="auto"/>
        </w:rPr>
        <w:t>of the Code), (b) a Company or an ERISA Affiliate incurs liability under ERISA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to the PBGC in connection with any Employee Plan (other than required insurance premiums paid when due), (c) a Company or an ERISA Affiliate withdraws in whole or in part from participation in a Multiemployer Plan, (d) a Company, an ERISA Affiliate, or a Multiemployer Plan to which a Company or any ERISA Affiliate contributes to or has contributed to, receives notice concerning the determination that the Multiemployer Plan is, or is expected to be, insolvent or in reorganization, within the meaning of </w:t>
      </w:r>
      <w:r>
        <w:rPr>
          <w:rFonts w:ascii="Times New Roman" w:cs="Times New Roman" w:eastAsia="Times New Roman" w:hAnsi="Times New Roman"/>
          <w:sz w:val="19"/>
          <w:szCs w:val="19"/>
          <w:i w:val="1"/>
          <w:iCs w:val="1"/>
          <w:color w:val="auto"/>
        </w:rPr>
        <w:t>Title IV</w:t>
      </w:r>
      <w:r>
        <w:rPr>
          <w:rFonts w:ascii="Times New Roman" w:cs="Times New Roman" w:eastAsia="Times New Roman" w:hAnsi="Times New Roman"/>
          <w:sz w:val="19"/>
          <w:szCs w:val="19"/>
          <w:color w:val="auto"/>
        </w:rPr>
        <w:t xml:space="preserve"> of ERISA, (e) a Company or an ERISA Affiliate engages in any </w:t>
      </w:r>
      <w:r>
        <w:rPr>
          <w:rFonts w:ascii="Times New Roman" w:cs="Times New Roman" w:eastAsia="Times New Roman" w:hAnsi="Times New Roman"/>
          <w:sz w:val="19"/>
          <w:szCs w:val="19"/>
          <w:i w:val="1"/>
          <w:iCs w:val="1"/>
          <w:color w:val="auto"/>
        </w:rPr>
        <w:t>“prohibited transaction</w:t>
      </w:r>
      <w:r>
        <w:rPr>
          <w:rFonts w:ascii="Times New Roman" w:cs="Times New Roman" w:eastAsia="Times New Roman" w:hAnsi="Times New Roman"/>
          <w:sz w:val="19"/>
          <w:szCs w:val="19"/>
          <w:color w:val="auto"/>
        </w:rPr>
        <w:t xml:space="preserve">” (as defined in </w:t>
      </w:r>
      <w:r>
        <w:rPr>
          <w:rFonts w:ascii="Times New Roman" w:cs="Times New Roman" w:eastAsia="Times New Roman" w:hAnsi="Times New Roman"/>
          <w:sz w:val="19"/>
          <w:szCs w:val="19"/>
          <w:i w:val="1"/>
          <w:iCs w:val="1"/>
          <w:color w:val="auto"/>
        </w:rPr>
        <w:t>section 406</w:t>
      </w:r>
      <w:r>
        <w:rPr>
          <w:rFonts w:ascii="Times New Roman" w:cs="Times New Roman" w:eastAsia="Times New Roman" w:hAnsi="Times New Roman"/>
          <w:sz w:val="19"/>
          <w:szCs w:val="19"/>
          <w:color w:val="auto"/>
        </w:rPr>
        <w:t xml:space="preserve"> of ERISA or </w:t>
      </w:r>
      <w:r>
        <w:rPr>
          <w:rFonts w:ascii="Times New Roman" w:cs="Times New Roman" w:eastAsia="Times New Roman" w:hAnsi="Times New Roman"/>
          <w:sz w:val="19"/>
          <w:szCs w:val="19"/>
          <w:i w:val="1"/>
          <w:iCs w:val="1"/>
          <w:color w:val="auto"/>
        </w:rPr>
        <w:t>section 4975</w:t>
      </w:r>
      <w:r>
        <w:rPr>
          <w:rFonts w:ascii="Times New Roman" w:cs="Times New Roman" w:eastAsia="Times New Roman" w:hAnsi="Times New Roman"/>
          <w:sz w:val="19"/>
          <w:szCs w:val="19"/>
          <w:color w:val="auto"/>
        </w:rPr>
        <w:t xml:space="preserve"> of the Code), or (f) a </w:t>
      </w:r>
      <w:r>
        <w:rPr>
          <w:rFonts w:ascii="Times New Roman" w:cs="Times New Roman" w:eastAsia="Times New Roman" w:hAnsi="Times New Roman"/>
          <w:sz w:val="19"/>
          <w:szCs w:val="19"/>
          <w:i w:val="1"/>
          <w:iCs w:val="1"/>
          <w:color w:val="auto"/>
        </w:rPr>
        <w:t>“reportable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event” </w:t>
      </w:r>
      <w:r>
        <w:rPr>
          <w:rFonts w:ascii="Times New Roman" w:cs="Times New Roman" w:eastAsia="Times New Roman" w:hAnsi="Times New Roman"/>
          <w:sz w:val="19"/>
          <w:szCs w:val="19"/>
          <w:color w:val="auto"/>
        </w:rPr>
        <w:t>(as defined in</w:t>
      </w:r>
      <w:r>
        <w:rPr>
          <w:rFonts w:ascii="Times New Roman" w:cs="Times New Roman" w:eastAsia="Times New Roman" w:hAnsi="Times New Roman"/>
          <w:sz w:val="19"/>
          <w:szCs w:val="19"/>
          <w:i w:val="1"/>
          <w:iCs w:val="1"/>
          <w:color w:val="auto"/>
        </w:rPr>
        <w:t xml:space="preserve"> section 4043 </w:t>
      </w:r>
      <w:r>
        <w:rPr>
          <w:rFonts w:ascii="Times New Roman" w:cs="Times New Roman" w:eastAsia="Times New Roman" w:hAnsi="Times New Roman"/>
          <w:sz w:val="19"/>
          <w:szCs w:val="19"/>
          <w:color w:val="auto"/>
        </w:rPr>
        <w:t>of ERISA) occurs with respect to an Employee Plan, excluding events for which the notice requirement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waived under applicable PBGC regulations.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u w:val="single" w:color="auto"/>
          <w:color w:val="auto"/>
        </w:rPr>
        <w:t>SECTION 13  RIGHTS AND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102</w:t>
      </w:r>
    </w:p>
    <w:p>
      <w:pPr>
        <w:sectPr>
          <w:pgSz w:w="11900" w:h="16838" w:orient="portrait"/>
          <w:cols w:equalWidth="0" w:num="1">
            <w:col w:w="11240"/>
          </w:cols>
          <w:pgMar w:left="320" w:top="1390" w:right="339" w:bottom="1440" w:gutter="0" w:footer="0" w:header="0"/>
        </w:sectPr>
      </w:pPr>
    </w:p>
    <w:bookmarkStart w:id="216" w:name="page217"/>
    <w:bookmarkEnd w:id="216"/>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13.1.</w:t>
      </w:r>
      <w:r>
        <w:rPr>
          <w:sz w:val="20"/>
          <w:szCs w:val="20"/>
          <w:color w:val="auto"/>
        </w:rPr>
        <w:tab/>
      </w:r>
      <w:r>
        <w:rPr>
          <w:rFonts w:ascii="Times New Roman" w:cs="Times New Roman" w:eastAsia="Times New Roman" w:hAnsi="Times New Roman"/>
          <w:sz w:val="19"/>
          <w:szCs w:val="19"/>
          <w:u w:val="single" w:color="auto"/>
          <w:color w:val="auto"/>
        </w:rPr>
        <w:t>Remedies Upon Default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802"/>
        <w:spacing w:after="0" w:line="276" w:lineRule="auto"/>
        <w:tabs>
          <w:tab w:leader="none" w:pos="1289"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Default exists under </w:t>
      </w:r>
      <w:r>
        <w:rPr>
          <w:rFonts w:ascii="Times New Roman" w:cs="Times New Roman" w:eastAsia="Times New Roman" w:hAnsi="Times New Roman"/>
          <w:sz w:val="19"/>
          <w:szCs w:val="19"/>
          <w:b w:val="1"/>
          <w:bCs w:val="1"/>
          <w:i w:val="1"/>
          <w:iCs w:val="1"/>
          <w:color w:val="auto"/>
        </w:rPr>
        <w:t>Section 12.3</w:t>
      </w:r>
      <w:r>
        <w:rPr>
          <w:rFonts w:ascii="Times New Roman" w:cs="Times New Roman" w:eastAsia="Times New Roman" w:hAnsi="Times New Roman"/>
          <w:sz w:val="19"/>
          <w:szCs w:val="19"/>
          <w:color w:val="auto"/>
        </w:rPr>
        <w:t>, the commitment to extend credit under this Agreement automatically terminates, the entire unpaid balance of the Obligation automatically becomes due and payable without any action of any kind whatsoever, and Borrower must provide cash collateral in an amount equal to the then-existing L/C Exposure.</w:t>
      </w:r>
    </w:p>
    <w:p>
      <w:pPr>
        <w:spacing w:after="0" w:line="148" w:lineRule="exact"/>
        <w:rPr>
          <w:rFonts w:ascii="Times New Roman" w:cs="Times New Roman" w:eastAsia="Times New Roman" w:hAnsi="Times New Roman"/>
          <w:sz w:val="19"/>
          <w:szCs w:val="19"/>
          <w:color w:val="auto"/>
        </w:rPr>
      </w:pPr>
    </w:p>
    <w:p>
      <w:pPr>
        <w:jc w:val="both"/>
        <w:ind w:firstLine="802"/>
        <w:spacing w:after="0" w:line="264" w:lineRule="auto"/>
        <w:tabs>
          <w:tab w:leader="none" w:pos="1254"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Default exists, subject to the terms of </w:t>
      </w:r>
      <w:r>
        <w:rPr>
          <w:rFonts w:ascii="Times New Roman" w:cs="Times New Roman" w:eastAsia="Times New Roman" w:hAnsi="Times New Roman"/>
          <w:sz w:val="19"/>
          <w:szCs w:val="19"/>
          <w:b w:val="1"/>
          <w:bCs w:val="1"/>
          <w:i w:val="1"/>
          <w:iCs w:val="1"/>
          <w:color w:val="auto"/>
        </w:rPr>
        <w:t>Section 14.5</w:t>
      </w:r>
      <w:r>
        <w:rPr>
          <w:rFonts w:ascii="Times New Roman" w:cs="Times New Roman" w:eastAsia="Times New Roman" w:hAnsi="Times New Roman"/>
          <w:sz w:val="19"/>
          <w:szCs w:val="19"/>
          <w:color w:val="auto"/>
        </w:rPr>
        <w:t xml:space="preserve">, Administrative Agent may (with the consent of, and must, upon the request of, Required Lenders), do any one or more of the following: (i) if the maturity of the Obligation has not already been accelerated under </w:t>
      </w:r>
      <w:r>
        <w:rPr>
          <w:rFonts w:ascii="Times New Roman" w:cs="Times New Roman" w:eastAsia="Times New Roman" w:hAnsi="Times New Roman"/>
          <w:sz w:val="19"/>
          <w:szCs w:val="19"/>
          <w:b w:val="1"/>
          <w:bCs w:val="1"/>
          <w:i w:val="1"/>
          <w:iCs w:val="1"/>
          <w:color w:val="auto"/>
        </w:rPr>
        <w:t>Section 13.1(a)</w:t>
      </w:r>
      <w:r>
        <w:rPr>
          <w:rFonts w:ascii="Times New Roman" w:cs="Times New Roman" w:eastAsia="Times New Roman" w:hAnsi="Times New Roman"/>
          <w:sz w:val="19"/>
          <w:szCs w:val="19"/>
          <w:color w:val="auto"/>
        </w:rPr>
        <w:t>, declare the entire unpaid balance of all or any part of the Obligation immediately due and payable, whereupon it is due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payable; (ii) terminate the Commitments of Lenders; (iii) reduce any claim to judgment; (iv) demand Borrower to provide cash collateral in an amount equal to the L/C Exposure then existing; and (v) exercise any and all other legal or equitable Rights afforded by the Loan Papers, the Laws of the State of New York, or any other applicable jurisdiction.</w:t>
      </w:r>
    </w:p>
    <w:p>
      <w:pPr>
        <w:spacing w:after="0" w:line="176" w:lineRule="exact"/>
        <w:rPr>
          <w:sz w:val="20"/>
          <w:szCs w:val="20"/>
          <w:color w:val="auto"/>
        </w:rPr>
      </w:pPr>
    </w:p>
    <w:p>
      <w:pPr>
        <w:jc w:val="both"/>
        <w:ind w:firstLine="637"/>
        <w:spacing w:after="0" w:line="271" w:lineRule="auto"/>
        <w:rPr>
          <w:sz w:val="20"/>
          <w:szCs w:val="20"/>
          <w:color w:val="auto"/>
        </w:rPr>
      </w:pPr>
      <w:r>
        <w:rPr>
          <w:rFonts w:ascii="Times New Roman" w:cs="Times New Roman" w:eastAsia="Times New Roman" w:hAnsi="Times New Roman"/>
          <w:sz w:val="19"/>
          <w:szCs w:val="19"/>
          <w:color w:val="auto"/>
        </w:rPr>
        <w:t xml:space="preserve">13.2. </w:t>
      </w:r>
      <w:r>
        <w:rPr>
          <w:rFonts w:ascii="Times New Roman" w:cs="Times New Roman" w:eastAsia="Times New Roman" w:hAnsi="Times New Roman"/>
          <w:sz w:val="19"/>
          <w:szCs w:val="19"/>
          <w:u w:val="single" w:color="auto"/>
          <w:color w:val="auto"/>
        </w:rPr>
        <w:t>Company Waivers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To the extent permitted by Law, each Company waives presentment and demand for 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protest, notice of intention to accelerate, notice of acceleration and notice of protest and nonpayment, and agrees that its liability with respect to all or any part of the Obligation is not affected by any renewal or extension in the time of payment of all or any part of the Obligation, by any indulgence, or by any release or change in any security for the payment of all or any part of the Obligation.</w:t>
      </w:r>
    </w:p>
    <w:p>
      <w:pPr>
        <w:spacing w:after="0" w:line="158" w:lineRule="exact"/>
        <w:rPr>
          <w:sz w:val="20"/>
          <w:szCs w:val="20"/>
          <w:color w:val="auto"/>
        </w:rPr>
      </w:pPr>
    </w:p>
    <w:p>
      <w:pPr>
        <w:jc w:val="both"/>
        <w:ind w:firstLine="637"/>
        <w:spacing w:after="0" w:line="263" w:lineRule="auto"/>
        <w:rPr>
          <w:sz w:val="20"/>
          <w:szCs w:val="20"/>
          <w:color w:val="auto"/>
        </w:rPr>
      </w:pPr>
      <w:r>
        <w:rPr>
          <w:rFonts w:ascii="Times New Roman" w:cs="Times New Roman" w:eastAsia="Times New Roman" w:hAnsi="Times New Roman"/>
          <w:sz w:val="19"/>
          <w:szCs w:val="19"/>
          <w:color w:val="auto"/>
        </w:rPr>
        <w:t xml:space="preserve">13.3. </w:t>
      </w:r>
      <w:r>
        <w:rPr>
          <w:rFonts w:ascii="Times New Roman" w:cs="Times New Roman" w:eastAsia="Times New Roman" w:hAnsi="Times New Roman"/>
          <w:sz w:val="19"/>
          <w:szCs w:val="19"/>
          <w:u w:val="single" w:color="auto"/>
          <w:color w:val="auto"/>
        </w:rPr>
        <w:t>Performance by Administrative Agent</w:t>
      </w:r>
      <w:r>
        <w:rPr>
          <w:rFonts w:ascii="Times New Roman" w:cs="Times New Roman" w:eastAsia="Times New Roman" w:hAnsi="Times New Roman"/>
          <w:sz w:val="19"/>
          <w:szCs w:val="19"/>
          <w:color w:val="auto"/>
        </w:rPr>
        <w:t xml:space="preserve">. If any covenant, duty, or agreement of any Company is not performed in accordance with the terms of the Loan Papers, Administrative Agent may, while a Default exists, at its option (but subject to the approval of Required Lenders), perform, or attempt to perform that covenant, duty, or agreement on behalf of that Company (and any amount expended by Administrative Agent in its performance or attempted performance is payable by the Companies, jointly and severally, to Administrative Agent on demand, becomes part of the Obligation, and bears interest at the Default Rate from the date of Administrative Agent’s expenditure until paid). However, Administrative Agent does not assume and shall never have,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by its express written consent, any liability or responsibility for the performance of any covenant, duty, or agreement of any Company.</w:t>
      </w:r>
    </w:p>
    <w:p>
      <w:pPr>
        <w:spacing w:after="0" w:line="168"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9"/>
          <w:szCs w:val="19"/>
          <w:color w:val="auto"/>
        </w:rPr>
        <w:t xml:space="preserve">13.4. </w:t>
      </w:r>
      <w:r>
        <w:rPr>
          <w:rFonts w:ascii="Times New Roman" w:cs="Times New Roman" w:eastAsia="Times New Roman" w:hAnsi="Times New Roman"/>
          <w:sz w:val="19"/>
          <w:szCs w:val="19"/>
          <w:u w:val="single" w:color="auto"/>
          <w:color w:val="auto"/>
        </w:rPr>
        <w:t>Not in Control</w:t>
      </w:r>
      <w:r>
        <w:rPr>
          <w:rFonts w:ascii="Times New Roman" w:cs="Times New Roman" w:eastAsia="Times New Roman" w:hAnsi="Times New Roman"/>
          <w:sz w:val="19"/>
          <w:szCs w:val="19"/>
          <w:color w:val="auto"/>
        </w:rPr>
        <w:t xml:space="preserve">. None of the covenants or other provisions contained in any Loan Paper shall, or shall be deemed to, give Administrative Agent, the L/C Issuers, or Lenders the Right to exercise control over the assets (including, without limitation, real property), affairs, or management of any Company; the power of Administrative Agent, the L/C Issuers, and Lenders is limited to the Right to exercise the remedies provided in this </w:t>
      </w:r>
      <w:r>
        <w:rPr>
          <w:rFonts w:ascii="Times New Roman" w:cs="Times New Roman" w:eastAsia="Times New Roman" w:hAnsi="Times New Roman"/>
          <w:sz w:val="19"/>
          <w:szCs w:val="19"/>
          <w:b w:val="1"/>
          <w:bCs w:val="1"/>
          <w:i w:val="1"/>
          <w:iCs w:val="1"/>
          <w:color w:val="auto"/>
        </w:rPr>
        <w:t>Section 13</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13.5. </w:t>
      </w:r>
      <w:r>
        <w:rPr>
          <w:rFonts w:ascii="Times New Roman" w:cs="Times New Roman" w:eastAsia="Times New Roman" w:hAnsi="Times New Roman"/>
          <w:sz w:val="19"/>
          <w:szCs w:val="19"/>
          <w:u w:val="single" w:color="auto"/>
          <w:color w:val="auto"/>
        </w:rPr>
        <w:t>Course of Dealing</w:t>
      </w:r>
      <w:r>
        <w:rPr>
          <w:rFonts w:ascii="Times New Roman" w:cs="Times New Roman" w:eastAsia="Times New Roman" w:hAnsi="Times New Roman"/>
          <w:sz w:val="19"/>
          <w:szCs w:val="19"/>
          <w:color w:val="auto"/>
        </w:rPr>
        <w:t xml:space="preserve">. The acceptance by Administrative Agent or Lenders of any partial payment on the Obligation shall not be deemed to be a waiver of any Default then existing. No waiver by Administrative Agent, the L/C Issuers, Required Lenders, Required Revolver Lenders, Required Term Loan Lenders </w:t>
      </w:r>
      <w:r>
        <w:rPr>
          <w:rFonts w:ascii="Times New Roman" w:cs="Times New Roman" w:eastAsia="Times New Roman" w:hAnsi="Times New Roman"/>
          <w:sz w:val="19"/>
          <w:szCs w:val="19"/>
          <w:color w:val="EE2724"/>
        </w:rPr>
        <w:t>or</w:t>
      </w:r>
      <w:r>
        <w:rPr>
          <w:rFonts w:ascii="Times New Roman" w:cs="Times New Roman" w:eastAsia="Times New Roman" w:hAnsi="Times New Roman"/>
          <w:sz w:val="19"/>
          <w:szCs w:val="19"/>
          <w:u w:val="single" w:color="auto"/>
          <w:color w:val="3051F2"/>
        </w:rPr>
        <w:t>, Required Delayed Draw Term Loan Lenders or</w:t>
      </w:r>
      <w:r>
        <w:rPr>
          <w:rFonts w:ascii="Times New Roman" w:cs="Times New Roman" w:eastAsia="Times New Roman" w:hAnsi="Times New Roman"/>
          <w:sz w:val="19"/>
          <w:szCs w:val="19"/>
          <w:color w:val="auto"/>
        </w:rPr>
        <w:t xml:space="preserve"> Lenders of any Default shall be deemed to be a waiver of any other then-existing or subsequent Default. No delay or omission by Administrative Agent, the L/C Issuers, Required Lenders, Required Revolver Lenders, Required Term Loan Lenders </w:t>
      </w:r>
      <w:r>
        <w:rPr>
          <w:rFonts w:ascii="Times New Roman" w:cs="Times New Roman" w:eastAsia="Times New Roman" w:hAnsi="Times New Roman"/>
          <w:sz w:val="19"/>
          <w:szCs w:val="19"/>
          <w:color w:val="EE2724"/>
        </w:rPr>
        <w:t>or</w:t>
      </w:r>
      <w:r>
        <w:rPr>
          <w:rFonts w:ascii="Times New Roman" w:cs="Times New Roman" w:eastAsia="Times New Roman" w:hAnsi="Times New Roman"/>
          <w:sz w:val="19"/>
          <w:szCs w:val="19"/>
          <w:u w:val="single" w:color="auto"/>
          <w:color w:val="3051F2"/>
        </w:rPr>
        <w:t>, Required Delayed Draw Term Loan Lenders or</w:t>
      </w:r>
      <w:r>
        <w:rPr>
          <w:rFonts w:ascii="Times New Roman" w:cs="Times New Roman" w:eastAsia="Times New Roman" w:hAnsi="Times New Roman"/>
          <w:sz w:val="19"/>
          <w:szCs w:val="19"/>
          <w:color w:val="auto"/>
        </w:rPr>
        <w:t xml:space="preserve"> Lenders in exercising any Right under the Loan Papers will impair that Right or be construed as a waiver thereof or any acquiescence therein, nor will any single or partial exercise of any Right preclude other or further exercise thereof or the exercise of any other Right under the Loan Papers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-678815</wp:posOffset>
            </wp:positionV>
            <wp:extent cx="142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42240"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-384175</wp:posOffset>
            </wp:positionV>
            <wp:extent cx="1333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103</w:t>
      </w:r>
    </w:p>
    <w:p>
      <w:pPr>
        <w:sectPr>
          <w:pgSz w:w="11900" w:h="16838" w:orient="portrait"/>
          <w:cols w:equalWidth="0" w:num="1">
            <w:col w:w="11240"/>
          </w:cols>
          <w:pgMar w:left="320" w:top="1390" w:right="339" w:bottom="1440" w:gutter="0" w:footer="0" w:header="0"/>
        </w:sectPr>
      </w:pPr>
    </w:p>
    <w:bookmarkStart w:id="217" w:name="page218"/>
    <w:bookmarkEnd w:id="217"/>
    <w:p>
      <w:pPr>
        <w:jc w:val="both"/>
        <w:ind w:firstLine="637"/>
        <w:spacing w:after="0" w:line="263" w:lineRule="auto"/>
        <w:rPr>
          <w:sz w:val="20"/>
          <w:szCs w:val="20"/>
          <w:color w:val="auto"/>
        </w:rPr>
      </w:pPr>
      <w:r>
        <w:rPr>
          <w:rFonts w:ascii="Times New Roman" w:cs="Times New Roman" w:eastAsia="Times New Roman" w:hAnsi="Times New Roman"/>
          <w:sz w:val="19"/>
          <w:szCs w:val="19"/>
          <w:color w:val="auto"/>
        </w:rPr>
        <w:t xml:space="preserve">13.6. </w:t>
      </w:r>
      <w:r>
        <w:rPr>
          <w:rFonts w:ascii="Times New Roman" w:cs="Times New Roman" w:eastAsia="Times New Roman" w:hAnsi="Times New Roman"/>
          <w:sz w:val="19"/>
          <w:szCs w:val="19"/>
          <w:u w:val="single" w:color="auto"/>
          <w:color w:val="auto"/>
        </w:rPr>
        <w:t>Cumulative Rights</w:t>
      </w:r>
      <w:r>
        <w:rPr>
          <w:rFonts w:ascii="Times New Roman" w:cs="Times New Roman" w:eastAsia="Times New Roman" w:hAnsi="Times New Roman"/>
          <w:sz w:val="19"/>
          <w:szCs w:val="19"/>
          <w:color w:val="auto"/>
        </w:rPr>
        <w:t xml:space="preserve">. Notwithstanding anything to the contrary provided herein, all Rights available to Administrative Agent, the L/C Issuers, Required Lenders, Required Revolver Lenders, Required </w:t>
      </w:r>
      <w:r>
        <w:rPr>
          <w:rFonts w:ascii="Times New Roman" w:cs="Times New Roman" w:eastAsia="Times New Roman" w:hAnsi="Times New Roman"/>
          <w:sz w:val="19"/>
          <w:szCs w:val="19"/>
          <w:u w:val="single" w:color="auto"/>
          <w:color w:val="3051F2"/>
        </w:rPr>
        <w:t>Term Loan Lenders, Required Delayed Draw</w:t>
      </w:r>
      <w:r>
        <w:rPr>
          <w:rFonts w:ascii="Times New Roman" w:cs="Times New Roman" w:eastAsia="Times New Roman" w:hAnsi="Times New Roman"/>
          <w:sz w:val="19"/>
          <w:szCs w:val="19"/>
          <w:color w:val="auto"/>
        </w:rPr>
        <w:t xml:space="preserve"> Term Loan Lenders and Lenders under the Loan Papers are cumulative of and in addition to all other Rights granted to Administrative Agent, the L/C Issuers, Required Lenders, Required Revolver Lenders, Required Term Loan Lenders</w:t>
      </w:r>
      <w:r>
        <w:rPr>
          <w:rFonts w:ascii="Times New Roman" w:cs="Times New Roman" w:eastAsia="Times New Roman" w:hAnsi="Times New Roman"/>
          <w:sz w:val="19"/>
          <w:szCs w:val="19"/>
          <w:u w:val="single" w:color="auto"/>
          <w:color w:val="3051F2"/>
        </w:rPr>
        <w:t>, Required Delayed Draw Term Loan Lenders</w:t>
      </w:r>
      <w:r>
        <w:rPr>
          <w:rFonts w:ascii="Times New Roman" w:cs="Times New Roman" w:eastAsia="Times New Roman" w:hAnsi="Times New Roman"/>
          <w:sz w:val="19"/>
          <w:szCs w:val="19"/>
          <w:color w:val="auto"/>
        </w:rPr>
        <w:t xml:space="preserve"> and Lenders at Law or in equity, whether or not the Obligation is due and payable and whether or not Administrative Agent, the L/C Issuers, Required Lenders, Required Revolver Lenders, Required Term Loan Lenders</w:t>
      </w:r>
      <w:r>
        <w:rPr>
          <w:rFonts w:ascii="Times New Roman" w:cs="Times New Roman" w:eastAsia="Times New Roman" w:hAnsi="Times New Roman"/>
          <w:sz w:val="19"/>
          <w:szCs w:val="19"/>
          <w:u w:val="single" w:color="auto"/>
          <w:color w:val="3051F2"/>
        </w:rPr>
        <w:t>, Required Delayed Draw Term Loan Lenders</w:t>
      </w:r>
      <w:r>
        <w:rPr>
          <w:rFonts w:ascii="Times New Roman" w:cs="Times New Roman" w:eastAsia="Times New Roman" w:hAnsi="Times New Roman"/>
          <w:sz w:val="19"/>
          <w:szCs w:val="19"/>
          <w:color w:val="auto"/>
        </w:rPr>
        <w:t xml:space="preserve"> or Lenders have instituted any suit for collection, foreclosure, or other action in connection with the Loan Papers.</w:t>
      </w:r>
    </w:p>
    <w:p>
      <w:pPr>
        <w:spacing w:after="0" w:line="168"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19"/>
          <w:szCs w:val="19"/>
          <w:color w:val="auto"/>
        </w:rPr>
        <w:t xml:space="preserve">13.7. </w:t>
      </w:r>
      <w:r>
        <w:rPr>
          <w:rFonts w:ascii="Times New Roman" w:cs="Times New Roman" w:eastAsia="Times New Roman" w:hAnsi="Times New Roman"/>
          <w:sz w:val="19"/>
          <w:szCs w:val="19"/>
          <w:u w:val="single" w:color="auto"/>
          <w:color w:val="auto"/>
        </w:rPr>
        <w:t>Enforcement</w:t>
      </w:r>
      <w:r>
        <w:rPr>
          <w:rFonts w:ascii="Times New Roman" w:cs="Times New Roman" w:eastAsia="Times New Roman" w:hAnsi="Times New Roman"/>
          <w:sz w:val="19"/>
          <w:szCs w:val="19"/>
          <w:color w:val="auto"/>
        </w:rPr>
        <w:t xml:space="preserve">. Notwithstanding anything to the contrary contained herein or in any other Loan Paper, the authority to enforce rights and remedies hereunder and under the other Loan Papers against the Companies or any of them shall be vested exclusively in, and all actions and proceedings at law in connection with such enforcement shall be instituted and maintained exclusively by, Administrative Agent in accordance with </w:t>
      </w:r>
      <w:r>
        <w:rPr>
          <w:rFonts w:ascii="Times New Roman" w:cs="Times New Roman" w:eastAsia="Times New Roman" w:hAnsi="Times New Roman"/>
          <w:sz w:val="19"/>
          <w:szCs w:val="19"/>
          <w:b w:val="1"/>
          <w:bCs w:val="1"/>
          <w:i w:val="1"/>
          <w:iCs w:val="1"/>
          <w:color w:val="auto"/>
        </w:rPr>
        <w:t>Section 13.1</w:t>
      </w:r>
      <w:r>
        <w:rPr>
          <w:rFonts w:ascii="Times New Roman" w:cs="Times New Roman" w:eastAsia="Times New Roman" w:hAnsi="Times New Roman"/>
          <w:sz w:val="19"/>
          <w:szCs w:val="19"/>
          <w:color w:val="auto"/>
        </w:rPr>
        <w:t xml:space="preserve"> for the benefit of all the Lenders and the L/C Issuers;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foregoing shall not prohibit</w:t>
      </w:r>
    </w:p>
    <w:p>
      <w:pPr>
        <w:spacing w:after="0" w:line="2" w:lineRule="exact"/>
        <w:rPr>
          <w:sz w:val="20"/>
          <w:szCs w:val="20"/>
          <w:color w:val="auto"/>
        </w:rPr>
      </w:pPr>
    </w:p>
    <w:p>
      <w:pPr>
        <w:jc w:val="both"/>
        <w:ind w:firstLine="6"/>
        <w:spacing w:after="0" w:line="256" w:lineRule="auto"/>
        <w:tabs>
          <w:tab w:leader="none" w:pos="301"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Administrative Agent from exercising on its own behalf the rights and remedies that inure to its benefit (solely in its capacity as Administrative Agent) hereunder and under the other Loan Papers, (b) the L/C Issuers from exercising the rights and remedies that inure to its benefit (solely in its capacity as L/C Issuer) hereunder and under the other Loan Paper, (c) any Lender from exercising setoff rights in accordance with </w:t>
      </w:r>
      <w:r>
        <w:rPr>
          <w:rFonts w:ascii="Times New Roman" w:cs="Times New Roman" w:eastAsia="Times New Roman" w:hAnsi="Times New Roman"/>
          <w:sz w:val="19"/>
          <w:szCs w:val="19"/>
          <w:b w:val="1"/>
          <w:bCs w:val="1"/>
          <w:i w:val="1"/>
          <w:iCs w:val="1"/>
          <w:color w:val="auto"/>
        </w:rPr>
        <w:t>Section 15.13</w:t>
      </w:r>
      <w:r>
        <w:rPr>
          <w:rFonts w:ascii="Times New Roman" w:cs="Times New Roman" w:eastAsia="Times New Roman" w:hAnsi="Times New Roman"/>
          <w:sz w:val="19"/>
          <w:szCs w:val="19"/>
          <w:color w:val="auto"/>
        </w:rPr>
        <w:t xml:space="preserve"> (subject to the terms of </w:t>
      </w:r>
      <w:r>
        <w:rPr>
          <w:rFonts w:ascii="Times New Roman" w:cs="Times New Roman" w:eastAsia="Times New Roman" w:hAnsi="Times New Roman"/>
          <w:sz w:val="19"/>
          <w:szCs w:val="19"/>
          <w:b w:val="1"/>
          <w:bCs w:val="1"/>
          <w:i w:val="1"/>
          <w:iCs w:val="1"/>
          <w:color w:val="auto"/>
        </w:rPr>
        <w:t>Section 3.12</w:t>
      </w:r>
      <w:r>
        <w:rPr>
          <w:rFonts w:ascii="Times New Roman" w:cs="Times New Roman" w:eastAsia="Times New Roman" w:hAnsi="Times New Roman"/>
          <w:sz w:val="19"/>
          <w:szCs w:val="19"/>
          <w:color w:val="auto"/>
        </w:rPr>
        <w:t xml:space="preserve">), or (d) any Lender from filing proofs of claim or appearing and filing pleadings on its own behalf during the pendency of a proceeding relative to any Company under any Debtor Relief Law; and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if at any time there is no Person acting as Administrative Agent hereunder and under the other Loan Paper, then (i) Required Lenders shall have the rights otherwise ascribed to Administrative Agent pursuant to </w:t>
      </w:r>
      <w:r>
        <w:rPr>
          <w:rFonts w:ascii="Times New Roman" w:cs="Times New Roman" w:eastAsia="Times New Roman" w:hAnsi="Times New Roman"/>
          <w:sz w:val="19"/>
          <w:szCs w:val="19"/>
          <w:b w:val="1"/>
          <w:bCs w:val="1"/>
          <w:i w:val="1"/>
          <w:iCs w:val="1"/>
          <w:color w:val="auto"/>
        </w:rPr>
        <w:t>Section 13.1</w:t>
      </w:r>
      <w:r>
        <w:rPr>
          <w:rFonts w:ascii="Times New Roman" w:cs="Times New Roman" w:eastAsia="Times New Roman" w:hAnsi="Times New Roman"/>
          <w:sz w:val="19"/>
          <w:szCs w:val="19"/>
          <w:color w:val="auto"/>
        </w:rPr>
        <w:t xml:space="preserve"> and (ii) in addition to the matters set forth in </w:t>
      </w:r>
      <w:r>
        <w:rPr>
          <w:rFonts w:ascii="Times New Roman" w:cs="Times New Roman" w:eastAsia="Times New Roman" w:hAnsi="Times New Roman"/>
          <w:sz w:val="19"/>
          <w:szCs w:val="19"/>
          <w:b w:val="1"/>
          <w:bCs w:val="1"/>
          <w:i w:val="1"/>
          <w:iCs w:val="1"/>
          <w:color w:val="auto"/>
        </w:rPr>
        <w:t>clauses (b)</w:t>
      </w:r>
      <w:r>
        <w:rPr>
          <w:rFonts w:ascii="Times New Roman" w:cs="Times New Roman" w:eastAsia="Times New Roman" w:hAnsi="Times New Roman"/>
          <w:sz w:val="19"/>
          <w:szCs w:val="19"/>
          <w:color w:val="auto"/>
        </w:rPr>
        <w:t>,</w:t>
      </w:r>
    </w:p>
    <w:p>
      <w:pPr>
        <w:spacing w:after="0" w:line="27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b w:val="1"/>
          <w:bCs w:val="1"/>
          <w:i w:val="1"/>
          <w:iCs w:val="1"/>
          <w:color w:val="auto"/>
        </w:rPr>
        <w:t xml:space="preserve"> (d) </w:t>
      </w:r>
      <w:r>
        <w:rPr>
          <w:rFonts w:ascii="Times New Roman" w:cs="Times New Roman" w:eastAsia="Times New Roman" w:hAnsi="Times New Roman"/>
          <w:sz w:val="19"/>
          <w:szCs w:val="19"/>
          <w:color w:val="auto"/>
        </w:rPr>
        <w:t>of the preceding proviso and subject to</w:t>
      </w:r>
      <w:r>
        <w:rPr>
          <w:rFonts w:ascii="Times New Roman" w:cs="Times New Roman" w:eastAsia="Times New Roman" w:hAnsi="Times New Roman"/>
          <w:sz w:val="19"/>
          <w:szCs w:val="19"/>
          <w:b w:val="1"/>
          <w:bCs w:val="1"/>
          <w:i w:val="1"/>
          <w:iCs w:val="1"/>
          <w:color w:val="auto"/>
        </w:rPr>
        <w:t xml:space="preserve"> Section 3.12</w:t>
      </w:r>
      <w:r>
        <w:rPr>
          <w:rFonts w:ascii="Times New Roman" w:cs="Times New Roman" w:eastAsia="Times New Roman" w:hAnsi="Times New Roman"/>
          <w:sz w:val="19"/>
          <w:szCs w:val="19"/>
          <w:color w:val="auto"/>
        </w:rPr>
        <w:t>, any Lender may, with the consent of Required Lenders, enforce any rights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remedies available to it and as authorized by Required Lenders.</w:t>
      </w:r>
    </w:p>
    <w:p>
      <w:pPr>
        <w:spacing w:after="0" w:line="170" w:lineRule="exact"/>
        <w:rPr>
          <w:sz w:val="20"/>
          <w:szCs w:val="20"/>
          <w:color w:val="auto"/>
        </w:rPr>
      </w:pPr>
    </w:p>
    <w:p>
      <w:pPr>
        <w:jc w:val="both"/>
        <w:ind w:firstLine="637"/>
        <w:spacing w:after="0" w:line="285" w:lineRule="auto"/>
        <w:rPr>
          <w:sz w:val="20"/>
          <w:szCs w:val="20"/>
          <w:color w:val="auto"/>
        </w:rPr>
      </w:pPr>
      <w:r>
        <w:rPr>
          <w:rFonts w:ascii="Times New Roman" w:cs="Times New Roman" w:eastAsia="Times New Roman" w:hAnsi="Times New Roman"/>
          <w:sz w:val="19"/>
          <w:szCs w:val="19"/>
          <w:color w:val="auto"/>
        </w:rPr>
        <w:t xml:space="preserve">13.8. </w:t>
      </w:r>
      <w:r>
        <w:rPr>
          <w:rFonts w:ascii="Times New Roman" w:cs="Times New Roman" w:eastAsia="Times New Roman" w:hAnsi="Times New Roman"/>
          <w:sz w:val="19"/>
          <w:szCs w:val="19"/>
          <w:u w:val="single" w:color="auto"/>
          <w:color w:val="auto"/>
        </w:rPr>
        <w:t>Application of Proceeds</w:t>
      </w:r>
      <w:r>
        <w:rPr>
          <w:rFonts w:ascii="Times New Roman" w:cs="Times New Roman" w:eastAsia="Times New Roman" w:hAnsi="Times New Roman"/>
          <w:sz w:val="19"/>
          <w:szCs w:val="19"/>
          <w:color w:val="auto"/>
        </w:rPr>
        <w:t xml:space="preserve">. Any and all proceeds ever received by Administrative Agent or Lenders from the exercise of any Rights pertaining to the Obligation shall be applied to the Obligation according to </w:t>
      </w:r>
      <w:r>
        <w:rPr>
          <w:rFonts w:ascii="Times New Roman" w:cs="Times New Roman" w:eastAsia="Times New Roman" w:hAnsi="Times New Roman"/>
          <w:sz w:val="19"/>
          <w:szCs w:val="19"/>
          <w:b w:val="1"/>
          <w:bCs w:val="1"/>
          <w:i w:val="1"/>
          <w:iCs w:val="1"/>
          <w:color w:val="auto"/>
        </w:rPr>
        <w:t>Section 3.10</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13.9. </w:t>
      </w:r>
      <w:r>
        <w:rPr>
          <w:rFonts w:ascii="Times New Roman" w:cs="Times New Roman" w:eastAsia="Times New Roman" w:hAnsi="Times New Roman"/>
          <w:sz w:val="19"/>
          <w:szCs w:val="19"/>
          <w:u w:val="single" w:color="auto"/>
          <w:color w:val="auto"/>
        </w:rPr>
        <w:t>Diminution in Value of Collateral</w:t>
      </w:r>
      <w:r>
        <w:rPr>
          <w:rFonts w:ascii="Times New Roman" w:cs="Times New Roman" w:eastAsia="Times New Roman" w:hAnsi="Times New Roman"/>
          <w:sz w:val="19"/>
          <w:szCs w:val="19"/>
          <w:color w:val="auto"/>
        </w:rPr>
        <w:t>. Neither Administrative Agent nor any Lender has any liability or responsibility whatsoever for any diminution in or loss of value of any Collateral or other collateral ever securing payment or performance of all or any part of the Obligation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diminution in or loss of value caused by its gross negligence or willful misconduct).</w:t>
      </w:r>
    </w:p>
    <w:p>
      <w:pPr>
        <w:spacing w:after="0" w:line="167"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13.10. </w:t>
      </w:r>
      <w:r>
        <w:rPr>
          <w:rFonts w:ascii="Times New Roman" w:cs="Times New Roman" w:eastAsia="Times New Roman" w:hAnsi="Times New Roman"/>
          <w:sz w:val="19"/>
          <w:szCs w:val="19"/>
          <w:u w:val="single" w:color="auto"/>
          <w:color w:val="auto"/>
        </w:rPr>
        <w:t>Certain Proceedings</w:t>
      </w:r>
      <w:r>
        <w:rPr>
          <w:rFonts w:ascii="Times New Roman" w:cs="Times New Roman" w:eastAsia="Times New Roman" w:hAnsi="Times New Roman"/>
          <w:sz w:val="19"/>
          <w:szCs w:val="19"/>
          <w:color w:val="auto"/>
        </w:rPr>
        <w:t xml:space="preserve">. The Companies will promptly execute and deliver, or cause the execution and delivery of, all applications, certificates, instruments, registration statements and all other documents and papers Administrative Agent, the L/C Issuers, Required Lenders, Required Revolver Lenders, Required </w:t>
      </w:r>
      <w:r>
        <w:rPr>
          <w:rFonts w:ascii="Times New Roman" w:cs="Times New Roman" w:eastAsia="Times New Roman" w:hAnsi="Times New Roman"/>
          <w:sz w:val="19"/>
          <w:szCs w:val="19"/>
          <w:u w:val="single" w:color="auto"/>
          <w:color w:val="3051F2"/>
        </w:rPr>
        <w:t>Term Loan Lenders, Required Delayed Draw</w:t>
      </w:r>
      <w:r>
        <w:rPr>
          <w:rFonts w:ascii="Times New Roman" w:cs="Times New Roman" w:eastAsia="Times New Roman" w:hAnsi="Times New Roman"/>
          <w:sz w:val="19"/>
          <w:szCs w:val="19"/>
          <w:color w:val="auto"/>
        </w:rPr>
        <w:t xml:space="preserve"> Term Loan Lenders or Lenders reasonably request in connection with the obtaining of any consent, approval, registration, qualification, permit, license, or authorization of any Governmental Authority or other Person necessary or appropriate for the effective exercise of any Rights under the Loan Papers. Because Borrower agrees that Administrative Agent’s, the L/C Issuers’, Required Lenders’, Required Revolver Lenders’, Required Term Loan Lenders’</w:t>
      </w:r>
      <w:r>
        <w:rPr>
          <w:rFonts w:ascii="Times New Roman" w:cs="Times New Roman" w:eastAsia="Times New Roman" w:hAnsi="Times New Roman"/>
          <w:sz w:val="19"/>
          <w:szCs w:val="19"/>
          <w:u w:val="single" w:color="auto"/>
          <w:color w:val="3051F2"/>
        </w:rPr>
        <w:t>, Required Delayed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Draw Term Loan Lenders’</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and Lenders’ remedies at Law for failure of the Companies to comply with the provisions of this paragraph would be</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inadequate and that failure would not be adequately compensable in damages, Borrower agrees that the covenants of this paragraph may be specifically enforced.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104</w:t>
      </w:r>
    </w:p>
    <w:p>
      <w:pPr>
        <w:sectPr>
          <w:pgSz w:w="11900" w:h="16838" w:orient="portrait"/>
          <w:cols w:equalWidth="0" w:num="1">
            <w:col w:w="11240"/>
          </w:cols>
          <w:pgMar w:left="320" w:top="1390" w:right="339" w:bottom="1440" w:gutter="0" w:footer="0" w:header="0"/>
        </w:sectPr>
      </w:pPr>
    </w:p>
    <w:bookmarkStart w:id="218" w:name="page219"/>
    <w:bookmarkEnd w:id="218"/>
    <w:p>
      <w:pPr>
        <w:ind w:left="640"/>
        <w:spacing w:after="0"/>
        <w:rPr>
          <w:sz w:val="20"/>
          <w:szCs w:val="20"/>
          <w:color w:val="auto"/>
        </w:rPr>
      </w:pPr>
      <w:r>
        <w:rPr>
          <w:rFonts w:ascii="Times New Roman" w:cs="Times New Roman" w:eastAsia="Times New Roman" w:hAnsi="Times New Roman"/>
          <w:sz w:val="19"/>
          <w:szCs w:val="19"/>
          <w:b w:val="1"/>
          <w:bCs w:val="1"/>
          <w:u w:val="single" w:color="auto"/>
          <w:color w:val="auto"/>
        </w:rPr>
        <w:t>SECTION 14  ADMINISTRATIVE AGENT.</w:t>
      </w:r>
    </w:p>
    <w:p>
      <w:pPr>
        <w:spacing w:after="0" w:line="237"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14.1. </w:t>
      </w:r>
      <w:r>
        <w:rPr>
          <w:rFonts w:ascii="Times New Roman" w:cs="Times New Roman" w:eastAsia="Times New Roman" w:hAnsi="Times New Roman"/>
          <w:sz w:val="19"/>
          <w:szCs w:val="19"/>
          <w:u w:val="single" w:color="auto"/>
          <w:color w:val="auto"/>
        </w:rPr>
        <w:t>Appointment and Authority</w:t>
      </w:r>
      <w:r>
        <w:rPr>
          <w:rFonts w:ascii="Times New Roman" w:cs="Times New Roman" w:eastAsia="Times New Roman" w:hAnsi="Times New Roman"/>
          <w:sz w:val="19"/>
          <w:szCs w:val="19"/>
          <w:color w:val="auto"/>
        </w:rPr>
        <w:t>. Each Lender and each L/C Issuer hereby irrevocably appoints Bank of America to act on its behalf as Administrative Agent hereunder and under the other Loan Papers and authorizes Administrative Agent to take such actions on its behalf and to exercise such powers as are delegated to Administrative Agent by the terms hereof or thereof, together with such actions and powers as are reasonably incidental thereto. The provisions of this Article are solely for the benefit of Administrative Agent, Lenders, and the L/C Issuers, and neither Borrower nor any other Company have rights as a third party beneficiary of any of such provisions. It is understood and agreed that the use of the term “</w:t>
      </w:r>
      <w:r>
        <w:rPr>
          <w:rFonts w:ascii="Times New Roman" w:cs="Times New Roman" w:eastAsia="Times New Roman" w:hAnsi="Times New Roman"/>
          <w:sz w:val="19"/>
          <w:szCs w:val="19"/>
          <w:i w:val="1"/>
          <w:iCs w:val="1"/>
          <w:color w:val="auto"/>
        </w:rPr>
        <w:t>agent</w:t>
      </w:r>
      <w:r>
        <w:rPr>
          <w:rFonts w:ascii="Times New Roman" w:cs="Times New Roman" w:eastAsia="Times New Roman" w:hAnsi="Times New Roman"/>
          <w:sz w:val="19"/>
          <w:szCs w:val="19"/>
          <w:color w:val="auto"/>
        </w:rPr>
        <w:t>” herein or in any other Loan Papers (or any other similar term) with reference to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9" w:lineRule="exact"/>
        <w:rPr>
          <w:sz w:val="20"/>
          <w:szCs w:val="20"/>
          <w:color w:val="auto"/>
        </w:rPr>
      </w:pPr>
    </w:p>
    <w:p>
      <w:pPr>
        <w:jc w:val="both"/>
        <w:ind w:firstLine="637"/>
        <w:spacing w:after="0" w:line="263" w:lineRule="auto"/>
        <w:rPr>
          <w:sz w:val="20"/>
          <w:szCs w:val="20"/>
          <w:color w:val="auto"/>
        </w:rPr>
      </w:pPr>
      <w:r>
        <w:rPr>
          <w:rFonts w:ascii="Times New Roman" w:cs="Times New Roman" w:eastAsia="Times New Roman" w:hAnsi="Times New Roman"/>
          <w:sz w:val="19"/>
          <w:szCs w:val="19"/>
          <w:color w:val="auto"/>
        </w:rPr>
        <w:t xml:space="preserve">14.2. </w:t>
      </w:r>
      <w:r>
        <w:rPr>
          <w:rFonts w:ascii="Times New Roman" w:cs="Times New Roman" w:eastAsia="Times New Roman" w:hAnsi="Times New Roman"/>
          <w:sz w:val="19"/>
          <w:szCs w:val="19"/>
          <w:u w:val="single" w:color="auto"/>
          <w:color w:val="auto"/>
        </w:rPr>
        <w:t>Delegation of Duties</w:t>
      </w:r>
      <w:r>
        <w:rPr>
          <w:rFonts w:ascii="Times New Roman" w:cs="Times New Roman" w:eastAsia="Times New Roman" w:hAnsi="Times New Roman"/>
          <w:sz w:val="19"/>
          <w:szCs w:val="19"/>
          <w:color w:val="auto"/>
        </w:rPr>
        <w:t>. Administrative Agent may perform any and all of its duties and exercise its rights and powers hereunder or under any other Loan Paper by or through any one or more sub-agents appointed in good faith by Administrative Agent. Administrative Agent and any such sub-agent may perform any and all of its duties and exercise its rights and powers by or through their respective Related Parties. The exculpatory provisions of this Article shall apply to any such sub-agent and to the Related Parties of Administrative Agent and any such sub-agent, and shall apply to their respective activities in connection with the syndication of the credit facilities provided for herein as well as activities as Administrative Agent. Administrative Agent shall not be responsible for the negligence or misconduct of any sub-agents except to the extent that a court of competent jurisdiction determines in a final and non-appealable judgment that Administrative Agent acted with gross negligence or willful misconduct in the selection of such sub-agents.</w:t>
      </w:r>
    </w:p>
    <w:p>
      <w:pPr>
        <w:spacing w:after="0" w:line="167"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14.3. </w:t>
      </w:r>
      <w:r>
        <w:rPr>
          <w:rFonts w:ascii="Times New Roman" w:cs="Times New Roman" w:eastAsia="Times New Roman" w:hAnsi="Times New Roman"/>
          <w:sz w:val="19"/>
          <w:szCs w:val="19"/>
          <w:u w:val="single" w:color="auto"/>
          <w:color w:val="auto"/>
        </w:rPr>
        <w:t>Rights as a Lender</w:t>
      </w:r>
      <w:r>
        <w:rPr>
          <w:rFonts w:ascii="Times New Roman" w:cs="Times New Roman" w:eastAsia="Times New Roman" w:hAnsi="Times New Roman"/>
          <w:sz w:val="19"/>
          <w:szCs w:val="19"/>
          <w:color w:val="auto"/>
        </w:rPr>
        <w:t>. The Person serving as Administrative Agent hereunder shall have the same rights and powers in its capacity as a Lender as any other Lender and may exercise the same as though it were not Administrative Agent and the term “</w:t>
      </w:r>
      <w:r>
        <w:rPr>
          <w:rFonts w:ascii="Times New Roman" w:cs="Times New Roman" w:eastAsia="Times New Roman" w:hAnsi="Times New Roman"/>
          <w:sz w:val="19"/>
          <w:szCs w:val="19"/>
          <w:i w:val="1"/>
          <w:iCs w:val="1"/>
          <w:color w:val="auto"/>
        </w:rPr>
        <w:t>Lender</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i w:val="1"/>
          <w:iCs w:val="1"/>
          <w:color w:val="auto"/>
        </w:rPr>
        <w:t>Lenders</w:t>
      </w:r>
      <w:r>
        <w:rPr>
          <w:rFonts w:ascii="Times New Roman" w:cs="Times New Roman" w:eastAsia="Times New Roman" w:hAnsi="Times New Roman"/>
          <w:sz w:val="19"/>
          <w:szCs w:val="19"/>
          <w:color w:val="auto"/>
        </w:rPr>
        <w:t>” shall, unless otherwise expressly indicated or unless the context otherwise requires, include the Person serving as Administrative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Administrative Agent hereunder and without any duty to account therefor to Lenders. Lenders acknowledge that, pursuant to such activities, Bank of America or its Affiliates may receive information regarding any Restricted Company or its Affiliates (including information that may be subject to confidentiality obligations in favor of such Restricted Company or such Affiliate) and acknowledge that Administrative Agent shall be under no obligation to provide such information to them.</w:t>
      </w:r>
    </w:p>
    <w:p>
      <w:pPr>
        <w:spacing w:after="0" w:line="170" w:lineRule="exact"/>
        <w:rPr>
          <w:sz w:val="20"/>
          <w:szCs w:val="20"/>
          <w:color w:val="auto"/>
        </w:rPr>
      </w:pPr>
    </w:p>
    <w:p>
      <w:pPr>
        <w:jc w:val="both"/>
        <w:ind w:firstLine="637"/>
        <w:spacing w:after="0" w:line="263" w:lineRule="auto"/>
        <w:rPr>
          <w:sz w:val="20"/>
          <w:szCs w:val="20"/>
          <w:color w:val="auto"/>
        </w:rPr>
      </w:pPr>
      <w:r>
        <w:rPr>
          <w:rFonts w:ascii="Times New Roman" w:cs="Times New Roman" w:eastAsia="Times New Roman" w:hAnsi="Times New Roman"/>
          <w:sz w:val="19"/>
          <w:szCs w:val="19"/>
          <w:color w:val="auto"/>
        </w:rPr>
        <w:t xml:space="preserve">14.4. </w:t>
      </w:r>
      <w:r>
        <w:rPr>
          <w:rFonts w:ascii="Times New Roman" w:cs="Times New Roman" w:eastAsia="Times New Roman" w:hAnsi="Times New Roman"/>
          <w:sz w:val="19"/>
          <w:szCs w:val="19"/>
          <w:u w:val="single" w:color="auto"/>
          <w:color w:val="auto"/>
        </w:rPr>
        <w:t>Reliance by Administrative Agent</w:t>
      </w:r>
      <w:r>
        <w:rPr>
          <w:rFonts w:ascii="Times New Roman" w:cs="Times New Roman" w:eastAsia="Times New Roman" w:hAnsi="Times New Roman"/>
          <w:sz w:val="19"/>
          <w:szCs w:val="19"/>
          <w:color w:val="auto"/>
        </w:rPr>
        <w:t>.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an L/C, that by its terms must be fulfilled to the satisfaction of a Lender or an L/C Issuer, Administrative Agent may presume that such condition is satisfactory to such Lender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105</w:t>
      </w:r>
    </w:p>
    <w:p>
      <w:pPr>
        <w:sectPr>
          <w:pgSz w:w="11900" w:h="16838" w:orient="portrait"/>
          <w:cols w:equalWidth="0" w:num="1">
            <w:col w:w="11240"/>
          </w:cols>
          <w:pgMar w:left="320" w:top="1386" w:right="339" w:bottom="1440" w:gutter="0" w:footer="0" w:header="0"/>
        </w:sectPr>
      </w:pPr>
    </w:p>
    <w:bookmarkStart w:id="219" w:name="page220"/>
    <w:bookmarkEnd w:id="219"/>
    <w:p>
      <w:pPr>
        <w:jc w:val="both"/>
        <w:spacing w:after="0" w:line="270" w:lineRule="auto"/>
        <w:rPr>
          <w:sz w:val="20"/>
          <w:szCs w:val="20"/>
          <w:color w:val="auto"/>
        </w:rPr>
      </w:pPr>
      <w:r>
        <w:rPr>
          <w:rFonts w:ascii="Times New Roman" w:cs="Times New Roman" w:eastAsia="Times New Roman" w:hAnsi="Times New Roman"/>
          <w:sz w:val="19"/>
          <w:szCs w:val="19"/>
          <w:color w:val="auto"/>
        </w:rPr>
        <w:t>applicable L/C Issuer unless Administrative Agent shall have received notice to the contrary from such Lender or the applicable L/C Issuer prior to the making of such Loan or the issuance of such L/C. Administrative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58" w:lineRule="exact"/>
        <w:rPr>
          <w:sz w:val="20"/>
          <w:szCs w:val="20"/>
          <w:color w:val="auto"/>
        </w:rPr>
      </w:pPr>
    </w:p>
    <w:p>
      <w:pPr>
        <w:jc w:val="both"/>
        <w:ind w:firstLine="637"/>
        <w:spacing w:after="0" w:line="281" w:lineRule="auto"/>
        <w:rPr>
          <w:sz w:val="20"/>
          <w:szCs w:val="20"/>
          <w:color w:val="auto"/>
        </w:rPr>
      </w:pPr>
      <w:r>
        <w:rPr>
          <w:rFonts w:ascii="Times New Roman" w:cs="Times New Roman" w:eastAsia="Times New Roman" w:hAnsi="Times New Roman"/>
          <w:sz w:val="19"/>
          <w:szCs w:val="19"/>
          <w:color w:val="auto"/>
        </w:rPr>
        <w:t xml:space="preserve">14.5. </w:t>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 Administrative Agent shall not have any duties or obligations except those expressly set forth herein and in the other Loan Papers, and its duties hereunder shall be administrative in nature. Without limiting the generality of the foregoing, Administrative Agent:</w:t>
      </w:r>
    </w:p>
    <w:p>
      <w:pPr>
        <w:spacing w:after="0" w:line="148" w:lineRule="exact"/>
        <w:rPr>
          <w:sz w:val="20"/>
          <w:szCs w:val="20"/>
          <w:color w:val="auto"/>
        </w:rPr>
      </w:pPr>
    </w:p>
    <w:p>
      <w:pPr>
        <w:ind w:firstLine="802"/>
        <w:spacing w:after="0" w:line="300" w:lineRule="auto"/>
        <w:tabs>
          <w:tab w:leader="none" w:pos="1252"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be subject to any fiduciary or other implied duties, regardless of whether a Default or Potential Default has occurred and is continuing;</w:t>
      </w:r>
    </w:p>
    <w:p>
      <w:pPr>
        <w:spacing w:after="0" w:line="130" w:lineRule="exact"/>
        <w:rPr>
          <w:rFonts w:ascii="Times New Roman" w:cs="Times New Roman" w:eastAsia="Times New Roman" w:hAnsi="Times New Roman"/>
          <w:sz w:val="19"/>
          <w:szCs w:val="19"/>
          <w:color w:val="auto"/>
        </w:rPr>
      </w:pPr>
    </w:p>
    <w:p>
      <w:pPr>
        <w:jc w:val="both"/>
        <w:ind w:firstLine="802"/>
        <w:spacing w:after="0" w:line="263" w:lineRule="auto"/>
        <w:tabs>
          <w:tab w:leader="none" w:pos="1277"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have any duty to take any discretionary action or exercise any discretionary powers, except discretionary rights and powers expressly contemplated hereby or by the other Loan Papers that Administrative Agent is required to exercise as directed in writing by Required Lenders, Required Revolver Lenders</w:t>
      </w:r>
      <w:r>
        <w:rPr>
          <w:rFonts w:ascii="Times New Roman" w:cs="Times New Roman" w:eastAsia="Times New Roman" w:hAnsi="Times New Roman"/>
          <w:sz w:val="19"/>
          <w:szCs w:val="19"/>
          <w:u w:val="single" w:color="auto"/>
          <w:color w:val="3051F2"/>
        </w:rPr>
        <w:t>, Required Term Loan Lenders</w:t>
      </w:r>
      <w:r>
        <w:rPr>
          <w:rFonts w:ascii="Times New Roman" w:cs="Times New Roman" w:eastAsia="Times New Roman" w:hAnsi="Times New Roman"/>
          <w:sz w:val="19"/>
          <w:szCs w:val="19"/>
          <w:color w:val="auto"/>
        </w:rPr>
        <w:t xml:space="preserve"> or Required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 Lenders, as applicable (or such other number or percentage of Lenders as shall be expressly provided for herein or in the other Loan Papers),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Administrative Agent shall not be required to take any action that, in its opinion or the opinion of its counsel, may expose Administrative Agent to liability or that is contrary to any Loan Paper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67" w:lineRule="exact"/>
        <w:rPr>
          <w:rFonts w:ascii="Times New Roman" w:cs="Times New Roman" w:eastAsia="Times New Roman" w:hAnsi="Times New Roman"/>
          <w:sz w:val="19"/>
          <w:szCs w:val="19"/>
          <w:color w:val="auto"/>
        </w:rPr>
      </w:pPr>
    </w:p>
    <w:p>
      <w:pPr>
        <w:jc w:val="both"/>
        <w:ind w:firstLine="802"/>
        <w:spacing w:after="0" w:line="274" w:lineRule="auto"/>
        <w:tabs>
          <w:tab w:leader="none" w:pos="1223"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except as expressly set forth herein and in the other Loan Papers, have any duty to disclose, and shall not be liable for the failure to disclose, any information relating to Borrower or any of its Affiliates that is communicated to or obtained by the Person serving as Administrative Agent or any of its Affiliates in any capacity.</w:t>
      </w:r>
    </w:p>
    <w:p>
      <w:pPr>
        <w:spacing w:after="0" w:line="167" w:lineRule="exact"/>
        <w:rPr>
          <w:sz w:val="20"/>
          <w:szCs w:val="20"/>
          <w:color w:val="auto"/>
        </w:rPr>
      </w:pPr>
    </w:p>
    <w:p>
      <w:pPr>
        <w:jc w:val="both"/>
        <w:ind w:firstLine="796"/>
        <w:spacing w:after="0" w:line="261" w:lineRule="auto"/>
        <w:rPr>
          <w:sz w:val="20"/>
          <w:szCs w:val="20"/>
          <w:color w:val="auto"/>
        </w:rPr>
      </w:pPr>
      <w:r>
        <w:rPr>
          <w:rFonts w:ascii="Times New Roman" w:cs="Times New Roman" w:eastAsia="Times New Roman" w:hAnsi="Times New Roman"/>
          <w:sz w:val="19"/>
          <w:szCs w:val="19"/>
          <w:color w:val="auto"/>
        </w:rPr>
        <w:t>Administrative Agent shall not be liable for any action taken or not taken by it (i) with the consent or at the request of Required Lenders, Required Revolver Lenders</w:t>
      </w:r>
      <w:r>
        <w:rPr>
          <w:rFonts w:ascii="Times New Roman" w:cs="Times New Roman" w:eastAsia="Times New Roman" w:hAnsi="Times New Roman"/>
          <w:sz w:val="19"/>
          <w:szCs w:val="19"/>
          <w:u w:val="single" w:color="auto"/>
          <w:color w:val="3051F2"/>
        </w:rPr>
        <w:t>, Required Term Loan Lenders</w:t>
      </w:r>
      <w:r>
        <w:rPr>
          <w:rFonts w:ascii="Times New Roman" w:cs="Times New Roman" w:eastAsia="Times New Roman" w:hAnsi="Times New Roman"/>
          <w:sz w:val="19"/>
          <w:szCs w:val="19"/>
          <w:color w:val="auto"/>
        </w:rPr>
        <w:t xml:space="preserve"> or Required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auto"/>
        </w:rPr>
        <w:t xml:space="preserve"> Term Loan Lenders, as applicable (or such other number or percentage of Lenders as shall be necessary, or as Administrative Agent shall believe in good faith shall be necessary, under the circumstances as provided in </w:t>
      </w:r>
      <w:r>
        <w:rPr>
          <w:rFonts w:ascii="Times New Roman" w:cs="Times New Roman" w:eastAsia="Times New Roman" w:hAnsi="Times New Roman"/>
          <w:sz w:val="19"/>
          <w:szCs w:val="19"/>
          <w:b w:val="1"/>
          <w:bCs w:val="1"/>
          <w:i w:val="1"/>
          <w:iCs w:val="1"/>
          <w:color w:val="auto"/>
        </w:rPr>
        <w:t>Sections 15.9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13.1</w:t>
      </w:r>
      <w:r>
        <w:rPr>
          <w:rFonts w:ascii="Times New Roman" w:cs="Times New Roman" w:eastAsia="Times New Roman" w:hAnsi="Times New Roman"/>
          <w:sz w:val="19"/>
          <w:szCs w:val="19"/>
          <w:color w:val="auto"/>
        </w:rPr>
        <w:t>), or (ii) in the absence of its own gross negligence or willful misconduct as determined by a court of competent jurisdiction by final and nonappealable judgment. Administrative Agent shall be deemed not to have knowledge of any Default or Potential Default unless and until notice describing such Default or Potential Default is given to Administrative Agent by Borrower, a Lender, or an L/C Issuer.</w:t>
      </w:r>
    </w:p>
    <w:p>
      <w:pPr>
        <w:spacing w:after="0" w:line="200" w:lineRule="exact"/>
        <w:rPr>
          <w:sz w:val="20"/>
          <w:szCs w:val="20"/>
          <w:color w:val="auto"/>
        </w:rPr>
      </w:pPr>
    </w:p>
    <w:p>
      <w:pPr>
        <w:spacing w:after="0" w:line="218" w:lineRule="exact"/>
        <w:rPr>
          <w:sz w:val="20"/>
          <w:szCs w:val="20"/>
          <w:color w:val="auto"/>
        </w:rPr>
      </w:pPr>
    </w:p>
    <w:p>
      <w:pPr>
        <w:jc w:val="both"/>
        <w:ind w:firstLine="796"/>
        <w:spacing w:after="0" w:line="263" w:lineRule="auto"/>
        <w:rPr>
          <w:sz w:val="20"/>
          <w:szCs w:val="20"/>
          <w:color w:val="auto"/>
        </w:rPr>
      </w:pPr>
      <w:r>
        <w:rPr>
          <w:rFonts w:ascii="Times New Roman" w:cs="Times New Roman" w:eastAsia="Times New Roman" w:hAnsi="Times New Roman"/>
          <w:sz w:val="19"/>
          <w:szCs w:val="19"/>
          <w:color w:val="auto"/>
        </w:rPr>
        <w:t xml:space="preserve">Administrative Agent shall not be responsible for or have any duty to ascertain or inquire into (i) any statement, warranty, or representation made in or in connection with this Agreement or any other Loan Paper,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Potential Default, (iv) the validity, enforceability, effectiveness, or genuineness of this Agreement, any other Loan Paper, or any other agreement, instrument, or document, or (v) the satisfaction of any condition set forth in </w:t>
      </w:r>
      <w:r>
        <w:rPr>
          <w:rFonts w:ascii="Times New Roman" w:cs="Times New Roman" w:eastAsia="Times New Roman" w:hAnsi="Times New Roman"/>
          <w:sz w:val="19"/>
          <w:szCs w:val="19"/>
          <w:b w:val="1"/>
          <w:bCs w:val="1"/>
          <w:i w:val="1"/>
          <w:iCs w:val="1"/>
          <w:color w:val="auto"/>
        </w:rPr>
        <w:t>Section 7</w:t>
      </w:r>
      <w:r>
        <w:rPr>
          <w:rFonts w:ascii="Times New Roman" w:cs="Times New Roman" w:eastAsia="Times New Roman" w:hAnsi="Times New Roman"/>
          <w:sz w:val="19"/>
          <w:szCs w:val="19"/>
          <w:color w:val="auto"/>
        </w:rPr>
        <w:t xml:space="preserve"> or elsewhere herein, other than to confirm receipt of items expressly required to be delivered to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106</w:t>
      </w:r>
    </w:p>
    <w:p>
      <w:pPr>
        <w:sectPr>
          <w:pgSz w:w="11900" w:h="16838" w:orient="portrait"/>
          <w:cols w:equalWidth="0" w:num="1">
            <w:col w:w="11240"/>
          </w:cols>
          <w:pgMar w:left="320" w:top="1390" w:right="339" w:bottom="1440" w:gutter="0" w:footer="0" w:header="0"/>
        </w:sectPr>
      </w:pPr>
    </w:p>
    <w:bookmarkStart w:id="220" w:name="page221"/>
    <w:bookmarkEnd w:id="220"/>
    <w:p>
      <w:pPr>
        <w:jc w:val="both"/>
        <w:ind w:firstLine="637"/>
        <w:spacing w:after="0" w:line="260" w:lineRule="auto"/>
        <w:rPr>
          <w:sz w:val="20"/>
          <w:szCs w:val="20"/>
          <w:color w:val="auto"/>
        </w:rPr>
      </w:pPr>
      <w:r>
        <w:rPr>
          <w:rFonts w:ascii="Times New Roman" w:cs="Times New Roman" w:eastAsia="Times New Roman" w:hAnsi="Times New Roman"/>
          <w:sz w:val="19"/>
          <w:szCs w:val="19"/>
          <w:color w:val="auto"/>
        </w:rPr>
        <w:t xml:space="preserve">14.6. </w:t>
      </w:r>
      <w:r>
        <w:rPr>
          <w:rFonts w:ascii="Times New Roman" w:cs="Times New Roman" w:eastAsia="Times New Roman" w:hAnsi="Times New Roman"/>
          <w:sz w:val="19"/>
          <w:szCs w:val="19"/>
          <w:u w:val="single" w:color="auto"/>
          <w:color w:val="auto"/>
        </w:rPr>
        <w:t>Resignation or Removal as Administrative Agent</w:t>
      </w:r>
      <w:r>
        <w:rPr>
          <w:rFonts w:ascii="Times New Roman" w:cs="Times New Roman" w:eastAsia="Times New Roman" w:hAnsi="Times New Roman"/>
          <w:sz w:val="19"/>
          <w:szCs w:val="19"/>
          <w:color w:val="auto"/>
        </w:rPr>
        <w:t>. (a) Administrative Agent may at any time give notice of its resignation to Lenders, the L/C Issuers, and Borrower. Upon receipt of any such notice of resignation, Required Lenders shall have the right to appoint a successor, which shall be a bank with an office in the United States, or an Affiliate of any such bank with an office in the United States, and shall be consented to by Borrower at all times other than during the existence of a Default or Potential Default (which consent of Borrower shall not be unreasonably withheld). If no such successor shall have been so appointed by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9"/>
          <w:szCs w:val="19"/>
          <w:b w:val="1"/>
          <w:bCs w:val="1"/>
          <w:i w:val="1"/>
          <w:iCs w:val="1"/>
          <w:color w:val="auto"/>
        </w:rPr>
        <w:t>Resignation Effective Date</w:t>
      </w:r>
      <w:r>
        <w:rPr>
          <w:rFonts w:ascii="Times New Roman" w:cs="Times New Roman" w:eastAsia="Times New Roman" w:hAnsi="Times New Roman"/>
          <w:sz w:val="19"/>
          <w:szCs w:val="19"/>
          <w:color w:val="auto"/>
        </w:rPr>
        <w:t xml:space="preserve">”), then the retiring Administrative Agent may, after consultation with Borrower, on behalf of Lenders and the L/C Issuers, appoint a successor Administrative Agent meeting the qualifications set forth above;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if Administrative Agent shall notify Borrower and Lenders that no qualifying Person has accepted such appointment, then such resignation shall nonetheless become effective in accordance with such notice.</w:t>
      </w:r>
    </w:p>
    <w:p>
      <w:pPr>
        <w:spacing w:after="0" w:line="176" w:lineRule="exact"/>
        <w:rPr>
          <w:sz w:val="20"/>
          <w:szCs w:val="20"/>
          <w:color w:val="auto"/>
        </w:rPr>
      </w:pPr>
    </w:p>
    <w:p>
      <w:pPr>
        <w:jc w:val="both"/>
        <w:ind w:firstLine="802"/>
        <w:spacing w:after="0" w:line="266" w:lineRule="auto"/>
        <w:tabs>
          <w:tab w:leader="none" w:pos="1332"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Person serving as Administrative Agent is a Defaulting Lender pursuant to </w:t>
      </w:r>
      <w:r>
        <w:rPr>
          <w:rFonts w:ascii="Times New Roman" w:cs="Times New Roman" w:eastAsia="Times New Roman" w:hAnsi="Times New Roman"/>
          <w:sz w:val="19"/>
          <w:szCs w:val="19"/>
          <w:b w:val="1"/>
          <w:bCs w:val="1"/>
          <w:i w:val="1"/>
          <w:iCs w:val="1"/>
          <w:color w:val="auto"/>
        </w:rPr>
        <w:t>clause (d)</w:t>
      </w:r>
      <w:r>
        <w:rPr>
          <w:rFonts w:ascii="Times New Roman" w:cs="Times New Roman" w:eastAsia="Times New Roman" w:hAnsi="Times New Roman"/>
          <w:sz w:val="19"/>
          <w:szCs w:val="19"/>
          <w:color w:val="auto"/>
        </w:rPr>
        <w:t xml:space="preserve"> of the definition thereof, the Required Lenders may, to the extent permitted by applicable law, by notice in writing to Borrower and such Person remove such Person as Administrative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9"/>
          <w:szCs w:val="19"/>
          <w:b w:val="1"/>
          <w:bCs w:val="1"/>
          <w:i w:val="1"/>
          <w:iCs w:val="1"/>
          <w:color w:val="auto"/>
        </w:rPr>
        <w:t>Removal Effective Date</w:t>
      </w:r>
      <w:r>
        <w:rPr>
          <w:rFonts w:ascii="Times New Roman" w:cs="Times New Roman" w:eastAsia="Times New Roman" w:hAnsi="Times New Roman"/>
          <w:sz w:val="19"/>
          <w:szCs w:val="19"/>
          <w:color w:val="auto"/>
        </w:rPr>
        <w:t>”), then such removal shall nonetheless become effective in accordance with such notice on the Removal Effective Date.</w:t>
      </w:r>
    </w:p>
    <w:p>
      <w:pPr>
        <w:spacing w:after="0" w:line="200" w:lineRule="exact"/>
        <w:rPr>
          <w:rFonts w:ascii="Times New Roman" w:cs="Times New Roman" w:eastAsia="Times New Roman" w:hAnsi="Times New Roman"/>
          <w:sz w:val="19"/>
          <w:szCs w:val="19"/>
          <w:color w:val="auto"/>
        </w:rPr>
      </w:pPr>
    </w:p>
    <w:p>
      <w:pPr>
        <w:spacing w:after="0" w:line="211" w:lineRule="exact"/>
        <w:rPr>
          <w:rFonts w:ascii="Times New Roman" w:cs="Times New Roman" w:eastAsia="Times New Roman" w:hAnsi="Times New Roman"/>
          <w:sz w:val="19"/>
          <w:szCs w:val="19"/>
          <w:color w:val="auto"/>
        </w:rPr>
      </w:pPr>
    </w:p>
    <w:p>
      <w:pPr>
        <w:jc w:val="both"/>
        <w:ind w:firstLine="802"/>
        <w:spacing w:after="0" w:line="258" w:lineRule="auto"/>
        <w:tabs>
          <w:tab w:leader="none" w:pos="1306"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effect from the Resignation Effective Date or the Removal Effective Date (as applicable) (1) the retiring or removed Administrative Agent shall be discharged from its duties and obligations hereunder and under the other Loan Papers (except that in the case of any collateral security held by Administrative Agent on behalf of Lenders or the L/C Issuers under any of the Loan Papers, the retiring Administrative Agent shall continue to hold such collateral security until such time as a successor Administrative Agent or collateral agent is appointed), and (2) except for any indemnity payments or other amounts then owed to the retiring or removed Administrative Agent, all payments, communications, and determinations provided to be made by, to, or through Administrative Agent shall instead be made by or to each Lender and the applicable L/C Issuer directly, until such time as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9"/>
          <w:szCs w:val="19"/>
          <w:b w:val="1"/>
          <w:bCs w:val="1"/>
          <w:i w:val="1"/>
          <w:iCs w:val="1"/>
          <w:color w:val="auto"/>
        </w:rPr>
        <w:t>Section 4.1(g)</w:t>
      </w:r>
      <w:r>
        <w:rPr>
          <w:rFonts w:ascii="Times New Roman" w:cs="Times New Roman" w:eastAsia="Times New Roman" w:hAnsi="Times New Roman"/>
          <w:sz w:val="19"/>
          <w:szCs w:val="19"/>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Papers (if not already discharged therefrom as provided above in this Section). The fees payable by Borrower to a successor Administrative Agent shall be the same as those payable to its predecessor unless otherwise agreed between Borrower and such successor. After the retiring Administrative Agent’s resignation hereunder and under the other Loan Papers, the provisions of this </w:t>
      </w:r>
      <w:r>
        <w:rPr>
          <w:rFonts w:ascii="Times New Roman" w:cs="Times New Roman" w:eastAsia="Times New Roman" w:hAnsi="Times New Roman"/>
          <w:sz w:val="19"/>
          <w:szCs w:val="19"/>
          <w:b w:val="1"/>
          <w:bCs w:val="1"/>
          <w:i w:val="1"/>
          <w:iCs w:val="1"/>
          <w:color w:val="auto"/>
        </w:rPr>
        <w:t>Section 14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15.4</w:t>
      </w:r>
      <w:r>
        <w:rPr>
          <w:rFonts w:ascii="Times New Roman" w:cs="Times New Roman" w:eastAsia="Times New Roman" w:hAnsi="Times New Roman"/>
          <w:sz w:val="19"/>
          <w:szCs w:val="19"/>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00" w:lineRule="exact"/>
        <w:rPr>
          <w:sz w:val="20"/>
          <w:szCs w:val="20"/>
          <w:color w:val="auto"/>
        </w:rPr>
      </w:pPr>
    </w:p>
    <w:p>
      <w:pPr>
        <w:spacing w:after="0" w:line="221" w:lineRule="exact"/>
        <w:rPr>
          <w:sz w:val="20"/>
          <w:szCs w:val="20"/>
          <w:color w:val="auto"/>
        </w:rPr>
      </w:pPr>
    </w:p>
    <w:p>
      <w:pPr>
        <w:jc w:val="both"/>
        <w:ind w:firstLine="796"/>
        <w:spacing w:after="0" w:line="274" w:lineRule="auto"/>
        <w:rPr>
          <w:sz w:val="20"/>
          <w:szCs w:val="20"/>
          <w:color w:val="auto"/>
        </w:rPr>
      </w:pPr>
      <w:r>
        <w:rPr>
          <w:rFonts w:ascii="Times New Roman" w:cs="Times New Roman" w:eastAsia="Times New Roman" w:hAnsi="Times New Roman"/>
          <w:sz w:val="19"/>
          <w:szCs w:val="19"/>
          <w:color w:val="auto"/>
        </w:rPr>
        <w:t>Any resignation by Bank of America as Administrative Agent pursuant to this Section shall also constitute its resignation as L/C Issuer. If Bank of America resigns as an L/C Issuer, it shall retain all the rights, powers, privileges and duties of an L/C Issuer hereunder with respect to all L/Cs outstanding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107</w:t>
      </w:r>
    </w:p>
    <w:p>
      <w:pPr>
        <w:sectPr>
          <w:pgSz w:w="11900" w:h="16838" w:orient="portrait"/>
          <w:cols w:equalWidth="0" w:num="1">
            <w:col w:w="11240"/>
          </w:cols>
          <w:pgMar w:left="320" w:top="1390" w:right="339" w:bottom="1440" w:gutter="0" w:footer="0" w:header="0"/>
        </w:sectPr>
      </w:pPr>
    </w:p>
    <w:bookmarkStart w:id="221" w:name="page222"/>
    <w:bookmarkEnd w:id="221"/>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of the effective date of its resignation as an L/C Issuer and all L/C Obligations with respect thereto, including the right to require the Lenders to make Base Rate Loans, Daily SOFR Rate Loans or fund risk participations in Unreimbursed Amounts pursuant to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Upon the appointment by Borrower of a successor L/C Issuer hereunder (which successor shall in all cases be a Lender other than a Defaulting Lender),</w:t>
      </w:r>
    </w:p>
    <w:p>
      <w:pPr>
        <w:spacing w:after="0" w:line="2" w:lineRule="exact"/>
        <w:rPr>
          <w:sz w:val="20"/>
          <w:szCs w:val="20"/>
          <w:color w:val="auto"/>
        </w:rPr>
      </w:pPr>
    </w:p>
    <w:p>
      <w:pPr>
        <w:jc w:val="both"/>
        <w:ind w:firstLine="6"/>
        <w:spacing w:after="0" w:line="264" w:lineRule="auto"/>
        <w:tabs>
          <w:tab w:leader="none" w:pos="28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successor shall succeed to and become vested with all of the rights, powers, privileges, and duties of the retiring L/C Issuer, (b) the retiring L/C Issuer shall be discharged from all of their respective duties and obligations hereunder or under the other Loan Papers, and (c) the successor L/C Issuer shall issue letters of credit in substitution for the L/Cs, if any, outstanding at the time of such succession or make other arrangements satisfactory to the retiring L/C Issuer to effectively assume the obligations of the retiring L/C Issuer with respect to such L/Cs.</w:t>
      </w:r>
    </w:p>
    <w:p>
      <w:pPr>
        <w:spacing w:after="0" w:line="165"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14.7. </w:t>
      </w:r>
      <w:r>
        <w:rPr>
          <w:rFonts w:ascii="Times New Roman" w:cs="Times New Roman" w:eastAsia="Times New Roman" w:hAnsi="Times New Roman"/>
          <w:sz w:val="19"/>
          <w:szCs w:val="19"/>
          <w:u w:val="single" w:color="auto"/>
          <w:color w:val="auto"/>
        </w:rPr>
        <w:t>Non-Reliance on Administrative Agent and Other Lenders</w:t>
      </w:r>
      <w:r>
        <w:rPr>
          <w:rFonts w:ascii="Times New Roman" w:cs="Times New Roman" w:eastAsia="Times New Roman" w:hAnsi="Times New Roman"/>
          <w:sz w:val="19"/>
          <w:szCs w:val="19"/>
          <w:color w:val="auto"/>
        </w:rPr>
        <w:t>. Each Lender and each L/C Issuer acknowledges that it has, independently and without reliance upon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Paper, or any related agreement or any document furnished hereunder or thereunder.</w:t>
      </w:r>
    </w:p>
    <w:p>
      <w:pPr>
        <w:spacing w:after="0" w:line="200" w:lineRule="exact"/>
        <w:rPr>
          <w:sz w:val="20"/>
          <w:szCs w:val="20"/>
          <w:color w:val="auto"/>
        </w:rPr>
      </w:pPr>
    </w:p>
    <w:p>
      <w:pPr>
        <w:spacing w:after="0" w:line="202"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9"/>
          <w:szCs w:val="19"/>
          <w:color w:val="auto"/>
        </w:rPr>
        <w:t xml:space="preserve">14.8. </w:t>
      </w:r>
      <w:r>
        <w:rPr>
          <w:rFonts w:ascii="Times New Roman" w:cs="Times New Roman" w:eastAsia="Times New Roman" w:hAnsi="Times New Roman"/>
          <w:sz w:val="19"/>
          <w:szCs w:val="19"/>
          <w:u w:val="single" w:color="auto"/>
          <w:color w:val="auto"/>
        </w:rPr>
        <w:t>Administrative Agent May File Proofs of Claim</w:t>
      </w:r>
      <w:r>
        <w:rPr>
          <w:rFonts w:ascii="Times New Roman" w:cs="Times New Roman" w:eastAsia="Times New Roman" w:hAnsi="Times New Roman"/>
          <w:sz w:val="19"/>
          <w:szCs w:val="19"/>
          <w:color w:val="auto"/>
        </w:rPr>
        <w:t>. In case of the pendency of any proceeding under any Debtor Relief Law or any other judicial proceeding relative to any Restricted Company, Administrative Agent (irrespective of whether the principal of any Loan or L/C Exposure shall then be due and payable as herein expressed or by declaration or otherwise and irrespective of whether Administrative Agent shall have made any demand on Borrower) shall be entitled and empowered, by intervention in such proceeding or otherwise:</w:t>
      </w:r>
    </w:p>
    <w:p>
      <w:pPr>
        <w:spacing w:after="0" w:line="171" w:lineRule="exact"/>
        <w:rPr>
          <w:sz w:val="20"/>
          <w:szCs w:val="20"/>
          <w:color w:val="auto"/>
        </w:rPr>
      </w:pPr>
    </w:p>
    <w:p>
      <w:pPr>
        <w:jc w:val="both"/>
        <w:ind w:firstLine="802"/>
        <w:spacing w:after="0" w:line="264" w:lineRule="auto"/>
        <w:tabs>
          <w:tab w:leader="none" w:pos="1291"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file and prove a claim for the whole amount of the principal and interest owing and unpaid in respect of the Loans, L/C Exposure, and all other Obligation that are owing and unpaid and to file such other documents as may be necessary or advisable in order to have the claims of Lenders and Administrative Agent (including any claim for the reasonable compensation, expenses, disbursements, and advances of Lenders and Administrative Agent, and their respective agents and counsel and all other amounts due Lenders, Administrative Agent and the L/C Issuers, as applicable, under </w:t>
      </w:r>
      <w:r>
        <w:rPr>
          <w:rFonts w:ascii="Times New Roman" w:cs="Times New Roman" w:eastAsia="Times New Roman" w:hAnsi="Times New Roman"/>
          <w:sz w:val="19"/>
          <w:szCs w:val="19"/>
          <w:b w:val="1"/>
          <w:bCs w:val="1"/>
          <w:i w:val="1"/>
          <w:iCs w:val="1"/>
          <w:color w:val="auto"/>
        </w:rPr>
        <w:t>Sections 5.3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5.4</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u w:val="single" w:color="auto"/>
          <w:color w:val="3051F2"/>
        </w:rPr>
        <w:t>5.5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15.4</w:t>
      </w:r>
      <w:r>
        <w:rPr>
          <w:rFonts w:ascii="Times New Roman" w:cs="Times New Roman" w:eastAsia="Times New Roman" w:hAnsi="Times New Roman"/>
          <w:sz w:val="19"/>
          <w:szCs w:val="19"/>
          <w:color w:val="auto"/>
        </w:rPr>
        <w:t>) allowed in such judicial proceeding; and</w:t>
      </w:r>
    </w:p>
    <w:p>
      <w:pPr>
        <w:spacing w:after="0" w:line="177" w:lineRule="exact"/>
        <w:rPr>
          <w:rFonts w:ascii="Times New Roman" w:cs="Times New Roman" w:eastAsia="Times New Roman" w:hAnsi="Times New Roman"/>
          <w:sz w:val="19"/>
          <w:szCs w:val="19"/>
          <w:color w:val="auto"/>
        </w:rPr>
      </w:pPr>
    </w:p>
    <w:p>
      <w:pPr>
        <w:ind w:left="1220" w:hanging="418"/>
        <w:spacing w:after="0"/>
        <w:tabs>
          <w:tab w:leader="none" w:pos="122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collect and receive any monies or other property payable or deliverable on any such claims and to distribute the same;</w:t>
      </w:r>
    </w:p>
    <w:p>
      <w:pPr>
        <w:spacing w:after="0" w:line="219" w:lineRule="exact"/>
        <w:rPr>
          <w:sz w:val="20"/>
          <w:szCs w:val="20"/>
          <w:color w:val="auto"/>
        </w:rPr>
      </w:pPr>
    </w:p>
    <w:p>
      <w:pPr>
        <w:jc w:val="both"/>
        <w:ind w:firstLine="796"/>
        <w:spacing w:after="0" w:line="268" w:lineRule="auto"/>
        <w:rPr>
          <w:sz w:val="20"/>
          <w:szCs w:val="20"/>
          <w:color w:val="auto"/>
        </w:rPr>
      </w:pPr>
      <w:r>
        <w:rPr>
          <w:rFonts w:ascii="Times New Roman" w:cs="Times New Roman" w:eastAsia="Times New Roman" w:hAnsi="Times New Roman"/>
          <w:sz w:val="19"/>
          <w:szCs w:val="19"/>
          <w:color w:val="auto"/>
        </w:rPr>
        <w:t xml:space="preserve">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Lenders, to pay to Administrative Agent any amount due for the reasonable compensation, expenses, disbursements, and advances of Administrative Agent and its agents and counsel, and any other amounts due Administrative Agent under </w:t>
      </w:r>
      <w:r>
        <w:rPr>
          <w:rFonts w:ascii="Times New Roman" w:cs="Times New Roman" w:eastAsia="Times New Roman" w:hAnsi="Times New Roman"/>
          <w:sz w:val="19"/>
          <w:szCs w:val="19"/>
          <w:b w:val="1"/>
          <w:bCs w:val="1"/>
          <w:i w:val="1"/>
          <w:iCs w:val="1"/>
          <w:color w:val="auto"/>
        </w:rPr>
        <w:t>Sections 5.4</w:t>
      </w:r>
      <w:r>
        <w:rPr>
          <w:rFonts w:ascii="Times New Roman" w:cs="Times New Roman" w:eastAsia="Times New Roman" w:hAnsi="Times New Roman"/>
          <w:sz w:val="19"/>
          <w:szCs w:val="19"/>
          <w:i w:val="1"/>
          <w:iCs w:val="1"/>
          <w:u w:val="single" w:color="auto"/>
          <w:color w:val="3051F2"/>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b w:val="1"/>
          <w:bCs w:val="1"/>
          <w:i w:val="1"/>
          <w:iCs w:val="1"/>
          <w:u w:val="single" w:color="auto"/>
          <w:color w:val="3051F2"/>
        </w:rPr>
        <w:t>5.5</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i w:val="1"/>
          <w:iCs w:val="1"/>
          <w:color w:val="auto"/>
        </w:rPr>
        <w:t xml:space="preserve"> 15.4</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jc w:val="both"/>
        <w:ind w:firstLine="796"/>
        <w:spacing w:after="0" w:line="300" w:lineRule="auto"/>
        <w:rPr>
          <w:sz w:val="20"/>
          <w:szCs w:val="20"/>
          <w:color w:val="auto"/>
        </w:rPr>
      </w:pPr>
      <w:r>
        <w:rPr>
          <w:rFonts w:ascii="Times New Roman" w:cs="Times New Roman" w:eastAsia="Times New Roman" w:hAnsi="Times New Roman"/>
          <w:sz w:val="19"/>
          <w:szCs w:val="19"/>
          <w:color w:val="auto"/>
        </w:rPr>
        <w:t>Nothing contained herein shall be deemed to authorize Administrative Agent to authorize or consent to or accept or adopt on behalf of any Lender any plan of reorganization, arrangement,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108</w:t>
      </w:r>
    </w:p>
    <w:p>
      <w:pPr>
        <w:sectPr>
          <w:pgSz w:w="11900" w:h="16838" w:orient="portrait"/>
          <w:cols w:equalWidth="0" w:num="1">
            <w:col w:w="11240"/>
          </w:cols>
          <w:pgMar w:left="320" w:top="1390" w:right="339" w:bottom="1440" w:gutter="0" w:footer="0" w:header="0"/>
        </w:sectPr>
      </w:pPr>
    </w:p>
    <w:bookmarkStart w:id="222" w:name="page223"/>
    <w:bookmarkEnd w:id="222"/>
    <w:p>
      <w:pPr>
        <w:jc w:val="both"/>
        <w:spacing w:after="0" w:line="300" w:lineRule="auto"/>
        <w:rPr>
          <w:sz w:val="20"/>
          <w:szCs w:val="20"/>
          <w:color w:val="auto"/>
        </w:rPr>
      </w:pPr>
      <w:r>
        <w:rPr>
          <w:rFonts w:ascii="Times New Roman" w:cs="Times New Roman" w:eastAsia="Times New Roman" w:hAnsi="Times New Roman"/>
          <w:sz w:val="19"/>
          <w:szCs w:val="19"/>
          <w:color w:val="auto"/>
        </w:rPr>
        <w:t>or composition affecting the Obligation or the rights of any Lender or to authorize Administrative Agent to vote in respect of the claim of any Lender in any such proceeding.</w:t>
      </w:r>
    </w:p>
    <w:p>
      <w:pPr>
        <w:spacing w:after="0" w:line="130"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14.9. </w:t>
      </w:r>
      <w:r>
        <w:rPr>
          <w:rFonts w:ascii="Times New Roman" w:cs="Times New Roman" w:eastAsia="Times New Roman" w:hAnsi="Times New Roman"/>
          <w:sz w:val="19"/>
          <w:szCs w:val="19"/>
          <w:u w:val="single" w:color="auto"/>
          <w:color w:val="auto"/>
        </w:rPr>
        <w:t>Collateral and Guaranty Matters</w:t>
      </w:r>
      <w:r>
        <w:rPr>
          <w:rFonts w:ascii="Times New Roman" w:cs="Times New Roman" w:eastAsia="Times New Roman" w:hAnsi="Times New Roman"/>
          <w:sz w:val="19"/>
          <w:szCs w:val="19"/>
          <w:color w:val="auto"/>
        </w:rPr>
        <w:t>. (a) Upon the occurrence and continuance of a Default, Lenders agree to promptly confer in order that Required Lenders or Lenders, as the case may be, may agree upon a course of action for the enforcement of the Rights of Lenders; and Administrative Agent shall be entitled to refrain from taking any action (without incurring any liability to any Person for so refraining) unless and until Administrative Agent shall have received instructions from Required Lenders. All Rights of action under the Loan Papers and all Rights to the Collateral, if any, hereunder may be enforced by Administrative Agent and any suit or proceeding instituted by Administrative Agent in furtherance of such enforcement shall be brought in its name as Administrative Agent without the necessity of joining as plaintiffs or defendants any other Lender, and the recovery of any judgment shall be for the benefit of Lenders subject to the expenses of Administrative Agent. In actions with respect to any property of any Restricted Company, Administrative Agent is acting for the ratable benefit of each Lender. Any and all agreements to subordinate (whether made heretofore or hereafter) other indebtedness or obligations of any Restricted Company to the Obligation shall be construed as being for the ratable benefit of each Lender.</w:t>
      </w:r>
    </w:p>
    <w:p>
      <w:pPr>
        <w:spacing w:after="0" w:line="171" w:lineRule="exact"/>
        <w:rPr>
          <w:sz w:val="20"/>
          <w:szCs w:val="20"/>
          <w:color w:val="auto"/>
        </w:rPr>
      </w:pPr>
    </w:p>
    <w:p>
      <w:pPr>
        <w:jc w:val="both"/>
        <w:ind w:firstLine="802"/>
        <w:spacing w:after="0" w:line="260" w:lineRule="auto"/>
        <w:tabs>
          <w:tab w:leader="none" w:pos="1323"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authorizes and directs Administrative Agent to enter into the Security Documents for the benefit of Lenders. </w:t>
      </w:r>
      <w:r>
        <w:rPr>
          <w:rFonts w:ascii="Times New Roman" w:cs="Times New Roman" w:eastAsia="Times New Roman" w:hAnsi="Times New Roman"/>
          <w:sz w:val="19"/>
          <w:szCs w:val="19"/>
          <w:i w:val="1"/>
          <w:iCs w:val="1"/>
          <w:color w:val="auto"/>
        </w:rPr>
        <w:t xml:space="preserve">Except </w:t>
      </w:r>
      <w:r>
        <w:rPr>
          <w:rFonts w:ascii="Times New Roman" w:cs="Times New Roman" w:eastAsia="Times New Roman" w:hAnsi="Times New Roman"/>
          <w:sz w:val="19"/>
          <w:szCs w:val="19"/>
          <w:color w:val="auto"/>
        </w:rPr>
        <w:t>to the extent unanimity is required hereunder, (i) each Lender agrees that any action taken by Required Lenders in accordance with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provisions of the Loan Papers, and the exercise by Required Lenders of the powers set forth herein or therein, </w:t>
      </w:r>
      <w:r>
        <w:rPr>
          <w:rFonts w:ascii="Times New Roman" w:cs="Times New Roman" w:eastAsia="Times New Roman" w:hAnsi="Times New Roman"/>
          <w:sz w:val="19"/>
          <w:szCs w:val="19"/>
          <w:i w:val="1"/>
          <w:iCs w:val="1"/>
          <w:color w:val="auto"/>
        </w:rPr>
        <w:t>together with</w:t>
      </w:r>
      <w:r>
        <w:rPr>
          <w:rFonts w:ascii="Times New Roman" w:cs="Times New Roman" w:eastAsia="Times New Roman" w:hAnsi="Times New Roman"/>
          <w:sz w:val="19"/>
          <w:szCs w:val="19"/>
          <w:color w:val="auto"/>
        </w:rPr>
        <w:t xml:space="preserve"> such other powers as are reasonably incidental thereto, shall be authorized and binding upon all Lenders, (ii) each Revolver Lender agrees that any action taken by Required Revolver Lenders in accordance with the provisions of the Loan Papers, and the exercise by Required Revolver Lenders of the powers set forth herein or therein, </w:t>
      </w:r>
      <w:r>
        <w:rPr>
          <w:rFonts w:ascii="Times New Roman" w:cs="Times New Roman" w:eastAsia="Times New Roman" w:hAnsi="Times New Roman"/>
          <w:sz w:val="19"/>
          <w:szCs w:val="19"/>
          <w:i w:val="1"/>
          <w:iCs w:val="1"/>
          <w:color w:val="auto"/>
        </w:rPr>
        <w:t>together with</w:t>
      </w:r>
      <w:r>
        <w:rPr>
          <w:rFonts w:ascii="Times New Roman" w:cs="Times New Roman" w:eastAsia="Times New Roman" w:hAnsi="Times New Roman"/>
          <w:sz w:val="19"/>
          <w:szCs w:val="19"/>
          <w:color w:val="auto"/>
        </w:rPr>
        <w:t xml:space="preserve"> such other powers as are reasonably incidental thereto, shall be authorized and binding upon all Revolver Lenders, </w:t>
      </w:r>
      <w:r>
        <w:rPr>
          <w:rFonts w:ascii="Times New Roman" w:cs="Times New Roman" w:eastAsia="Times New Roman" w:hAnsi="Times New Roman"/>
          <w:sz w:val="19"/>
          <w:szCs w:val="19"/>
          <w:color w:val="EE2724"/>
          <w:strike w:val="1"/>
        </w:rPr>
        <w:t>and</w:t>
      </w:r>
      <w:r>
        <w:rPr>
          <w:rFonts w:ascii="Times New Roman" w:cs="Times New Roman" w:eastAsia="Times New Roman" w:hAnsi="Times New Roman"/>
          <w:sz w:val="19"/>
          <w:szCs w:val="19"/>
          <w:color w:val="auto"/>
        </w:rPr>
        <w:t xml:space="preserve"> (iii) each Term Loan Lender agrees that any action taken by Required Term Loan Lenders in accordance with the provisions of the Loan Papers, and the exercise by Required Term Loan Lenders of the powers set forth herein or therein, </w:t>
      </w:r>
      <w:r>
        <w:rPr>
          <w:rFonts w:ascii="Times New Roman" w:cs="Times New Roman" w:eastAsia="Times New Roman" w:hAnsi="Times New Roman"/>
          <w:sz w:val="19"/>
          <w:szCs w:val="19"/>
          <w:i w:val="1"/>
          <w:iCs w:val="1"/>
          <w:color w:val="auto"/>
        </w:rPr>
        <w:t>together with</w:t>
      </w:r>
      <w:r>
        <w:rPr>
          <w:rFonts w:ascii="Times New Roman" w:cs="Times New Roman" w:eastAsia="Times New Roman" w:hAnsi="Times New Roman"/>
          <w:sz w:val="19"/>
          <w:szCs w:val="19"/>
          <w:color w:val="auto"/>
        </w:rPr>
        <w:t xml:space="preserve"> such other powers as are reasonably incidental thereto, shall be authorized and binding upon all Term Loan Lenders</w:t>
      </w:r>
      <w:r>
        <w:rPr>
          <w:rFonts w:ascii="Times New Roman" w:cs="Times New Roman" w:eastAsia="Times New Roman" w:hAnsi="Times New Roman"/>
          <w:sz w:val="19"/>
          <w:szCs w:val="19"/>
          <w:color w:val="EE2724"/>
          <w:strike w:val="1"/>
        </w:rPr>
        <w:t>.</w:t>
      </w:r>
      <w:r>
        <w:rPr>
          <w:rFonts w:ascii="Times New Roman" w:cs="Times New Roman" w:eastAsia="Times New Roman" w:hAnsi="Times New Roman"/>
          <w:sz w:val="19"/>
          <w:szCs w:val="19"/>
          <w:u w:val="single" w:color="auto"/>
          <w:color w:val="3051F2"/>
        </w:rPr>
        <w:t>, and (iv) each Delayed Draw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 xml:space="preserve">Term Loan Lender agrees that any action taken by Required Delayed Draw Term Loan Lenders in accordance with the provisions of the Loan Papers, and the exercise by Required Delayed Draw Term Loan Lenders of the powers set forth herein and therein, </w:t>
      </w:r>
      <w:r>
        <w:rPr>
          <w:rFonts w:ascii="Times New Roman" w:cs="Times New Roman" w:eastAsia="Times New Roman" w:hAnsi="Times New Roman"/>
          <w:sz w:val="19"/>
          <w:szCs w:val="19"/>
          <w:i w:val="1"/>
          <w:iCs w:val="1"/>
          <w:u w:val="single" w:color="auto"/>
          <w:color w:val="3051F2"/>
        </w:rPr>
        <w:t>together with</w:t>
      </w:r>
      <w:r>
        <w:rPr>
          <w:rFonts w:ascii="Times New Roman" w:cs="Times New Roman" w:eastAsia="Times New Roman" w:hAnsi="Times New Roman"/>
          <w:sz w:val="19"/>
          <w:szCs w:val="19"/>
          <w:u w:val="single" w:color="auto"/>
          <w:color w:val="3051F2"/>
        </w:rPr>
        <w:t xml:space="preserve"> such other powers as are reasonably incidental thereto, shall be authorized and binding upon all Delayed Draw Term Loan Lenders.</w:t>
      </w:r>
    </w:p>
    <w:p>
      <w:pPr>
        <w:spacing w:after="0" w:line="171" w:lineRule="exact"/>
        <w:rPr>
          <w:rFonts w:ascii="Times New Roman" w:cs="Times New Roman" w:eastAsia="Times New Roman" w:hAnsi="Times New Roman"/>
          <w:sz w:val="19"/>
          <w:szCs w:val="19"/>
          <w:color w:val="auto"/>
        </w:rPr>
      </w:pPr>
    </w:p>
    <w:p>
      <w:pPr>
        <w:jc w:val="both"/>
        <w:ind w:firstLine="802"/>
        <w:spacing w:after="0" w:line="274" w:lineRule="auto"/>
        <w:tabs>
          <w:tab w:leader="none" w:pos="1262"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Administrative Agent is hereby authorized on behalf of all Lenders, without the necessity of any notice to or further consent from any Lender, from time to time to take any action with respect to any Collateral or Security Documents which may be necessary to perfect and maintain perfected the Liens upon the Collateral granted pursuant to the Security Documents.</w:t>
      </w:r>
    </w:p>
    <w:p>
      <w:pPr>
        <w:spacing w:after="0" w:line="167" w:lineRule="exact"/>
        <w:rPr>
          <w:rFonts w:ascii="Times New Roman" w:cs="Times New Roman" w:eastAsia="Times New Roman" w:hAnsi="Times New Roman"/>
          <w:sz w:val="19"/>
          <w:szCs w:val="19"/>
          <w:color w:val="auto"/>
        </w:rPr>
      </w:pPr>
    </w:p>
    <w:p>
      <w:pPr>
        <w:jc w:val="both"/>
        <w:ind w:firstLine="802"/>
        <w:spacing w:after="0" w:line="264" w:lineRule="auto"/>
        <w:tabs>
          <w:tab w:leader="none" w:pos="128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Administrative Agent shall have no obligation whatsoever to any Lender or to any other Person to assure that the Collateral exists or is owned by any Restricted Company or is cared for, protected, or insured or has been encumbered or that the Liens granted to Administrative Agent herein or pursuant hereto have been properly or sufficiently or lawfully created, perfected, protected, or enforced, or are entitled to any particular priority, or to exercise at all or in any particular manner or under any duty of care, disclosure, or fidelity, or to continue exercising, any of the Rights granted or available to Administrative Agent in this </w:t>
      </w:r>
      <w:r>
        <w:rPr>
          <w:rFonts w:ascii="Times New Roman" w:cs="Times New Roman" w:eastAsia="Times New Roman" w:hAnsi="Times New Roman"/>
          <w:sz w:val="19"/>
          <w:szCs w:val="19"/>
          <w:b w:val="1"/>
          <w:bCs w:val="1"/>
          <w:i w:val="1"/>
          <w:iCs w:val="1"/>
          <w:color w:val="auto"/>
        </w:rPr>
        <w:t>Section 14.9</w:t>
      </w:r>
      <w:r>
        <w:rPr>
          <w:rFonts w:ascii="Times New Roman" w:cs="Times New Roman" w:eastAsia="Times New Roman" w:hAnsi="Times New Roman"/>
          <w:sz w:val="19"/>
          <w:szCs w:val="19"/>
          <w:color w:val="auto"/>
        </w:rPr>
        <w:t xml:space="preserve"> or in any of the Security Documents; </w:t>
      </w:r>
      <w:r>
        <w:rPr>
          <w:rFonts w:ascii="Times New Roman" w:cs="Times New Roman" w:eastAsia="Times New Roman" w:hAnsi="Times New Roman"/>
          <w:sz w:val="19"/>
          <w:szCs w:val="19"/>
          <w:i w:val="1"/>
          <w:iCs w:val="1"/>
          <w:color w:val="auto"/>
        </w:rPr>
        <w:t>it being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understood </w:t>
      </w:r>
      <w:r>
        <w:rPr>
          <w:rFonts w:ascii="Times New Roman" w:cs="Times New Roman" w:eastAsia="Times New Roman" w:hAnsi="Times New Roman"/>
          <w:sz w:val="19"/>
          <w:szCs w:val="19"/>
          <w:color w:val="auto"/>
        </w:rPr>
        <w:t>and agreed that in respect of the Collateral, or any act, omission, or event related thereto,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109</w:t>
      </w:r>
    </w:p>
    <w:p>
      <w:pPr>
        <w:sectPr>
          <w:pgSz w:w="11900" w:h="16838" w:orient="portrait"/>
          <w:cols w:equalWidth="0" w:num="1">
            <w:col w:w="11240"/>
          </w:cols>
          <w:pgMar w:left="320" w:top="1390" w:right="339" w:bottom="1440" w:gutter="0" w:footer="0" w:header="0"/>
        </w:sectPr>
      </w:pPr>
    </w:p>
    <w:bookmarkStart w:id="223" w:name="page224"/>
    <w:bookmarkEnd w:id="223"/>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Agent may act in any manner it may deem appropriate, in its sole discretion, given Administrative Agent’s own interest in the Collateral as one of Lenders and that Administrative Agent shall have no duty or liability whatsoever to any Lender,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to act without gross negligence or willful misconduct.</w:t>
      </w:r>
    </w:p>
    <w:p>
      <w:pPr>
        <w:spacing w:after="0" w:line="167" w:lineRule="exact"/>
        <w:rPr>
          <w:sz w:val="20"/>
          <w:szCs w:val="20"/>
          <w:color w:val="auto"/>
        </w:rPr>
      </w:pPr>
    </w:p>
    <w:p>
      <w:pPr>
        <w:jc w:val="both"/>
        <w:ind w:firstLine="802"/>
        <w:spacing w:after="0" w:line="258" w:lineRule="auto"/>
        <w:tabs>
          <w:tab w:leader="none" w:pos="1281" w:val="left"/>
        </w:tabs>
        <w:numPr>
          <w:ilvl w:val="1"/>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Lenders irrevocably authorize Administrative Agent (or in the case of Bond Rights, the L/C Issuers), at its option and in its discretion, (i) to release any Lien on any property granted to or held by Administrative Agent under any Loan Paper (A) upon termination of the Total Commitment and payment in full of all Obligation (other than contingent indemnification obligations) and the expiration or termination of all L/Cs, (B) as permitted under </w:t>
      </w:r>
      <w:r>
        <w:rPr>
          <w:rFonts w:ascii="Times New Roman" w:cs="Times New Roman" w:eastAsia="Times New Roman" w:hAnsi="Times New Roman"/>
          <w:sz w:val="19"/>
          <w:szCs w:val="19"/>
          <w:b w:val="1"/>
          <w:bCs w:val="1"/>
          <w:i w:val="1"/>
          <w:iCs w:val="1"/>
          <w:color w:val="auto"/>
        </w:rPr>
        <w:t>Section 9.11</w:t>
      </w:r>
      <w:r>
        <w:rPr>
          <w:rFonts w:ascii="Times New Roman" w:cs="Times New Roman" w:eastAsia="Times New Roman" w:hAnsi="Times New Roman"/>
          <w:sz w:val="19"/>
          <w:szCs w:val="19"/>
          <w:color w:val="auto"/>
        </w:rPr>
        <w:t xml:space="preserve">, (C) constituting property being sold or disposed of as permitted under </w:t>
      </w:r>
      <w:r>
        <w:rPr>
          <w:rFonts w:ascii="Times New Roman" w:cs="Times New Roman" w:eastAsia="Times New Roman" w:hAnsi="Times New Roman"/>
          <w:sz w:val="19"/>
          <w:szCs w:val="19"/>
          <w:b w:val="1"/>
          <w:bCs w:val="1"/>
          <w:i w:val="1"/>
          <w:iCs w:val="1"/>
          <w:color w:val="auto"/>
        </w:rPr>
        <w:t>Section 10.10</w:t>
      </w:r>
      <w:r>
        <w:rPr>
          <w:rFonts w:ascii="Times New Roman" w:cs="Times New Roman" w:eastAsia="Times New Roman" w:hAnsi="Times New Roman"/>
          <w:sz w:val="19"/>
          <w:szCs w:val="19"/>
          <w:color w:val="auto"/>
        </w:rPr>
        <w:t xml:space="preserve">, if Administrative Agent determines that the property being sold or disposed is being sold or disposed in accordance with the requirements and limitations of </w:t>
      </w:r>
      <w:r>
        <w:rPr>
          <w:rFonts w:ascii="Times New Roman" w:cs="Times New Roman" w:eastAsia="Times New Roman" w:hAnsi="Times New Roman"/>
          <w:sz w:val="19"/>
          <w:szCs w:val="19"/>
          <w:b w:val="1"/>
          <w:bCs w:val="1"/>
          <w:i w:val="1"/>
          <w:iCs w:val="1"/>
          <w:color w:val="auto"/>
        </w:rPr>
        <w:t>Section 10.10</w:t>
      </w:r>
      <w:r>
        <w:rPr>
          <w:rFonts w:ascii="Times New Roman" w:cs="Times New Roman" w:eastAsia="Times New Roman" w:hAnsi="Times New Roman"/>
          <w:sz w:val="19"/>
          <w:szCs w:val="19"/>
          <w:color w:val="auto"/>
        </w:rPr>
        <w:t xml:space="preserve"> and Administrative Agent concurrently receives all mandatory prepayments with respect thereto, if any, or (D) if approved, authorized, or ratified in writing by Required Lenders, subject to </w:t>
      </w:r>
      <w:r>
        <w:rPr>
          <w:rFonts w:ascii="Times New Roman" w:cs="Times New Roman" w:eastAsia="Times New Roman" w:hAnsi="Times New Roman"/>
          <w:sz w:val="19"/>
          <w:szCs w:val="19"/>
          <w:b w:val="1"/>
          <w:bCs w:val="1"/>
          <w:i w:val="1"/>
          <w:iCs w:val="1"/>
          <w:color w:val="auto"/>
        </w:rPr>
        <w:t>Section 15.9</w:t>
      </w:r>
      <w:r>
        <w:rPr>
          <w:rFonts w:ascii="Times New Roman" w:cs="Times New Roman" w:eastAsia="Times New Roman" w:hAnsi="Times New Roman"/>
          <w:sz w:val="19"/>
          <w:szCs w:val="19"/>
          <w:color w:val="auto"/>
        </w:rPr>
        <w:t>, unless such Liens are held under any Bond Document;</w:t>
      </w:r>
    </w:p>
    <w:p>
      <w:pPr>
        <w:spacing w:after="0" w:line="2" w:lineRule="exact"/>
        <w:rPr>
          <w:rFonts w:ascii="Times New Roman" w:cs="Times New Roman" w:eastAsia="Times New Roman" w:hAnsi="Times New Roman"/>
          <w:sz w:val="19"/>
          <w:szCs w:val="19"/>
          <w:color w:val="auto"/>
        </w:rPr>
      </w:pPr>
    </w:p>
    <w:p>
      <w:pPr>
        <w:jc w:val="both"/>
        <w:ind w:firstLine="6"/>
        <w:spacing w:after="0" w:line="257" w:lineRule="auto"/>
        <w:tabs>
          <w:tab w:leader="none" w:pos="308"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release (or authorize the release by the applicable L/C Issuer of) any Collateral held by Administrative Agent (or the applicable L/C Issuer) under or pursuant to any Bond Document upon the reimbursement of any Bond Purchase Drawing in accordance with </w:t>
      </w:r>
      <w:r>
        <w:rPr>
          <w:rFonts w:ascii="Times New Roman" w:cs="Times New Roman" w:eastAsia="Times New Roman" w:hAnsi="Times New Roman"/>
          <w:sz w:val="19"/>
          <w:szCs w:val="19"/>
          <w:b w:val="1"/>
          <w:bCs w:val="1"/>
          <w:i w:val="1"/>
          <w:iCs w:val="1"/>
          <w:color w:val="auto"/>
        </w:rPr>
        <w:t>Section 2.3(i)</w:t>
      </w:r>
      <w:r>
        <w:rPr>
          <w:rFonts w:ascii="Times New Roman" w:cs="Times New Roman" w:eastAsia="Times New Roman" w:hAnsi="Times New Roman"/>
          <w:sz w:val="19"/>
          <w:szCs w:val="19"/>
          <w:color w:val="auto"/>
        </w:rPr>
        <w:t xml:space="preserve"> herein; and (iii) to release any Restricted Company from its Guaranty (A) upon full payment of the Obligation, (B) as permitted under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9.11</w:t>
      </w:r>
      <w:r>
        <w:rPr>
          <w:rFonts w:ascii="Times New Roman" w:cs="Times New Roman" w:eastAsia="Times New Roman" w:hAnsi="Times New Roman"/>
          <w:sz w:val="19"/>
          <w:szCs w:val="19"/>
          <w:color w:val="auto"/>
        </w:rPr>
        <w:t>, (C) in connection with the sale of disposition of the stock (or other equity interest) issued by such Restricted Company permitted under</w:t>
      </w:r>
      <w:r>
        <w:rPr>
          <w:rFonts w:ascii="Times New Roman" w:cs="Times New Roman" w:eastAsia="Times New Roman" w:hAnsi="Times New Roman"/>
          <w:sz w:val="19"/>
          <w:szCs w:val="19"/>
          <w:b w:val="1"/>
          <w:bCs w:val="1"/>
          <w:i w:val="1"/>
          <w:iCs w:val="1"/>
          <w:color w:val="auto"/>
        </w:rPr>
        <w:t xml:space="preserve"> Section 10.10</w:t>
      </w:r>
      <w:r>
        <w:rPr>
          <w:rFonts w:ascii="Times New Roman" w:cs="Times New Roman" w:eastAsia="Times New Roman" w:hAnsi="Times New Roman"/>
          <w:sz w:val="19"/>
          <w:szCs w:val="19"/>
          <w:color w:val="auto"/>
        </w:rPr>
        <w:t>, if Administrative Agent determines that the disposition or sale is in accordance with the requirements and limitations of</w:t>
      </w:r>
      <w:r>
        <w:rPr>
          <w:rFonts w:ascii="Times New Roman" w:cs="Times New Roman" w:eastAsia="Times New Roman" w:hAnsi="Times New Roman"/>
          <w:sz w:val="19"/>
          <w:szCs w:val="19"/>
          <w:b w:val="1"/>
          <w:bCs w:val="1"/>
          <w:i w:val="1"/>
          <w:iCs w:val="1"/>
          <w:color w:val="auto"/>
        </w:rPr>
        <w:t xml:space="preserve"> Section 10.10 </w:t>
      </w:r>
      <w:r>
        <w:rPr>
          <w:rFonts w:ascii="Times New Roman" w:cs="Times New Roman" w:eastAsia="Times New Roman" w:hAnsi="Times New Roman"/>
          <w:sz w:val="19"/>
          <w:szCs w:val="19"/>
          <w:color w:val="auto"/>
        </w:rPr>
        <w:t>and Administrative Agent concurrently receives all mandatory prepayments with respect thereto, if any, or (D) if approved, authorized,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ratified in writing by Required Lenders, subject to </w:t>
      </w:r>
      <w:r>
        <w:rPr>
          <w:rFonts w:ascii="Times New Roman" w:cs="Times New Roman" w:eastAsia="Times New Roman" w:hAnsi="Times New Roman"/>
          <w:sz w:val="19"/>
          <w:szCs w:val="19"/>
          <w:b w:val="1"/>
          <w:bCs w:val="1"/>
          <w:i w:val="1"/>
          <w:iCs w:val="1"/>
          <w:color w:val="auto"/>
        </w:rPr>
        <w:t>Section 15.9</w:t>
      </w:r>
      <w:r>
        <w:rPr>
          <w:rFonts w:ascii="Times New Roman" w:cs="Times New Roman" w:eastAsia="Times New Roman" w:hAnsi="Times New Roman"/>
          <w:sz w:val="19"/>
          <w:szCs w:val="19"/>
          <w:color w:val="auto"/>
        </w:rPr>
        <w:t xml:space="preserve">. Upon request by Administrative Agent at any time, Required Lenders will confirm in writing Administrative Agent’s authority to release any Guarantor from its obligations under the Guaranty pursuant to this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14.9</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the event a Restricted Subsidiary ceases to be a Wholly Owned Subsidiary of a Restricted Company, such Person shall cease to be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Guarantor as permitted under this </w:t>
      </w:r>
      <w:r>
        <w:rPr>
          <w:rFonts w:ascii="Times New Roman" w:cs="Times New Roman" w:eastAsia="Times New Roman" w:hAnsi="Times New Roman"/>
          <w:sz w:val="19"/>
          <w:szCs w:val="19"/>
          <w:b w:val="1"/>
          <w:bCs w:val="1"/>
          <w:i w:val="1"/>
          <w:iCs w:val="1"/>
          <w:color w:val="auto"/>
        </w:rPr>
        <w:t>Section 14.9</w:t>
      </w:r>
      <w:r>
        <w:rPr>
          <w:rFonts w:ascii="Times New Roman" w:cs="Times New Roman" w:eastAsia="Times New Roman" w:hAnsi="Times New Roman"/>
          <w:sz w:val="19"/>
          <w:szCs w:val="19"/>
          <w:color w:val="auto"/>
        </w:rPr>
        <w:t xml:space="preserve"> only if such transaction was for a bona fide purpose (and not for the purpose of releasing such Person from the Guaranty Agreement or any Security Documents) and, if involving the transfer, assignment, sale, or other disposition of any Equity Interest, was only with Persons that are not non-Wholly Owned Subsidiaries or Affiliates of Borrower or any Subsidiary.</w:t>
      </w:r>
    </w:p>
    <w:p>
      <w:pPr>
        <w:spacing w:after="0" w:line="185" w:lineRule="exact"/>
        <w:rPr>
          <w:rFonts w:ascii="Times New Roman" w:cs="Times New Roman" w:eastAsia="Times New Roman" w:hAnsi="Times New Roman"/>
          <w:sz w:val="19"/>
          <w:szCs w:val="19"/>
          <w:color w:val="auto"/>
        </w:rPr>
      </w:pPr>
    </w:p>
    <w:p>
      <w:pPr>
        <w:jc w:val="both"/>
        <w:ind w:firstLine="802"/>
        <w:spacing w:after="0" w:line="260" w:lineRule="auto"/>
        <w:tabs>
          <w:tab w:leader="none" w:pos="1217" w:val="left"/>
        </w:tabs>
        <w:numPr>
          <w:ilvl w:val="1"/>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furtherance of the authorizations set forth in this </w:t>
      </w:r>
      <w:r>
        <w:rPr>
          <w:rFonts w:ascii="Times New Roman" w:cs="Times New Roman" w:eastAsia="Times New Roman" w:hAnsi="Times New Roman"/>
          <w:sz w:val="19"/>
          <w:szCs w:val="19"/>
          <w:b w:val="1"/>
          <w:bCs w:val="1"/>
          <w:i w:val="1"/>
          <w:iCs w:val="1"/>
          <w:color w:val="auto"/>
        </w:rPr>
        <w:t>Section 14.9</w:t>
      </w:r>
      <w:r>
        <w:rPr>
          <w:rFonts w:ascii="Times New Roman" w:cs="Times New Roman" w:eastAsia="Times New Roman" w:hAnsi="Times New Roman"/>
          <w:sz w:val="19"/>
          <w:szCs w:val="19"/>
          <w:color w:val="auto"/>
        </w:rPr>
        <w:t xml:space="preserve">, each Lender and each L/C Issuer hereby irrevocably appoints Administrative Agent its attorney-in-fact, with full power of substitution, for and on behalf of and in the name of each such Lender and each such L/C Issuer, (i) to enter into Security Documents (including, without limitation, any appointments of substitute trustees under any Security Document), (ii) to take action with respect to the Collateral and Security Documents to perfect, maintain, and preserve Lenders’ and the L/C Issuers’ Liens, as applicable, and (iii) to execute instruments of release or to take other action necessary to release Liens upon any Collateral to the extent authorized in </w:t>
      </w:r>
      <w:r>
        <w:rPr>
          <w:rFonts w:ascii="Times New Roman" w:cs="Times New Roman" w:eastAsia="Times New Roman" w:hAnsi="Times New Roman"/>
          <w:sz w:val="19"/>
          <w:szCs w:val="19"/>
          <w:b w:val="1"/>
          <w:bCs w:val="1"/>
          <w:i w:val="1"/>
          <w:iCs w:val="1"/>
          <w:color w:val="auto"/>
        </w:rPr>
        <w:t>clause (e)</w:t>
      </w:r>
      <w:r>
        <w:rPr>
          <w:rFonts w:ascii="Times New Roman" w:cs="Times New Roman" w:eastAsia="Times New Roman" w:hAnsi="Times New Roman"/>
          <w:sz w:val="19"/>
          <w:szCs w:val="19"/>
          <w:color w:val="auto"/>
        </w:rPr>
        <w:t xml:space="preserve"> hereof. This power of attorney shall be liberally, not restrictively, construed so as to give the greatest latitude to Administrative Agent’s power, as attorney, relative to the Collateral matters described in this </w:t>
      </w:r>
      <w:r>
        <w:rPr>
          <w:rFonts w:ascii="Times New Roman" w:cs="Times New Roman" w:eastAsia="Times New Roman" w:hAnsi="Times New Roman"/>
          <w:sz w:val="19"/>
          <w:szCs w:val="19"/>
          <w:b w:val="1"/>
          <w:bCs w:val="1"/>
          <w:i w:val="1"/>
          <w:iCs w:val="1"/>
          <w:color w:val="auto"/>
        </w:rPr>
        <w:t>Section 14.9</w:t>
      </w:r>
      <w:r>
        <w:rPr>
          <w:rFonts w:ascii="Times New Roman" w:cs="Times New Roman" w:eastAsia="Times New Roman" w:hAnsi="Times New Roman"/>
          <w:sz w:val="19"/>
          <w:szCs w:val="19"/>
          <w:color w:val="auto"/>
        </w:rPr>
        <w:t xml:space="preserve">. The powers and authorities herein conferred on Administrative Agent may be exercised by Administrative Agent through any Person who, at the time of the execution of a particular instrument, is an officer of Administrative Agent. The power of attorney conferred by this </w:t>
      </w:r>
      <w:r>
        <w:rPr>
          <w:rFonts w:ascii="Times New Roman" w:cs="Times New Roman" w:eastAsia="Times New Roman" w:hAnsi="Times New Roman"/>
          <w:sz w:val="19"/>
          <w:szCs w:val="19"/>
          <w:b w:val="1"/>
          <w:bCs w:val="1"/>
          <w:i w:val="1"/>
          <w:iCs w:val="1"/>
          <w:color w:val="auto"/>
        </w:rPr>
        <w:t>Section 14.9(f)</w:t>
      </w:r>
      <w:r>
        <w:rPr>
          <w:rFonts w:ascii="Times New Roman" w:cs="Times New Roman" w:eastAsia="Times New Roman" w:hAnsi="Times New Roman"/>
          <w:sz w:val="19"/>
          <w:szCs w:val="19"/>
          <w:color w:val="auto"/>
        </w:rPr>
        <w:t xml:space="preserve"> is granted for valuable consideration and is coupled with an interest and is irrevocable so long as the Obligation, or any part thereof, shall remain unpaid, Lenders are obligated to make any Loans, or the L/C Issuers are obligated to issue L/Cs, under the Loan Papers.</w:t>
      </w:r>
    </w:p>
    <w:p>
      <w:pPr>
        <w:spacing w:after="0" w:line="186" w:lineRule="exact"/>
        <w:rPr>
          <w:sz w:val="20"/>
          <w:szCs w:val="20"/>
          <w:color w:val="auto"/>
        </w:rPr>
      </w:pPr>
    </w:p>
    <w:p>
      <w:pPr>
        <w:ind w:firstLine="637"/>
        <w:spacing w:after="0" w:line="285" w:lineRule="auto"/>
        <w:rPr>
          <w:sz w:val="20"/>
          <w:szCs w:val="20"/>
          <w:color w:val="auto"/>
        </w:rPr>
      </w:pPr>
      <w:r>
        <w:rPr>
          <w:rFonts w:ascii="Times New Roman" w:cs="Times New Roman" w:eastAsia="Times New Roman" w:hAnsi="Times New Roman"/>
          <w:sz w:val="19"/>
          <w:szCs w:val="19"/>
          <w:color w:val="auto"/>
        </w:rPr>
        <w:t xml:space="preserve">14.10. </w:t>
      </w:r>
      <w:r>
        <w:rPr>
          <w:rFonts w:ascii="Times New Roman" w:cs="Times New Roman" w:eastAsia="Times New Roman" w:hAnsi="Times New Roman"/>
          <w:sz w:val="19"/>
          <w:szCs w:val="19"/>
          <w:u w:val="single" w:color="auto"/>
          <w:color w:val="auto"/>
        </w:rPr>
        <w:t>Financial Hedges</w:t>
      </w:r>
      <w:r>
        <w:rPr>
          <w:rFonts w:ascii="Times New Roman" w:cs="Times New Roman" w:eastAsia="Times New Roman" w:hAnsi="Times New Roman"/>
          <w:sz w:val="19"/>
          <w:szCs w:val="19"/>
          <w:color w:val="auto"/>
        </w:rPr>
        <w:t xml:space="preserve"> To the extent any Lender or any Affiliate of a Lender issues a Financial Hedge in accordance with the requirements of the Loan Papers and accepts the benefits of the Liens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110</w:t>
      </w:r>
    </w:p>
    <w:p>
      <w:pPr>
        <w:sectPr>
          <w:pgSz w:w="11900" w:h="16838" w:orient="portrait"/>
          <w:cols w:equalWidth="0" w:num="1">
            <w:col w:w="11240"/>
          </w:cols>
          <w:pgMar w:left="320" w:top="1390" w:right="339" w:bottom="1440" w:gutter="0" w:footer="0" w:header="0"/>
        </w:sectPr>
      </w:pPr>
    </w:p>
    <w:bookmarkStart w:id="224" w:name="page225"/>
    <w:bookmarkEnd w:id="224"/>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Collateral arising pursuant to the Security Documents, such Lender (for itself and on behalf of any such Affiliates) agrees (a) to appoint Administrative Agent, as its nominee and agent, to act for and on behalf of such Lender or Affiliate thereof in connection with the Security Documents and (b) to be bound by the terms of this </w:t>
      </w:r>
      <w:r>
        <w:rPr>
          <w:rFonts w:ascii="Times New Roman" w:cs="Times New Roman" w:eastAsia="Times New Roman" w:hAnsi="Times New Roman"/>
          <w:sz w:val="19"/>
          <w:szCs w:val="19"/>
          <w:b w:val="1"/>
          <w:bCs w:val="1"/>
          <w:i w:val="1"/>
          <w:iCs w:val="1"/>
          <w:color w:val="auto"/>
        </w:rPr>
        <w:t>Section 14</w:t>
      </w:r>
      <w:r>
        <w:rPr>
          <w:rFonts w:ascii="Times New Roman" w:cs="Times New Roman" w:eastAsia="Times New Roman" w:hAnsi="Times New Roman"/>
          <w:sz w:val="19"/>
          <w:szCs w:val="19"/>
          <w:color w:val="auto"/>
        </w:rPr>
        <w:t xml:space="preserve">; whereupon all references to </w:t>
      </w:r>
      <w:r>
        <w:rPr>
          <w:rFonts w:ascii="Times New Roman" w:cs="Times New Roman" w:eastAsia="Times New Roman" w:hAnsi="Times New Roman"/>
          <w:sz w:val="19"/>
          <w:szCs w:val="19"/>
          <w:i w:val="1"/>
          <w:iCs w:val="1"/>
          <w:color w:val="auto"/>
        </w:rPr>
        <w:t>“Lender”</w:t>
      </w:r>
      <w:r>
        <w:rPr>
          <w:rFonts w:ascii="Times New Roman" w:cs="Times New Roman" w:eastAsia="Times New Roman" w:hAnsi="Times New Roman"/>
          <w:sz w:val="19"/>
          <w:szCs w:val="19"/>
          <w:color w:val="auto"/>
        </w:rPr>
        <w:t xml:space="preserve"> in this </w:t>
      </w:r>
      <w:r>
        <w:rPr>
          <w:rFonts w:ascii="Times New Roman" w:cs="Times New Roman" w:eastAsia="Times New Roman" w:hAnsi="Times New Roman"/>
          <w:sz w:val="19"/>
          <w:szCs w:val="19"/>
          <w:b w:val="1"/>
          <w:bCs w:val="1"/>
          <w:i w:val="1"/>
          <w:iCs w:val="1"/>
          <w:color w:val="auto"/>
        </w:rPr>
        <w:t>Section 14</w:t>
      </w:r>
      <w:r>
        <w:rPr>
          <w:rFonts w:ascii="Times New Roman" w:cs="Times New Roman" w:eastAsia="Times New Roman" w:hAnsi="Times New Roman"/>
          <w:sz w:val="19"/>
          <w:szCs w:val="19"/>
          <w:color w:val="auto"/>
        </w:rPr>
        <w:t xml:space="preserve"> and in the Security Documents shall include, on any date of determination, any Lender or Affiliate of a Lender that is party to a then-effective Financial Hedge which complies with the requirements of the Loan Papers. Additionally, if the Obligation owed to any Lender or Affiliate of a Lender consists </w:t>
      </w:r>
      <w:r>
        <w:rPr>
          <w:rFonts w:ascii="Times New Roman" w:cs="Times New Roman" w:eastAsia="Times New Roman" w:hAnsi="Times New Roman"/>
          <w:sz w:val="19"/>
          <w:szCs w:val="19"/>
          <w:i w:val="1"/>
          <w:iCs w:val="1"/>
          <w:color w:val="auto"/>
        </w:rPr>
        <w:t xml:space="preserve">solely </w:t>
      </w:r>
      <w:r>
        <w:rPr>
          <w:rFonts w:ascii="Times New Roman" w:cs="Times New Roman" w:eastAsia="Times New Roman" w:hAnsi="Times New Roman"/>
          <w:sz w:val="19"/>
          <w:szCs w:val="19"/>
          <w:color w:val="auto"/>
        </w:rPr>
        <w:t>of Debt arising under a Financial Hedge (such Lender or Affiliate being referred to in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Section 14.10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“Issuing Lender”</w:t>
      </w:r>
      <w:r>
        <w:rPr>
          <w:rFonts w:ascii="Times New Roman" w:cs="Times New Roman" w:eastAsia="Times New Roman" w:hAnsi="Times New Roman"/>
          <w:sz w:val="19"/>
          <w:szCs w:val="19"/>
          <w:color w:val="auto"/>
        </w:rPr>
        <w:t>), then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Issuing Lender (by accepting the benefits of any Security Documents) acknowledges and agrees that pursuant to the Loan Papers and without notice to or consent of such Issuing Lender: (w) Liens in the Collateral may be released in whole or in part; (x) all Guaranties may be released; (y) any Security Document may be amended, modified, supplemented, or restated; and (z) all or any part of the Collateral may be permitted to secure other Debt.</w:t>
      </w:r>
    </w:p>
    <w:p>
      <w:pPr>
        <w:spacing w:after="0" w:line="200" w:lineRule="exact"/>
        <w:rPr>
          <w:sz w:val="20"/>
          <w:szCs w:val="20"/>
          <w:color w:val="auto"/>
        </w:rPr>
      </w:pPr>
    </w:p>
    <w:p>
      <w:pPr>
        <w:spacing w:after="0" w:line="213"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19"/>
          <w:szCs w:val="19"/>
          <w:color w:val="auto"/>
        </w:rPr>
        <w:t xml:space="preserve">14.11. </w:t>
      </w:r>
      <w:r>
        <w:rPr>
          <w:rFonts w:ascii="Times New Roman" w:cs="Times New Roman" w:eastAsia="Times New Roman" w:hAnsi="Times New Roman"/>
          <w:sz w:val="19"/>
          <w:szCs w:val="19"/>
          <w:u w:val="single" w:color="auto"/>
          <w:color w:val="auto"/>
        </w:rPr>
        <w:t>Bond L/Cs and Bond Documents</w:t>
      </w:r>
      <w:r>
        <w:rPr>
          <w:rFonts w:ascii="Times New Roman" w:cs="Times New Roman" w:eastAsia="Times New Roman" w:hAnsi="Times New Roman"/>
          <w:sz w:val="19"/>
          <w:szCs w:val="19"/>
          <w:color w:val="auto"/>
        </w:rPr>
        <w:t xml:space="preserve">. In addition to the authorizations set forth in </w:t>
      </w:r>
      <w:r>
        <w:rPr>
          <w:rFonts w:ascii="Times New Roman" w:cs="Times New Roman" w:eastAsia="Times New Roman" w:hAnsi="Times New Roman"/>
          <w:sz w:val="19"/>
          <w:szCs w:val="19"/>
          <w:b w:val="1"/>
          <w:bCs w:val="1"/>
          <w:i w:val="1"/>
          <w:iCs w:val="1"/>
          <w:color w:val="auto"/>
        </w:rPr>
        <w:t>Section 14.9</w:t>
      </w:r>
      <w:r>
        <w:rPr>
          <w:rFonts w:ascii="Times New Roman" w:cs="Times New Roman" w:eastAsia="Times New Roman" w:hAnsi="Times New Roman"/>
          <w:sz w:val="19"/>
          <w:szCs w:val="19"/>
          <w:color w:val="auto"/>
        </w:rPr>
        <w:t>, each Lender and each L/C Issuer hereby authorize Administrative Agent or the L/C Issuers, as the case may be, to execute and deliver all certificates, documents, agreements, and instruments required to be delivered after the Closing Date pursuant to or in connection with any Bond L/C and Bond Documents executed in connection therewith, and to take such actions as Administrative Agent or the L/C Issuers, as the case may be, deems necessary in connection therewith. This authorization shall be liberally, not restrictively, construed so as to give the greatest latitude to Administrative Agent’s or the applicable L/C Issuer’s authority, as the case may be, relative to the Bonds, Bond L/Cs, and Bond Documents. The powers and authorities herein conferred on Administrative Agent and the L/C Issuers may be exercised by Administrative Agent or the applicable L/C Issuer, as the case may be, through any Person who, at the time of the execution of a particular instrument, is an officer of Administrative Agent or such L/C Issuer, as applicable.</w:t>
      </w:r>
    </w:p>
    <w:p>
      <w:pPr>
        <w:spacing w:after="0" w:line="166"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9"/>
          <w:szCs w:val="19"/>
          <w:color w:val="auto"/>
        </w:rPr>
        <w:t xml:space="preserve">14.12. </w:t>
      </w:r>
      <w:r>
        <w:rPr>
          <w:rFonts w:ascii="Times New Roman" w:cs="Times New Roman" w:eastAsia="Times New Roman" w:hAnsi="Times New Roman"/>
          <w:sz w:val="19"/>
          <w:szCs w:val="19"/>
          <w:u w:val="single" w:color="auto"/>
          <w:color w:val="auto"/>
        </w:rPr>
        <w:t>No Other Duties, Etc</w:t>
      </w:r>
      <w:r>
        <w:rPr>
          <w:rFonts w:ascii="Times New Roman" w:cs="Times New Roman" w:eastAsia="Times New Roman" w:hAnsi="Times New Roman"/>
          <w:sz w:val="19"/>
          <w:szCs w:val="19"/>
          <w:color w:val="auto"/>
        </w:rPr>
        <w:t xml:space="preserve">. Anything herein to the contrary notwithstanding, none of the co-syndication agents, </w:t>
      </w:r>
      <w:r>
        <w:rPr>
          <w:rFonts w:ascii="Times New Roman" w:cs="Times New Roman" w:eastAsia="Times New Roman" w:hAnsi="Times New Roman"/>
          <w:sz w:val="19"/>
          <w:szCs w:val="19"/>
          <w:color w:val="EE2724"/>
          <w:strike w:val="1"/>
        </w:rPr>
        <w:t>co-documentation</w:t>
      </w:r>
      <w:r>
        <w:rPr>
          <w:rFonts w:ascii="Times New Roman" w:cs="Times New Roman" w:eastAsia="Times New Roman" w:hAnsi="Times New Roman"/>
          <w:sz w:val="19"/>
          <w:szCs w:val="19"/>
          <w:u w:val="single" w:color="auto"/>
          <w:color w:val="3051F2"/>
        </w:rPr>
        <w:t>documentation</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agents, joint lead arrangers, or joint bookrunners listed on the cover page hereof shall have any powers, duties, or</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responsibilities under this Agreement or any of the other Loan Papers, except in its capacity, as applicable, as Administrative Agent, a Lender, or an L/C Issuer hereunder.</w:t>
      </w:r>
    </w:p>
    <w:p>
      <w:pPr>
        <w:spacing w:after="0" w:line="171"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color w:val="auto"/>
        </w:rPr>
        <w:t xml:space="preserve">14.13. </w:t>
      </w:r>
      <w:r>
        <w:rPr>
          <w:rFonts w:ascii="Times New Roman" w:cs="Times New Roman" w:eastAsia="Times New Roman" w:hAnsi="Times New Roman"/>
          <w:sz w:val="19"/>
          <w:szCs w:val="19"/>
          <w:u w:val="single" w:color="auto"/>
          <w:color w:val="auto"/>
        </w:rPr>
        <w:t>Recovery of Erroneous Payments</w:t>
      </w:r>
      <w:r>
        <w:rPr>
          <w:rFonts w:ascii="Times New Roman" w:cs="Times New Roman" w:eastAsia="Times New Roman" w:hAnsi="Times New Roman"/>
          <w:sz w:val="19"/>
          <w:szCs w:val="19"/>
          <w:color w:val="auto"/>
        </w:rPr>
        <w:t>. Without limitation of any other provision in this Agreement, if at any time Administrative Agent makes a payment hereunder in error to any Lender or any L/C Issuer (the “</w:t>
      </w:r>
      <w:r>
        <w:rPr>
          <w:rFonts w:ascii="Times New Roman" w:cs="Times New Roman" w:eastAsia="Times New Roman" w:hAnsi="Times New Roman"/>
          <w:sz w:val="19"/>
          <w:szCs w:val="19"/>
          <w:b w:val="1"/>
          <w:bCs w:val="1"/>
          <w:i w:val="1"/>
          <w:iCs w:val="1"/>
          <w:color w:val="auto"/>
        </w:rPr>
        <w:t>Credit Party</w:t>
      </w:r>
      <w:r>
        <w:rPr>
          <w:rFonts w:ascii="Times New Roman" w:cs="Times New Roman" w:eastAsia="Times New Roman" w:hAnsi="Times New Roman"/>
          <w:sz w:val="19"/>
          <w:szCs w:val="19"/>
          <w:color w:val="auto"/>
        </w:rPr>
        <w:t>”), whether or not in respect of an Obligation due and owing by Borrower at such time, where such payment is a Rescindable Amount, then in any such event, each Credit Party receiving a Rescindable Amount severally agrees to repay to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Administrative Agent, at the greater of the Federal Funds Rate and a rate determined by Administrative Agent in accordance with banking industry rules on interbank compensation. Each Credit Party irrevocably waives any and all defenses, including any “</w:t>
      </w:r>
      <w:r>
        <w:rPr>
          <w:rFonts w:ascii="Times New Roman" w:cs="Times New Roman" w:eastAsia="Times New Roman" w:hAnsi="Times New Roman"/>
          <w:sz w:val="19"/>
          <w:szCs w:val="19"/>
          <w:i w:val="1"/>
          <w:iCs w:val="1"/>
          <w:color w:val="auto"/>
        </w:rPr>
        <w:t>discharge for value</w:t>
      </w:r>
      <w:r>
        <w:rPr>
          <w:rFonts w:ascii="Times New Roman" w:cs="Times New Roman" w:eastAsia="Times New Roman" w:hAnsi="Times New Roman"/>
          <w:sz w:val="19"/>
          <w:szCs w:val="19"/>
          <w:color w:val="auto"/>
        </w:rPr>
        <w:t>” (under which a creditor might otherwise claim a right to retain funds mistakenly paid by a third party in respect of a debt owed by another) or similar defense to its obligation to return any Rescindable Amount. Administrative Agent shall inform each Credit Party promptly upon determining that any payment made to such Credit Party comprised, in whole or in part, a Rescindable Amount.</w:t>
      </w:r>
    </w:p>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u w:val="single" w:color="auto"/>
          <w:color w:val="auto"/>
        </w:rPr>
        <w:t>SECTION 15  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111</w:t>
      </w:r>
    </w:p>
    <w:p>
      <w:pPr>
        <w:sectPr>
          <w:pgSz w:w="11900" w:h="16838" w:orient="portrait"/>
          <w:cols w:equalWidth="0" w:num="1">
            <w:col w:w="11240"/>
          </w:cols>
          <w:pgMar w:left="320" w:top="1390" w:right="339" w:bottom="1440" w:gutter="0" w:footer="0" w:header="0"/>
        </w:sectPr>
      </w:pPr>
    </w:p>
    <w:bookmarkStart w:id="225" w:name="page226"/>
    <w:bookmarkEnd w:id="225"/>
    <w:p>
      <w:pPr>
        <w:jc w:val="both"/>
        <w:ind w:firstLine="637"/>
        <w:spacing w:after="0" w:line="300" w:lineRule="auto"/>
        <w:rPr>
          <w:sz w:val="20"/>
          <w:szCs w:val="20"/>
          <w:color w:val="auto"/>
        </w:rPr>
      </w:pPr>
      <w:r>
        <w:rPr>
          <w:rFonts w:ascii="Times New Roman" w:cs="Times New Roman" w:eastAsia="Times New Roman" w:hAnsi="Times New Roman"/>
          <w:sz w:val="19"/>
          <w:szCs w:val="19"/>
          <w:color w:val="auto"/>
        </w:rPr>
        <w:t xml:space="preserve">15.1.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captions, and arrangements used in any of the Loan Papers are, unless specified otherwise, for convenience only and shall not be deemed to limit, amplify, or modify the terms of the Loan Papers, nor affect the meaning thereof.</w:t>
      </w:r>
    </w:p>
    <w:p>
      <w:pPr>
        <w:spacing w:after="0" w:line="130"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9"/>
          <w:szCs w:val="19"/>
          <w:color w:val="auto"/>
        </w:rPr>
        <w:t xml:space="preserve">15.2. </w:t>
      </w:r>
      <w:r>
        <w:rPr>
          <w:rFonts w:ascii="Times New Roman" w:cs="Times New Roman" w:eastAsia="Times New Roman" w:hAnsi="Times New Roman"/>
          <w:sz w:val="19"/>
          <w:szCs w:val="19"/>
          <w:u w:val="single" w:color="auto"/>
          <w:color w:val="auto"/>
        </w:rPr>
        <w:t>Nonbusiness Days; Time</w:t>
      </w:r>
      <w:r>
        <w:rPr>
          <w:rFonts w:ascii="Times New Roman" w:cs="Times New Roman" w:eastAsia="Times New Roman" w:hAnsi="Times New Roman"/>
          <w:sz w:val="19"/>
          <w:szCs w:val="19"/>
          <w:color w:val="auto"/>
        </w:rPr>
        <w:t>. Any payment or action that is due under any Loan Paper on a non-Business Day may be delayed until the next-succeeding Business Day (but interest shall continue to accrue on any applicable payment until payment is in fact made) unless the payment concerns a Term Reference Rate Loan, in which case if the next-succeeding Business Day is in the next calendar month, then such payment shall be made on the next-preceding Business Day.</w:t>
      </w:r>
    </w:p>
    <w:p>
      <w:pPr>
        <w:spacing w:after="0" w:line="17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15.3.</w:t>
      </w:r>
      <w:r>
        <w:rPr>
          <w:sz w:val="20"/>
          <w:szCs w:val="20"/>
          <w:color w:val="auto"/>
        </w:rPr>
        <w:tab/>
      </w:r>
      <w:r>
        <w:rPr>
          <w:rFonts w:ascii="Times New Roman" w:cs="Times New Roman" w:eastAsia="Times New Roman" w:hAnsi="Times New Roman"/>
          <w:sz w:val="19"/>
          <w:szCs w:val="19"/>
          <w:u w:val="single" w:color="auto"/>
          <w:color w:val="auto"/>
        </w:rPr>
        <w:t>Notices and Other Communications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643"/>
        <w:spacing w:after="0" w:line="271" w:lineRule="auto"/>
        <w:tabs>
          <w:tab w:leader="none" w:pos="1113"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Notices Generally</w:t>
      </w:r>
      <w:r>
        <w:rPr>
          <w:rFonts w:ascii="Times New Roman" w:cs="Times New Roman" w:eastAsia="Times New Roman" w:hAnsi="Times New Roman"/>
          <w:sz w:val="19"/>
          <w:szCs w:val="19"/>
          <w:color w:val="auto"/>
        </w:rPr>
        <w:t>. Except in the case of notices and other communications expressly permitted to be given by telephone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except as provided in </w:t>
      </w:r>
      <w:r>
        <w:rPr>
          <w:rFonts w:ascii="Times New Roman" w:cs="Times New Roman" w:eastAsia="Times New Roman" w:hAnsi="Times New Roman"/>
          <w:sz w:val="19"/>
          <w:szCs w:val="19"/>
          <w:b w:val="1"/>
          <w:bCs w:val="1"/>
          <w:i w:val="1"/>
          <w:iCs w:val="1"/>
          <w:color w:val="auto"/>
        </w:rPr>
        <w:t>subsection (b)</w:t>
      </w:r>
      <w:r>
        <w:rPr>
          <w:rFonts w:ascii="Times New Roman" w:cs="Times New Roman" w:eastAsia="Times New Roman" w:hAnsi="Times New Roman"/>
          <w:sz w:val="19"/>
          <w:szCs w:val="19"/>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1" w:lineRule="exact"/>
        <w:rPr>
          <w:sz w:val="20"/>
          <w:szCs w:val="20"/>
          <w:color w:val="auto"/>
        </w:rPr>
      </w:pPr>
    </w:p>
    <w:p>
      <w:pPr>
        <w:ind w:firstLine="643"/>
        <w:spacing w:after="0" w:line="285" w:lineRule="auto"/>
        <w:tabs>
          <w:tab w:leader="none" w:pos="882"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to Borrower, Administrative Agent or either L/C Issuer, to the address, telecopier number, electronic mail address, or telephone number specified for such Person on </w:t>
      </w:r>
      <w:r>
        <w:rPr>
          <w:rFonts w:ascii="Times New Roman" w:cs="Times New Roman" w:eastAsia="Times New Roman" w:hAnsi="Times New Roman"/>
          <w:sz w:val="19"/>
          <w:szCs w:val="19"/>
          <w:b w:val="1"/>
          <w:bCs w:val="1"/>
          <w:i w:val="1"/>
          <w:iCs w:val="1"/>
          <w:color w:val="auto"/>
        </w:rPr>
        <w:t>Schedule 1</w:t>
      </w:r>
      <w:r>
        <w:rPr>
          <w:rFonts w:ascii="Times New Roman" w:cs="Times New Roman" w:eastAsia="Times New Roman" w:hAnsi="Times New Roman"/>
          <w:sz w:val="19"/>
          <w:szCs w:val="19"/>
          <w:color w:val="auto"/>
        </w:rPr>
        <w:t>; and</w:t>
      </w:r>
    </w:p>
    <w:p>
      <w:pPr>
        <w:spacing w:after="0" w:line="157" w:lineRule="exact"/>
        <w:rPr>
          <w:rFonts w:ascii="Times New Roman" w:cs="Times New Roman" w:eastAsia="Times New Roman" w:hAnsi="Times New Roman"/>
          <w:sz w:val="19"/>
          <w:szCs w:val="19"/>
          <w:color w:val="auto"/>
        </w:rPr>
      </w:pPr>
    </w:p>
    <w:p>
      <w:pPr>
        <w:jc w:val="both"/>
        <w:ind w:firstLine="643"/>
        <w:spacing w:after="0" w:line="274" w:lineRule="auto"/>
        <w:tabs>
          <w:tab w:leader="none" w:pos="976"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Borrower).</w:t>
      </w:r>
    </w:p>
    <w:p>
      <w:pPr>
        <w:spacing w:after="0" w:line="167"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if not given during normal business hours for the recipient, shall be deemed to have been given at the opening of business on the next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Business Day for the recipient). Notices and other communications delivered through electronic communications to the extent provided in </w:t>
      </w:r>
      <w:r>
        <w:rPr>
          <w:rFonts w:ascii="Times New Roman" w:cs="Times New Roman" w:eastAsia="Times New Roman" w:hAnsi="Times New Roman"/>
          <w:sz w:val="19"/>
          <w:szCs w:val="19"/>
          <w:b w:val="1"/>
          <w:bCs w:val="1"/>
          <w:i w:val="1"/>
          <w:iCs w:val="1"/>
          <w:color w:val="auto"/>
        </w:rPr>
        <w:t xml:space="preserve">subsection (b) </w:t>
      </w:r>
      <w:r>
        <w:rPr>
          <w:rFonts w:ascii="Times New Roman" w:cs="Times New Roman" w:eastAsia="Times New Roman" w:hAnsi="Times New Roman"/>
          <w:sz w:val="19"/>
          <w:szCs w:val="19"/>
          <w:color w:val="auto"/>
        </w:rPr>
        <w:t>below, shall be effective as provided in such</w:t>
      </w:r>
      <w:r>
        <w:rPr>
          <w:rFonts w:ascii="Times New Roman" w:cs="Times New Roman" w:eastAsia="Times New Roman" w:hAnsi="Times New Roman"/>
          <w:sz w:val="19"/>
          <w:szCs w:val="19"/>
          <w:b w:val="1"/>
          <w:bCs w:val="1"/>
          <w:i w:val="1"/>
          <w:iCs w:val="1"/>
          <w:color w:val="auto"/>
        </w:rPr>
        <w:t xml:space="preserve"> subsection (b)</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jc w:val="both"/>
        <w:ind w:firstLine="643"/>
        <w:spacing w:after="0" w:line="264" w:lineRule="auto"/>
        <w:tabs>
          <w:tab w:leader="none" w:pos="1111"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Electronic Communications</w:t>
      </w:r>
      <w:r>
        <w:rPr>
          <w:rFonts w:ascii="Times New Roman" w:cs="Times New Roman" w:eastAsia="Times New Roman" w:hAnsi="Times New Roman"/>
          <w:sz w:val="19"/>
          <w:szCs w:val="19"/>
          <w:color w:val="auto"/>
        </w:rPr>
        <w:t>. Notices and other communications to Lenders and the L/C Issuers hereunder may be delivered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furnished by electronic communication (including e-mail, FpML messaging and Internet or intranet websites) pursuant to procedures approved by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the foregoing shall not apply to notices to any Lender or either L/C Issuer pursuant to </w:t>
      </w:r>
      <w:r>
        <w:rPr>
          <w:rFonts w:ascii="Times New Roman" w:cs="Times New Roman" w:eastAsia="Times New Roman" w:hAnsi="Times New Roman"/>
          <w:sz w:val="19"/>
          <w:szCs w:val="19"/>
          <w:b w:val="1"/>
          <w:bCs w:val="1"/>
          <w:i w:val="1"/>
          <w:iCs w:val="1"/>
          <w:color w:val="auto"/>
        </w:rPr>
        <w:t>Section 2</w:t>
      </w:r>
      <w:r>
        <w:rPr>
          <w:rFonts w:ascii="Times New Roman" w:cs="Times New Roman" w:eastAsia="Times New Roman" w:hAnsi="Times New Roman"/>
          <w:sz w:val="19"/>
          <w:szCs w:val="19"/>
          <w:color w:val="auto"/>
        </w:rPr>
        <w:t xml:space="preserve"> if such Lender or such L/C Issuer, as applicable, has notified Administrative Agent that it is incapable of receiving notices under such </w:t>
      </w:r>
      <w:r>
        <w:rPr>
          <w:rFonts w:ascii="Times New Roman" w:cs="Times New Roman" w:eastAsia="Times New Roman" w:hAnsi="Times New Roman"/>
          <w:sz w:val="19"/>
          <w:szCs w:val="19"/>
          <w:b w:val="1"/>
          <w:bCs w:val="1"/>
          <w:i w:val="1"/>
          <w:iCs w:val="1"/>
          <w:color w:val="auto"/>
        </w:rPr>
        <w:t>Section 2</w:t>
      </w:r>
      <w:r>
        <w:rPr>
          <w:rFonts w:ascii="Times New Roman" w:cs="Times New Roman" w:eastAsia="Times New Roman" w:hAnsi="Times New Roman"/>
          <w:sz w:val="19"/>
          <w:szCs w:val="19"/>
          <w:color w:val="auto"/>
        </w:rPr>
        <w:t xml:space="preserve"> by electronic communication. Administrative Agent or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approval of such procedures may be limited to particular notices or communications.</w:t>
      </w:r>
    </w:p>
    <w:p>
      <w:pPr>
        <w:spacing w:after="0" w:line="179"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color w:val="auto"/>
        </w:rPr>
        <w:t>Unless Administrative Agent otherwise prescribes, (i) notices and other communications sent to an e-mail address shall be deemed received upon the sender’s receipt of an acknowledgement from the intended recipient (such as by the “</w:t>
      </w:r>
      <w:r>
        <w:rPr>
          <w:rFonts w:ascii="Times New Roman" w:cs="Times New Roman" w:eastAsia="Times New Roman" w:hAnsi="Times New Roman"/>
          <w:sz w:val="19"/>
          <w:szCs w:val="19"/>
          <w:i w:val="1"/>
          <w:iCs w:val="1"/>
          <w:color w:val="auto"/>
        </w:rPr>
        <w:t>return receipt requested</w:t>
      </w:r>
      <w:r>
        <w:rPr>
          <w:rFonts w:ascii="Times New Roman" w:cs="Times New Roman" w:eastAsia="Times New Roman" w:hAnsi="Times New Roman"/>
          <w:sz w:val="19"/>
          <w:szCs w:val="19"/>
          <w:color w:val="auto"/>
        </w:rPr>
        <w:t>” function, as available, return e-mail, or other written acknowledgement), and (ii) notices or communications posted to an Internet or intranet website shall be deemed received upon the deemed receipt by the intended recipient at its e-mail address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112</w:t>
      </w:r>
    </w:p>
    <w:p>
      <w:pPr>
        <w:sectPr>
          <w:pgSz w:w="11900" w:h="16838" w:orient="portrait"/>
          <w:cols w:equalWidth="0" w:num="1">
            <w:col w:w="11240"/>
          </w:cols>
          <w:pgMar w:left="320" w:top="1390" w:right="339" w:bottom="1440" w:gutter="0" w:footer="0" w:header="0"/>
        </w:sectPr>
      </w:pPr>
    </w:p>
    <w:bookmarkStart w:id="226" w:name="page227"/>
    <w:bookmarkEnd w:id="226"/>
    <w:p>
      <w:pPr>
        <w:jc w:val="both"/>
        <w:spacing w:after="0" w:line="276" w:lineRule="auto"/>
        <w:rPr>
          <w:sz w:val="20"/>
          <w:szCs w:val="20"/>
          <w:color w:val="auto"/>
        </w:rPr>
      </w:pPr>
      <w:r>
        <w:rPr>
          <w:rFonts w:ascii="Times New Roman" w:cs="Times New Roman" w:eastAsia="Times New Roman" w:hAnsi="Times New Roman"/>
          <w:sz w:val="19"/>
          <w:szCs w:val="19"/>
          <w:color w:val="auto"/>
        </w:rPr>
        <w:t xml:space="preserve">described in the foregoing </w:t>
      </w:r>
      <w:r>
        <w:rPr>
          <w:rFonts w:ascii="Times New Roman" w:cs="Times New Roman" w:eastAsia="Times New Roman" w:hAnsi="Times New Roman"/>
          <w:sz w:val="19"/>
          <w:szCs w:val="19"/>
          <w:b w:val="1"/>
          <w:bCs w:val="1"/>
          <w:i w:val="1"/>
          <w:iCs w:val="1"/>
          <w:color w:val="auto"/>
        </w:rPr>
        <w:t>clause (i)</w:t>
      </w:r>
      <w:r>
        <w:rPr>
          <w:rFonts w:ascii="Times New Roman" w:cs="Times New Roman" w:eastAsia="Times New Roman" w:hAnsi="Times New Roman"/>
          <w:sz w:val="19"/>
          <w:szCs w:val="19"/>
          <w:color w:val="auto"/>
        </w:rPr>
        <w:t xml:space="preserve"> of notification that such notice or communication is available and identifying the website address therefor;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w:t>
      </w:r>
      <w:r>
        <w:rPr>
          <w:rFonts w:ascii="Times New Roman" w:cs="Times New Roman" w:eastAsia="Times New Roman" w:hAnsi="Times New Roman"/>
          <w:sz w:val="19"/>
          <w:szCs w:val="19"/>
          <w:color w:val="auto"/>
        </w:rPr>
        <w:t>, for both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clauses (i)</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(ii)</w:t>
      </w:r>
      <w:r>
        <w:rPr>
          <w:rFonts w:ascii="Times New Roman" w:cs="Times New Roman" w:eastAsia="Times New Roman" w:hAnsi="Times New Roman"/>
          <w:sz w:val="19"/>
          <w:szCs w:val="19"/>
          <w:color w:val="auto"/>
        </w:rPr>
        <w:t>, if such notice or other communication is not sent during the normal business hours of the recipient,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notice or communication shall be deemed to have been sent at the opening of business on the next Business Day for the recipient.</w:t>
      </w:r>
    </w:p>
    <w:p>
      <w:pPr>
        <w:spacing w:after="0" w:line="162" w:lineRule="exact"/>
        <w:rPr>
          <w:sz w:val="20"/>
          <w:szCs w:val="20"/>
          <w:color w:val="auto"/>
        </w:rPr>
      </w:pPr>
    </w:p>
    <w:p>
      <w:pPr>
        <w:jc w:val="both"/>
        <w:ind w:firstLine="643"/>
        <w:spacing w:after="0" w:line="259" w:lineRule="auto"/>
        <w:tabs>
          <w:tab w:leader="none" w:pos="1113" w:val="left"/>
        </w:tabs>
        <w:numPr>
          <w:ilvl w:val="1"/>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The Platform</w:t>
      </w:r>
      <w:r>
        <w:rPr>
          <w:rFonts w:ascii="Times New Roman" w:cs="Times New Roman" w:eastAsia="Times New Roman" w:hAnsi="Times New Roman"/>
          <w:sz w:val="19"/>
          <w:szCs w:val="19"/>
          <w:color w:val="auto"/>
        </w:rPr>
        <w:t>. THE PLATFORM IS PROVIDED “AS IS” AND “AS AVAILABLE.” THE AGENT PARTIES (AS DEFINED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BELOW) DO 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Administrative Agent or any of its Related Parties (collectively, the “</w:t>
      </w:r>
      <w:r>
        <w:rPr>
          <w:rFonts w:ascii="Times New Roman" w:cs="Times New Roman" w:eastAsia="Times New Roman" w:hAnsi="Times New Roman"/>
          <w:sz w:val="19"/>
          <w:szCs w:val="19"/>
          <w:b w:val="1"/>
          <w:bCs w:val="1"/>
          <w:i w:val="1"/>
          <w:iCs w:val="1"/>
          <w:color w:val="auto"/>
        </w:rPr>
        <w:t>Agent Parties</w:t>
      </w:r>
      <w:r>
        <w:rPr>
          <w:rFonts w:ascii="Times New Roman" w:cs="Times New Roman" w:eastAsia="Times New Roman" w:hAnsi="Times New Roman"/>
          <w:sz w:val="19"/>
          <w:szCs w:val="19"/>
          <w:color w:val="auto"/>
        </w:rPr>
        <w:t xml:space="preserve">”) have any liability to Borrower, any Lender, either L/C Issuer, or any other Person for losses, claims, damages, liabilities, or expenses of any kind (whether in tort, contract, or otherwise) arising out of Borrower’s or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in no event shall any Agent Party have any liability to Borrower, any Lender, either L/C Issuer, or any other Person for indirect, special, incidental, consequential, or punitive damages (as opposed to direct or actual damages).</w:t>
      </w:r>
    </w:p>
    <w:p>
      <w:pPr>
        <w:spacing w:after="0" w:line="174" w:lineRule="exact"/>
        <w:rPr>
          <w:rFonts w:ascii="Times New Roman" w:cs="Times New Roman" w:eastAsia="Times New Roman" w:hAnsi="Times New Roman"/>
          <w:sz w:val="19"/>
          <w:szCs w:val="19"/>
          <w:color w:val="auto"/>
        </w:rPr>
      </w:pPr>
    </w:p>
    <w:p>
      <w:pPr>
        <w:jc w:val="both"/>
        <w:ind w:firstLine="643"/>
        <w:spacing w:after="0" w:line="262" w:lineRule="auto"/>
        <w:tabs>
          <w:tab w:leader="none" w:pos="1137" w:val="left"/>
        </w:tabs>
        <w:numPr>
          <w:ilvl w:val="1"/>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Change of Address, Etc</w:t>
      </w:r>
      <w:r>
        <w:rPr>
          <w:rFonts w:ascii="Times New Roman" w:cs="Times New Roman" w:eastAsia="Times New Roman" w:hAnsi="Times New Roman"/>
          <w:sz w:val="19"/>
          <w:szCs w:val="19"/>
          <w:color w:val="auto"/>
        </w:rPr>
        <w:t>. Each of Borrower, Administrative Agent and the L/C Issuers may change its address, telecopier,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telephone number for notices and other communications hereunder by notice to the other parties hereto. Each other Lender may change its address, telecopier, or telephone number for notices and other communications hereunder by notice to Borrower, Administrative Agent and the L/C Issuers. In addition, each Lender agrees to notify Administrative Agent from time to time to ensure that Administrative Agent has on record</w:t>
      </w:r>
    </w:p>
    <w:p>
      <w:pPr>
        <w:ind w:left="300" w:hanging="294"/>
        <w:spacing w:after="0"/>
        <w:tabs>
          <w:tab w:leader="none" w:pos="30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effective address, contact name, telephone number, telecopier number, and electronic mail address to which notices and other</w:t>
      </w:r>
    </w:p>
    <w:p>
      <w:pPr>
        <w:spacing w:after="0" w:line="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communications may be sent, and (ii) accurate wire instructions for such Lender. Furthermore, each Public Lender agrees to cause at least one individual at or on behalf of such Public Lender to at all times have selected the “</w:t>
      </w:r>
      <w:r>
        <w:rPr>
          <w:rFonts w:ascii="Times New Roman" w:cs="Times New Roman" w:eastAsia="Times New Roman" w:hAnsi="Times New Roman"/>
          <w:sz w:val="19"/>
          <w:szCs w:val="19"/>
          <w:i w:val="1"/>
          <w:iCs w:val="1"/>
          <w:color w:val="auto"/>
        </w:rPr>
        <w:t>Private Side Information</w:t>
      </w:r>
      <w:r>
        <w:rPr>
          <w:rFonts w:ascii="Times New Roman" w:cs="Times New Roman" w:eastAsia="Times New Roman" w:hAnsi="Times New Roman"/>
          <w:sz w:val="19"/>
          <w:szCs w:val="19"/>
          <w:color w:val="auto"/>
        </w:rPr>
        <w:t>”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w:t>
      </w:r>
      <w:r>
        <w:rPr>
          <w:rFonts w:ascii="Times New Roman" w:cs="Times New Roman" w:eastAsia="Times New Roman" w:hAnsi="Times New Roman"/>
          <w:sz w:val="19"/>
          <w:szCs w:val="19"/>
          <w:i w:val="1"/>
          <w:iCs w:val="1"/>
          <w:color w:val="auto"/>
        </w:rPr>
        <w:t>Public Side Information</w:t>
      </w:r>
      <w:r>
        <w:rPr>
          <w:rFonts w:ascii="Times New Roman" w:cs="Times New Roman" w:eastAsia="Times New Roman" w:hAnsi="Times New Roman"/>
          <w:sz w:val="19"/>
          <w:szCs w:val="19"/>
          <w:color w:val="auto"/>
        </w:rPr>
        <w:t>” portion of the Platform and that may contain material non-public information with respect to Borrower or its securities for purposes of United States Federal or state securities laws.</w:t>
      </w:r>
    </w:p>
    <w:p>
      <w:pPr>
        <w:spacing w:after="0" w:line="180" w:lineRule="exact"/>
        <w:rPr>
          <w:sz w:val="20"/>
          <w:szCs w:val="20"/>
          <w:color w:val="auto"/>
        </w:rPr>
      </w:pPr>
    </w:p>
    <w:p>
      <w:pPr>
        <w:jc w:val="both"/>
        <w:ind w:firstLine="643"/>
        <w:spacing w:after="0" w:line="265" w:lineRule="auto"/>
        <w:tabs>
          <w:tab w:leader="none" w:pos="1166" w:val="left"/>
        </w:tabs>
        <w:numPr>
          <w:ilvl w:val="1"/>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Reliance by Administrative Agent, L/C Issuers, and Lenders</w:t>
      </w:r>
      <w:r>
        <w:rPr>
          <w:rFonts w:ascii="Times New Roman" w:cs="Times New Roman" w:eastAsia="Times New Roman" w:hAnsi="Times New Roman"/>
          <w:sz w:val="19"/>
          <w:szCs w:val="19"/>
          <w:color w:val="auto"/>
        </w:rPr>
        <w:t>. Administrative Agent, the L/C Issuers, and Lenders shall be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entitled to rely and act upon any notices (including telephonic notices and Loan Notices) purportedly given by or on behalf of Borrower even if</w:t>
      </w:r>
    </w:p>
    <w:p>
      <w:pPr>
        <w:jc w:val="both"/>
        <w:ind w:firstLine="6"/>
        <w:spacing w:after="0" w:line="264" w:lineRule="auto"/>
        <w:tabs>
          <w:tab w:leader="none" w:pos="246"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notices were not made in a manner specified herein, were incomplete, or were not preceded or followed by any other form of notice specified herein, or (ii) the terms thereof, as understood by the recipient, varied from any confirmation thereof. Borrower shall indemnify Administrative Agent, the L/C Issuers, each Lender, and the Related Parties of each of them from all losses, costs, expenses, and liabilities resulting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113</w:t>
      </w:r>
    </w:p>
    <w:p>
      <w:pPr>
        <w:sectPr>
          <w:pgSz w:w="11900" w:h="16838" w:orient="portrait"/>
          <w:cols w:equalWidth="0" w:num="1">
            <w:col w:w="11240"/>
          </w:cols>
          <w:pgMar w:left="320" w:top="1386" w:right="339" w:bottom="1440" w:gutter="0" w:footer="0" w:header="0"/>
        </w:sectPr>
      </w:pPr>
    </w:p>
    <w:bookmarkStart w:id="227" w:name="page228"/>
    <w:bookmarkEnd w:id="227"/>
    <w:p>
      <w:pPr>
        <w:jc w:val="both"/>
        <w:spacing w:after="0" w:line="274" w:lineRule="auto"/>
        <w:rPr>
          <w:sz w:val="20"/>
          <w:szCs w:val="20"/>
          <w:color w:val="auto"/>
        </w:rPr>
      </w:pPr>
      <w:r>
        <w:rPr>
          <w:rFonts w:ascii="Times New Roman" w:cs="Times New Roman" w:eastAsia="Times New Roman" w:hAnsi="Times New Roman"/>
          <w:sz w:val="19"/>
          <w:szCs w:val="19"/>
          <w:color w:val="auto"/>
        </w:rPr>
        <w:t>reliance by such Person on each notice purportedly given by or on behalf of Borrower. All telephonic notices to and other telephonic communications with Administrative Agent may be recorded by Administrative Agent, and each of the parties hereto hereby consents to such recording.</w:t>
      </w:r>
    </w:p>
    <w:p>
      <w:pPr>
        <w:spacing w:after="0" w:line="16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15.4.</w:t>
      </w:r>
      <w:r>
        <w:rPr>
          <w:sz w:val="20"/>
          <w:szCs w:val="20"/>
          <w:color w:val="auto"/>
        </w:rPr>
        <w:tab/>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643"/>
        <w:spacing w:after="0" w:line="260" w:lineRule="auto"/>
        <w:tabs>
          <w:tab w:leader="none" w:pos="1153"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Costs and Expenses</w:t>
      </w:r>
      <w:r>
        <w:rPr>
          <w:rFonts w:ascii="Times New Roman" w:cs="Times New Roman" w:eastAsia="Times New Roman" w:hAnsi="Times New Roman"/>
          <w:sz w:val="19"/>
          <w:szCs w:val="19"/>
          <w:color w:val="auto"/>
        </w:rPr>
        <w:t>. Borrower shall pay (i) all reasonable out-of-pocket expenses incurred by Administrative Agent and its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Affiliates (including the reasonable fees, charges, and disbursements of counsel for Administrative Agent) in connection with the syndication of the credit facilities provided for herein, the preparation, negotiation, execution, delivery, and administration of this Agreement and the other Loan Papers, or any amendments, modifications, or waivers of the provisions hereof or thereof (whether or not the transactions contemplated hereby or thereby shall be consummated), (ii) all reasonable out-of-pocket expenses incurred by the L/C Issuers in connection with the issuance, amendment, renewal, or extension of any L/C or any demand for payment thereunder, and (iii) all out-of-pocket expenses incurred by Administrative Agent, any Lender, or the L/C Issuers (including the fees, charges, and disbursements of any counsel for Administrative Agent, any Lender, or the L/C Issuers), and shall pay all fees and time charges for attorneys who may be employees of Administrative Agent, any Lender, or the L/C Issuers, in connection with the enforcement or protection of its rights (A) in connection with this Agreement and the other Loan Papers, including its rights under this Section, or (B) in connection with the Loans made or L/Cs issued hereunder, including all such out-of-pocket expenses incurred during any workout, restructuring, or negotiations in respect of such Loans or L/Cs.</w:t>
      </w:r>
    </w:p>
    <w:p>
      <w:pPr>
        <w:spacing w:after="0" w:line="182" w:lineRule="exact"/>
        <w:rPr>
          <w:rFonts w:ascii="Times New Roman" w:cs="Times New Roman" w:eastAsia="Times New Roman" w:hAnsi="Times New Roman"/>
          <w:sz w:val="19"/>
          <w:szCs w:val="19"/>
          <w:color w:val="auto"/>
        </w:rPr>
      </w:pPr>
    </w:p>
    <w:p>
      <w:pPr>
        <w:jc w:val="both"/>
        <w:ind w:firstLine="643"/>
        <w:spacing w:after="0" w:line="257" w:lineRule="auto"/>
        <w:tabs>
          <w:tab w:leader="none" w:pos="1071"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Indemnification by Borrower</w:t>
      </w:r>
      <w:r>
        <w:rPr>
          <w:rFonts w:ascii="Times New Roman" w:cs="Times New Roman" w:eastAsia="Times New Roman" w:hAnsi="Times New Roman"/>
          <w:sz w:val="19"/>
          <w:szCs w:val="19"/>
          <w:color w:val="auto"/>
        </w:rPr>
        <w:t>. Borrower shall indemnify Administrative Agent (and any sub-agent thereof), each Lender, and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L/C Issuers, and each Related Party of any of the foregoing Persons (each such Person being called an “</w:t>
      </w:r>
      <w:r>
        <w:rPr>
          <w:rFonts w:ascii="Times New Roman" w:cs="Times New Roman" w:eastAsia="Times New Roman" w:hAnsi="Times New Roman"/>
          <w:sz w:val="19"/>
          <w:szCs w:val="19"/>
          <w:b w:val="1"/>
          <w:bCs w:val="1"/>
          <w:i w:val="1"/>
          <w:iCs w:val="1"/>
          <w:color w:val="auto"/>
        </w:rPr>
        <w:t>Indemnitee</w:t>
      </w:r>
      <w:r>
        <w:rPr>
          <w:rFonts w:ascii="Times New Roman" w:cs="Times New Roman" w:eastAsia="Times New Roman" w:hAnsi="Times New Roman"/>
          <w:sz w:val="19"/>
          <w:szCs w:val="19"/>
          <w:color w:val="auto"/>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any Company arising out of, in connection with, or as a result of (i) the execution or delivery of this Agreement, any other Loan Paper, or any agreement or instrument contemplated hereby or thereby, the performance by the parties hereto of their respective obligations hereunder or thereunder, or the consummation of the transactions contemplated hereby or thereby, or, in the case of Administrative Agent (and any sub-agent thereof) and its Related Parties only, the administration of this Agreement and the other Loan Papers, (ii) any Loan or L/C or the use or proposed use of the proceeds therefrom (including any refusal by either L/C Issuer to honor a demand for payment under an L/C if the documents presented in connection with such demand do not strictly comply with the terms of such L/C), (iii) any actual or alleged presence or release of Hazardous Substances on or from any property owned or operated by Borrower or any other Company, or any liability under Environmental Laws related in any way to the or any other Company, or (iv) any actual or prospective claim, litigation, investigation, or proceeding relating to any of the foregoing, whether based on contract, tort, or any other theory, whether brought by a third party or by Borrower or any other Company, and regardless of whether any Indemnitee is a party thereto, </w:t>
      </w:r>
      <w:r>
        <w:rPr>
          <w:rFonts w:ascii="Times New Roman" w:cs="Times New Roman" w:eastAsia="Times New Roman" w:hAnsi="Times New Roman"/>
          <w:sz w:val="19"/>
          <w:szCs w:val="19"/>
          <w:b w:val="1"/>
          <w:bCs w:val="1"/>
          <w:color w:val="auto"/>
        </w:rPr>
        <w:t>IN ALL CASES, WHETHER OR NOT</w:t>
      </w:r>
    </w:p>
    <w:p>
      <w:pPr>
        <w:spacing w:after="0" w:line="11" w:lineRule="exact"/>
        <w:rPr>
          <w:rFonts w:ascii="Times New Roman" w:cs="Times New Roman" w:eastAsia="Times New Roman" w:hAnsi="Times New Roman"/>
          <w:sz w:val="19"/>
          <w:szCs w:val="19"/>
          <w:color w:val="auto"/>
        </w:rPr>
      </w:pPr>
    </w:p>
    <w:p>
      <w:pPr>
        <w:jc w:val="both"/>
        <w:spacing w:after="0" w:line="26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CAUSED BY OR ARISING, IN WHOLE OR IN PART, OUT OF THE COMPARATIVE, CONTRIBUTORY, OR SOLE NEGLIGENCE OF THE INDEMNITEE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such indemnity shall not, as to any Indemnitee, be available to the extent that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losses, claims, damages, liabilities, or related expenses (x) are determined by a court of competent jurisdiction by final and nonappealable judgment to have resulted from the gross negligence or willful misconduct of such Indemnitee, or (y) result from a claim brought by Borrower or any other Company against an Indemnitee for breach in bad faith of such Indemnitee’s obligations 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114</w:t>
      </w:r>
    </w:p>
    <w:p>
      <w:pPr>
        <w:sectPr>
          <w:pgSz w:w="11900" w:h="16838" w:orient="portrait"/>
          <w:cols w:equalWidth="0" w:num="1">
            <w:col w:w="11240"/>
          </w:cols>
          <w:pgMar w:left="320" w:top="1390" w:right="339" w:bottom="1440" w:gutter="0" w:footer="0" w:header="0"/>
        </w:sectPr>
      </w:pPr>
    </w:p>
    <w:bookmarkStart w:id="228" w:name="page229"/>
    <w:bookmarkEnd w:id="228"/>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under any other Loan Paper, if Borrower or another Restricted Company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19"/>
          <w:szCs w:val="19"/>
          <w:b w:val="1"/>
          <w:bCs w:val="1"/>
          <w:i w:val="1"/>
          <w:iCs w:val="1"/>
          <w:color w:val="auto"/>
        </w:rPr>
        <w:t>Section 4.1(c)</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b w:val="1"/>
          <w:bCs w:val="1"/>
          <w:i w:val="1"/>
          <w:iCs w:val="1"/>
          <w:color w:val="auto"/>
        </w:rPr>
        <w:t>Section 15.4</w:t>
      </w:r>
      <w:r>
        <w:rPr>
          <w:rFonts w:ascii="Times New Roman" w:cs="Times New Roman" w:eastAsia="Times New Roman" w:hAnsi="Times New Roman"/>
          <w:sz w:val="19"/>
          <w:szCs w:val="19"/>
          <w:color w:val="auto"/>
        </w:rPr>
        <w:t xml:space="preserve"> shall not apply with respect to Taxes other than any Taxes that represent losses, claims, damages, etc. arising from any non-Tax claim.</w:t>
      </w:r>
    </w:p>
    <w:p>
      <w:pPr>
        <w:spacing w:after="0" w:line="163" w:lineRule="exact"/>
        <w:rPr>
          <w:sz w:val="20"/>
          <w:szCs w:val="20"/>
          <w:color w:val="auto"/>
        </w:rPr>
      </w:pPr>
    </w:p>
    <w:p>
      <w:pPr>
        <w:jc w:val="both"/>
        <w:ind w:firstLine="643"/>
        <w:spacing w:after="0" w:line="262" w:lineRule="auto"/>
        <w:tabs>
          <w:tab w:leader="none" w:pos="114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Reimbursement by Lenders</w:t>
      </w:r>
      <w:r>
        <w:rPr>
          <w:rFonts w:ascii="Times New Roman" w:cs="Times New Roman" w:eastAsia="Times New Roman" w:hAnsi="Times New Roman"/>
          <w:sz w:val="19"/>
          <w:szCs w:val="19"/>
          <w:color w:val="auto"/>
        </w:rPr>
        <w:t>. To the extent that Borrower for any reason fails to indefeasibly pay any amount required under</w:t>
      </w:r>
      <w:r>
        <w:rPr>
          <w:rFonts w:ascii="Times New Roman" w:cs="Times New Roman" w:eastAsia="Times New Roman" w:hAnsi="Times New Roman"/>
          <w:sz w:val="19"/>
          <w:szCs w:val="19"/>
          <w:b w:val="1"/>
          <w:bCs w:val="1"/>
          <w:i w:val="1"/>
          <w:iCs w:val="1"/>
          <w:color w:val="auto"/>
        </w:rPr>
        <w:t xml:space="preserve"> subsection (a)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i w:val="1"/>
          <w:iCs w:val="1"/>
          <w:color w:val="auto"/>
        </w:rPr>
        <w:t xml:space="preserve"> (b) </w:t>
      </w:r>
      <w:r>
        <w:rPr>
          <w:rFonts w:ascii="Times New Roman" w:cs="Times New Roman" w:eastAsia="Times New Roman" w:hAnsi="Times New Roman"/>
          <w:sz w:val="19"/>
          <w:szCs w:val="19"/>
          <w:color w:val="auto"/>
        </w:rPr>
        <w:t>of this Section to be paid by it to Administrative Agent (or any sub-agent thereof), the L/C Issuers, or any Related Party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any of the foregoing, each Lender severally agrees to pay to Administrative Agent (or any such sub-agent), the L/C Issuers, or such Related Party, as the case may be, such Lender’s Commitment Percentage (determined as of the time that the applicable unreimbursed expense or indemnity payment is sought) of such unpaid amount,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the unreimbursed expense or indemnified loss, claim, damage, liability, or related expense, as the case may be, was incurred by or asserted against Administrative Agent (or any such sub-agent) or any L/C Issuer in its capacity as such, or against any Related Party of any of the foregoing acting for Administrative Agent (or any such sub-agent) any L/C Issuer in connection with such capacity. The obligations of Lenders under this </w:t>
      </w:r>
      <w:r>
        <w:rPr>
          <w:rFonts w:ascii="Times New Roman" w:cs="Times New Roman" w:eastAsia="Times New Roman" w:hAnsi="Times New Roman"/>
          <w:sz w:val="19"/>
          <w:szCs w:val="19"/>
          <w:b w:val="1"/>
          <w:bCs w:val="1"/>
          <w:i w:val="1"/>
          <w:iCs w:val="1"/>
          <w:color w:val="auto"/>
        </w:rPr>
        <w:t>subsection (c)</w:t>
      </w:r>
      <w:r>
        <w:rPr>
          <w:rFonts w:ascii="Times New Roman" w:cs="Times New Roman" w:eastAsia="Times New Roman" w:hAnsi="Times New Roman"/>
          <w:sz w:val="19"/>
          <w:szCs w:val="19"/>
          <w:color w:val="auto"/>
        </w:rPr>
        <w:t xml:space="preserve"> are subject to the provisions of </w:t>
      </w:r>
      <w:r>
        <w:rPr>
          <w:rFonts w:ascii="Times New Roman" w:cs="Times New Roman" w:eastAsia="Times New Roman" w:hAnsi="Times New Roman"/>
          <w:sz w:val="19"/>
          <w:szCs w:val="19"/>
          <w:b w:val="1"/>
          <w:bCs w:val="1"/>
          <w:i w:val="1"/>
          <w:iCs w:val="1"/>
          <w:color w:val="auto"/>
        </w:rPr>
        <w:t>Section 2.2(d)</w:t>
      </w:r>
      <w:r>
        <w:rPr>
          <w:rFonts w:ascii="Times New Roman" w:cs="Times New Roman" w:eastAsia="Times New Roman" w:hAnsi="Times New Roman"/>
          <w:sz w:val="19"/>
          <w:szCs w:val="19"/>
          <w:i w:val="1"/>
          <w:iCs w:val="1"/>
          <w:color w:val="auto"/>
        </w:rPr>
        <w:t>.</w:t>
      </w:r>
    </w:p>
    <w:p>
      <w:pPr>
        <w:spacing w:after="0" w:line="174" w:lineRule="exact"/>
        <w:rPr>
          <w:rFonts w:ascii="Times New Roman" w:cs="Times New Roman" w:eastAsia="Times New Roman" w:hAnsi="Times New Roman"/>
          <w:sz w:val="19"/>
          <w:szCs w:val="19"/>
          <w:color w:val="auto"/>
        </w:rPr>
      </w:pPr>
    </w:p>
    <w:p>
      <w:pPr>
        <w:jc w:val="both"/>
        <w:ind w:firstLine="643"/>
        <w:spacing w:after="0" w:line="260" w:lineRule="auto"/>
        <w:tabs>
          <w:tab w:leader="none" w:pos="1124"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Waiver of Consequential Damages, Etc</w:t>
      </w:r>
      <w:r>
        <w:rPr>
          <w:rFonts w:ascii="Times New Roman" w:cs="Times New Roman" w:eastAsia="Times New Roman" w:hAnsi="Times New Roman"/>
          <w:sz w:val="19"/>
          <w:szCs w:val="19"/>
          <w:color w:val="auto"/>
        </w:rPr>
        <w:t>. To the fullest extent permitted by applicable Law, each of Borrower and any Related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Party of Borrower that is a party to a Loan Paper from time to time shall not assert, and hereby waives, any claim against any Indemnitee, on any theory of liability, for special, indirect, consequential, or punitive damages (as opposed to direct or actual damages) arising out of, in connection with, or as a result of, this Agreement, any other Loan Paper, or any agreement or instrument contemplated hereby, the transactions contemplated hereby or thereby, any Loan or L/C, or the use of the proceeds thereof. No Indemnitee referred to in </w:t>
      </w:r>
      <w:r>
        <w:rPr>
          <w:rFonts w:ascii="Times New Roman" w:cs="Times New Roman" w:eastAsia="Times New Roman" w:hAnsi="Times New Roman"/>
          <w:sz w:val="19"/>
          <w:szCs w:val="19"/>
          <w:b w:val="1"/>
          <w:bCs w:val="1"/>
          <w:i w:val="1"/>
          <w:iCs w:val="1"/>
          <w:color w:val="auto"/>
        </w:rPr>
        <w:t>subsection (b)</w:t>
      </w:r>
      <w:r>
        <w:rPr>
          <w:rFonts w:ascii="Times New Roman" w:cs="Times New Roman" w:eastAsia="Times New Roman" w:hAnsi="Times New Roman"/>
          <w:sz w:val="19"/>
          <w:szCs w:val="19"/>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Papers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78" w:lineRule="exact"/>
        <w:rPr>
          <w:rFonts w:ascii="Times New Roman" w:cs="Times New Roman" w:eastAsia="Times New Roman" w:hAnsi="Times New Roman"/>
          <w:sz w:val="19"/>
          <w:szCs w:val="19"/>
          <w:color w:val="auto"/>
        </w:rPr>
      </w:pPr>
    </w:p>
    <w:p>
      <w:pPr>
        <w:ind w:left="1060" w:hanging="417"/>
        <w:spacing w:after="0"/>
        <w:tabs>
          <w:tab w:leader="none" w:pos="106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Payments</w:t>
      </w:r>
      <w:r>
        <w:rPr>
          <w:rFonts w:ascii="Times New Roman" w:cs="Times New Roman" w:eastAsia="Times New Roman" w:hAnsi="Times New Roman"/>
          <w:sz w:val="19"/>
          <w:szCs w:val="19"/>
          <w:color w:val="auto"/>
        </w:rPr>
        <w:t>. All amounts due under this Section shall be payable not later than ten Business Days after demand therefor.</w:t>
      </w:r>
    </w:p>
    <w:p>
      <w:pPr>
        <w:spacing w:after="0" w:line="219" w:lineRule="exact"/>
        <w:rPr>
          <w:rFonts w:ascii="Times New Roman" w:cs="Times New Roman" w:eastAsia="Times New Roman" w:hAnsi="Times New Roman"/>
          <w:sz w:val="19"/>
          <w:szCs w:val="19"/>
          <w:color w:val="auto"/>
        </w:rPr>
      </w:pPr>
    </w:p>
    <w:p>
      <w:pPr>
        <w:ind w:firstLine="643"/>
        <w:spacing w:after="0" w:line="304" w:lineRule="auto"/>
        <w:tabs>
          <w:tab w:leader="none" w:pos="1184"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Survival</w:t>
      </w:r>
      <w:r>
        <w:rPr>
          <w:rFonts w:ascii="Times New Roman" w:cs="Times New Roman" w:eastAsia="Times New Roman" w:hAnsi="Times New Roman"/>
          <w:sz w:val="19"/>
          <w:szCs w:val="19"/>
          <w:color w:val="auto"/>
        </w:rPr>
        <w:t>. The agreements in this Section shall survive the resignation of Administrative Agent and either L/C Issuer,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replacement of any Lender, the termination of the Total Commitment, and the repayment, satisfaction, or discharge of all the other Obligation.</w:t>
      </w:r>
    </w:p>
    <w:p>
      <w:pPr>
        <w:spacing w:after="0" w:line="140"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color w:val="auto"/>
        </w:rPr>
        <w:t xml:space="preserve">15.5. </w:t>
      </w:r>
      <w:r>
        <w:rPr>
          <w:rFonts w:ascii="Times New Roman" w:cs="Times New Roman" w:eastAsia="Times New Roman" w:hAnsi="Times New Roman"/>
          <w:sz w:val="19"/>
          <w:szCs w:val="19"/>
          <w:u w:val="single" w:color="auto"/>
          <w:color w:val="auto"/>
        </w:rPr>
        <w:t>Exceptions to Covenants; Conflict with Agreement</w:t>
      </w:r>
      <w:r>
        <w:rPr>
          <w:rFonts w:ascii="Times New Roman" w:cs="Times New Roman" w:eastAsia="Times New Roman" w:hAnsi="Times New Roman"/>
          <w:sz w:val="19"/>
          <w:szCs w:val="19"/>
          <w:color w:val="auto"/>
        </w:rPr>
        <w:t>. The Companies may not take or fail to take any action that is permitted as an exception to any of the covenants contained in any Loan Paper if that action or omission would result in the breach of any other covenant contained in any Loan Paper. Any conflict or ambiguity between the terms and provisions of this Agreement and the terms and provisions in any other Loan Paper is controlled by the terms and provisions of this Agreement.</w:t>
      </w:r>
    </w:p>
    <w:p>
      <w:pPr>
        <w:spacing w:after="0" w:line="17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15.6.</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802"/>
        <w:spacing w:after="0" w:line="276" w:lineRule="auto"/>
        <w:tabs>
          <w:tab w:leader="none" w:pos="1312"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GOVERNING LAW</w:t>
      </w:r>
      <w:r>
        <w:rPr>
          <w:rFonts w:ascii="Times New Roman" w:cs="Times New Roman" w:eastAsia="Times New Roman" w:hAnsi="Times New Roman"/>
          <w:sz w:val="19"/>
          <w:szCs w:val="19"/>
          <w:color w:val="auto"/>
        </w:rPr>
        <w:t>. THIS AGREEMENT AND THE OTHER LOAN PAPERS AND ANY CLAIMS, CONTROVERSY,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DISPUTE OR CAUSE OF ACTION (WHETHER IN CONTRACT OR TORT OR OTHERWISE) BASED UPON, ARISING OUT OF OR RELATING TO THIS AGREEMENT OR ANY OTHER LOAN PAPER (EXCEPT, AS TO ANY OTHER LOAN PAPER,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115</w:t>
      </w:r>
    </w:p>
    <w:p>
      <w:pPr>
        <w:sectPr>
          <w:pgSz w:w="11900" w:h="16838" w:orient="portrait"/>
          <w:cols w:equalWidth="0" w:num="1">
            <w:col w:w="11240"/>
          </w:cols>
          <w:pgMar w:left="320" w:top="1390" w:right="339" w:bottom="1440" w:gutter="0" w:footer="0" w:header="0"/>
        </w:sectPr>
      </w:pPr>
    </w:p>
    <w:bookmarkStart w:id="229" w:name="page230"/>
    <w:bookmarkEnd w:id="229"/>
    <w:p>
      <w:pPr>
        <w:spacing w:after="0" w:line="300" w:lineRule="auto"/>
        <w:rPr>
          <w:sz w:val="20"/>
          <w:szCs w:val="20"/>
          <w:color w:val="auto"/>
        </w:rPr>
      </w:pPr>
      <w:r>
        <w:rPr>
          <w:rFonts w:ascii="Times New Roman" w:cs="Times New Roman" w:eastAsia="Times New Roman" w:hAnsi="Times New Roman"/>
          <w:sz w:val="19"/>
          <w:szCs w:val="19"/>
          <w:color w:val="auto"/>
        </w:rPr>
        <w:t>EXPRESSLY SET FORTH THEREIN) AND THE TRANSACTIONS CONTEMPLATED HEREBY AND THEREBY SHALL BE GOVERNED BY, AND CONSTRUED IN ACCORDANCE WITH, THE LAW OF THE STATE OF NEW YORK.</w:t>
      </w:r>
    </w:p>
    <w:p>
      <w:pPr>
        <w:spacing w:after="0" w:line="126" w:lineRule="exact"/>
        <w:rPr>
          <w:sz w:val="20"/>
          <w:szCs w:val="20"/>
          <w:color w:val="auto"/>
        </w:rPr>
      </w:pPr>
    </w:p>
    <w:p>
      <w:pPr>
        <w:jc w:val="both"/>
        <w:ind w:firstLine="802"/>
        <w:spacing w:after="0" w:line="259" w:lineRule="auto"/>
        <w:tabs>
          <w:tab w:leader="none" w:pos="1602"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SUBMISSION TO JURISDICTION</w:t>
      </w:r>
      <w:r>
        <w:rPr>
          <w:rFonts w:ascii="Times New Roman" w:cs="Times New Roman" w:eastAsia="Times New Roman" w:hAnsi="Times New Roman"/>
          <w:sz w:val="19"/>
          <w:szCs w:val="19"/>
          <w:color w:val="auto"/>
        </w:rPr>
        <w:t>. BORROWER AND EACH OTHER COMPANY IRREVOCABLY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UNCONDITIONALLY AGREES THAT IT WILL NOT COMMENCE ANY ACTION, LITIGATION OR PROCEEDING OF ANY KIND OR DESCRIPTION, WHETHER IN LAW OR EQUITY, WHETHER IN CONTRACT OR IN TORT OR OTHERWISE, AGAINST ADMINISTRATIVE AGENT, ANY LENDER, THE L/C ISSUER, OR ANY RELATED PARTY OF THE FOREGOING IN ANY WAY RELATING TO THIS AGREEMENT OR ANY OTHER LOAN PAPER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PAPER SHALL AFFECT ANY RIGHT THAT ADMINISTRATIVE AGENT, ANY LENDER OR EITHER L/C ISSUER MAY OTHERWISE HAVE TO BRING ANY ACTION OR PROCEEDING RELATING TO THIS AGREEMENT OR ANY OTHER LOAN PAPER AGAINST BORROWER OR ANY OTHER COMPANY OR ITS PROPERTIES IN THE COURTS OF ANY JURISDICTION.</w:t>
      </w:r>
    </w:p>
    <w:p>
      <w:pPr>
        <w:spacing w:after="0" w:line="180" w:lineRule="exact"/>
        <w:rPr>
          <w:rFonts w:ascii="Times New Roman" w:cs="Times New Roman" w:eastAsia="Times New Roman" w:hAnsi="Times New Roman"/>
          <w:sz w:val="19"/>
          <w:szCs w:val="19"/>
          <w:color w:val="auto"/>
        </w:rPr>
      </w:pPr>
    </w:p>
    <w:p>
      <w:pPr>
        <w:jc w:val="both"/>
        <w:ind w:firstLine="802"/>
        <w:spacing w:after="0" w:line="264" w:lineRule="auto"/>
        <w:tabs>
          <w:tab w:leader="none" w:pos="1339"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WAIVER OF VENUE</w:t>
      </w:r>
      <w:r>
        <w:rPr>
          <w:rFonts w:ascii="Times New Roman" w:cs="Times New Roman" w:eastAsia="Times New Roman" w:hAnsi="Times New Roman"/>
          <w:sz w:val="19"/>
          <w:szCs w:val="19"/>
          <w:color w:val="auto"/>
        </w:rPr>
        <w:t>. BORROWER AND EACH OTHER COMPANY IRREVOCABLY AND UNCONDITIONALLY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WAIVES, TO THE FULLEST EXTENT PERMITTED BY APPLICABLE LAW, ANY OBJECTION THAT IT MAY NOW OR HEREAFTER HAVE TO THE LAYING OF VENUE OF ANY ACTION OR PROCEEDING ARISING OUT OF OR RELATING TO THIS AGREEMENT OR ANY OTHER LOAN PAPER IN ANY COURT REFERRED TO IN </w:t>
      </w:r>
      <w:r>
        <w:rPr>
          <w:rFonts w:ascii="Times New Roman" w:cs="Times New Roman" w:eastAsia="Times New Roman" w:hAnsi="Times New Roman"/>
          <w:sz w:val="19"/>
          <w:szCs w:val="19"/>
          <w:b w:val="1"/>
          <w:bCs w:val="1"/>
          <w:i w:val="1"/>
          <w:iCs w:val="1"/>
          <w:color w:val="auto"/>
        </w:rPr>
        <w:t>PARAGRAPH (B)</w:t>
      </w:r>
      <w:r>
        <w:rPr>
          <w:rFonts w:ascii="Times New Roman" w:cs="Times New Roman" w:eastAsia="Times New Roman" w:hAnsi="Times New Roman"/>
          <w:sz w:val="19"/>
          <w:szCs w:val="19"/>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63" w:lineRule="exact"/>
        <w:rPr>
          <w:rFonts w:ascii="Times New Roman" w:cs="Times New Roman" w:eastAsia="Times New Roman" w:hAnsi="Times New Roman"/>
          <w:sz w:val="19"/>
          <w:szCs w:val="19"/>
          <w:color w:val="auto"/>
        </w:rPr>
      </w:pPr>
    </w:p>
    <w:p>
      <w:pPr>
        <w:jc w:val="both"/>
        <w:ind w:firstLine="802"/>
        <w:spacing w:after="0" w:line="276" w:lineRule="auto"/>
        <w:tabs>
          <w:tab w:leader="none" w:pos="1296"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SERVICE OF PROCESS</w:t>
      </w:r>
      <w:r>
        <w:rPr>
          <w:rFonts w:ascii="Times New Roman" w:cs="Times New Roman" w:eastAsia="Times New Roman" w:hAnsi="Times New Roman"/>
          <w:sz w:val="19"/>
          <w:szCs w:val="19"/>
          <w:color w:val="auto"/>
        </w:rPr>
        <w:t>. EACH PARTY HERETO IRREVOCABLY CONSENTS TO SERVICE OF PROCESS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MANNER PROVIDED FOR NOTICES IN </w:t>
      </w:r>
      <w:r>
        <w:rPr>
          <w:rFonts w:ascii="Times New Roman" w:cs="Times New Roman" w:eastAsia="Times New Roman" w:hAnsi="Times New Roman"/>
          <w:sz w:val="19"/>
          <w:szCs w:val="19"/>
          <w:b w:val="1"/>
          <w:bCs w:val="1"/>
          <w:i w:val="1"/>
          <w:iCs w:val="1"/>
          <w:color w:val="auto"/>
        </w:rPr>
        <w:t>SECTION 15.3</w:t>
      </w:r>
      <w:r>
        <w:rPr>
          <w:rFonts w:ascii="Times New Roman" w:cs="Times New Roman" w:eastAsia="Times New Roman" w:hAnsi="Times New Roman"/>
          <w:sz w:val="19"/>
          <w:szCs w:val="19"/>
          <w:color w:val="auto"/>
        </w:rPr>
        <w:t>. NOTHING IN THIS AGREEMENT WILL AFFECT THE RIGHT OF ANY PARTY HERETO TO SERVE PROCESS IN ANY OTHER MANNER PERMITTED BY APPLICABLE LAW.</w:t>
      </w:r>
    </w:p>
    <w:p>
      <w:pPr>
        <w:spacing w:after="0" w:line="166"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9"/>
          <w:szCs w:val="19"/>
          <w:color w:val="auto"/>
        </w:rPr>
        <w:t xml:space="preserve">15.7.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provision of this Agreement or the other Loan Papers is held to be illegal, invalid, or unenforceable, (a) the legality, validity, and enforceability of the remaining provisions of this Agreement and the other Loan Papers shall not be affected or impaired thereby, and (b) the parties shall endeavor in good faith negotiations to replace the illegal, invalid, or unenforceable provisions with valid provisions the economic effect of which comes as close as possible to that of the illegal, invalid,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116</w:t>
      </w:r>
    </w:p>
    <w:p>
      <w:pPr>
        <w:sectPr>
          <w:pgSz w:w="11900" w:h="16838" w:orient="portrait"/>
          <w:cols w:equalWidth="0" w:num="1">
            <w:col w:w="11240"/>
          </w:cols>
          <w:pgMar w:left="320" w:top="1390" w:right="339" w:bottom="1440" w:gutter="0" w:footer="0" w:header="0"/>
        </w:sectPr>
      </w:pPr>
    </w:p>
    <w:bookmarkStart w:id="230" w:name="page231"/>
    <w:bookmarkEnd w:id="230"/>
    <w:p>
      <w:pPr>
        <w:jc w:val="both"/>
        <w:spacing w:after="0" w:line="300" w:lineRule="auto"/>
        <w:rPr>
          <w:sz w:val="20"/>
          <w:szCs w:val="20"/>
          <w:color w:val="auto"/>
        </w:rPr>
      </w:pPr>
      <w:r>
        <w:rPr>
          <w:rFonts w:ascii="Times New Roman" w:cs="Times New Roman" w:eastAsia="Times New Roman" w:hAnsi="Times New Roman"/>
          <w:sz w:val="19"/>
          <w:szCs w:val="19"/>
          <w:color w:val="auto"/>
        </w:rPr>
        <w:t>unenforceable provisions. The invalidity of a provision in a particular jurisdiction shall not invalidate or render unenforceable such provision in any other jurisdiction.</w:t>
      </w:r>
    </w:p>
    <w:p>
      <w:pPr>
        <w:spacing w:after="0" w:line="130"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15.8.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HERETO HEREBY IRREVOCABLY WAIVES, TO THE FULLEST EXTENT PERMITTED BY APPLICABLE LAW, ANY RIGHT IT MAY HAVE TO A TRIAL BY JURY IN ANY LEGAL PROCEEDING DIRECTLY OR INDIRECTLY ARISING OUT OF OR RELATING TO THIS AGREEMENT OR ANY OTHER LOAN PAPER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PAPERS BY, AMONG OTHER THINGS, THE MUTUAL WAIVERS AND CERTIFICATIONS IN THIS SECTION.</w:t>
      </w:r>
    </w:p>
    <w:p>
      <w:pPr>
        <w:spacing w:after="0" w:line="183" w:lineRule="exact"/>
        <w:rPr>
          <w:sz w:val="20"/>
          <w:szCs w:val="20"/>
          <w:color w:val="auto"/>
        </w:rPr>
      </w:pPr>
    </w:p>
    <w:p>
      <w:pPr>
        <w:ind w:right="20" w:firstLine="637"/>
        <w:spacing w:after="0" w:line="266" w:lineRule="auto"/>
        <w:rPr>
          <w:sz w:val="20"/>
          <w:szCs w:val="20"/>
          <w:color w:val="auto"/>
        </w:rPr>
      </w:pPr>
      <w:r>
        <w:rPr>
          <w:rFonts w:ascii="Times New Roman" w:cs="Times New Roman" w:eastAsia="Times New Roman" w:hAnsi="Times New Roman"/>
          <w:sz w:val="19"/>
          <w:szCs w:val="19"/>
          <w:color w:val="auto"/>
        </w:rPr>
        <w:t xml:space="preserve">15.9. </w:t>
      </w:r>
      <w:r>
        <w:rPr>
          <w:rFonts w:ascii="Times New Roman" w:cs="Times New Roman" w:eastAsia="Times New Roman" w:hAnsi="Times New Roman"/>
          <w:sz w:val="19"/>
          <w:szCs w:val="19"/>
          <w:u w:val="single" w:color="auto"/>
          <w:color w:val="auto"/>
        </w:rPr>
        <w:t>Amendments, Etc</w:t>
      </w:r>
      <w:r>
        <w:rPr>
          <w:rFonts w:ascii="Times New Roman" w:cs="Times New Roman" w:eastAsia="Times New Roman" w:hAnsi="Times New Roman"/>
          <w:sz w:val="19"/>
          <w:szCs w:val="19"/>
          <w:color w:val="auto"/>
        </w:rPr>
        <w:t xml:space="preserve">. No amendment or waiver of any provision of this Agreement or any other Loan Paper, and no consent to any departure by any Restricted Company therefrom, shall be effective unless in writing signed by Required Lenders, Borrower, and other applicable Restricted Companies, as the case may be, and acknowledged by Administrative Agent, and each such waiver or consent shall be effective only in the specific instance and for the specific purpose for which given;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no such amendment, waiver, or consent shall:</w:t>
      </w:r>
    </w:p>
    <w:p>
      <w:pPr>
        <w:spacing w:after="0" w:line="200" w:lineRule="exact"/>
        <w:rPr>
          <w:sz w:val="20"/>
          <w:szCs w:val="20"/>
          <w:color w:val="auto"/>
        </w:rPr>
      </w:pPr>
    </w:p>
    <w:p>
      <w:pPr>
        <w:spacing w:after="0" w:line="207" w:lineRule="exact"/>
        <w:rPr>
          <w:sz w:val="20"/>
          <w:szCs w:val="20"/>
          <w:color w:val="auto"/>
        </w:rPr>
      </w:pPr>
    </w:p>
    <w:p>
      <w:pPr>
        <w:ind w:left="1060" w:hanging="417"/>
        <w:spacing w:after="0"/>
        <w:tabs>
          <w:tab w:leader="none" w:pos="106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waive any condition set forth in </w:t>
      </w:r>
      <w:r>
        <w:rPr>
          <w:rFonts w:ascii="Times New Roman" w:cs="Times New Roman" w:eastAsia="Times New Roman" w:hAnsi="Times New Roman"/>
          <w:sz w:val="19"/>
          <w:szCs w:val="19"/>
          <w:b w:val="1"/>
          <w:bCs w:val="1"/>
          <w:i w:val="1"/>
          <w:iCs w:val="1"/>
          <w:color w:val="auto"/>
        </w:rPr>
        <w:t>Section 7.1</w:t>
      </w:r>
      <w:r>
        <w:rPr>
          <w:rFonts w:ascii="Times New Roman" w:cs="Times New Roman" w:eastAsia="Times New Roman" w:hAnsi="Times New Roman"/>
          <w:sz w:val="19"/>
          <w:szCs w:val="19"/>
          <w:color w:val="auto"/>
        </w:rPr>
        <w:t xml:space="preserve"> without the written consent of each Lender;</w:t>
      </w:r>
    </w:p>
    <w:p>
      <w:pPr>
        <w:spacing w:after="0" w:line="219" w:lineRule="exact"/>
        <w:rPr>
          <w:rFonts w:ascii="Times New Roman" w:cs="Times New Roman" w:eastAsia="Times New Roman" w:hAnsi="Times New Roman"/>
          <w:sz w:val="19"/>
          <w:szCs w:val="19"/>
          <w:color w:val="auto"/>
        </w:rPr>
      </w:pPr>
    </w:p>
    <w:p>
      <w:pPr>
        <w:jc w:val="both"/>
        <w:ind w:firstLine="643"/>
        <w:spacing w:after="0" w:line="276" w:lineRule="auto"/>
        <w:tabs>
          <w:tab w:leader="none" w:pos="1106"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waive any condition set forth in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as to any Loan under the Revolver Facility</w:t>
      </w:r>
      <w:r>
        <w:rPr>
          <w:rFonts w:ascii="Times New Roman" w:cs="Times New Roman" w:eastAsia="Times New Roman" w:hAnsi="Times New Roman"/>
          <w:sz w:val="19"/>
          <w:szCs w:val="19"/>
          <w:u w:val="single" w:color="auto"/>
          <w:color w:val="3051F2"/>
        </w:rPr>
        <w:t>, the Term Loan Facility</w:t>
      </w:r>
      <w:r>
        <w:rPr>
          <w:rFonts w:ascii="Times New Roman" w:cs="Times New Roman" w:eastAsia="Times New Roman" w:hAnsi="Times New Roman"/>
          <w:sz w:val="19"/>
          <w:szCs w:val="19"/>
          <w:color w:val="auto"/>
        </w:rPr>
        <w:t xml:space="preserve"> or the </w:t>
      </w:r>
      <w:r>
        <w:rPr>
          <w:rFonts w:ascii="Times New Roman" w:cs="Times New Roman" w:eastAsia="Times New Roman" w:hAnsi="Times New Roman"/>
          <w:sz w:val="19"/>
          <w:szCs w:val="19"/>
          <w:u w:val="single" w:color="auto"/>
          <w:color w:val="3051F2"/>
        </w:rPr>
        <w:t>Delayed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Draw</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Term Loan Facility without the written consent of the Required Revolver Lenders</w:t>
      </w:r>
      <w:r>
        <w:rPr>
          <w:rFonts w:ascii="Times New Roman" w:cs="Times New Roman" w:eastAsia="Times New Roman" w:hAnsi="Times New Roman"/>
          <w:sz w:val="19"/>
          <w:szCs w:val="19"/>
          <w:u w:val="single" w:color="auto"/>
          <w:color w:val="0F7F40"/>
        </w:rPr>
        <w:t>, the Required Term Loan Lenders</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or the Required</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u w:val="single" w:color="auto"/>
          <w:color w:val="3051F2"/>
        </w:rPr>
        <w:t>Delayed Draw</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Term Loan Lenders, as the case may be;</w:t>
      </w:r>
    </w:p>
    <w:p>
      <w:pPr>
        <w:spacing w:after="0" w:line="161" w:lineRule="exact"/>
        <w:rPr>
          <w:rFonts w:ascii="Times New Roman" w:cs="Times New Roman" w:eastAsia="Times New Roman" w:hAnsi="Times New Roman"/>
          <w:sz w:val="19"/>
          <w:szCs w:val="19"/>
          <w:color w:val="auto"/>
        </w:rPr>
      </w:pPr>
    </w:p>
    <w:p>
      <w:pPr>
        <w:ind w:right="20" w:firstLine="643"/>
        <w:spacing w:after="0" w:line="290" w:lineRule="auto"/>
        <w:tabs>
          <w:tab w:leader="none" w:pos="1058"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extend or increase the Commitment of any Lender (or reinstate any Commitment terminated pursuant to </w:t>
      </w:r>
      <w:r>
        <w:rPr>
          <w:rFonts w:ascii="Times New Roman" w:cs="Times New Roman" w:eastAsia="Times New Roman" w:hAnsi="Times New Roman"/>
          <w:sz w:val="19"/>
          <w:szCs w:val="19"/>
          <w:b w:val="1"/>
          <w:bCs w:val="1"/>
          <w:i w:val="1"/>
          <w:iCs w:val="1"/>
          <w:color w:val="auto"/>
        </w:rPr>
        <w:t>Section 13.1</w:t>
      </w:r>
      <w:r>
        <w:rPr>
          <w:rFonts w:ascii="Times New Roman" w:cs="Times New Roman" w:eastAsia="Times New Roman" w:hAnsi="Times New Roman"/>
          <w:sz w:val="19"/>
          <w:szCs w:val="19"/>
          <w:color w:val="auto"/>
        </w:rPr>
        <w:t>) without the written consent of such Lender;</w:t>
      </w:r>
    </w:p>
    <w:p>
      <w:pPr>
        <w:spacing w:after="0" w:line="152" w:lineRule="exact"/>
        <w:rPr>
          <w:rFonts w:ascii="Times New Roman" w:cs="Times New Roman" w:eastAsia="Times New Roman" w:hAnsi="Times New Roman"/>
          <w:sz w:val="19"/>
          <w:szCs w:val="19"/>
          <w:color w:val="auto"/>
        </w:rPr>
      </w:pPr>
    </w:p>
    <w:p>
      <w:pPr>
        <w:ind w:firstLine="643"/>
        <w:spacing w:after="0" w:line="300" w:lineRule="auto"/>
        <w:tabs>
          <w:tab w:leader="none" w:pos="1081"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postpone any date fixed by this Agreement or any other Loan Paper for any payment of principal, interest, fees, or other amounts due to Lenders (or any of them) hereunder or under any other Loan Paper without the written consent of each Lender directly affected thereby;</w:t>
      </w:r>
    </w:p>
    <w:p>
      <w:pPr>
        <w:spacing w:after="0" w:line="130" w:lineRule="exact"/>
        <w:rPr>
          <w:rFonts w:ascii="Times New Roman" w:cs="Times New Roman" w:eastAsia="Times New Roman" w:hAnsi="Times New Roman"/>
          <w:sz w:val="19"/>
          <w:szCs w:val="19"/>
          <w:color w:val="auto"/>
        </w:rPr>
      </w:pPr>
    </w:p>
    <w:p>
      <w:pPr>
        <w:jc w:val="both"/>
        <w:ind w:firstLine="643"/>
        <w:spacing w:after="0" w:line="270" w:lineRule="auto"/>
        <w:tabs>
          <w:tab w:leader="none" w:pos="1053"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principal of, or the rate of interest specified herein on, any Loan or L/C Borrowing, or any fees (other than fees covered by the Fee Letter) or other amounts payable hereunder or under any other Loan Paper without the written consent of each Lender directly affected thereby</w:t>
      </w:r>
      <w:r>
        <w:rPr>
          <w:rFonts w:ascii="Times New Roman" w:cs="Times New Roman" w:eastAsia="Times New Roman" w:hAnsi="Times New Roman"/>
          <w:sz w:val="19"/>
          <w:szCs w:val="19"/>
          <w:i w:val="1"/>
          <w:iCs w:val="1"/>
          <w:color w:val="auto"/>
        </w:rPr>
        <w:t>; 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only the consent of Required Lenders shall be necessary to amend the definition of “</w:t>
      </w:r>
      <w:r>
        <w:rPr>
          <w:rFonts w:ascii="Times New Roman" w:cs="Times New Roman" w:eastAsia="Times New Roman" w:hAnsi="Times New Roman"/>
          <w:sz w:val="19"/>
          <w:szCs w:val="19"/>
          <w:i w:val="1"/>
          <w:iCs w:val="1"/>
          <w:color w:val="auto"/>
        </w:rPr>
        <w:t>Default Rate</w:t>
      </w:r>
      <w:r>
        <w:rPr>
          <w:rFonts w:ascii="Times New Roman" w:cs="Times New Roman" w:eastAsia="Times New Roman" w:hAnsi="Times New Roman"/>
          <w:sz w:val="19"/>
          <w:szCs w:val="19"/>
          <w:color w:val="auto"/>
        </w:rPr>
        <w:t xml:space="preserve">” or to waive any obligation of Borrower to pay interest or L/C Fees (as described in </w:t>
      </w:r>
      <w:r>
        <w:rPr>
          <w:rFonts w:ascii="Times New Roman" w:cs="Times New Roman" w:eastAsia="Times New Roman" w:hAnsi="Times New Roman"/>
          <w:sz w:val="19"/>
          <w:szCs w:val="19"/>
          <w:b w:val="1"/>
          <w:bCs w:val="1"/>
          <w:i w:val="1"/>
          <w:iCs w:val="1"/>
          <w:color w:val="auto"/>
        </w:rPr>
        <w:t>Section 5.3(a)</w:t>
      </w:r>
      <w:r>
        <w:rPr>
          <w:rFonts w:ascii="Times New Roman" w:cs="Times New Roman" w:eastAsia="Times New Roman" w:hAnsi="Times New Roman"/>
          <w:sz w:val="19"/>
          <w:szCs w:val="19"/>
          <w:color w:val="auto"/>
        </w:rPr>
        <w:t>) at the Default Rate;</w:t>
      </w:r>
    </w:p>
    <w:p>
      <w:pPr>
        <w:spacing w:after="0" w:line="166" w:lineRule="exact"/>
        <w:rPr>
          <w:rFonts w:ascii="Times New Roman" w:cs="Times New Roman" w:eastAsia="Times New Roman" w:hAnsi="Times New Roman"/>
          <w:sz w:val="19"/>
          <w:szCs w:val="19"/>
          <w:color w:val="auto"/>
        </w:rPr>
      </w:pPr>
    </w:p>
    <w:p>
      <w:pPr>
        <w:jc w:val="both"/>
        <w:ind w:firstLine="643"/>
        <w:spacing w:after="0" w:line="276" w:lineRule="auto"/>
        <w:tabs>
          <w:tab w:leader="none" w:pos="1069"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amend, waive, modify, supplement, or otherwise change </w:t>
      </w:r>
      <w:r>
        <w:rPr>
          <w:rFonts w:ascii="Times New Roman" w:cs="Times New Roman" w:eastAsia="Times New Roman" w:hAnsi="Times New Roman"/>
          <w:sz w:val="19"/>
          <w:szCs w:val="19"/>
          <w:b w:val="1"/>
          <w:bCs w:val="1"/>
          <w:i w:val="1"/>
          <w:iCs w:val="1"/>
          <w:color w:val="auto"/>
        </w:rPr>
        <w:t>Sections 3.10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3.11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3.12</w:t>
      </w:r>
      <w:r>
        <w:rPr>
          <w:rFonts w:ascii="Times New Roman" w:cs="Times New Roman" w:eastAsia="Times New Roman" w:hAnsi="Times New Roman"/>
          <w:sz w:val="19"/>
          <w:szCs w:val="19"/>
          <w:color w:val="auto"/>
        </w:rPr>
        <w:t xml:space="preserve"> in any manner that would alter the pro rata sharing of payments, the reduction of Commitments and/or the order of application of funds or proceeds, required thereby without the written consent of each Lender adversely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117</w:t>
      </w:r>
    </w:p>
    <w:p>
      <w:pPr>
        <w:sectPr>
          <w:pgSz w:w="11900" w:h="16838" w:orient="portrait"/>
          <w:cols w:equalWidth="0" w:num="1">
            <w:col w:w="11240"/>
          </w:cols>
          <w:pgMar w:left="320" w:top="1390" w:right="339" w:bottom="1440" w:gutter="0" w:footer="0" w:header="0"/>
        </w:sectPr>
      </w:pPr>
    </w:p>
    <w:bookmarkStart w:id="231" w:name="page232"/>
    <w:bookmarkEnd w:id="231"/>
    <w:p>
      <w:pPr>
        <w:jc w:val="both"/>
        <w:ind w:firstLine="643"/>
        <w:spacing w:after="0" w:line="275" w:lineRule="auto"/>
        <w:tabs>
          <w:tab w:leader="none" w:pos="1062"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any provision of this Section, the definition of “</w:t>
      </w:r>
      <w:r>
        <w:rPr>
          <w:rFonts w:ascii="Times New Roman" w:cs="Times New Roman" w:eastAsia="Times New Roman" w:hAnsi="Times New Roman"/>
          <w:sz w:val="19"/>
          <w:szCs w:val="19"/>
          <w:i w:val="1"/>
          <w:iCs w:val="1"/>
          <w:color w:val="auto"/>
        </w:rPr>
        <w:t>Required Lenders</w:t>
      </w:r>
      <w:r>
        <w:rPr>
          <w:rFonts w:ascii="Times New Roman" w:cs="Times New Roman" w:eastAsia="Times New Roman" w:hAnsi="Times New Roman"/>
          <w:sz w:val="19"/>
          <w:szCs w:val="19"/>
          <w:color w:val="auto"/>
        </w:rPr>
        <w:t>,”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64" w:lineRule="exact"/>
        <w:rPr>
          <w:rFonts w:ascii="Times New Roman" w:cs="Times New Roman" w:eastAsia="Times New Roman" w:hAnsi="Times New Roman"/>
          <w:sz w:val="19"/>
          <w:szCs w:val="19"/>
          <w:color w:val="auto"/>
        </w:rPr>
      </w:pPr>
    </w:p>
    <w:p>
      <w:pPr>
        <w:ind w:left="1060" w:hanging="417"/>
        <w:spacing w:after="0"/>
        <w:tabs>
          <w:tab w:leader="none" w:pos="106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the definition of “</w:t>
      </w:r>
      <w:r>
        <w:rPr>
          <w:rFonts w:ascii="Times New Roman" w:cs="Times New Roman" w:eastAsia="Times New Roman" w:hAnsi="Times New Roman"/>
          <w:sz w:val="19"/>
          <w:szCs w:val="19"/>
          <w:i w:val="1"/>
          <w:iCs w:val="1"/>
          <w:color w:val="auto"/>
        </w:rPr>
        <w:t>Required Revolver Lenders</w:t>
      </w:r>
      <w:r>
        <w:rPr>
          <w:rFonts w:ascii="Times New Roman" w:cs="Times New Roman" w:eastAsia="Times New Roman" w:hAnsi="Times New Roman"/>
          <w:sz w:val="19"/>
          <w:szCs w:val="19"/>
          <w:color w:val="auto"/>
        </w:rPr>
        <w:t>” without the written consent of each Revolver Lender;</w:t>
      </w:r>
    </w:p>
    <w:p>
      <w:pPr>
        <w:spacing w:after="0" w:line="219" w:lineRule="exact"/>
        <w:rPr>
          <w:rFonts w:ascii="Times New Roman" w:cs="Times New Roman" w:eastAsia="Times New Roman" w:hAnsi="Times New Roman"/>
          <w:sz w:val="19"/>
          <w:szCs w:val="19"/>
          <w:color w:val="auto"/>
        </w:rPr>
      </w:pPr>
    </w:p>
    <w:p>
      <w:pPr>
        <w:ind w:left="1020" w:hanging="377"/>
        <w:spacing w:after="0"/>
        <w:tabs>
          <w:tab w:leader="none" w:pos="102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the definition of “</w:t>
      </w:r>
      <w:r>
        <w:rPr>
          <w:rFonts w:ascii="Times New Roman" w:cs="Times New Roman" w:eastAsia="Times New Roman" w:hAnsi="Times New Roman"/>
          <w:sz w:val="19"/>
          <w:szCs w:val="19"/>
          <w:i w:val="1"/>
          <w:iCs w:val="1"/>
          <w:color w:val="auto"/>
        </w:rPr>
        <w:t>Required Term Loan Lenders</w:t>
      </w:r>
      <w:r>
        <w:rPr>
          <w:rFonts w:ascii="Times New Roman" w:cs="Times New Roman" w:eastAsia="Times New Roman" w:hAnsi="Times New Roman"/>
          <w:sz w:val="19"/>
          <w:szCs w:val="19"/>
          <w:color w:val="auto"/>
        </w:rPr>
        <w:t>” without the written consent of each Term Loan Lender;</w:t>
      </w:r>
    </w:p>
    <w:p>
      <w:pPr>
        <w:spacing w:after="0" w:line="234" w:lineRule="exact"/>
        <w:rPr>
          <w:rFonts w:ascii="Times New Roman" w:cs="Times New Roman" w:eastAsia="Times New Roman" w:hAnsi="Times New Roman"/>
          <w:sz w:val="19"/>
          <w:szCs w:val="19"/>
          <w:color w:val="auto"/>
        </w:rPr>
      </w:pPr>
    </w:p>
    <w:p>
      <w:pPr>
        <w:ind w:firstLine="643"/>
        <w:spacing w:after="0" w:line="300" w:lineRule="auto"/>
        <w:tabs>
          <w:tab w:leader="none" w:pos="1036"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 compliance with, amend, or release (in whole or in part) the Guaranty of VRI or the Guaranties of all or substantially all of the Restricted Subsidiaries without the consent of each Lender;</w:t>
      </w:r>
    </w:p>
    <w:p>
      <w:pPr>
        <w:spacing w:after="0" w:line="128" w:lineRule="exact"/>
        <w:rPr>
          <w:rFonts w:ascii="Times New Roman" w:cs="Times New Roman" w:eastAsia="Times New Roman" w:hAnsi="Times New Roman"/>
          <w:sz w:val="19"/>
          <w:szCs w:val="19"/>
          <w:color w:val="auto"/>
        </w:rPr>
      </w:pPr>
    </w:p>
    <w:p>
      <w:pPr>
        <w:ind w:firstLine="643"/>
        <w:spacing w:after="0" w:line="302" w:lineRule="auto"/>
        <w:tabs>
          <w:tab w:leader="none" w:pos="117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release all or substantially all of the Collateral without the consent of each Lender,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that Administrative Agent or the applicable L/C Issuer, as applicable, may release Collateral in accordance with </w:t>
      </w:r>
      <w:r>
        <w:rPr>
          <w:rFonts w:ascii="Times New Roman" w:cs="Times New Roman" w:eastAsia="Times New Roman" w:hAnsi="Times New Roman"/>
          <w:sz w:val="19"/>
          <w:szCs w:val="19"/>
          <w:b w:val="1"/>
          <w:bCs w:val="1"/>
          <w:i w:val="1"/>
          <w:iCs w:val="1"/>
          <w:color w:val="auto"/>
        </w:rPr>
        <w:t>Section 14.9(e)</w:t>
      </w:r>
      <w:r>
        <w:rPr>
          <w:rFonts w:ascii="Times New Roman" w:cs="Times New Roman" w:eastAsia="Times New Roman" w:hAnsi="Times New Roman"/>
          <w:sz w:val="19"/>
          <w:szCs w:val="19"/>
          <w:color w:val="auto"/>
        </w:rPr>
        <w:t xml:space="preserve"> herein;</w:t>
      </w:r>
    </w:p>
    <w:p>
      <w:pPr>
        <w:spacing w:after="0" w:line="126" w:lineRule="exact"/>
        <w:rPr>
          <w:rFonts w:ascii="Times New Roman" w:cs="Times New Roman" w:eastAsia="Times New Roman" w:hAnsi="Times New Roman"/>
          <w:sz w:val="19"/>
          <w:szCs w:val="19"/>
          <w:color w:val="auto"/>
        </w:rPr>
      </w:pPr>
    </w:p>
    <w:p>
      <w:pPr>
        <w:ind w:left="1020" w:hanging="377"/>
        <w:spacing w:after="0"/>
        <w:tabs>
          <w:tab w:leader="none" w:pos="102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the definition of “</w:t>
      </w:r>
      <w:r>
        <w:rPr>
          <w:rFonts w:ascii="Times New Roman" w:cs="Times New Roman" w:eastAsia="Times New Roman" w:hAnsi="Times New Roman"/>
          <w:sz w:val="19"/>
          <w:szCs w:val="19"/>
          <w:i w:val="1"/>
          <w:iCs w:val="1"/>
          <w:color w:val="auto"/>
        </w:rPr>
        <w:t>Alternative Currency</w:t>
      </w:r>
      <w:r>
        <w:rPr>
          <w:rFonts w:ascii="Times New Roman" w:cs="Times New Roman" w:eastAsia="Times New Roman" w:hAnsi="Times New Roman"/>
          <w:sz w:val="19"/>
          <w:szCs w:val="19"/>
          <w:color w:val="auto"/>
        </w:rPr>
        <w:t xml:space="preserve">” without the written consent of each L/C Issuer directly affected thereby; </w:t>
      </w:r>
      <w:r>
        <w:rPr>
          <w:rFonts w:ascii="Times New Roman" w:cs="Times New Roman" w:eastAsia="Times New Roman" w:hAnsi="Times New Roman"/>
          <w:sz w:val="19"/>
          <w:szCs w:val="19"/>
          <w:color w:val="EE2724"/>
        </w:rPr>
        <w:t>or</w:t>
      </w:r>
    </w:p>
    <w:p>
      <w:pPr>
        <w:spacing w:after="0" w:line="234" w:lineRule="exact"/>
        <w:rPr>
          <w:rFonts w:ascii="Times New Roman" w:cs="Times New Roman" w:eastAsia="Times New Roman" w:hAnsi="Times New Roman"/>
          <w:sz w:val="19"/>
          <w:szCs w:val="19"/>
          <w:color w:val="auto"/>
        </w:rPr>
      </w:pPr>
    </w:p>
    <w:p>
      <w:pPr>
        <w:jc w:val="both"/>
        <w:ind w:firstLine="643"/>
        <w:spacing w:after="0" w:line="270" w:lineRule="auto"/>
        <w:tabs>
          <w:tab w:leader="none" w:pos="1232"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subordinate, or have the effect of subordinating, the Obligations hereunder to any other Debt or other obligation or (ii) subordinate, or have the effect of subordinating, the Liens securing the Obligations hereunder, in each case, (A) other than to any other Debt or other obligation that is permitted by this Agreement as in effect on the Closing Date to rank senior in right of payment or lien priority to the Obligations or (B)without the written consent of each Lender; </w:t>
      </w:r>
      <w:r>
        <w:rPr>
          <w:rFonts w:ascii="Times New Roman" w:cs="Times New Roman" w:eastAsia="Times New Roman" w:hAnsi="Times New Roman"/>
          <w:sz w:val="19"/>
          <w:szCs w:val="19"/>
          <w:color w:val="3051F2"/>
        </w:rPr>
        <w:t>or</w:t>
      </w:r>
    </w:p>
    <w:p>
      <w:pPr>
        <w:spacing w:after="0" w:line="155" w:lineRule="exact"/>
        <w:rPr>
          <w:rFonts w:ascii="Times New Roman" w:cs="Times New Roman" w:eastAsia="Times New Roman" w:hAnsi="Times New Roman"/>
          <w:sz w:val="19"/>
          <w:szCs w:val="19"/>
          <w:color w:val="auto"/>
        </w:rPr>
      </w:pPr>
    </w:p>
    <w:p>
      <w:pPr>
        <w:ind w:left="1100" w:hanging="457"/>
        <w:spacing w:after="0"/>
        <w:tabs>
          <w:tab w:leader="none" w:pos="1100" w:val="left"/>
        </w:tabs>
        <w:numPr>
          <w:ilvl w:val="0"/>
          <w:numId w:val="224"/>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u w:val="single" w:color="auto"/>
          <w:color w:val="3051F2"/>
        </w:rPr>
        <w:t>change the definition of “</w:t>
      </w:r>
      <w:r>
        <w:rPr>
          <w:rFonts w:ascii="Times New Roman" w:cs="Times New Roman" w:eastAsia="Times New Roman" w:hAnsi="Times New Roman"/>
          <w:sz w:val="19"/>
          <w:szCs w:val="19"/>
          <w:i w:val="1"/>
          <w:iCs w:val="1"/>
          <w:u w:val="single" w:color="auto"/>
          <w:color w:val="3051F2"/>
        </w:rPr>
        <w:t>Required Delayed Draw Term Loan Lenders</w:t>
      </w:r>
      <w:r>
        <w:rPr>
          <w:rFonts w:ascii="Times New Roman" w:cs="Times New Roman" w:eastAsia="Times New Roman" w:hAnsi="Times New Roman"/>
          <w:sz w:val="19"/>
          <w:szCs w:val="19"/>
          <w:u w:val="single" w:color="auto"/>
          <w:color w:val="3051F2"/>
        </w:rPr>
        <w:t>” without the written consent of each Delayed Draw Term</w:t>
      </w:r>
    </w:p>
    <w:p>
      <w:pPr>
        <w:spacing w:after="0" w:line="36" w:lineRule="exact"/>
        <w:rPr>
          <w:rFonts w:ascii="Times New Roman" w:cs="Times New Roman" w:eastAsia="Times New Roman" w:hAnsi="Times New Roman"/>
          <w:sz w:val="19"/>
          <w:szCs w:val="19"/>
          <w:u w:val="single" w:color="auto"/>
          <w:color w:val="3051F2"/>
        </w:rPr>
      </w:pPr>
    </w:p>
    <w:p>
      <w:pPr>
        <w:spacing w:after="0"/>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u w:val="single" w:color="auto"/>
          <w:color w:val="3051F2"/>
        </w:rPr>
        <w:t>Loan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-1228090</wp:posOffset>
            </wp:positionV>
            <wp:extent cx="1333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33350"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-444500</wp:posOffset>
            </wp:positionV>
            <wp:extent cx="1333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96" w:lineRule="exact"/>
        <w:rPr>
          <w:sz w:val="20"/>
          <w:szCs w:val="20"/>
          <w:color w:val="auto"/>
        </w:rPr>
      </w:pPr>
    </w:p>
    <w:p>
      <w:pPr>
        <w:jc w:val="both"/>
        <w:ind w:firstLine="637"/>
        <w:spacing w:after="0" w:line="259" w:lineRule="auto"/>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that (i) no amendment, waiver, or consent shall affect the Rights or duties of an L/C Issuer under this Agreement or any L/C Agreement relating to any L/C issued or to be issued by it unless signed by the L/C Issuer issuing such L/C in addition to Lender required above; (ii) no amendment, waiver, or consent shall, unless in writing and signed by Administrative Agent in addition to Lenders required above, affect the rights or duties of Administrative Agent under this Agreement or any other Loan Paper; and (iii)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such Defaulting Lender may not be increased or extended without the consent of such Defaulting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81"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Notwithstanding any provision herein to the contrary, this Agreement may be amended with the written consent of Administrative Agent, Borrower, Guarantors and lenders providing the Incremental Term Loan Facility (i) to add one or more Incremental Term Loan Facilities to this Agreement (subject to the limitations in </w:t>
      </w:r>
      <w:r>
        <w:rPr>
          <w:rFonts w:ascii="Times New Roman" w:cs="Times New Roman" w:eastAsia="Times New Roman" w:hAnsi="Times New Roman"/>
          <w:sz w:val="19"/>
          <w:szCs w:val="19"/>
          <w:b w:val="1"/>
          <w:bCs w:val="1"/>
          <w:i w:val="1"/>
          <w:iCs w:val="1"/>
          <w:color w:val="auto"/>
        </w:rPr>
        <w:t>Section 2.5</w:t>
      </w:r>
      <w:r>
        <w:rPr>
          <w:rFonts w:ascii="Times New Roman" w:cs="Times New Roman" w:eastAsia="Times New Roman" w:hAnsi="Times New Roman"/>
          <w:sz w:val="19"/>
          <w:szCs w:val="19"/>
          <w:color w:val="auto"/>
        </w:rPr>
        <w:t>), and to permit the extensions of credit and all related obligations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118</w:t>
      </w:r>
    </w:p>
    <w:p>
      <w:pPr>
        <w:sectPr>
          <w:pgSz w:w="11900" w:h="16838" w:orient="portrait"/>
          <w:cols w:equalWidth="0" w:num="1">
            <w:col w:w="11240"/>
          </w:cols>
          <w:pgMar w:left="320" w:top="1388" w:right="339" w:bottom="1440" w:gutter="0" w:footer="0" w:header="0"/>
        </w:sectPr>
      </w:pPr>
    </w:p>
    <w:bookmarkStart w:id="232" w:name="page233"/>
    <w:bookmarkEnd w:id="232"/>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liabilities arising in connection therewith from time to time outstanding to share ratably (or on a basis subordinated to the existing facilities hereunder) in the benefits of this Agreement and the other Loan Papers with the obligations and liabilities from time to time outstanding in respect of the existing facilities hereunder, and (ii) in connection with the foregoing, to permit, as deemed appropriate by Administrative Agent, lenders providing the Incremental Term Loan Facility to participate in any required vote or action required to be approved by Required Lenders or by any other number, percentage, or class of Lenders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any amendment pursuant to </w:t>
      </w:r>
      <w:r>
        <w:rPr>
          <w:rFonts w:ascii="Times New Roman" w:cs="Times New Roman" w:eastAsia="Times New Roman" w:hAnsi="Times New Roman"/>
          <w:sz w:val="19"/>
          <w:szCs w:val="19"/>
          <w:b w:val="1"/>
          <w:bCs w:val="1"/>
          <w:i w:val="1"/>
          <w:iCs w:val="1"/>
          <w:color w:val="auto"/>
        </w:rPr>
        <w:t>clause (ii)</w:t>
      </w:r>
      <w:r>
        <w:rPr>
          <w:rFonts w:ascii="Times New Roman" w:cs="Times New Roman" w:eastAsia="Times New Roman" w:hAnsi="Times New Roman"/>
          <w:sz w:val="19"/>
          <w:szCs w:val="19"/>
          <w:color w:val="auto"/>
        </w:rPr>
        <w:t xml:space="preserve"> shall be consistent with the terms of this Agreement in effect on the Closing Date or otherwise approved by Required Lenders.</w:t>
      </w:r>
    </w:p>
    <w:p>
      <w:pPr>
        <w:spacing w:after="0" w:line="176"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15.10. </w:t>
      </w:r>
      <w:r>
        <w:rPr>
          <w:rFonts w:ascii="Times New Roman" w:cs="Times New Roman" w:eastAsia="Times New Roman" w:hAnsi="Times New Roman"/>
          <w:sz w:val="19"/>
          <w:szCs w:val="19"/>
          <w:u w:val="single" w:color="auto"/>
          <w:color w:val="auto"/>
        </w:rPr>
        <w:t>Counterparts; Integration; Effectiveness</w:t>
      </w:r>
      <w:r>
        <w:rPr>
          <w:rFonts w:ascii="Times New Roman" w:cs="Times New Roman" w:eastAsia="Times New Roman" w:hAnsi="Times New Roman"/>
          <w:sz w:val="19"/>
          <w:szCs w:val="19"/>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Papers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9"/>
          <w:szCs w:val="19"/>
          <w:b w:val="1"/>
          <w:bCs w:val="1"/>
          <w:i w:val="1"/>
          <w:iCs w:val="1"/>
          <w:color w:val="auto"/>
        </w:rPr>
        <w:t>Section 7.1</w:t>
      </w:r>
      <w:r>
        <w:rPr>
          <w:rFonts w:ascii="Times New Roman" w:cs="Times New Roman" w:eastAsia="Times New Roman" w:hAnsi="Times New Roman"/>
          <w:sz w:val="19"/>
          <w:szCs w:val="19"/>
          <w:color w:val="auto"/>
        </w:rPr>
        <w:t>, this Agreement shall become effective when it shall have been executed by Administrative Agent and when Administrative Agent shall have received counterparts hereof that, when taken together, bear the signatures of each of the other parties hereto. Delivery of an executed counterpart of a signature page of this Agreement by telecopy shall be effective as delivery of a manually executed counterpart of this Agreement.</w:t>
      </w: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15.11.  </w:t>
      </w:r>
      <w:r>
        <w:rPr>
          <w:rFonts w:ascii="Times New Roman" w:cs="Times New Roman" w:eastAsia="Times New Roman" w:hAnsi="Times New Roman"/>
          <w:sz w:val="19"/>
          <w:szCs w:val="19"/>
          <w:u w:val="single" w:color="auto"/>
          <w:color w:val="auto"/>
        </w:rPr>
        <w:t>Successors and Assigns; Participation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802"/>
        <w:spacing w:after="0" w:line="262" w:lineRule="auto"/>
        <w:tabs>
          <w:tab w:leader="none" w:pos="1286" w:val="left"/>
        </w:tabs>
        <w:numPr>
          <w:ilvl w:val="1"/>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Successors and Assigns Generally. </w:t>
      </w:r>
      <w:r>
        <w:rPr>
          <w:rFonts w:ascii="Times New Roman" w:cs="Times New Roman" w:eastAsia="Times New Roman" w:hAnsi="Times New Roman"/>
          <w:sz w:val="19"/>
          <w:szCs w:val="19"/>
          <w:color w:val="auto"/>
        </w:rPr>
        <w:t>The provisions of this Agreement shall be binding upon and inure to the benefit of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parties hereto and their respective successors and assigns permitted hereby, except that Borrower may not assign or otherwise transfer any of its rights or obligations hereunder without the prior written consent of Administrative Agent and each Lender and no Lender may assign or otherwise transfer any of its rights or obligations hereunder except (i) to an Eligible Assignee in accordance with the provisions of </w:t>
      </w:r>
      <w:r>
        <w:rPr>
          <w:rFonts w:ascii="Times New Roman" w:cs="Times New Roman" w:eastAsia="Times New Roman" w:hAnsi="Times New Roman"/>
          <w:sz w:val="19"/>
          <w:szCs w:val="19"/>
          <w:b w:val="1"/>
          <w:bCs w:val="1"/>
          <w:i w:val="1"/>
          <w:iCs w:val="1"/>
          <w:color w:val="auto"/>
        </w:rPr>
        <w:t>subsection</w:t>
      </w:r>
    </w:p>
    <w:p>
      <w:pPr>
        <w:ind w:left="300" w:hanging="294"/>
        <w:spacing w:after="0"/>
        <w:tabs>
          <w:tab w:leader="none" w:pos="300" w:val="left"/>
        </w:tabs>
        <w:numPr>
          <w:ilvl w:val="0"/>
          <w:numId w:val="22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 xml:space="preserve">of this Section, (ii) by way of participation in accordance with the provisions of </w:t>
      </w:r>
      <w:r>
        <w:rPr>
          <w:rFonts w:ascii="Times New Roman" w:cs="Times New Roman" w:eastAsia="Times New Roman" w:hAnsi="Times New Roman"/>
          <w:sz w:val="19"/>
          <w:szCs w:val="19"/>
          <w:b w:val="1"/>
          <w:bCs w:val="1"/>
          <w:i w:val="1"/>
          <w:iCs w:val="1"/>
          <w:color w:val="auto"/>
        </w:rPr>
        <w:t>subsection (d)</w:t>
      </w:r>
      <w:r>
        <w:rPr>
          <w:rFonts w:ascii="Times New Roman" w:cs="Times New Roman" w:eastAsia="Times New Roman" w:hAnsi="Times New Roman"/>
          <w:sz w:val="19"/>
          <w:szCs w:val="19"/>
          <w:color w:val="auto"/>
        </w:rPr>
        <w:t xml:space="preserve"> of this Section, or (iii) by way of pledge or</w:t>
      </w:r>
    </w:p>
    <w:p>
      <w:pPr>
        <w:spacing w:after="0" w:line="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assignment of a security interest subject to the restrictions of </w:t>
      </w:r>
      <w:r>
        <w:rPr>
          <w:rFonts w:ascii="Times New Roman" w:cs="Times New Roman" w:eastAsia="Times New Roman" w:hAnsi="Times New Roman"/>
          <w:sz w:val="19"/>
          <w:szCs w:val="19"/>
          <w:b w:val="1"/>
          <w:bCs w:val="1"/>
          <w:i w:val="1"/>
          <w:iCs w:val="1"/>
          <w:color w:val="auto"/>
        </w:rPr>
        <w:t>subsection (h)</w:t>
      </w:r>
      <w:r>
        <w:rPr>
          <w:rFonts w:ascii="Times New Roman" w:cs="Times New Roman" w:eastAsia="Times New Roman" w:hAnsi="Times New Roman"/>
          <w:sz w:val="19"/>
          <w:szCs w:val="19"/>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9"/>
          <w:szCs w:val="19"/>
          <w:b w:val="1"/>
          <w:bCs w:val="1"/>
          <w:i w:val="1"/>
          <w:iCs w:val="1"/>
          <w:color w:val="auto"/>
        </w:rPr>
        <w:t>subsection (d)</w:t>
      </w:r>
      <w:r>
        <w:rPr>
          <w:rFonts w:ascii="Times New Roman" w:cs="Times New Roman" w:eastAsia="Times New Roman" w:hAnsi="Times New Roman"/>
          <w:sz w:val="19"/>
          <w:szCs w:val="19"/>
          <w:color w:val="auto"/>
        </w:rPr>
        <w:t xml:space="preserve"> of this Section and, to the extent expressly contemplated hereby, the Indemnitees) any legal or equitable right, remedy or claim under or by reason of this Agreement.</w:t>
      </w:r>
    </w:p>
    <w:p>
      <w:pPr>
        <w:spacing w:after="0" w:line="200" w:lineRule="exact"/>
        <w:rPr>
          <w:sz w:val="20"/>
          <w:szCs w:val="20"/>
          <w:color w:val="auto"/>
        </w:rPr>
      </w:pPr>
    </w:p>
    <w:p>
      <w:pPr>
        <w:spacing w:after="0" w:line="211" w:lineRule="exact"/>
        <w:rPr>
          <w:sz w:val="20"/>
          <w:szCs w:val="20"/>
          <w:color w:val="auto"/>
        </w:rPr>
      </w:pPr>
    </w:p>
    <w:p>
      <w:pPr>
        <w:jc w:val="both"/>
        <w:ind w:firstLine="802"/>
        <w:spacing w:after="0" w:line="276" w:lineRule="auto"/>
        <w:tabs>
          <w:tab w:leader="none" w:pos="1217"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Assignments by Lenders. </w:t>
      </w:r>
      <w:r>
        <w:rPr>
          <w:rFonts w:ascii="Times New Roman" w:cs="Times New Roman" w:eastAsia="Times New Roman" w:hAnsi="Times New Roman"/>
          <w:sz w:val="19"/>
          <w:szCs w:val="19"/>
          <w:color w:val="auto"/>
        </w:rPr>
        <w:t>Any Lender may at any time assign to one or more Eligible Assignees all or a portion of its rights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obligations under this Agreement (including all or a portion of its Commitment and the Loans (including for purposes of this </w:t>
      </w:r>
      <w:r>
        <w:rPr>
          <w:rFonts w:ascii="Times New Roman" w:cs="Times New Roman" w:eastAsia="Times New Roman" w:hAnsi="Times New Roman"/>
          <w:sz w:val="19"/>
          <w:szCs w:val="19"/>
          <w:b w:val="1"/>
          <w:bCs w:val="1"/>
          <w:i w:val="1"/>
          <w:iCs w:val="1"/>
          <w:color w:val="auto"/>
        </w:rPr>
        <w:t>subsection (b)</w:t>
      </w:r>
      <w:r>
        <w:rPr>
          <w:rFonts w:ascii="Times New Roman" w:cs="Times New Roman" w:eastAsia="Times New Roman" w:hAnsi="Times New Roman"/>
          <w:sz w:val="19"/>
          <w:szCs w:val="19"/>
          <w:color w:val="auto"/>
        </w:rPr>
        <w:t xml:space="preserve">, participations in L/C Exposure) at the time owing to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any such assignment shall be subject to the following conditions:</w:t>
      </w:r>
    </w:p>
    <w:p>
      <w:pPr>
        <w:spacing w:after="0" w:line="166" w:lineRule="exact"/>
        <w:rPr>
          <w:sz w:val="20"/>
          <w:szCs w:val="20"/>
          <w:color w:val="auto"/>
        </w:rPr>
      </w:pPr>
    </w:p>
    <w:p>
      <w:pPr>
        <w:ind w:left="1280" w:hanging="478"/>
        <w:spacing w:after="0"/>
        <w:tabs>
          <w:tab w:leader="none" w:pos="128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Amounts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802"/>
        <w:spacing w:after="0" w:line="285" w:lineRule="auto"/>
        <w:tabs>
          <w:tab w:leader="none" w:pos="1265"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119</w:t>
      </w:r>
    </w:p>
    <w:p>
      <w:pPr>
        <w:sectPr>
          <w:pgSz w:w="11900" w:h="16838" w:orient="portrait"/>
          <w:cols w:equalWidth="0" w:num="1">
            <w:col w:w="11240"/>
          </w:cols>
          <w:pgMar w:left="320" w:top="1390" w:right="339" w:bottom="1440" w:gutter="0" w:footer="0" w:header="0"/>
        </w:sectPr>
      </w:pPr>
    </w:p>
    <w:bookmarkStart w:id="233" w:name="page234"/>
    <w:bookmarkEnd w:id="233"/>
    <w:p>
      <w:pPr>
        <w:jc w:val="both"/>
        <w:ind w:firstLine="802"/>
        <w:spacing w:after="0" w:line="262" w:lineRule="auto"/>
        <w:tabs>
          <w:tab w:leader="none" w:pos="1267"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any case not described in </w:t>
      </w:r>
      <w:r>
        <w:rPr>
          <w:rFonts w:ascii="Times New Roman" w:cs="Times New Roman" w:eastAsia="Times New Roman" w:hAnsi="Times New Roman"/>
          <w:sz w:val="19"/>
          <w:szCs w:val="19"/>
          <w:b w:val="1"/>
          <w:bCs w:val="1"/>
          <w:i w:val="1"/>
          <w:iCs w:val="1"/>
          <w:color w:val="auto"/>
        </w:rPr>
        <w:t>subsection (b)(i)(A)</w:t>
      </w:r>
      <w:r>
        <w:rPr>
          <w:rFonts w:ascii="Times New Roman" w:cs="Times New Roman" w:eastAsia="Times New Roman" w:hAnsi="Times New Roman"/>
          <w:sz w:val="19"/>
          <w:szCs w:val="19"/>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Administrative Agent or, if “</w:t>
      </w:r>
      <w:r>
        <w:rPr>
          <w:rFonts w:ascii="Times New Roman" w:cs="Times New Roman" w:eastAsia="Times New Roman" w:hAnsi="Times New Roman"/>
          <w:sz w:val="19"/>
          <w:szCs w:val="19"/>
          <w:i w:val="1"/>
          <w:iCs w:val="1"/>
          <w:color w:val="auto"/>
        </w:rPr>
        <w:t>Trade Date</w:t>
      </w:r>
      <w:r>
        <w:rPr>
          <w:rFonts w:ascii="Times New Roman" w:cs="Times New Roman" w:eastAsia="Times New Roman" w:hAnsi="Times New Roman"/>
          <w:sz w:val="19"/>
          <w:szCs w:val="19"/>
          <w:color w:val="auto"/>
        </w:rPr>
        <w:t>” is specified in the Assignment and Assumption, as of the Trade Date, shall not be less than $5,000,000 unless Administrative Agent and, so long as no Default has occurred and is continuing, Borrower otherwise consents (each such consent not to be unreasonably withheld or delayed); provided, however,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200" w:lineRule="exact"/>
        <w:rPr>
          <w:sz w:val="20"/>
          <w:szCs w:val="20"/>
          <w:color w:val="auto"/>
        </w:rPr>
      </w:pPr>
    </w:p>
    <w:p>
      <w:pPr>
        <w:spacing w:after="0" w:line="204" w:lineRule="exact"/>
        <w:rPr>
          <w:sz w:val="20"/>
          <w:szCs w:val="20"/>
          <w:color w:val="auto"/>
        </w:rPr>
      </w:pPr>
    </w:p>
    <w:p>
      <w:pPr>
        <w:ind w:firstLine="802"/>
        <w:spacing w:after="0" w:line="300" w:lineRule="auto"/>
        <w:tabs>
          <w:tab w:leader="none" w:pos="1272"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Proportionate Amounts</w:t>
      </w:r>
      <w:r>
        <w:rPr>
          <w:rFonts w:ascii="Times New Roman" w:cs="Times New Roman" w:eastAsia="Times New Roman" w:hAnsi="Times New Roman"/>
          <w:sz w:val="19"/>
          <w:szCs w:val="19"/>
          <w:color w:val="auto"/>
        </w:rPr>
        <w:t>. Each partial assignment shall be made as an assignment of a proportionate part of all the assigning Lender’s rights and obligations under this Agreement with respect to the Loans or the Commitment assigned;</w:t>
      </w:r>
    </w:p>
    <w:p>
      <w:pPr>
        <w:spacing w:after="0" w:line="139" w:lineRule="exact"/>
        <w:rPr>
          <w:rFonts w:ascii="Times New Roman" w:cs="Times New Roman" w:eastAsia="Times New Roman" w:hAnsi="Times New Roman"/>
          <w:sz w:val="19"/>
          <w:szCs w:val="19"/>
          <w:color w:val="auto"/>
        </w:rPr>
      </w:pPr>
    </w:p>
    <w:p>
      <w:pPr>
        <w:ind w:firstLine="802"/>
        <w:spacing w:after="0" w:line="290" w:lineRule="auto"/>
        <w:tabs>
          <w:tab w:leader="none" w:pos="1273"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Required Consents</w:t>
      </w:r>
      <w:r>
        <w:rPr>
          <w:rFonts w:ascii="Times New Roman" w:cs="Times New Roman" w:eastAsia="Times New Roman" w:hAnsi="Times New Roman"/>
          <w:sz w:val="19"/>
          <w:szCs w:val="19"/>
          <w:color w:val="auto"/>
        </w:rPr>
        <w:t xml:space="preserve">. No consent shall be required for any assignment except to the extent required by </w:t>
      </w:r>
      <w:r>
        <w:rPr>
          <w:rFonts w:ascii="Times New Roman" w:cs="Times New Roman" w:eastAsia="Times New Roman" w:hAnsi="Times New Roman"/>
          <w:sz w:val="19"/>
          <w:szCs w:val="19"/>
          <w:b w:val="1"/>
          <w:bCs w:val="1"/>
          <w:i w:val="1"/>
          <w:iCs w:val="1"/>
          <w:color w:val="auto"/>
        </w:rPr>
        <w:t>subsection (b)(i)(B)</w:t>
      </w:r>
      <w:r>
        <w:rPr>
          <w:rFonts w:ascii="Times New Roman" w:cs="Times New Roman" w:eastAsia="Times New Roman" w:hAnsi="Times New Roman"/>
          <w:sz w:val="19"/>
          <w:szCs w:val="19"/>
          <w:color w:val="auto"/>
        </w:rPr>
        <w:t xml:space="preserve"> of this Section and, in addition:</w:t>
      </w:r>
    </w:p>
    <w:p>
      <w:pPr>
        <w:spacing w:after="0" w:line="153" w:lineRule="exact"/>
        <w:rPr>
          <w:sz w:val="20"/>
          <w:szCs w:val="20"/>
          <w:color w:val="auto"/>
        </w:rPr>
      </w:pPr>
    </w:p>
    <w:p>
      <w:pPr>
        <w:jc w:val="both"/>
        <w:ind w:firstLine="802"/>
        <w:spacing w:after="0" w:line="264" w:lineRule="auto"/>
        <w:tabs>
          <w:tab w:leader="none" w:pos="1265"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consent of Borrower (such consent not to be unreasonably withheld) shall be required unless (1) a Default has occurred and is continuing at the time of such assignment or (2) such assignment is to a Lender, an Affiliate of a Lender or an Approved Fund;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Borrower shall be deemed to have consented to any assignment under the Term Loan Facility or the Incremental Term Loan Facility</w:t>
      </w:r>
      <w:r>
        <w:rPr>
          <w:rFonts w:ascii="Times New Roman" w:cs="Times New Roman" w:eastAsia="Times New Roman" w:hAnsi="Times New Roman"/>
          <w:sz w:val="19"/>
          <w:szCs w:val="19"/>
          <w:u w:val="single" w:color="auto"/>
          <w:color w:val="3051F2"/>
        </w:rPr>
        <w:t>,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Delayed Draw Term Loan Facility</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unless it shall object thereto by written notice to Administrative Agent within ten (10) Business Days after</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having received written notice thereof;</w:t>
      </w:r>
    </w:p>
    <w:p>
      <w:pPr>
        <w:spacing w:after="0" w:line="177" w:lineRule="exact"/>
        <w:rPr>
          <w:rFonts w:ascii="Times New Roman" w:cs="Times New Roman" w:eastAsia="Times New Roman" w:hAnsi="Times New Roman"/>
          <w:sz w:val="19"/>
          <w:szCs w:val="19"/>
          <w:color w:val="auto"/>
        </w:rPr>
      </w:pPr>
    </w:p>
    <w:p>
      <w:pPr>
        <w:ind w:firstLine="802"/>
        <w:spacing w:after="0" w:line="285" w:lineRule="auto"/>
        <w:tabs>
          <w:tab w:leader="none" w:pos="1267"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Administrative Agent (such consent not to be unreasonably withheld or delayed) shall be required if such assignment is to a Person that is not a Lender, an Affiliate of such Lender or an Approved Fund with respect to such Lender; and</w:t>
      </w:r>
    </w:p>
    <w:p>
      <w:pPr>
        <w:spacing w:after="0" w:line="157" w:lineRule="exact"/>
        <w:rPr>
          <w:rFonts w:ascii="Times New Roman" w:cs="Times New Roman" w:eastAsia="Times New Roman" w:hAnsi="Times New Roman"/>
          <w:sz w:val="19"/>
          <w:szCs w:val="19"/>
          <w:color w:val="auto"/>
        </w:rPr>
      </w:pPr>
    </w:p>
    <w:p>
      <w:pPr>
        <w:ind w:right="20" w:firstLine="802"/>
        <w:spacing w:after="0" w:line="285" w:lineRule="auto"/>
        <w:tabs>
          <w:tab w:leader="none" w:pos="1267"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each L/C Issuer (such consent not to be unreasonably withheld or delayed) shall be required only for assignments of Commitments in respect of Revolver Loans and L/C Exposure.</w:t>
      </w:r>
    </w:p>
    <w:p>
      <w:pPr>
        <w:spacing w:after="0" w:line="158" w:lineRule="exact"/>
        <w:rPr>
          <w:sz w:val="20"/>
          <w:szCs w:val="20"/>
          <w:color w:val="auto"/>
        </w:rPr>
      </w:pPr>
    </w:p>
    <w:p>
      <w:pPr>
        <w:jc w:val="both"/>
        <w:ind w:firstLine="802"/>
        <w:spacing w:after="0" w:line="270" w:lineRule="auto"/>
        <w:tabs>
          <w:tab w:leader="none" w:pos="1262"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The parties to each assignment shall execute and deliver to Administrative Agent an Assignment and Assumption, together with a processing and recordation fee in the amount of $3,500;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Administrative Agent may, in its sole discretion, elect to waive such processing and recordation fee in the case of any assignment. The assignee, if it is not a Lender, shall deliver to Administrative Agent an Administrative Questionnaire.</w:t>
      </w:r>
    </w:p>
    <w:p>
      <w:pPr>
        <w:spacing w:after="0" w:line="157" w:lineRule="exact"/>
        <w:rPr>
          <w:rFonts w:ascii="Times New Roman" w:cs="Times New Roman" w:eastAsia="Times New Roman" w:hAnsi="Times New Roman"/>
          <w:sz w:val="19"/>
          <w:szCs w:val="19"/>
          <w:color w:val="auto"/>
        </w:rPr>
      </w:pPr>
    </w:p>
    <w:p>
      <w:pPr>
        <w:jc w:val="both"/>
        <w:ind w:firstLine="802"/>
        <w:spacing w:after="0" w:line="270" w:lineRule="auto"/>
        <w:tabs>
          <w:tab w:leader="none" w:pos="1261"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Assignment to Certain Persons</w:t>
      </w:r>
      <w:r>
        <w:rPr>
          <w:rFonts w:ascii="Times New Roman" w:cs="Times New Roman" w:eastAsia="Times New Roman" w:hAnsi="Times New Roman"/>
          <w:sz w:val="19"/>
          <w:szCs w:val="19"/>
          <w:color w:val="auto"/>
        </w:rPr>
        <w:t xml:space="preserve">. No such assignment shall be made (A) to Borrower or any of Borrower’s Affiliates or Subsidiaries, or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9"/>
          <w:szCs w:val="19"/>
          <w:b w:val="1"/>
          <w:bCs w:val="1"/>
          <w:i w:val="1"/>
          <w:iCs w:val="1"/>
          <w:color w:val="auto"/>
        </w:rPr>
        <w:t>clause (B)</w:t>
      </w:r>
      <w:r>
        <w:rPr>
          <w:rFonts w:ascii="Times New Roman" w:cs="Times New Roman" w:eastAsia="Times New Roman" w:hAnsi="Times New Roman"/>
          <w:sz w:val="19"/>
          <w:szCs w:val="19"/>
          <w:color w:val="auto"/>
        </w:rPr>
        <w:t>, or (C) to a natural Person (or holding company, investment vehicle or trust for, or owned and operated for the primary benefit of a natural Person).</w:t>
      </w:r>
    </w:p>
    <w:p>
      <w:pPr>
        <w:spacing w:after="0" w:line="170" w:lineRule="exact"/>
        <w:rPr>
          <w:rFonts w:ascii="Times New Roman" w:cs="Times New Roman" w:eastAsia="Times New Roman" w:hAnsi="Times New Roman"/>
          <w:sz w:val="19"/>
          <w:szCs w:val="19"/>
          <w:color w:val="auto"/>
        </w:rPr>
      </w:pPr>
    </w:p>
    <w:p>
      <w:pPr>
        <w:jc w:val="both"/>
        <w:ind w:firstLine="802"/>
        <w:spacing w:after="0" w:line="270" w:lineRule="auto"/>
        <w:tabs>
          <w:tab w:leader="none" w:pos="1262"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Additional Payments</w:t>
      </w:r>
      <w:r>
        <w:rPr>
          <w:rFonts w:ascii="Times New Roman" w:cs="Times New Roman" w:eastAsia="Times New Roman" w:hAnsi="Times New Roman"/>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Administrative Agent in an aggregate amount sufficient, upon distribution thereof as appropriate (which may be outright payment, purchases by the assignee of participations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120</w:t>
      </w:r>
    </w:p>
    <w:p>
      <w:pPr>
        <w:sectPr>
          <w:pgSz w:w="11900" w:h="16838" w:orient="portrait"/>
          <w:cols w:equalWidth="0" w:num="1">
            <w:col w:w="11240"/>
          </w:cols>
          <w:pgMar w:left="320" w:top="1386" w:right="339" w:bottom="1440" w:gutter="0" w:footer="0" w:header="0"/>
        </w:sectPr>
      </w:pPr>
    </w:p>
    <w:bookmarkStart w:id="234" w:name="page235"/>
    <w:bookmarkEnd w:id="234"/>
    <w:p>
      <w:pPr>
        <w:jc w:val="both"/>
        <w:spacing w:after="0" w:line="263" w:lineRule="auto"/>
        <w:rPr>
          <w:sz w:val="20"/>
          <w:szCs w:val="20"/>
          <w:color w:val="auto"/>
        </w:rPr>
      </w:pPr>
      <w:r>
        <w:rPr>
          <w:rFonts w:ascii="Times New Roman" w:cs="Times New Roman" w:eastAsia="Times New Roman" w:hAnsi="Times New Roman"/>
          <w:sz w:val="19"/>
          <w:szCs w:val="19"/>
          <w:color w:val="auto"/>
        </w:rPr>
        <w:t>subparticipations, or other compensating actions, including funding, with the consent of Borrower and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Administrative Agent or any Lender hereunder (and interest accrued thereon) and (y) acquire (and fund as appropriate) its full pro rata share of all Loans and participations in L/C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4" w:lineRule="exact"/>
        <w:rPr>
          <w:sz w:val="20"/>
          <w:szCs w:val="20"/>
          <w:color w:val="auto"/>
        </w:rPr>
      </w:pPr>
    </w:p>
    <w:p>
      <w:pPr>
        <w:jc w:val="both"/>
        <w:ind w:firstLine="796"/>
        <w:spacing w:after="0" w:line="260" w:lineRule="auto"/>
        <w:rPr>
          <w:sz w:val="20"/>
          <w:szCs w:val="20"/>
          <w:color w:val="auto"/>
        </w:rPr>
      </w:pPr>
      <w:r>
        <w:rPr>
          <w:rFonts w:ascii="Times New Roman" w:cs="Times New Roman" w:eastAsia="Times New Roman" w:hAnsi="Times New Roman"/>
          <w:sz w:val="19"/>
          <w:szCs w:val="19"/>
          <w:color w:val="auto"/>
        </w:rPr>
        <w:t xml:space="preserve">Subject to acceptance and recording thereof by Administrative Agent pursuant to </w:t>
      </w:r>
      <w:r>
        <w:rPr>
          <w:rFonts w:ascii="Times New Roman" w:cs="Times New Roman" w:eastAsia="Times New Roman" w:hAnsi="Times New Roman"/>
          <w:sz w:val="19"/>
          <w:szCs w:val="19"/>
          <w:b w:val="1"/>
          <w:bCs w:val="1"/>
          <w:i w:val="1"/>
          <w:iCs w:val="1"/>
          <w:color w:val="auto"/>
        </w:rPr>
        <w:t>subsection (c)</w:t>
      </w:r>
      <w:r>
        <w:rPr>
          <w:rFonts w:ascii="Times New Roman" w:cs="Times New Roman" w:eastAsia="Times New Roman" w:hAnsi="Times New Roman"/>
          <w:sz w:val="19"/>
          <w:szCs w:val="19"/>
          <w:color w:val="auto"/>
        </w:rPr>
        <w:t xml:space="preserve">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b w:val="1"/>
          <w:bCs w:val="1"/>
          <w:i w:val="1"/>
          <w:iCs w:val="1"/>
          <w:color w:val="auto"/>
        </w:rPr>
        <w:t>Sections 4.1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4.4, 4.5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15.4</w:t>
      </w:r>
      <w:r>
        <w:rPr>
          <w:rFonts w:ascii="Times New Roman" w:cs="Times New Roman" w:eastAsia="Times New Roman" w:hAnsi="Times New Roman"/>
          <w:sz w:val="19"/>
          <w:szCs w:val="19"/>
          <w:color w:val="auto"/>
        </w:rPr>
        <w:t xml:space="preserve"> with respect to facts and circumstances occurring prior to the effective date of such assignment;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except to the extent otherwise expressly agreed by the affected parties no assignment by a Defaulting Lender will constitute a waiver or release of any claim of any party hereunder arising from that Lender’s having been a Defaulting Lender. Upon request,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19"/>
          <w:szCs w:val="19"/>
          <w:b w:val="1"/>
          <w:bCs w:val="1"/>
          <w:i w:val="1"/>
          <w:iCs w:val="1"/>
          <w:color w:val="auto"/>
        </w:rPr>
        <w:t>subsection (d)</w:t>
      </w:r>
      <w:r>
        <w:rPr>
          <w:rFonts w:ascii="Times New Roman" w:cs="Times New Roman" w:eastAsia="Times New Roman" w:hAnsi="Times New Roman"/>
          <w:sz w:val="19"/>
          <w:szCs w:val="19"/>
          <w:color w:val="auto"/>
        </w:rPr>
        <w:t xml:space="preserve"> of this Section.</w:t>
      </w:r>
    </w:p>
    <w:p>
      <w:pPr>
        <w:spacing w:after="0" w:line="171" w:lineRule="exact"/>
        <w:rPr>
          <w:sz w:val="20"/>
          <w:szCs w:val="20"/>
          <w:color w:val="auto"/>
        </w:rPr>
      </w:pPr>
    </w:p>
    <w:p>
      <w:pPr>
        <w:jc w:val="both"/>
        <w:ind w:firstLine="802"/>
        <w:spacing w:after="0" w:line="262" w:lineRule="auto"/>
        <w:tabs>
          <w:tab w:leader="none" w:pos="1286"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Register</w:t>
      </w:r>
      <w:r>
        <w:rPr>
          <w:rFonts w:ascii="Times New Roman" w:cs="Times New Roman" w:eastAsia="Times New Roman" w:hAnsi="Times New Roman"/>
          <w:sz w:val="19"/>
          <w:szCs w:val="19"/>
          <w:color w:val="auto"/>
        </w:rPr>
        <w:t>. Administrative Agent, acting solely for this purpose as a non-fiduciary agent of Borrower (and such agency being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solely for tax purposes), shall maintain at Administrative Agent’s Office a copy of each Assignment and Assumption delivered to it and a register for the recordation of the names and addresses of Lenders, and the Commitments of, and principal amounts of the Loans and L/C Exposure owing to, each Lender pursuant to the terms hereof from time to time (the “</w:t>
      </w:r>
      <w:r>
        <w:rPr>
          <w:rFonts w:ascii="Times New Roman" w:cs="Times New Roman" w:eastAsia="Times New Roman" w:hAnsi="Times New Roman"/>
          <w:sz w:val="19"/>
          <w:szCs w:val="19"/>
          <w:b w:val="1"/>
          <w:bCs w:val="1"/>
          <w:i w:val="1"/>
          <w:iCs w:val="1"/>
          <w:color w:val="auto"/>
        </w:rPr>
        <w:t>Register</w:t>
      </w:r>
      <w:r>
        <w:rPr>
          <w:rFonts w:ascii="Times New Roman" w:cs="Times New Roman" w:eastAsia="Times New Roman" w:hAnsi="Times New Roman"/>
          <w:sz w:val="19"/>
          <w:szCs w:val="19"/>
          <w:color w:val="auto"/>
        </w:rPr>
        <w:t>”). The entries in the Register shall be conclusive absent manifest error, and Borrower, Administrative Agent and Lenders may treat each Person whose name is recorded in the Register pursuant to the terms hereof as a Lender hereunder for all purposes of this Agreement, notwithstanding notice to the contrary. In addition, Administrative Agent shall maintain on the Register information regarding the designation, and revocation of designation, of any Lender as a Defaulting Lender. The Register shall be available for inspection by Borrower and any Lender at any reasonable time and from time to time upon reasonable prior notice.</w:t>
      </w:r>
    </w:p>
    <w:p>
      <w:pPr>
        <w:spacing w:after="0" w:line="200" w:lineRule="exact"/>
        <w:rPr>
          <w:rFonts w:ascii="Times New Roman" w:cs="Times New Roman" w:eastAsia="Times New Roman" w:hAnsi="Times New Roman"/>
          <w:sz w:val="19"/>
          <w:szCs w:val="19"/>
          <w:color w:val="auto"/>
        </w:rPr>
      </w:pPr>
    </w:p>
    <w:p>
      <w:pPr>
        <w:spacing w:after="0" w:line="213" w:lineRule="exact"/>
        <w:rPr>
          <w:rFonts w:ascii="Times New Roman" w:cs="Times New Roman" w:eastAsia="Times New Roman" w:hAnsi="Times New Roman"/>
          <w:sz w:val="19"/>
          <w:szCs w:val="19"/>
          <w:color w:val="auto"/>
        </w:rPr>
      </w:pPr>
    </w:p>
    <w:p>
      <w:pPr>
        <w:jc w:val="both"/>
        <w:ind w:firstLine="802"/>
        <w:spacing w:after="0" w:line="264" w:lineRule="auto"/>
        <w:tabs>
          <w:tab w:leader="none" w:pos="1323"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Participations</w:t>
      </w:r>
      <w:r>
        <w:rPr>
          <w:rFonts w:ascii="Times New Roman" w:cs="Times New Roman" w:eastAsia="Times New Roman" w:hAnsi="Times New Roman"/>
          <w:sz w:val="19"/>
          <w:szCs w:val="19"/>
          <w:color w:val="auto"/>
        </w:rPr>
        <w:t>. Any Lender may at any time, without the consent of, or notice to, Borrower or Administrative Agent, sell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participations to any Person (other than a natural person, a Defaulting Lender, Borrower, or any of Borrower’s Affiliates or Subsidiaries) (each, a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xml:space="preserve">”) in all or a portion of such Lender’s rights and/or obligations under this Agreement (including all or a portion of its Commitment and/or the Loans (including such Lender’s participations in L/C Exposure) owing to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(i) such Lender’s obligations under this Agreement shall remain unchanged, (ii) such Lender shall remain solely responsible to the other parties hereto for the performance of such obligations and (iii) Borrower, Administrative Agent, Lenders, and the L/C Issuers shall continue to deal solely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121</w:t>
      </w:r>
    </w:p>
    <w:p>
      <w:pPr>
        <w:sectPr>
          <w:pgSz w:w="11900" w:h="16838" w:orient="portrait"/>
          <w:cols w:equalWidth="0" w:num="1">
            <w:col w:w="11240"/>
          </w:cols>
          <w:pgMar w:left="320" w:top="1390" w:right="339" w:bottom="1440" w:gutter="0" w:footer="0" w:header="0"/>
        </w:sectPr>
      </w:pPr>
    </w:p>
    <w:bookmarkStart w:id="235" w:name="page236"/>
    <w:bookmarkEnd w:id="235"/>
    <w:p>
      <w:pPr>
        <w:jc w:val="both"/>
        <w:spacing w:after="0" w:line="257" w:lineRule="auto"/>
        <w:rPr>
          <w:sz w:val="20"/>
          <w:szCs w:val="20"/>
          <w:color w:val="auto"/>
        </w:rPr>
      </w:pPr>
      <w:r>
        <w:rPr>
          <w:rFonts w:ascii="Times New Roman" w:cs="Times New Roman" w:eastAsia="Times New Roman" w:hAnsi="Times New Roman"/>
          <w:sz w:val="19"/>
          <w:szCs w:val="19"/>
          <w:color w:val="auto"/>
        </w:rPr>
        <w:t xml:space="preserve">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9"/>
          <w:szCs w:val="19"/>
          <w:b w:val="1"/>
          <w:bCs w:val="1"/>
          <w:i w:val="1"/>
          <w:iCs w:val="1"/>
          <w:color w:val="auto"/>
        </w:rPr>
        <w:t>Sections 15.4</w:t>
      </w:r>
      <w:r>
        <w:rPr>
          <w:rFonts w:ascii="Times New Roman" w:cs="Times New Roman" w:eastAsia="Times New Roman" w:hAnsi="Times New Roman"/>
          <w:sz w:val="19"/>
          <w:szCs w:val="19"/>
          <w:color w:val="auto"/>
        </w:rPr>
        <w:t xml:space="preserve"> without regard to the existence of any participation.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9"/>
          <w:szCs w:val="19"/>
          <w:b w:val="1"/>
          <w:bCs w:val="1"/>
          <w:i w:val="1"/>
          <w:iCs w:val="1"/>
          <w:color w:val="auto"/>
        </w:rPr>
        <w:t>Section 15.9</w:t>
      </w:r>
      <w:r>
        <w:rPr>
          <w:rFonts w:ascii="Times New Roman" w:cs="Times New Roman" w:eastAsia="Times New Roman" w:hAnsi="Times New Roman"/>
          <w:sz w:val="19"/>
          <w:szCs w:val="19"/>
          <w:color w:val="auto"/>
        </w:rPr>
        <w:t xml:space="preserve"> that affects such Participant. Subject to </w:t>
      </w:r>
      <w:r>
        <w:rPr>
          <w:rFonts w:ascii="Times New Roman" w:cs="Times New Roman" w:eastAsia="Times New Roman" w:hAnsi="Times New Roman"/>
          <w:sz w:val="19"/>
          <w:szCs w:val="19"/>
          <w:b w:val="1"/>
          <w:bCs w:val="1"/>
          <w:i w:val="1"/>
          <w:iCs w:val="1"/>
          <w:color w:val="auto"/>
        </w:rPr>
        <w:t>subsection (e)</w:t>
      </w:r>
      <w:r>
        <w:rPr>
          <w:rFonts w:ascii="Times New Roman" w:cs="Times New Roman" w:eastAsia="Times New Roman" w:hAnsi="Times New Roman"/>
          <w:sz w:val="19"/>
          <w:szCs w:val="19"/>
          <w:color w:val="auto"/>
        </w:rPr>
        <w:t xml:space="preserve"> of this Section, Borrower agrees that each Participant shall be entitled to the benefits of </w:t>
      </w:r>
      <w:r>
        <w:rPr>
          <w:rFonts w:ascii="Times New Roman" w:cs="Times New Roman" w:eastAsia="Times New Roman" w:hAnsi="Times New Roman"/>
          <w:sz w:val="19"/>
          <w:szCs w:val="19"/>
          <w:b w:val="1"/>
          <w:bCs w:val="1"/>
          <w:i w:val="1"/>
          <w:iCs w:val="1"/>
          <w:color w:val="auto"/>
        </w:rPr>
        <w:t>Sections 4.1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4.4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4.5</w:t>
      </w:r>
      <w:r>
        <w:rPr>
          <w:rFonts w:ascii="Times New Roman" w:cs="Times New Roman" w:eastAsia="Times New Roman" w:hAnsi="Times New Roman"/>
          <w:sz w:val="19"/>
          <w:szCs w:val="19"/>
          <w:color w:val="auto"/>
        </w:rPr>
        <w:t xml:space="preserve"> to the same extent as if it were a Lender and had acquired its interest by assignment pursuant to </w:t>
      </w:r>
      <w:r>
        <w:rPr>
          <w:rFonts w:ascii="Times New Roman" w:cs="Times New Roman" w:eastAsia="Times New Roman" w:hAnsi="Times New Roman"/>
          <w:sz w:val="19"/>
          <w:szCs w:val="19"/>
          <w:b w:val="1"/>
          <w:bCs w:val="1"/>
          <w:i w:val="1"/>
          <w:iCs w:val="1"/>
          <w:color w:val="auto"/>
        </w:rPr>
        <w:t>subsection (b)</w:t>
      </w:r>
      <w:r>
        <w:rPr>
          <w:rFonts w:ascii="Times New Roman" w:cs="Times New Roman" w:eastAsia="Times New Roman" w:hAnsi="Times New Roman"/>
          <w:sz w:val="19"/>
          <w:szCs w:val="19"/>
          <w:color w:val="auto"/>
        </w:rPr>
        <w:t xml:space="preserve"> of this Section (it being understood that the documentation required under </w:t>
      </w:r>
      <w:r>
        <w:rPr>
          <w:rFonts w:ascii="Times New Roman" w:cs="Times New Roman" w:eastAsia="Times New Roman" w:hAnsi="Times New Roman"/>
          <w:sz w:val="19"/>
          <w:szCs w:val="19"/>
          <w:b w:val="1"/>
          <w:bCs w:val="1"/>
          <w:i w:val="1"/>
          <w:iCs w:val="1"/>
          <w:color w:val="auto"/>
        </w:rPr>
        <w:t>Section 4.1(e)</w:t>
      </w:r>
      <w:r>
        <w:rPr>
          <w:rFonts w:ascii="Times New Roman" w:cs="Times New Roman" w:eastAsia="Times New Roman" w:hAnsi="Times New Roman"/>
          <w:sz w:val="19"/>
          <w:szCs w:val="19"/>
          <w:color w:val="auto"/>
        </w:rPr>
        <w:t xml:space="preserve"> shall be delivered to the Lender who sells the participation) to the same extent as if it were a Lender and had acquired its interest by assignment pursuant to paragraph (b) of this Section;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Participant (A) agrees to be subject to the provisions of </w:t>
      </w:r>
      <w:r>
        <w:rPr>
          <w:rFonts w:ascii="Times New Roman" w:cs="Times New Roman" w:eastAsia="Times New Roman" w:hAnsi="Times New Roman"/>
          <w:sz w:val="19"/>
          <w:szCs w:val="19"/>
          <w:b w:val="1"/>
          <w:bCs w:val="1"/>
          <w:i w:val="1"/>
          <w:iCs w:val="1"/>
          <w:color w:val="auto"/>
        </w:rPr>
        <w:t>Sections 4.6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15.14</w:t>
      </w:r>
      <w:r>
        <w:rPr>
          <w:rFonts w:ascii="Times New Roman" w:cs="Times New Roman" w:eastAsia="Times New Roman" w:hAnsi="Times New Roman"/>
          <w:sz w:val="19"/>
          <w:szCs w:val="19"/>
          <w:color w:val="auto"/>
        </w:rPr>
        <w:t xml:space="preserve"> as if it were an assignee under </w:t>
      </w:r>
      <w:r>
        <w:rPr>
          <w:rFonts w:ascii="Times New Roman" w:cs="Times New Roman" w:eastAsia="Times New Roman" w:hAnsi="Times New Roman"/>
          <w:sz w:val="19"/>
          <w:szCs w:val="19"/>
          <w:b w:val="1"/>
          <w:bCs w:val="1"/>
          <w:i w:val="1"/>
          <w:iCs w:val="1"/>
          <w:color w:val="auto"/>
        </w:rPr>
        <w:t>paragraph (b)</w:t>
      </w:r>
      <w:r>
        <w:rPr>
          <w:rFonts w:ascii="Times New Roman" w:cs="Times New Roman" w:eastAsia="Times New Roman" w:hAnsi="Times New Roman"/>
          <w:sz w:val="19"/>
          <w:szCs w:val="19"/>
          <w:color w:val="auto"/>
        </w:rPr>
        <w:t xml:space="preserve"> of this Section and (B) shall not be entitled to receive any greater payment under </w:t>
      </w:r>
      <w:r>
        <w:rPr>
          <w:rFonts w:ascii="Times New Roman" w:cs="Times New Roman" w:eastAsia="Times New Roman" w:hAnsi="Times New Roman"/>
          <w:sz w:val="19"/>
          <w:szCs w:val="19"/>
          <w:b w:val="1"/>
          <w:bCs w:val="1"/>
          <w:i w:val="1"/>
          <w:iCs w:val="1"/>
          <w:color w:val="auto"/>
        </w:rPr>
        <w:t>Sections 4.1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4.4</w:t>
      </w:r>
      <w:r>
        <w:rPr>
          <w:rFonts w:ascii="Times New Roman" w:cs="Times New Roman" w:eastAsia="Times New Roman" w:hAnsi="Times New Roman"/>
          <w:sz w:val="19"/>
          <w:szCs w:val="19"/>
          <w:color w:val="auto"/>
        </w:rPr>
        <w:t xml:space="preserve">, with respect to any participation, than the Lender from whom it acquired the applicable participation would have been entitled to receive. Each Lender that sells a participation agrees, at Borrower’s request and expense, to use reasonable efforts to cooperate with Borrower to effectuate the provisions of </w:t>
      </w:r>
      <w:r>
        <w:rPr>
          <w:rFonts w:ascii="Times New Roman" w:cs="Times New Roman" w:eastAsia="Times New Roman" w:hAnsi="Times New Roman"/>
          <w:sz w:val="19"/>
          <w:szCs w:val="19"/>
          <w:b w:val="1"/>
          <w:bCs w:val="1"/>
          <w:i w:val="1"/>
          <w:iCs w:val="1"/>
          <w:color w:val="auto"/>
        </w:rPr>
        <w:t>Section 4.6</w:t>
      </w:r>
      <w:r>
        <w:rPr>
          <w:rFonts w:ascii="Times New Roman" w:cs="Times New Roman" w:eastAsia="Times New Roman" w:hAnsi="Times New Roman"/>
          <w:sz w:val="19"/>
          <w:szCs w:val="19"/>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9"/>
          <w:szCs w:val="19"/>
          <w:b w:val="1"/>
          <w:bCs w:val="1"/>
          <w:i w:val="1"/>
          <w:iCs w:val="1"/>
          <w:color w:val="auto"/>
        </w:rPr>
        <w:t>Section 15.13</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such Participant agrees to be subject to </w:t>
      </w:r>
      <w:r>
        <w:rPr>
          <w:rFonts w:ascii="Times New Roman" w:cs="Times New Roman" w:eastAsia="Times New Roman" w:hAnsi="Times New Roman"/>
          <w:sz w:val="19"/>
          <w:szCs w:val="19"/>
          <w:b w:val="1"/>
          <w:bCs w:val="1"/>
          <w:i w:val="1"/>
          <w:iCs w:val="1"/>
          <w:color w:val="auto"/>
        </w:rPr>
        <w:t>Section 3.12</w:t>
      </w:r>
      <w:r>
        <w:rPr>
          <w:rFonts w:ascii="Times New Roman" w:cs="Times New Roman" w:eastAsia="Times New Roman" w:hAnsi="Times New Roman"/>
          <w:sz w:val="19"/>
          <w:szCs w:val="19"/>
          <w:color w:val="auto"/>
        </w:rPr>
        <w:t xml:space="preserve"> as though it were a Lender. Each Lender that sells a participation shall, acting solely for this purpose as an agent of Borrower, maintain a register on which it enters the name and address of each Participant and the principal amounts (and stated interest) of each Participant’s interest in the Loans or other obligations under the Loan Papers (the “</w:t>
      </w:r>
      <w:r>
        <w:rPr>
          <w:rFonts w:ascii="Times New Roman" w:cs="Times New Roman" w:eastAsia="Times New Roman" w:hAnsi="Times New Roman"/>
          <w:sz w:val="19"/>
          <w:szCs w:val="19"/>
          <w:b w:val="1"/>
          <w:bCs w:val="1"/>
          <w:i w:val="1"/>
          <w:iCs w:val="1"/>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Paper) to any Person except to the extent that such disclosure is necessary to establish that such commitment, loan, letter of credit or other obligation is in registered form under </w:t>
      </w:r>
      <w:r>
        <w:rPr>
          <w:rFonts w:ascii="Times New Roman" w:cs="Times New Roman" w:eastAsia="Times New Roman" w:hAnsi="Times New Roman"/>
          <w:sz w:val="19"/>
          <w:szCs w:val="19"/>
          <w:i w:val="1"/>
          <w:iCs w:val="1"/>
          <w:color w:val="auto"/>
        </w:rPr>
        <w:t>Section 5f.103-1(c)</w:t>
      </w:r>
      <w:r>
        <w:rPr>
          <w:rFonts w:ascii="Times New Roman" w:cs="Times New Roman" w:eastAsia="Times New Roman" w:hAnsi="Times New Roman"/>
          <w:sz w:val="19"/>
          <w:szCs w:val="19"/>
          <w:color w:val="auto"/>
        </w:rPr>
        <w:t xml:space="preserve">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200" w:lineRule="exact"/>
        <w:rPr>
          <w:sz w:val="20"/>
          <w:szCs w:val="20"/>
          <w:color w:val="auto"/>
        </w:rPr>
      </w:pPr>
    </w:p>
    <w:p>
      <w:pPr>
        <w:spacing w:after="0" w:line="230" w:lineRule="exact"/>
        <w:rPr>
          <w:sz w:val="20"/>
          <w:szCs w:val="20"/>
          <w:color w:val="auto"/>
        </w:rPr>
      </w:pPr>
    </w:p>
    <w:p>
      <w:pPr>
        <w:jc w:val="both"/>
        <w:ind w:firstLine="802"/>
        <w:spacing w:after="0" w:line="271" w:lineRule="auto"/>
        <w:tabs>
          <w:tab w:leader="none" w:pos="1246"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Certain Pledges</w:t>
      </w:r>
      <w:r>
        <w:rPr>
          <w:rFonts w:ascii="Times New Roman" w:cs="Times New Roman" w:eastAsia="Times New Roman" w:hAnsi="Times New Roman"/>
          <w:sz w:val="19"/>
          <w:szCs w:val="19"/>
          <w:color w:val="auto"/>
        </w:rPr>
        <w:t>. Any Lender may at any time pledge or assign a security interest in all or any portion of its rights under this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Agreement (including under its Note, if any) to secure obligations of such Lender, including any pledge or assignment to secure obligations to a Federal Reserve Bank or any other central bank;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no such pledge or assignment shall release such Lender from any of its obligations hereunder or substitute any such pledgee or assignee for such Lender as a party hereto.</w:t>
      </w:r>
    </w:p>
    <w:p>
      <w:pPr>
        <w:spacing w:after="0" w:line="154" w:lineRule="exact"/>
        <w:rPr>
          <w:rFonts w:ascii="Times New Roman" w:cs="Times New Roman" w:eastAsia="Times New Roman" w:hAnsi="Times New Roman"/>
          <w:sz w:val="19"/>
          <w:szCs w:val="19"/>
          <w:color w:val="auto"/>
        </w:rPr>
      </w:pPr>
    </w:p>
    <w:p>
      <w:pPr>
        <w:jc w:val="both"/>
        <w:ind w:firstLine="802"/>
        <w:spacing w:after="0" w:line="264" w:lineRule="auto"/>
        <w:tabs>
          <w:tab w:leader="none" w:pos="1198"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Resignation as L/C Issuer after Assignment</w:t>
      </w:r>
      <w:r>
        <w:rPr>
          <w:rFonts w:ascii="Times New Roman" w:cs="Times New Roman" w:eastAsia="Times New Roman" w:hAnsi="Times New Roman"/>
          <w:sz w:val="19"/>
          <w:szCs w:val="19"/>
          <w:color w:val="auto"/>
        </w:rPr>
        <w:t>. Notwithstanding anything to the contrary contained herein, if at any time any L/C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Issuer assigns all of its Commitment and Loans pursuant to </w:t>
      </w:r>
      <w:r>
        <w:rPr>
          <w:rFonts w:ascii="Times New Roman" w:cs="Times New Roman" w:eastAsia="Times New Roman" w:hAnsi="Times New Roman"/>
          <w:sz w:val="19"/>
          <w:szCs w:val="19"/>
          <w:b w:val="1"/>
          <w:bCs w:val="1"/>
          <w:i w:val="1"/>
          <w:iCs w:val="1"/>
          <w:color w:val="auto"/>
        </w:rPr>
        <w:t>subsection (b)</w:t>
      </w:r>
      <w:r>
        <w:rPr>
          <w:rFonts w:ascii="Times New Roman" w:cs="Times New Roman" w:eastAsia="Times New Roman" w:hAnsi="Times New Roman"/>
          <w:sz w:val="19"/>
          <w:szCs w:val="19"/>
          <w:color w:val="auto"/>
        </w:rPr>
        <w:t xml:space="preserve"> above, such L/C Issuer may, upon 30 days’ notice to Borrower and Lenders, resign as an L/C Issuer. In the event of any such resignation as an L/C Issuer, Borrower shall be entitled to appoint from among Lenders a successor L/C Issuer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 failure by Borrower to appoint any such successor shall affect the resignation of such L/C Issuer. If an L/C Issuer resigns, it shall retain all the rights, powers, privileges, and duties of an L/C Issuer hereunder with respect to all L/C outstanding as of the effective date of its resignation as an L/C Issuer and all L/C Exposure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122</w:t>
      </w:r>
    </w:p>
    <w:p>
      <w:pPr>
        <w:sectPr>
          <w:pgSz w:w="11900" w:h="16838" w:orient="portrait"/>
          <w:cols w:equalWidth="0" w:num="1">
            <w:col w:w="11240"/>
          </w:cols>
          <w:pgMar w:left="320" w:top="1390" w:right="339" w:bottom="1440" w:gutter="0" w:footer="0" w:header="0"/>
        </w:sectPr>
      </w:pPr>
    </w:p>
    <w:bookmarkStart w:id="236" w:name="page237"/>
    <w:bookmarkEnd w:id="236"/>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thereto (including the right to require Lenders to make Base Rate Loans, Daily SOFR Rate Loans or fund risk participations in unreimbursed amounts pursuant to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color w:val="auto"/>
        </w:rPr>
        <w:t>). Upon the appointment of a successor L/C Issuer, (a) such successor shall succeed to and become vested with all of the rights, powers, privileges, and duties of the retiring L/C Issuer, and (b) the successor L/C Issuer shall issue letters of credit in substitution for the L/Cs, if any, outstanding at the time of such succession or make other arrangements satisfactory to the resigning L/C Issuer to effectively assume the obligations of such resigning L/C Issuer with respect to such L/Cs.</w:t>
      </w:r>
    </w:p>
    <w:p>
      <w:pPr>
        <w:spacing w:after="0" w:line="178"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color w:val="auto"/>
        </w:rPr>
        <w:t xml:space="preserve">15.12. </w:t>
      </w:r>
      <w:r>
        <w:rPr>
          <w:rFonts w:ascii="Times New Roman" w:cs="Times New Roman" w:eastAsia="Times New Roman" w:hAnsi="Times New Roman"/>
          <w:sz w:val="19"/>
          <w:szCs w:val="19"/>
          <w:u w:val="single" w:color="auto"/>
          <w:color w:val="auto"/>
        </w:rPr>
        <w:t>Payments Set Aside</w:t>
      </w:r>
      <w:r>
        <w:rPr>
          <w:rFonts w:ascii="Times New Roman" w:cs="Times New Roman" w:eastAsia="Times New Roman" w:hAnsi="Times New Roman"/>
          <w:sz w:val="19"/>
          <w:szCs w:val="19"/>
          <w:color w:val="auto"/>
        </w:rPr>
        <w:t xml:space="preserve">. To the extent that any payment by or on behalf of Borrower or any other obligor on the Obligation under any Loan Paper is made to Administrative Agent, either L/C Issuer, or any Lender, or Administrative Agent, either L/C Issuer, or any Lender exercises its Right of setoff, and such payment or the proceeds of such setoff or any part thereof is subsequently invalidated, declared to be fraudulent or preferential, set aside, or required (including pursuant to any settlement entered into by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Rate from time to time in effect. The obligations of Lenders and the L/C Issuers under </w:t>
      </w:r>
      <w:r>
        <w:rPr>
          <w:rFonts w:ascii="Times New Roman" w:cs="Times New Roman" w:eastAsia="Times New Roman" w:hAnsi="Times New Roman"/>
          <w:sz w:val="19"/>
          <w:szCs w:val="19"/>
          <w:b w:val="1"/>
          <w:bCs w:val="1"/>
          <w:i w:val="1"/>
          <w:iCs w:val="1"/>
          <w:color w:val="auto"/>
        </w:rPr>
        <w:t>clause (b)</w:t>
      </w:r>
      <w:r>
        <w:rPr>
          <w:rFonts w:ascii="Times New Roman" w:cs="Times New Roman" w:eastAsia="Times New Roman" w:hAnsi="Times New Roman"/>
          <w:sz w:val="19"/>
          <w:szCs w:val="19"/>
          <w:color w:val="auto"/>
        </w:rPr>
        <w:t xml:space="preserve"> of the preceding sentence shall survive the payment in full of the Obligation and the termination of this Agreement.</w:t>
      </w:r>
    </w:p>
    <w:p>
      <w:pPr>
        <w:spacing w:after="0" w:line="182" w:lineRule="exact"/>
        <w:rPr>
          <w:sz w:val="20"/>
          <w:szCs w:val="20"/>
          <w:color w:val="auto"/>
        </w:rPr>
      </w:pPr>
    </w:p>
    <w:p>
      <w:pPr>
        <w:jc w:val="both"/>
        <w:ind w:firstLine="637"/>
        <w:spacing w:after="0" w:line="259" w:lineRule="auto"/>
        <w:rPr>
          <w:sz w:val="20"/>
          <w:szCs w:val="20"/>
          <w:color w:val="auto"/>
        </w:rPr>
      </w:pPr>
      <w:r>
        <w:rPr>
          <w:rFonts w:ascii="Times New Roman" w:cs="Times New Roman" w:eastAsia="Times New Roman" w:hAnsi="Times New Roman"/>
          <w:sz w:val="19"/>
          <w:szCs w:val="19"/>
          <w:color w:val="auto"/>
        </w:rPr>
        <w:t xml:space="preserve">15.13. </w:t>
      </w:r>
      <w:r>
        <w:rPr>
          <w:rFonts w:ascii="Times New Roman" w:cs="Times New Roman" w:eastAsia="Times New Roman" w:hAnsi="Times New Roman"/>
          <w:sz w:val="19"/>
          <w:szCs w:val="19"/>
          <w:u w:val="single" w:color="auto"/>
          <w:color w:val="auto"/>
        </w:rPr>
        <w:t>Right of Setoff</w:t>
      </w:r>
      <w:r>
        <w:rPr>
          <w:rFonts w:ascii="Times New Roman" w:cs="Times New Roman" w:eastAsia="Times New Roman" w:hAnsi="Times New Roman"/>
          <w:sz w:val="19"/>
          <w:szCs w:val="19"/>
          <w:color w:val="auto"/>
        </w:rPr>
        <w:t xml:space="preserve">. If a Default shall have occurred and be continuing, each Lender, the L/C Issuers,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applicable L/C Issuer, or any such Affiliate to or for the credit or the account of Borrower or any other Company against any and all of the obligations of Borrower or such other Company now or hereafter existing under this Agreement or any other Loan Paper to such Lender or the applicable L/C Issuer, irrespective of whether or not such Lender or the applicable L/C Issuer shall have made any demand under this Agreement or any other Loan Paper and although such obligations of Borrower or such other Company may be contingent or unmatured or are owed to a branch or office of such Lender or the applicable L/C Issuer different from the branch or office holding such deposit or obligated on such indebtedness. The rights of each Lender, each L/C Issuer, and their respective Affiliates under this Section are in addition to other rights and remedies (including other rights of setoff) that such Lender, the applicable L/C Issuer, or their respective Affiliates may have. Each Lender and each L/C Issuer agrees to notify Borrower and Administrative Agent promptly after any such setoff and application,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the failure to give such notice shall not affect the validity of such setoff and application.</w:t>
      </w:r>
    </w:p>
    <w:p>
      <w:pPr>
        <w:spacing w:after="0" w:line="182"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9"/>
          <w:szCs w:val="19"/>
          <w:color w:val="auto"/>
        </w:rPr>
        <w:t xml:space="preserve">15.14. </w:t>
      </w: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 xml:space="preserve">. Under any circumstances set forth in this Agreement providing that Borrower shall have the right to replace a Lender as a party to this Agreement, including, without limitation, if any Lender requests compensation under </w:t>
      </w:r>
      <w:r>
        <w:rPr>
          <w:rFonts w:ascii="Times New Roman" w:cs="Times New Roman" w:eastAsia="Times New Roman" w:hAnsi="Times New Roman"/>
          <w:sz w:val="19"/>
          <w:szCs w:val="19"/>
          <w:b w:val="1"/>
          <w:bCs w:val="1"/>
          <w:i w:val="1"/>
          <w:iCs w:val="1"/>
          <w:color w:val="auto"/>
        </w:rPr>
        <w:t>Section 4.4</w:t>
      </w:r>
      <w:r>
        <w:rPr>
          <w:rFonts w:ascii="Times New Roman" w:cs="Times New Roman" w:eastAsia="Times New Roman" w:hAnsi="Times New Roman"/>
          <w:sz w:val="19"/>
          <w:szCs w:val="19"/>
          <w:color w:val="auto"/>
        </w:rPr>
        <w:t xml:space="preserve">, or if Borrower is required to pay any additional amount to any Lender or any Governmental Authority for the account of any Lender pursuant to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or if any Lender is a Defaulting Lender or a Non-Consenting Lender, then Borrower may, at its sole expense and effort, upon notice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 such Lender and Administrative Agent, require such Lender to assign and delegate, without recourse (in accordance with and subject to the restrictions contained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123</w:t>
      </w:r>
    </w:p>
    <w:p>
      <w:pPr>
        <w:sectPr>
          <w:pgSz w:w="11900" w:h="16838" w:orient="portrait"/>
          <w:cols w:equalWidth="0" w:num="1">
            <w:col w:w="11240"/>
          </w:cols>
          <w:pgMar w:left="320" w:top="1390" w:right="339" w:bottom="1440" w:gutter="0" w:footer="0" w:header="0"/>
        </w:sectPr>
      </w:pPr>
    </w:p>
    <w:bookmarkStart w:id="237" w:name="page238"/>
    <w:bookmarkEnd w:id="237"/>
    <w:p>
      <w:pPr>
        <w:jc w:val="both"/>
        <w:spacing w:after="0" w:line="276" w:lineRule="auto"/>
        <w:rPr>
          <w:sz w:val="20"/>
          <w:szCs w:val="20"/>
          <w:color w:val="auto"/>
        </w:rPr>
      </w:pPr>
      <w:r>
        <w:rPr>
          <w:rFonts w:ascii="Times New Roman" w:cs="Times New Roman" w:eastAsia="Times New Roman" w:hAnsi="Times New Roman"/>
          <w:sz w:val="19"/>
          <w:szCs w:val="19"/>
          <w:color w:val="auto"/>
        </w:rPr>
        <w:t xml:space="preserve">and consents required by, </w:t>
      </w:r>
      <w:r>
        <w:rPr>
          <w:rFonts w:ascii="Times New Roman" w:cs="Times New Roman" w:eastAsia="Times New Roman" w:hAnsi="Times New Roman"/>
          <w:sz w:val="19"/>
          <w:szCs w:val="19"/>
          <w:b w:val="1"/>
          <w:bCs w:val="1"/>
          <w:i w:val="1"/>
          <w:iCs w:val="1"/>
          <w:color w:val="auto"/>
        </w:rPr>
        <w:t>Section 15.11</w:t>
      </w:r>
      <w:r>
        <w:rPr>
          <w:rFonts w:ascii="Times New Roman" w:cs="Times New Roman" w:eastAsia="Times New Roman" w:hAnsi="Times New Roman"/>
          <w:sz w:val="19"/>
          <w:szCs w:val="19"/>
          <w:color w:val="auto"/>
        </w:rPr>
        <w:t xml:space="preserve">), all of its interests, rights (other than its existing rights to payments pursuant to </w:t>
      </w:r>
      <w:r>
        <w:rPr>
          <w:rFonts w:ascii="Times New Roman" w:cs="Times New Roman" w:eastAsia="Times New Roman" w:hAnsi="Times New Roman"/>
          <w:sz w:val="19"/>
          <w:szCs w:val="19"/>
          <w:b w:val="1"/>
          <w:bCs w:val="1"/>
          <w:i w:val="1"/>
          <w:iCs w:val="1"/>
          <w:color w:val="auto"/>
        </w:rPr>
        <w:t>Sections 4.1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4.4</w:t>
      </w:r>
      <w:r>
        <w:rPr>
          <w:rFonts w:ascii="Times New Roman" w:cs="Times New Roman" w:eastAsia="Times New Roman" w:hAnsi="Times New Roman"/>
          <w:sz w:val="19"/>
          <w:szCs w:val="19"/>
          <w:color w:val="auto"/>
        </w:rPr>
        <w:t xml:space="preserve">), and obligations under this Agreement and the related Loan Papers to an assignee that shall assume such obligations (which assignee may be another Lender, if a Lender accepts such assignment),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left="1400" w:hanging="404"/>
        <w:spacing w:after="0"/>
        <w:tabs>
          <w:tab w:leader="none" w:pos="1400"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shall have paid to Administrative Agent the assignment fee specified in </w:t>
      </w:r>
      <w:r>
        <w:rPr>
          <w:rFonts w:ascii="Times New Roman" w:cs="Times New Roman" w:eastAsia="Times New Roman" w:hAnsi="Times New Roman"/>
          <w:sz w:val="19"/>
          <w:szCs w:val="19"/>
          <w:b w:val="1"/>
          <w:bCs w:val="1"/>
          <w:i w:val="1"/>
          <w:iCs w:val="1"/>
          <w:color w:val="auto"/>
        </w:rPr>
        <w:t>Section 15.11(b)</w:t>
      </w:r>
      <w:r>
        <w:rPr>
          <w:rFonts w:ascii="Times New Roman" w:cs="Times New Roman" w:eastAsia="Times New Roman" w:hAnsi="Times New Roman"/>
          <w:sz w:val="19"/>
          <w:szCs w:val="19"/>
          <w:color w:val="auto"/>
        </w:rPr>
        <w:t>;</w:t>
      </w:r>
    </w:p>
    <w:p>
      <w:pPr>
        <w:spacing w:after="0" w:line="223" w:lineRule="exact"/>
        <w:rPr>
          <w:rFonts w:ascii="Times New Roman" w:cs="Times New Roman" w:eastAsia="Times New Roman" w:hAnsi="Times New Roman"/>
          <w:sz w:val="19"/>
          <w:szCs w:val="19"/>
          <w:color w:val="auto"/>
        </w:rPr>
      </w:pPr>
    </w:p>
    <w:p>
      <w:pPr>
        <w:jc w:val="both"/>
        <w:ind w:left="640" w:firstLine="398"/>
        <w:spacing w:after="0" w:line="270" w:lineRule="auto"/>
        <w:tabs>
          <w:tab w:leader="none" w:pos="1497" w:val="left"/>
        </w:tabs>
        <w:numPr>
          <w:ilvl w:val="1"/>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Lender shall have received payment of an amount equal to the outstanding principal of its Loans and participations in L/C Borrowings, accrued interest thereon, accrued fees, and all other amounts payable to it hereunder and under the other Loan Papers (including any amounts under </w:t>
      </w:r>
      <w:r>
        <w:rPr>
          <w:rFonts w:ascii="Times New Roman" w:cs="Times New Roman" w:eastAsia="Times New Roman" w:hAnsi="Times New Roman"/>
          <w:sz w:val="19"/>
          <w:szCs w:val="19"/>
          <w:b w:val="1"/>
          <w:bCs w:val="1"/>
          <w:i w:val="1"/>
          <w:iCs w:val="1"/>
          <w:color w:val="auto"/>
        </w:rPr>
        <w:t>Section 4.5</w:t>
      </w:r>
      <w:r>
        <w:rPr>
          <w:rFonts w:ascii="Times New Roman" w:cs="Times New Roman" w:eastAsia="Times New Roman" w:hAnsi="Times New Roman"/>
          <w:sz w:val="19"/>
          <w:szCs w:val="19"/>
          <w:color w:val="auto"/>
        </w:rPr>
        <w:t>) from the assignee (to the extent of such outstanding principal and accrued interest and fees) or Borrower (in the case of all other amounts);</w:t>
      </w:r>
    </w:p>
    <w:p>
      <w:pPr>
        <w:spacing w:after="0" w:line="166" w:lineRule="exact"/>
        <w:rPr>
          <w:rFonts w:ascii="Times New Roman" w:cs="Times New Roman" w:eastAsia="Times New Roman" w:hAnsi="Times New Roman"/>
          <w:sz w:val="19"/>
          <w:szCs w:val="19"/>
          <w:color w:val="auto"/>
        </w:rPr>
      </w:pPr>
    </w:p>
    <w:p>
      <w:pPr>
        <w:ind w:left="640" w:firstLine="414"/>
        <w:spacing w:after="0" w:line="290" w:lineRule="auto"/>
        <w:tabs>
          <w:tab w:leader="none" w:pos="1520" w:val="left"/>
        </w:tabs>
        <w:numPr>
          <w:ilvl w:val="1"/>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any such assignment resulting from a claim for compensation under </w:t>
      </w:r>
      <w:r>
        <w:rPr>
          <w:rFonts w:ascii="Times New Roman" w:cs="Times New Roman" w:eastAsia="Times New Roman" w:hAnsi="Times New Roman"/>
          <w:sz w:val="19"/>
          <w:szCs w:val="19"/>
          <w:b w:val="1"/>
          <w:bCs w:val="1"/>
          <w:i w:val="1"/>
          <w:iCs w:val="1"/>
          <w:color w:val="auto"/>
        </w:rPr>
        <w:t>Section 4.4</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such assignment will result in a reduction in such compensation or payments thereafter;</w:t>
      </w:r>
    </w:p>
    <w:p>
      <w:pPr>
        <w:spacing w:after="0" w:line="153" w:lineRule="exact"/>
        <w:rPr>
          <w:sz w:val="20"/>
          <w:szCs w:val="20"/>
          <w:color w:val="auto"/>
        </w:rPr>
      </w:pPr>
    </w:p>
    <w:p>
      <w:pPr>
        <w:ind w:left="1420" w:hanging="424"/>
        <w:spacing w:after="0"/>
        <w:tabs>
          <w:tab w:leader="none" w:pos="1420"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assignment does not conflict with applicable Laws;</w:t>
      </w:r>
    </w:p>
    <w:p>
      <w:pPr>
        <w:spacing w:after="0" w:line="232" w:lineRule="exact"/>
        <w:rPr>
          <w:rFonts w:ascii="Times New Roman" w:cs="Times New Roman" w:eastAsia="Times New Roman" w:hAnsi="Times New Roman"/>
          <w:sz w:val="19"/>
          <w:szCs w:val="19"/>
          <w:color w:val="auto"/>
        </w:rPr>
      </w:pPr>
    </w:p>
    <w:p>
      <w:pPr>
        <w:ind w:left="640" w:firstLine="381"/>
        <w:spacing w:after="0" w:line="285" w:lineRule="auto"/>
        <w:tabs>
          <w:tab w:leader="none" w:pos="1453"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assignment resulting from a Lender becoming a Non-Consenting Lender, the applicable assignee shall have consented to the applicable amendment, waiver or consent.</w:t>
      </w:r>
    </w:p>
    <w:p>
      <w:pPr>
        <w:spacing w:after="0" w:line="158" w:lineRule="exact"/>
        <w:rPr>
          <w:sz w:val="20"/>
          <w:szCs w:val="20"/>
          <w:color w:val="auto"/>
        </w:rPr>
      </w:pPr>
    </w:p>
    <w:p>
      <w:pPr>
        <w:jc w:val="both"/>
        <w:ind w:firstLine="796"/>
        <w:spacing w:after="0" w:line="285" w:lineRule="auto"/>
        <w:rPr>
          <w:sz w:val="20"/>
          <w:szCs w:val="20"/>
          <w:color w:val="auto"/>
        </w:rPr>
      </w:pPr>
      <w:r>
        <w:rPr>
          <w:rFonts w:ascii="Times New Roman" w:cs="Times New Roman" w:eastAsia="Times New Roman" w:hAnsi="Times New Roman"/>
          <w:sz w:val="19"/>
          <w:szCs w:val="19"/>
          <w:color w:val="auto"/>
        </w:rPr>
        <w:t>A Lender shall not be required to make any such assignment or delegation if, prior thereto, as a result of a waiver by such Lender or otherwise, the circumstances entitling Borrower to require such assignment and delegation cease to apply.</w:t>
      </w:r>
    </w:p>
    <w:p>
      <w:pPr>
        <w:spacing w:after="0" w:line="158" w:lineRule="exact"/>
        <w:rPr>
          <w:sz w:val="20"/>
          <w:szCs w:val="20"/>
          <w:color w:val="auto"/>
        </w:rPr>
      </w:pPr>
    </w:p>
    <w:p>
      <w:pPr>
        <w:jc w:val="both"/>
        <w:ind w:firstLine="637"/>
        <w:spacing w:after="0" w:line="257" w:lineRule="auto"/>
        <w:rPr>
          <w:sz w:val="20"/>
          <w:szCs w:val="20"/>
          <w:color w:val="auto"/>
        </w:rPr>
      </w:pPr>
      <w:r>
        <w:rPr>
          <w:rFonts w:ascii="Times New Roman" w:cs="Times New Roman" w:eastAsia="Times New Roman" w:hAnsi="Times New Roman"/>
          <w:sz w:val="19"/>
          <w:szCs w:val="19"/>
          <w:color w:val="auto"/>
        </w:rPr>
        <w:t xml:space="preserve">15.15.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Each of Administrative Agent, Lenders, and the L/C Issuers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Paper or any action or proceeding relating to this Agreement or any other Loan Paper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derivative or other transaction under which payments are to be made by reference to Borrower and its obligations, this Agreement or payments hereunder,</w:t>
      </w:r>
    </w:p>
    <w:p>
      <w:pPr>
        <w:spacing w:after="0" w:line="9" w:lineRule="exact"/>
        <w:rPr>
          <w:sz w:val="20"/>
          <w:szCs w:val="20"/>
          <w:color w:val="auto"/>
        </w:rPr>
      </w:pPr>
    </w:p>
    <w:p>
      <w:pPr>
        <w:jc w:val="both"/>
        <w:ind w:firstLine="6"/>
        <w:spacing w:after="0" w:line="262" w:lineRule="auto"/>
        <w:tabs>
          <w:tab w:leader="none" w:pos="305"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 confidential basis to (i) any rating agency in connection with rating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Borrower, (i) to the extent such Information (x) becomes publicly available other than as a result of a breach of this section or (y) becomes available to Administrative Agent, any Lender, either L/C Issuer, or any of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124</w:t>
      </w:r>
    </w:p>
    <w:p>
      <w:pPr>
        <w:sectPr>
          <w:pgSz w:w="11900" w:h="16838" w:orient="portrait"/>
          <w:cols w:equalWidth="0" w:num="1">
            <w:col w:w="11240"/>
          </w:cols>
          <w:pgMar w:left="320" w:top="1386" w:right="339" w:bottom="1440" w:gutter="0" w:footer="0" w:header="0"/>
        </w:sectPr>
      </w:pPr>
    </w:p>
    <w:bookmarkStart w:id="238" w:name="page239"/>
    <w:bookmarkEnd w:id="238"/>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Affiliates on a nonconfidential basis from a source other than Borrower, or (j) to any direct or indirect contractual counterparty in Financial Hedges or such contractual counterparty’s professional advisor (so long as such contractual counterparty or professional advisor to such contractual counterparty agrees to be bound by the provisions of this </w:t>
      </w:r>
      <w:r>
        <w:rPr>
          <w:rFonts w:ascii="Times New Roman" w:cs="Times New Roman" w:eastAsia="Times New Roman" w:hAnsi="Times New Roman"/>
          <w:sz w:val="19"/>
          <w:szCs w:val="19"/>
          <w:b w:val="1"/>
          <w:bCs w:val="1"/>
          <w:i w:val="1"/>
          <w:iCs w:val="1"/>
          <w:color w:val="auto"/>
        </w:rPr>
        <w:t>Section 15.15</w:t>
      </w:r>
      <w:r>
        <w:rPr>
          <w:rFonts w:ascii="Times New Roman" w:cs="Times New Roman" w:eastAsia="Times New Roman" w:hAnsi="Times New Roman"/>
          <w:sz w:val="19"/>
          <w:szCs w:val="19"/>
          <w:color w:val="auto"/>
        </w:rPr>
        <w:t>). For purposes of this section, “</w:t>
      </w:r>
      <w:r>
        <w:rPr>
          <w:rFonts w:ascii="Times New Roman" w:cs="Times New Roman" w:eastAsia="Times New Roman" w:hAnsi="Times New Roman"/>
          <w:sz w:val="19"/>
          <w:szCs w:val="19"/>
          <w:b w:val="1"/>
          <w:bCs w:val="1"/>
          <w:i w:val="1"/>
          <w:iCs w:val="1"/>
          <w:color w:val="auto"/>
        </w:rPr>
        <w:t>Information</w:t>
      </w:r>
      <w:r>
        <w:rPr>
          <w:rFonts w:ascii="Times New Roman" w:cs="Times New Roman" w:eastAsia="Times New Roman" w:hAnsi="Times New Roman"/>
          <w:sz w:val="19"/>
          <w:szCs w:val="19"/>
          <w:color w:val="auto"/>
        </w:rPr>
        <w:t xml:space="preserve">” means all information received from any Restricted Company relating to any Restricted Company or any of their respective businesses, other than any such information that is available to Administrative Agent or any Lender on a nonconfidential basis prior to disclosure by any Restricted Company,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in the case of information received from a Restricted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Administrative Agent, Lenders, and the L/C Issuers acknowledges that (a) the Information may include material non-public information concerning any Company,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171" w:lineRule="exact"/>
        <w:rPr>
          <w:sz w:val="20"/>
          <w:szCs w:val="20"/>
          <w:color w:val="auto"/>
        </w:rPr>
      </w:pPr>
    </w:p>
    <w:p>
      <w:pPr>
        <w:jc w:val="both"/>
        <w:ind w:firstLine="637"/>
        <w:spacing w:after="0" w:line="267" w:lineRule="auto"/>
        <w:rPr>
          <w:sz w:val="20"/>
          <w:szCs w:val="20"/>
          <w:color w:val="auto"/>
        </w:rPr>
      </w:pPr>
      <w:r>
        <w:rPr>
          <w:rFonts w:ascii="Times New Roman" w:cs="Times New Roman" w:eastAsia="Times New Roman" w:hAnsi="Times New Roman"/>
          <w:sz w:val="19"/>
          <w:szCs w:val="19"/>
          <w:color w:val="auto"/>
        </w:rPr>
        <w:t xml:space="preserve">15.16. </w:t>
      </w:r>
      <w:r>
        <w:rPr>
          <w:rFonts w:ascii="Times New Roman" w:cs="Times New Roman" w:eastAsia="Times New Roman" w:hAnsi="Times New Roman"/>
          <w:sz w:val="19"/>
          <w:szCs w:val="19"/>
          <w:u w:val="single" w:color="auto"/>
          <w:color w:val="auto"/>
        </w:rPr>
        <w:t>No Advisory or Fiduciary Responsibility</w:t>
      </w:r>
      <w:r>
        <w:rPr>
          <w:rFonts w:ascii="Times New Roman" w:cs="Times New Roman" w:eastAsia="Times New Roman" w:hAnsi="Times New Roman"/>
          <w:sz w:val="19"/>
          <w:szCs w:val="19"/>
          <w:color w:val="auto"/>
        </w:rPr>
        <w:t>. In connection with all aspects of each transaction contemplated hereby (including in connection with any amendment, waiver, or other modification hereof or of any other Loan Paper), Borrower acknowledges and agrees that: (i)</w:t>
      </w:r>
    </w:p>
    <w:p>
      <w:pPr>
        <w:jc w:val="both"/>
        <w:ind w:firstLine="6"/>
        <w:spacing w:after="0" w:line="257" w:lineRule="auto"/>
        <w:tabs>
          <w:tab w:leader="none" w:pos="334"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arranging and other services regarding this Agreement provided by Administrative Agent, the Joint Lead Arrangers and the Lenders, are arm’s-length commercial transactions between Borrower and its Affiliates, on the one hand, and Administrative Agent, the Joint Lead Arrangers and the Lenders, on the other hand, (B) Borrower has consulted its own legal, accounting, regulatory, and tax advisors to the extent it has deemed appropriate, and (C) Borrower is capable of evaluating, and understands and accepts, the terms, risks, and conditions of the transactions contemplated hereby and by the other Loan Papers; (ii)(A) each of Administrative Agent, the Joint Lead Arrangers and the Lenders is and has been acting solely as a principal and, except as expressly agreed in writing by the relevant parties, has not been, is not, and will not be acting as an advisor, agent, or fiduciary for Borrower or any of its Affiliates, or any other Person and (B) neither Administrative Agent nor any Joint Lead Arranger or Lender has any obligation to Borrower or any of its Affiliates with respect to the transactions contemplated hereby except those obligations expressly set forth herein and in the other Loan Papers; and (iii) Administrative Agent, Joint Lead Arrangers, the Lender and their respective Affiliates may be engaged in a broad range of transactions that involve interests that differ from those of Borrower and its Affiliates, and neither Administrative Agent, nor Joint Lead Arrangers, nor any Lender has any obligation to disclose any of such interests to Borrower or its Affiliates. To the fullest extent permitted by law, Borrower hereby waives and releases any claims that it may have against Administrative Agent, Joint Lead Arrangers and the Lenders with respect to any breach or alleged breach of agency or fiduciary duty in connection with any aspect of any transaction contemplated hereby.</w:t>
      </w:r>
    </w:p>
    <w:p>
      <w:pPr>
        <w:spacing w:after="0" w:line="191"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15.17. </w:t>
      </w:r>
      <w:r>
        <w:rPr>
          <w:rFonts w:ascii="Times New Roman" w:cs="Times New Roman" w:eastAsia="Times New Roman" w:hAnsi="Times New Roman"/>
          <w:sz w:val="19"/>
          <w:szCs w:val="19"/>
          <w:u w:val="single" w:color="auto"/>
          <w:color w:val="auto"/>
        </w:rPr>
        <w:t>USA PATRIOT Act Notice</w:t>
      </w:r>
      <w:r>
        <w:rPr>
          <w:rFonts w:ascii="Times New Roman" w:cs="Times New Roman" w:eastAsia="Times New Roman" w:hAnsi="Times New Roman"/>
          <w:sz w:val="19"/>
          <w:szCs w:val="19"/>
          <w:color w:val="auto"/>
        </w:rPr>
        <w:t>. Each Lender that is subject to the Act (as hereinafter defined) and Administrative Agent (for itself and not on behalf of any Lender) hereby notifies Borrower that pursuant to the requirements of the USA Patriot Act (Title III of Pub. L. 107-56 (signed into law October 26, 2001)) (the “</w:t>
      </w:r>
      <w:r>
        <w:rPr>
          <w:rFonts w:ascii="Times New Roman" w:cs="Times New Roman" w:eastAsia="Times New Roman" w:hAnsi="Times New Roman"/>
          <w:sz w:val="19"/>
          <w:szCs w:val="19"/>
          <w:b w:val="1"/>
          <w:bCs w:val="1"/>
          <w:i w:val="1"/>
          <w:iCs w:val="1"/>
          <w:color w:val="auto"/>
        </w:rPr>
        <w:t>Act</w:t>
      </w:r>
      <w:r>
        <w:rPr>
          <w:rFonts w:ascii="Times New Roman" w:cs="Times New Roman" w:eastAsia="Times New Roman" w:hAnsi="Times New Roman"/>
          <w:sz w:val="19"/>
          <w:szCs w:val="19"/>
          <w:color w:val="auto"/>
        </w:rPr>
        <w:t>”), it is required to obtain, verify, and record information that identifies Borrower, which information includes the name and address of Borrower and other information that will allow such Lender or Administrative Agent, as applicable, to identify Borrower in accordance with the Act. Borrower shall, promptly following a request by Administrative Agent or any Lender, provide all documentation and other information that Administrative Agent or such Lender requests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125</w:t>
      </w:r>
    </w:p>
    <w:p>
      <w:pPr>
        <w:sectPr>
          <w:pgSz w:w="11900" w:h="16838" w:orient="portrait"/>
          <w:cols w:equalWidth="0" w:num="1">
            <w:col w:w="11240"/>
          </w:cols>
          <w:pgMar w:left="320" w:top="1390" w:right="339" w:bottom="1440" w:gutter="0" w:footer="0" w:header="0"/>
        </w:sectPr>
      </w:pPr>
    </w:p>
    <w:bookmarkStart w:id="239" w:name="page240"/>
    <w:bookmarkEnd w:id="239"/>
    <w:p>
      <w:pPr>
        <w:jc w:val="both"/>
        <w:spacing w:after="0" w:line="271" w:lineRule="auto"/>
        <w:rPr>
          <w:sz w:val="20"/>
          <w:szCs w:val="20"/>
          <w:color w:val="auto"/>
        </w:rPr>
      </w:pPr>
      <w:r>
        <w:rPr>
          <w:rFonts w:ascii="Times New Roman" w:cs="Times New Roman" w:eastAsia="Times New Roman" w:hAnsi="Times New Roman"/>
          <w:sz w:val="19"/>
          <w:szCs w:val="19"/>
          <w:color w:val="auto"/>
        </w:rPr>
        <w:t>comply with its ongoing obligations under applicable “</w:t>
      </w:r>
      <w:r>
        <w:rPr>
          <w:rFonts w:ascii="Times New Roman" w:cs="Times New Roman" w:eastAsia="Times New Roman" w:hAnsi="Times New Roman"/>
          <w:sz w:val="19"/>
          <w:szCs w:val="19"/>
          <w:i w:val="1"/>
          <w:iCs w:val="1"/>
          <w:color w:val="auto"/>
        </w:rPr>
        <w:t>know your customer</w:t>
      </w:r>
      <w:r>
        <w:rPr>
          <w:rFonts w:ascii="Times New Roman" w:cs="Times New Roman" w:eastAsia="Times New Roman" w:hAnsi="Times New Roman"/>
          <w:sz w:val="19"/>
          <w:szCs w:val="19"/>
          <w:color w:val="auto"/>
        </w:rPr>
        <w:t>” and anti-money laundering rules and regulations, including the Act.</w:t>
      </w:r>
    </w:p>
    <w:p>
      <w:pPr>
        <w:spacing w:after="0" w:line="200" w:lineRule="exact"/>
        <w:rPr>
          <w:sz w:val="20"/>
          <w:szCs w:val="20"/>
          <w:color w:val="auto"/>
        </w:rPr>
      </w:pPr>
    </w:p>
    <w:p>
      <w:pPr>
        <w:spacing w:after="0" w:line="232"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15.18. </w:t>
      </w:r>
      <w:r>
        <w:rPr>
          <w:rFonts w:ascii="Times New Roman" w:cs="Times New Roman" w:eastAsia="Times New Roman" w:hAnsi="Times New Roman"/>
          <w:sz w:val="19"/>
          <w:szCs w:val="19"/>
          <w:u w:val="single" w:color="auto"/>
          <w:color w:val="auto"/>
        </w:rPr>
        <w:t>Survival of Representations and Warranties</w:t>
      </w:r>
      <w:r>
        <w:rPr>
          <w:rFonts w:ascii="Times New Roman" w:cs="Times New Roman" w:eastAsia="Times New Roman" w:hAnsi="Times New Roman"/>
          <w:sz w:val="19"/>
          <w:szCs w:val="19"/>
          <w:color w:val="auto"/>
        </w:rPr>
        <w:t>. All representations and warranties made hereunder and in any other Loan Paper or other document delivered pursuant hereto or thereto or in connection herewith or therewith shall survive the execution and delivery hereof and thereof. Such representations and warranties have been or will be relied upon by Administrative Agent and each Lender, regardless of any investigation made by Administrative Agent or any Lender or on their behalf and notwithstanding that Administrative Agent or any Lender may have had notice or knowledge of any Default or Potential Default at the time of any Loan or L/C Credit Extension, and shall continue in full force and effect as long as any Loan or any other Obligation hereunder shall remain unpaid or unsatisfied or any L/C shall remain outstanding.</w:t>
      </w:r>
    </w:p>
    <w:p>
      <w:pPr>
        <w:spacing w:after="0" w:line="176" w:lineRule="exact"/>
        <w:rPr>
          <w:sz w:val="20"/>
          <w:szCs w:val="20"/>
          <w:color w:val="auto"/>
        </w:rPr>
      </w:pPr>
    </w:p>
    <w:p>
      <w:pPr>
        <w:jc w:val="both"/>
        <w:ind w:firstLine="637"/>
        <w:spacing w:after="0" w:line="258" w:lineRule="auto"/>
        <w:rPr>
          <w:sz w:val="20"/>
          <w:szCs w:val="20"/>
          <w:color w:val="auto"/>
        </w:rPr>
      </w:pPr>
      <w:r>
        <w:rPr>
          <w:rFonts w:ascii="Times New Roman" w:cs="Times New Roman" w:eastAsia="Times New Roman" w:hAnsi="Times New Roman"/>
          <w:sz w:val="19"/>
          <w:szCs w:val="19"/>
          <w:color w:val="auto"/>
        </w:rPr>
        <w:t xml:space="preserve">15.19. </w:t>
      </w:r>
      <w:r>
        <w:rPr>
          <w:rFonts w:ascii="Times New Roman" w:cs="Times New Roman" w:eastAsia="Times New Roman" w:hAnsi="Times New Roman"/>
          <w:sz w:val="19"/>
          <w:szCs w:val="19"/>
          <w:u w:val="single" w:color="auto"/>
          <w:color w:val="auto"/>
        </w:rPr>
        <w:t>Execution of Assignments and Certain Other Documents</w:t>
      </w:r>
      <w:r>
        <w:rPr>
          <w:rFonts w:ascii="Times New Roman" w:cs="Times New Roman" w:eastAsia="Times New Roman" w:hAnsi="Times New Roman"/>
          <w:sz w:val="19"/>
          <w:szCs w:val="19"/>
          <w:color w:val="auto"/>
        </w:rPr>
        <w:t>. This Agreement and any document, amendment, approval, consent, information, notice, certificate, request, statement, disclosure or authorization related to this Agreement (each a “</w:t>
      </w:r>
      <w:r>
        <w:rPr>
          <w:rFonts w:ascii="Times New Roman" w:cs="Times New Roman" w:eastAsia="Times New Roman" w:hAnsi="Times New Roman"/>
          <w:sz w:val="19"/>
          <w:szCs w:val="19"/>
          <w:b w:val="1"/>
          <w:bCs w:val="1"/>
          <w:i w:val="1"/>
          <w:iCs w:val="1"/>
          <w:color w:val="auto"/>
        </w:rPr>
        <w:t>Communication</w:t>
      </w:r>
      <w:r>
        <w:rPr>
          <w:rFonts w:ascii="Times New Roman" w:cs="Times New Roman" w:eastAsia="Times New Roman" w:hAnsi="Times New Roman"/>
          <w:sz w:val="19"/>
          <w:szCs w:val="19"/>
          <w:color w:val="auto"/>
        </w:rPr>
        <w:t>”), including Communications required to be in writing, may be in the form of an Electronic Record and may be executed using Electronic Signatures. Borrower agrees that any Electronic Signature on or associated with any Communication shall be valid and binding on Borrower to the same extent as a manual, original signature, and that any Communication entered into by Electronic Signature, will constitute the legal, valid and binding obligation of Borrower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Administrative Agent and each of the Lenders of a manually signed paper Communication which has been converted into electronic form (such as scanned into PDF format), or an electronically signed Communication converted into another format, for transmission, delivery and/or retention. Administrative Agent and each of the Lenders may, at its option, create one or more copies of any Communication in the form of an imaged Electronic Record (“</w:t>
      </w:r>
      <w:r>
        <w:rPr>
          <w:rFonts w:ascii="Times New Roman" w:cs="Times New Roman" w:eastAsia="Times New Roman" w:hAnsi="Times New Roman"/>
          <w:sz w:val="19"/>
          <w:szCs w:val="19"/>
          <w:b w:val="1"/>
          <w:bCs w:val="1"/>
          <w:i w:val="1"/>
          <w:iCs w:val="1"/>
          <w:color w:val="auto"/>
        </w:rPr>
        <w:t>Electronic Copy</w:t>
      </w:r>
      <w:r>
        <w:rPr>
          <w:rFonts w:ascii="Times New Roman" w:cs="Times New Roman" w:eastAsia="Times New Roman" w:hAnsi="Times New Roman"/>
          <w:sz w:val="19"/>
          <w:szCs w:val="19"/>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Administrative Agent is under no obligation to accept an Electronic Signature in any form or in any format unless expressly agreed to by Administrative Agent pursuant to procedures approved by it; provided, further, without limiting the foregoing, (a) to the extent Administrative Agent has agreed to accept such Electronic Signature, Administrative Agent and each of the Lenders shall be entitled to rely on any such Electronic Signature purportedly given by or on behalf of Borrower without further verification and (b) upon the request of Administrative Agent or any Lender, any Electronic Signature shall be promptly followed by such manually executed counterpart. For purposes hereof, “</w:t>
      </w:r>
      <w:r>
        <w:rPr>
          <w:rFonts w:ascii="Times New Roman" w:cs="Times New Roman" w:eastAsia="Times New Roman" w:hAnsi="Times New Roman"/>
          <w:sz w:val="19"/>
          <w:szCs w:val="19"/>
          <w:b w:val="1"/>
          <w:bCs w:val="1"/>
          <w:i w:val="1"/>
          <w:iCs w:val="1"/>
          <w:color w:val="auto"/>
        </w:rPr>
        <w:t>Electronic Record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Electronic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Signature</w:t>
      </w:r>
      <w:r>
        <w:rPr>
          <w:rFonts w:ascii="Times New Roman" w:cs="Times New Roman" w:eastAsia="Times New Roman" w:hAnsi="Times New Roman"/>
          <w:sz w:val="19"/>
          <w:szCs w:val="19"/>
          <w:color w:val="auto"/>
        </w:rPr>
        <w:t>” shall have the meanings assigned to them, respectively, by 15 USC §7006, as it may be amended from time to time.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15.20.  </w:t>
      </w: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THIS AGREEMENT AND THE OTHER LOAN PAPERS REPRESENT THE FINAL</w:t>
      </w:r>
    </w:p>
    <w:p>
      <w:pPr>
        <w:spacing w:after="0" w:line="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AGREEMENT AMONG THE PARTIES AND MAY NOT BE CONTRADICTED BY EVIDENCE OF PRIOR, CONTEMPORANEOUS, OR SUBSEQUENT ORAL AGREEMENTS OF THE PARTIES. THERE ARE NO UNWRITTEN ORAL AGREEMENTS AMONG THE PARTIES. </w:t>
      </w:r>
      <w:r>
        <w:rPr>
          <w:rFonts w:ascii="Times New Roman" w:cs="Times New Roman" w:eastAsia="Times New Roman" w:hAnsi="Times New Roman"/>
          <w:sz w:val="19"/>
          <w:szCs w:val="19"/>
          <w:color w:val="auto"/>
        </w:rPr>
        <w:t>This Agreement supersedes all prior written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126</w:t>
      </w:r>
    </w:p>
    <w:p>
      <w:pPr>
        <w:sectPr>
          <w:pgSz w:w="11900" w:h="16838" w:orient="portrait"/>
          <w:cols w:equalWidth="0" w:num="1">
            <w:col w:w="11240"/>
          </w:cols>
          <w:pgMar w:left="320" w:top="1388" w:right="339" w:bottom="1440" w:gutter="0" w:footer="0" w:header="0"/>
        </w:sectPr>
      </w:pPr>
    </w:p>
    <w:bookmarkStart w:id="240" w:name="page241"/>
    <w:bookmarkEnd w:id="240"/>
    <w:p>
      <w:pPr>
        <w:jc w:val="both"/>
        <w:spacing w:after="0" w:line="300" w:lineRule="auto"/>
        <w:rPr>
          <w:sz w:val="20"/>
          <w:szCs w:val="20"/>
          <w:color w:val="auto"/>
        </w:rPr>
      </w:pPr>
      <w:r>
        <w:rPr>
          <w:rFonts w:ascii="Times New Roman" w:cs="Times New Roman" w:eastAsia="Times New Roman" w:hAnsi="Times New Roman"/>
          <w:sz w:val="19"/>
          <w:szCs w:val="19"/>
          <w:color w:val="auto"/>
        </w:rPr>
        <w:t>and understandings relating to the subject matter hereof and may be supplemented only by documents delivered in accordance with the terms hereof.</w:t>
      </w:r>
    </w:p>
    <w:p>
      <w:pPr>
        <w:spacing w:after="0" w:line="130"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9"/>
          <w:szCs w:val="19"/>
          <w:color w:val="auto"/>
        </w:rPr>
        <w:t xml:space="preserve">15.21. </w:t>
      </w:r>
      <w:r>
        <w:rPr>
          <w:rFonts w:ascii="Times New Roman" w:cs="Times New Roman" w:eastAsia="Times New Roman" w:hAnsi="Times New Roman"/>
          <w:sz w:val="19"/>
          <w:szCs w:val="19"/>
          <w:u w:val="single" w:color="auto"/>
          <w:color w:val="auto"/>
        </w:rPr>
        <w:t>Restatement of Existing Agreement</w:t>
      </w:r>
      <w:r>
        <w:rPr>
          <w:rFonts w:ascii="Times New Roman" w:cs="Times New Roman" w:eastAsia="Times New Roman" w:hAnsi="Times New Roman"/>
          <w:sz w:val="19"/>
          <w:szCs w:val="19"/>
          <w:color w:val="auto"/>
        </w:rPr>
        <w:t xml:space="preserve">. The parties hereto agree that, on the Closing Date, after all conditions precedent set forth in </w:t>
      </w:r>
      <w:r>
        <w:rPr>
          <w:rFonts w:ascii="Times New Roman" w:cs="Times New Roman" w:eastAsia="Times New Roman" w:hAnsi="Times New Roman"/>
          <w:sz w:val="19"/>
          <w:szCs w:val="19"/>
          <w:b w:val="1"/>
          <w:bCs w:val="1"/>
          <w:i w:val="1"/>
          <w:iCs w:val="1"/>
          <w:color w:val="auto"/>
        </w:rPr>
        <w:t>Section 7.1</w:t>
      </w:r>
      <w:r>
        <w:rPr>
          <w:rFonts w:ascii="Times New Roman" w:cs="Times New Roman" w:eastAsia="Times New Roman" w:hAnsi="Times New Roman"/>
          <w:sz w:val="19"/>
          <w:szCs w:val="19"/>
          <w:color w:val="auto"/>
        </w:rPr>
        <w:t xml:space="preserve"> have been satisfied or waived: (a) the Obligation (as defined in this Agreement) represents, among other things, the restatement, renewal, amendment, extension, and modification of the </w:t>
      </w:r>
      <w:r>
        <w:rPr>
          <w:rFonts w:ascii="Times New Roman" w:cs="Times New Roman" w:eastAsia="Times New Roman" w:hAnsi="Times New Roman"/>
          <w:sz w:val="19"/>
          <w:szCs w:val="19"/>
          <w:i w:val="1"/>
          <w:iCs w:val="1"/>
          <w:color w:val="auto"/>
        </w:rPr>
        <w:t>“Obligation”</w:t>
      </w:r>
      <w:r>
        <w:rPr>
          <w:rFonts w:ascii="Times New Roman" w:cs="Times New Roman" w:eastAsia="Times New Roman" w:hAnsi="Times New Roman"/>
          <w:sz w:val="19"/>
          <w:szCs w:val="19"/>
          <w:color w:val="auto"/>
        </w:rPr>
        <w:t xml:space="preserve"> (as defined in the Existing Agreement); (b) this Agreement is intended to, and does hereby, restate, renew, extend, amend, modify, supersede, and replace the Existing Agreement in its entirety; (c) the Notes, if any, executed pursuant to this Agreement amend, renew, extend, modify, replace, restate, substitute for, and supersede in their entirety (but do not extinguish the Debt arising under) the promissory notes issued pursuant to the Existing Agreement, which existing promissory notes shall be returned to Administrative Agent promptly after the Closing Date, marked </w:t>
      </w:r>
      <w:r>
        <w:rPr>
          <w:rFonts w:ascii="Times New Roman" w:cs="Times New Roman" w:eastAsia="Times New Roman" w:hAnsi="Times New Roman"/>
          <w:sz w:val="19"/>
          <w:szCs w:val="19"/>
          <w:i w:val="1"/>
          <w:iCs w:val="1"/>
          <w:color w:val="auto"/>
        </w:rPr>
        <w:t>“canceled and replaced”</w:t>
      </w:r>
      <w:r>
        <w:rPr>
          <w:rFonts w:ascii="Times New Roman" w:cs="Times New Roman" w:eastAsia="Times New Roman" w:hAnsi="Times New Roman"/>
          <w:sz w:val="19"/>
          <w:szCs w:val="19"/>
          <w:color w:val="auto"/>
        </w:rPr>
        <w:t>; and (d) the entering into and performance of their respective obligations under the Loan Papers and the transactions evidenced hereby do not constitute a novation nor shall they be deemed to have terminated, extinguished, or discharged the “</w:t>
      </w:r>
      <w:r>
        <w:rPr>
          <w:rFonts w:ascii="Times New Roman" w:cs="Times New Roman" w:eastAsia="Times New Roman" w:hAnsi="Times New Roman"/>
          <w:sz w:val="19"/>
          <w:szCs w:val="19"/>
          <w:i w:val="1"/>
          <w:iCs w:val="1"/>
          <w:color w:val="auto"/>
        </w:rPr>
        <w:t>Debt</w:t>
      </w:r>
      <w:r>
        <w:rPr>
          <w:rFonts w:ascii="Times New Roman" w:cs="Times New Roman" w:eastAsia="Times New Roman" w:hAnsi="Times New Roman"/>
          <w:sz w:val="19"/>
          <w:szCs w:val="19"/>
          <w:color w:val="auto"/>
        </w:rPr>
        <w:t>” under the Existing Agreement, the Security Documents, the Guaranty, or the other Loan Papers (or the collateral security therefore), all of which Debt and Collateral shall continue under and be governed by this Agreement and the other Loan Papers, except as expressly provided otherwise herein.</w:t>
      </w:r>
    </w:p>
    <w:p>
      <w:pPr>
        <w:spacing w:after="0" w:line="182" w:lineRule="exact"/>
        <w:rPr>
          <w:sz w:val="20"/>
          <w:szCs w:val="20"/>
          <w:color w:val="auto"/>
        </w:rPr>
      </w:pPr>
    </w:p>
    <w:p>
      <w:pPr>
        <w:jc w:val="both"/>
        <w:ind w:firstLine="637"/>
        <w:spacing w:after="0" w:line="258" w:lineRule="auto"/>
        <w:rPr>
          <w:sz w:val="20"/>
          <w:szCs w:val="20"/>
          <w:color w:val="auto"/>
        </w:rPr>
      </w:pPr>
      <w:r>
        <w:rPr>
          <w:rFonts w:ascii="Times New Roman" w:cs="Times New Roman" w:eastAsia="Times New Roman" w:hAnsi="Times New Roman"/>
          <w:sz w:val="19"/>
          <w:szCs w:val="19"/>
          <w:color w:val="auto"/>
        </w:rPr>
        <w:t xml:space="preserve">15.22. </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If, for the purposes of obtaining judgment in any court, it is necessary to convert a sum due hereunder or any other Loan Paper in one currency into another currency, the rate of exchange used shall be that at which in accordance with normal banking procedures Administrative Agent could purchase the first currency with such other currency on the Business Day preceding that on which final judgment is given. The obligation of Borrower in respect of any such sum due from it to Administrative Agent or any L/C Issuer hereunder or under the other Loan Papers shall, notwithstanding any judgment in a currency (the “</w:t>
      </w:r>
      <w:r>
        <w:rPr>
          <w:rFonts w:ascii="Times New Roman" w:cs="Times New Roman" w:eastAsia="Times New Roman" w:hAnsi="Times New Roman"/>
          <w:sz w:val="19"/>
          <w:szCs w:val="19"/>
          <w:b w:val="1"/>
          <w:bCs w:val="1"/>
          <w:i w:val="1"/>
          <w:iCs w:val="1"/>
          <w:color w:val="auto"/>
        </w:rPr>
        <w:t>Judgment Currency</w:t>
      </w:r>
      <w:r>
        <w:rPr>
          <w:rFonts w:ascii="Times New Roman" w:cs="Times New Roman" w:eastAsia="Times New Roman" w:hAnsi="Times New Roman"/>
          <w:sz w:val="19"/>
          <w:szCs w:val="19"/>
          <w:color w:val="auto"/>
        </w:rPr>
        <w:t>”) other than that in which such sum is denominated in accordance with the applicable provisions of this Agreement (the “</w:t>
      </w:r>
      <w:r>
        <w:rPr>
          <w:rFonts w:ascii="Times New Roman" w:cs="Times New Roman" w:eastAsia="Times New Roman" w:hAnsi="Times New Roman"/>
          <w:sz w:val="19"/>
          <w:szCs w:val="19"/>
          <w:b w:val="1"/>
          <w:bCs w:val="1"/>
          <w:i w:val="1"/>
          <w:iCs w:val="1"/>
          <w:color w:val="auto"/>
        </w:rPr>
        <w:t>Agreement Currency</w:t>
      </w:r>
      <w:r>
        <w:rPr>
          <w:rFonts w:ascii="Times New Roman" w:cs="Times New Roman" w:eastAsia="Times New Roman" w:hAnsi="Times New Roman"/>
          <w:sz w:val="19"/>
          <w:szCs w:val="19"/>
          <w:color w:val="auto"/>
        </w:rPr>
        <w:t>”), be discharged only to the extent that on the Business Day following receipt by Administrative Agent or such L/C Issuer, as the case may be, of any sum adjudged to be so due in the Judgment Currency, Administrative Agent or such L/C Issuer, as the case may be, may in accordance with normal banking procedures purchase the Agreement Currency with the Judgment Currency. If the amount of the Agreement Currency so purchased is less than the sum originally due to Administrative Agent or any L/C Issuer from Borrower in the Agreement Currency, Borrower agrees, as a separate obligation and notwithstanding any such judgment, to indemnify Administrative Agent or such L/C Issuer, as the case may be, against such loss. If the amount of the Agreement Currency so purchased is greater than the sum originally due to Administrative Agent or any L/C Issuer in such currency, Administrative Agent or such L/C Issuer, as the case may be, agrees to return the amount of any excess to Borrower (or to any other Person who may be entitled thereto under applicable law).</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15.23.  </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Each Lender (a) represents and warrants, as of the date such Person became a Lender party hereto, to, and</w:t>
      </w:r>
    </w:p>
    <w:p>
      <w:pPr>
        <w:spacing w:after="0" w:line="35" w:lineRule="exact"/>
        <w:rPr>
          <w:sz w:val="20"/>
          <w:szCs w:val="20"/>
          <w:color w:val="auto"/>
        </w:rPr>
      </w:pPr>
    </w:p>
    <w:p>
      <w:pPr>
        <w:jc w:val="both"/>
        <w:ind w:firstLine="6"/>
        <w:spacing w:after="0" w:line="266" w:lineRule="auto"/>
        <w:tabs>
          <w:tab w:leader="none" w:pos="296" w:val="left"/>
        </w:tabs>
        <w:numPr>
          <w:ilvl w:val="0"/>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covenants, from the date such Person became a Lender party hereto to the date such Person ceases being a Lender party hereto, for the benefit of, Administrative Agent and not, for the avoidance of doubt, to or for the benefit of Restricted Companies, that at least one of the following is and will be true:</w:t>
      </w:r>
    </w:p>
    <w:p>
      <w:pPr>
        <w:spacing w:after="0" w:line="157" w:lineRule="exact"/>
        <w:rPr>
          <w:rFonts w:ascii="Times New Roman" w:cs="Times New Roman" w:eastAsia="Times New Roman" w:hAnsi="Times New Roman"/>
          <w:sz w:val="19"/>
          <w:szCs w:val="19"/>
          <w:color w:val="auto"/>
        </w:rPr>
      </w:pPr>
    </w:p>
    <w:p>
      <w:pPr>
        <w:jc w:val="both"/>
        <w:ind w:firstLine="1280"/>
        <w:spacing w:after="0" w:line="283" w:lineRule="auto"/>
        <w:tabs>
          <w:tab w:leader="none" w:pos="1746" w:val="left"/>
        </w:tabs>
        <w:numPr>
          <w:ilvl w:val="1"/>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is not using “</w:t>
      </w:r>
      <w:r>
        <w:rPr>
          <w:rFonts w:ascii="Times New Roman" w:cs="Times New Roman" w:eastAsia="Times New Roman" w:hAnsi="Times New Roman"/>
          <w:sz w:val="19"/>
          <w:szCs w:val="19"/>
          <w:b w:val="1"/>
          <w:bCs w:val="1"/>
          <w:i w:val="1"/>
          <w:iCs w:val="1"/>
          <w:color w:val="auto"/>
        </w:rPr>
        <w:t>plan assets</w:t>
      </w:r>
      <w:r>
        <w:rPr>
          <w:rFonts w:ascii="Times New Roman" w:cs="Times New Roman" w:eastAsia="Times New Roman" w:hAnsi="Times New Roman"/>
          <w:sz w:val="19"/>
          <w:szCs w:val="19"/>
          <w:color w:val="auto"/>
        </w:rPr>
        <w:t xml:space="preserve">” (within the meaning of </w:t>
      </w:r>
      <w:r>
        <w:rPr>
          <w:rFonts w:ascii="Times New Roman" w:cs="Times New Roman" w:eastAsia="Times New Roman" w:hAnsi="Times New Roman"/>
          <w:sz w:val="19"/>
          <w:szCs w:val="19"/>
          <w:i w:val="1"/>
          <w:iCs w:val="1"/>
          <w:color w:val="auto"/>
        </w:rPr>
        <w:t>Section 3(42)</w:t>
      </w:r>
      <w:r>
        <w:rPr>
          <w:rFonts w:ascii="Times New Roman" w:cs="Times New Roman" w:eastAsia="Times New Roman" w:hAnsi="Times New Roman"/>
          <w:sz w:val="19"/>
          <w:szCs w:val="19"/>
          <w:color w:val="auto"/>
        </w:rPr>
        <w:t xml:space="preserve"> of ERISA or otherwise) of one or more Benefit Plans with respect to such Lender’s entrance into, participation in, administration of and performance of the Loans, the L/C’s, the Commitment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127</w:t>
      </w:r>
    </w:p>
    <w:p>
      <w:pPr>
        <w:sectPr>
          <w:pgSz w:w="11900" w:h="16838" w:orient="portrait"/>
          <w:cols w:equalWidth="0" w:num="1">
            <w:col w:w="11240"/>
          </w:cols>
          <w:pgMar w:left="320" w:top="1390" w:right="339" w:bottom="1440" w:gutter="0" w:footer="0" w:header="0"/>
        </w:sectPr>
      </w:pPr>
    </w:p>
    <w:bookmarkStart w:id="241" w:name="page242"/>
    <w:bookmarkEnd w:id="241"/>
    <w:p>
      <w:pPr>
        <w:jc w:val="both"/>
        <w:ind w:firstLine="1280"/>
        <w:spacing w:after="0" w:line="264" w:lineRule="auto"/>
        <w:tabs>
          <w:tab w:leader="none" w:pos="1754"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L/C’s, the Commitment and this Agreement;</w:t>
      </w:r>
    </w:p>
    <w:p>
      <w:pPr>
        <w:spacing w:after="0" w:line="172" w:lineRule="exact"/>
        <w:rPr>
          <w:rFonts w:ascii="Times New Roman" w:cs="Times New Roman" w:eastAsia="Times New Roman" w:hAnsi="Times New Roman"/>
          <w:sz w:val="19"/>
          <w:szCs w:val="19"/>
          <w:color w:val="auto"/>
        </w:rPr>
      </w:pPr>
    </w:p>
    <w:p>
      <w:pPr>
        <w:jc w:val="both"/>
        <w:ind w:firstLine="1280"/>
        <w:spacing w:after="0" w:line="262" w:lineRule="auto"/>
        <w:tabs>
          <w:tab w:leader="none" w:pos="1796"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is an investment fund managed by a “</w:t>
      </w:r>
      <w:r>
        <w:rPr>
          <w:rFonts w:ascii="Times New Roman" w:cs="Times New Roman" w:eastAsia="Times New Roman" w:hAnsi="Times New Roman"/>
          <w:sz w:val="19"/>
          <w:szCs w:val="19"/>
          <w:b w:val="1"/>
          <w:bCs w:val="1"/>
          <w:i w:val="1"/>
          <w:iCs w:val="1"/>
          <w:color w:val="auto"/>
        </w:rPr>
        <w:t>Qualified Professional Asset Manager</w:t>
      </w:r>
      <w:r>
        <w:rPr>
          <w:rFonts w:ascii="Times New Roman" w:cs="Times New Roman" w:eastAsia="Times New Roman" w:hAnsi="Times New Roman"/>
          <w:sz w:val="19"/>
          <w:szCs w:val="19"/>
          <w:color w:val="auto"/>
        </w:rPr>
        <w:t>” (within the meaning of Part VI of PTE 84-14), (B) such Qualified Professional Asset Manager made the investment decision on behalf of such Lender to enter into, participate in, administer and perform the Loans, the L/C’s, the Commitment and this Agreement, (C) the entrance into, participation in, administration of and performance of the Loans, the L/C’s, the Commitment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L/C’s, the Commitment and this Agreement, or</w:t>
      </w:r>
    </w:p>
    <w:p>
      <w:pPr>
        <w:spacing w:after="0" w:line="200" w:lineRule="exact"/>
        <w:rPr>
          <w:rFonts w:ascii="Times New Roman" w:cs="Times New Roman" w:eastAsia="Times New Roman" w:hAnsi="Times New Roman"/>
          <w:sz w:val="19"/>
          <w:szCs w:val="19"/>
          <w:color w:val="auto"/>
        </w:rPr>
      </w:pPr>
    </w:p>
    <w:p>
      <w:pPr>
        <w:spacing w:after="0" w:line="216" w:lineRule="exact"/>
        <w:rPr>
          <w:rFonts w:ascii="Times New Roman" w:cs="Times New Roman" w:eastAsia="Times New Roman" w:hAnsi="Times New Roman"/>
          <w:sz w:val="19"/>
          <w:szCs w:val="19"/>
          <w:color w:val="auto"/>
        </w:rPr>
      </w:pPr>
    </w:p>
    <w:p>
      <w:pPr>
        <w:ind w:right="20" w:firstLine="1280"/>
        <w:spacing w:after="0" w:line="285" w:lineRule="auto"/>
        <w:tabs>
          <w:tab w:leader="none" w:pos="1781"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representation, warranty and covenant as may be agreed in writing between Administrative Agent, in its sole discretion, and such Lender.</w:t>
      </w:r>
    </w:p>
    <w:p>
      <w:pPr>
        <w:spacing w:after="0" w:line="154"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19"/>
          <w:szCs w:val="19"/>
          <w:color w:val="auto"/>
        </w:rPr>
        <w:t xml:space="preserve">In addition, unless either (1) </w:t>
      </w:r>
      <w:r>
        <w:rPr>
          <w:rFonts w:ascii="Times New Roman" w:cs="Times New Roman" w:eastAsia="Times New Roman" w:hAnsi="Times New Roman"/>
          <w:sz w:val="19"/>
          <w:szCs w:val="19"/>
          <w:b w:val="1"/>
          <w:bCs w:val="1"/>
          <w:i w:val="1"/>
          <w:iCs w:val="1"/>
          <w:color w:val="auto"/>
        </w:rPr>
        <w:t>sub-clause (i)</w:t>
      </w:r>
      <w:r>
        <w:rPr>
          <w:rFonts w:ascii="Times New Roman" w:cs="Times New Roman" w:eastAsia="Times New Roman" w:hAnsi="Times New Roman"/>
          <w:sz w:val="19"/>
          <w:szCs w:val="19"/>
          <w:color w:val="auto"/>
        </w:rPr>
        <w:t xml:space="preserve"> in the immediately preceding clause (a) is true with respect to a Lender or (2) a Lender has provided another representation, warranty and covenant in accordance with </w:t>
      </w:r>
      <w:r>
        <w:rPr>
          <w:rFonts w:ascii="Times New Roman" w:cs="Times New Roman" w:eastAsia="Times New Roman" w:hAnsi="Times New Roman"/>
          <w:sz w:val="19"/>
          <w:szCs w:val="19"/>
          <w:b w:val="1"/>
          <w:bCs w:val="1"/>
          <w:i w:val="1"/>
          <w:iCs w:val="1"/>
          <w:color w:val="auto"/>
        </w:rPr>
        <w:t>sub-clause (iv)</w:t>
      </w:r>
      <w:r>
        <w:rPr>
          <w:rFonts w:ascii="Times New Roman" w:cs="Times New Roman" w:eastAsia="Times New Roman" w:hAnsi="Times New Roman"/>
          <w:sz w:val="19"/>
          <w:szCs w:val="19"/>
          <w:color w:val="auto"/>
        </w:rPr>
        <w:t xml:space="preserve">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Administrative Agent and not, for the avoidance of doubt, to or for the benefit of Restricted Companies, that Administrative Agent is not a fiduciary with respect to the assets of such Lender involved in such Lender’s entrance into, participation in, administration of and performance of the Loans, the L/C’s, the Commitment and this Agreement (including in connection with the reservation or exercise of any rights by Administrative Agent under this Agreement, any Loan Paper or any documents related hereto or thereto).</w:t>
      </w:r>
    </w:p>
    <w:p>
      <w:pPr>
        <w:spacing w:after="0" w:line="179" w:lineRule="exact"/>
        <w:rPr>
          <w:sz w:val="20"/>
          <w:szCs w:val="20"/>
          <w:color w:val="auto"/>
        </w:rPr>
      </w:pPr>
    </w:p>
    <w:p>
      <w:pPr>
        <w:jc w:val="both"/>
        <w:ind w:firstLine="637"/>
        <w:spacing w:after="0" w:line="266" w:lineRule="auto"/>
        <w:rPr>
          <w:sz w:val="20"/>
          <w:szCs w:val="20"/>
          <w:color w:val="auto"/>
        </w:rPr>
      </w:pPr>
      <w:r>
        <w:rPr>
          <w:rFonts w:ascii="Times New Roman" w:cs="Times New Roman" w:eastAsia="Times New Roman" w:hAnsi="Times New Roman"/>
          <w:sz w:val="19"/>
          <w:szCs w:val="19"/>
          <w:color w:val="auto"/>
        </w:rPr>
        <w:t xml:space="preserve">15.24. </w:t>
      </w:r>
      <w:r>
        <w:rPr>
          <w:rFonts w:ascii="Times New Roman" w:cs="Times New Roman" w:eastAsia="Times New Roman" w:hAnsi="Times New Roman"/>
          <w:sz w:val="19"/>
          <w:szCs w:val="19"/>
          <w:u w:val="single" w:color="auto"/>
          <w:color w:val="auto"/>
        </w:rPr>
        <w:t>Acknowledgement and Consent to Bail-In of Affected Financial Institutions</w:t>
      </w:r>
      <w:r>
        <w:rPr>
          <w:rFonts w:ascii="Times New Roman" w:cs="Times New Roman" w:eastAsia="Times New Roman" w:hAnsi="Times New Roman"/>
          <w:sz w:val="19"/>
          <w:szCs w:val="19"/>
          <w:color w:val="auto"/>
        </w:rPr>
        <w:t>. Notwithstanding anything to the contrary in any Loan Paper or in any other agreement, arrangement or understanding among any such parties, each party hereto acknowledges that any liability of any Lender that is an Affected Financial Institution arising under any Loan Paper,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11" w:lineRule="exact"/>
        <w:rPr>
          <w:sz w:val="20"/>
          <w:szCs w:val="20"/>
          <w:color w:val="auto"/>
        </w:rPr>
      </w:pPr>
    </w:p>
    <w:p>
      <w:pPr>
        <w:ind w:firstLine="802"/>
        <w:spacing w:after="0" w:line="285" w:lineRule="auto"/>
        <w:tabs>
          <w:tab w:leader="none" w:pos="1216"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57" w:lineRule="exact"/>
        <w:rPr>
          <w:rFonts w:ascii="Times New Roman" w:cs="Times New Roman" w:eastAsia="Times New Roman" w:hAnsi="Times New Roman"/>
          <w:sz w:val="19"/>
          <w:szCs w:val="19"/>
          <w:color w:val="auto"/>
        </w:rPr>
      </w:pPr>
    </w:p>
    <w:p>
      <w:pPr>
        <w:ind w:left="1220" w:hanging="418"/>
        <w:spacing w:after="0"/>
        <w:tabs>
          <w:tab w:leader="none" w:pos="1220"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any Bail-in Action on any such liability, including, if applicable:</w:t>
      </w:r>
    </w:p>
    <w:p>
      <w:pPr>
        <w:spacing w:after="0" w:line="219" w:lineRule="exact"/>
        <w:rPr>
          <w:sz w:val="20"/>
          <w:szCs w:val="20"/>
          <w:color w:val="auto"/>
        </w:rPr>
      </w:pPr>
    </w:p>
    <w:p>
      <w:pPr>
        <w:ind w:left="1180" w:hanging="378"/>
        <w:spacing w:after="0"/>
        <w:tabs>
          <w:tab w:leader="none" w:pos="1180"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full or in part or cancellation of any such liability;</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67" w:lineRule="exact"/>
        <w:rPr>
          <w:rFonts w:ascii="Times New Roman" w:cs="Times New Roman" w:eastAsia="Times New Roman" w:hAnsi="Times New Roman"/>
          <w:sz w:val="19"/>
          <w:szCs w:val="19"/>
          <w:color w:val="auto"/>
        </w:rPr>
      </w:pPr>
    </w:p>
    <w:p>
      <w:pPr>
        <w:ind w:left="54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128</w:t>
      </w:r>
    </w:p>
    <w:p>
      <w:pPr>
        <w:sectPr>
          <w:pgSz w:w="11900" w:h="16838" w:orient="portrait"/>
          <w:cols w:equalWidth="0" w:num="1">
            <w:col w:w="11240"/>
          </w:cols>
          <w:pgMar w:left="320" w:top="1390" w:right="339" w:bottom="1440" w:gutter="0" w:footer="0" w:header="0"/>
        </w:sectPr>
      </w:pPr>
    </w:p>
    <w:bookmarkStart w:id="242" w:name="page243"/>
    <w:bookmarkEnd w:id="242"/>
    <w:p>
      <w:pPr>
        <w:jc w:val="both"/>
        <w:ind w:firstLine="802"/>
        <w:spacing w:after="0" w:line="270" w:lineRule="auto"/>
        <w:tabs>
          <w:tab w:leader="none" w:pos="1323"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Paper; or</w:t>
      </w:r>
    </w:p>
    <w:p>
      <w:pPr>
        <w:spacing w:after="0" w:line="157" w:lineRule="exact"/>
        <w:rPr>
          <w:rFonts w:ascii="Times New Roman" w:cs="Times New Roman" w:eastAsia="Times New Roman" w:hAnsi="Times New Roman"/>
          <w:sz w:val="19"/>
          <w:szCs w:val="19"/>
          <w:color w:val="auto"/>
        </w:rPr>
      </w:pPr>
    </w:p>
    <w:p>
      <w:pPr>
        <w:ind w:firstLine="802"/>
        <w:spacing w:after="0" w:line="300" w:lineRule="auto"/>
        <w:tabs>
          <w:tab w:leader="none" w:pos="1361"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9"/>
          <w:szCs w:val="19"/>
          <w:color w:val="auto"/>
        </w:rPr>
        <w:t xml:space="preserve">15.25. </w:t>
      </w:r>
      <w:r>
        <w:rPr>
          <w:rFonts w:ascii="Times New Roman" w:cs="Times New Roman" w:eastAsia="Times New Roman" w:hAnsi="Times New Roman"/>
          <w:sz w:val="19"/>
          <w:szCs w:val="19"/>
          <w:u w:val="single" w:color="auto"/>
          <w:color w:val="auto"/>
        </w:rPr>
        <w:t>Acknowledgement Regarding Any Supported QFCs</w:t>
      </w:r>
      <w:r>
        <w:rPr>
          <w:rFonts w:ascii="Times New Roman" w:cs="Times New Roman" w:eastAsia="Times New Roman" w:hAnsi="Times New Roman"/>
          <w:sz w:val="19"/>
          <w:szCs w:val="19"/>
          <w:color w:val="auto"/>
        </w:rPr>
        <w:t>. To the extent that the Loan Papers provide support, through a guarantee or otherwise, for any Financial Hedge or any other agreement or instrument that is a QFC (such support, “</w:t>
      </w:r>
      <w:r>
        <w:rPr>
          <w:rFonts w:ascii="Times New Roman" w:cs="Times New Roman" w:eastAsia="Times New Roman" w:hAnsi="Times New Roman"/>
          <w:sz w:val="19"/>
          <w:szCs w:val="19"/>
          <w:b w:val="1"/>
          <w:bCs w:val="1"/>
          <w:i w:val="1"/>
          <w:iCs w:val="1"/>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b w:val="1"/>
          <w:bCs w:val="1"/>
          <w:i w:val="1"/>
          <w:iCs w:val="1"/>
          <w:color w:val="auto"/>
        </w:rPr>
        <w:t>Supported QFC</w:t>
      </w:r>
      <w:r>
        <w:rPr>
          <w:rFonts w:ascii="Times New Roman" w:cs="Times New Roman" w:eastAsia="Times New Roman" w:hAnsi="Times New Roman"/>
          <w:sz w:val="19"/>
          <w:szCs w:val="19"/>
          <w:color w:val="auto"/>
        </w:rPr>
        <w:t xml:space="preserve">”), the parties acknowledge and agree as follows with respect to the resolution power of the Federal Deposit Insurance Corporation under the Federal Deposit Insurance Act and </w:t>
      </w:r>
      <w:r>
        <w:rPr>
          <w:rFonts w:ascii="Times New Roman" w:cs="Times New Roman" w:eastAsia="Times New Roman" w:hAnsi="Times New Roman"/>
          <w:sz w:val="19"/>
          <w:szCs w:val="19"/>
          <w:i w:val="1"/>
          <w:iCs w:val="1"/>
          <w:color w:val="auto"/>
        </w:rPr>
        <w:t>Title II</w:t>
      </w:r>
      <w:r>
        <w:rPr>
          <w:rFonts w:ascii="Times New Roman" w:cs="Times New Roman" w:eastAsia="Times New Roman" w:hAnsi="Times New Roman"/>
          <w:sz w:val="19"/>
          <w:szCs w:val="19"/>
          <w:color w:val="auto"/>
        </w:rPr>
        <w:t xml:space="preserve"> of the Dodd-Frank Wall Street Reform and Consumer Protection Act (together with the regulations promulgated thereunder, the “</w:t>
      </w:r>
      <w:r>
        <w:rPr>
          <w:rFonts w:ascii="Times New Roman" w:cs="Times New Roman" w:eastAsia="Times New Roman" w:hAnsi="Times New Roman"/>
          <w:sz w:val="19"/>
          <w:szCs w:val="19"/>
          <w:b w:val="1"/>
          <w:bCs w:val="1"/>
          <w:i w:val="1"/>
          <w:iCs w:val="1"/>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Papers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jc w:val="both"/>
        <w:ind w:firstLine="796"/>
        <w:spacing w:after="0" w:line="259" w:lineRule="auto"/>
        <w:rPr>
          <w:sz w:val="20"/>
          <w:szCs w:val="20"/>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b w:val="1"/>
          <w:bCs w:val="1"/>
          <w:i w:val="1"/>
          <w:iCs w:val="1"/>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Papers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Papers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As used in this </w:t>
      </w:r>
      <w:r>
        <w:rPr>
          <w:rFonts w:ascii="Times New Roman" w:cs="Times New Roman" w:eastAsia="Times New Roman" w:hAnsi="Times New Roman"/>
          <w:sz w:val="19"/>
          <w:szCs w:val="19"/>
          <w:b w:val="1"/>
          <w:bCs w:val="1"/>
          <w:i w:val="1"/>
          <w:iCs w:val="1"/>
          <w:color w:val="auto"/>
        </w:rPr>
        <w:t>Section 15.25</w:t>
      </w:r>
      <w:r>
        <w:rPr>
          <w:rFonts w:ascii="Times New Roman" w:cs="Times New Roman" w:eastAsia="Times New Roman" w:hAnsi="Times New Roman"/>
          <w:sz w:val="19"/>
          <w:szCs w:val="19"/>
          <w:color w:val="auto"/>
        </w:rPr>
        <w:t>, the following terms have the following meanings:</w:t>
      </w:r>
    </w:p>
    <w:p>
      <w:pPr>
        <w:spacing w:after="0" w:line="219" w:lineRule="exact"/>
        <w:rPr>
          <w:sz w:val="20"/>
          <w:szCs w:val="20"/>
          <w:color w:val="auto"/>
        </w:rPr>
      </w:pPr>
    </w:p>
    <w:p>
      <w:pPr>
        <w:jc w:val="both"/>
        <w:ind w:left="640" w:firstLine="637"/>
        <w:spacing w:after="0" w:line="30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BHC Act Affiliate</w:t>
      </w:r>
      <w:r>
        <w:rPr>
          <w:rFonts w:ascii="Times New Roman" w:cs="Times New Roman" w:eastAsia="Times New Roman" w:hAnsi="Times New Roman"/>
          <w:sz w:val="19"/>
          <w:szCs w:val="19"/>
          <w:color w:val="auto"/>
        </w:rPr>
        <w:t>” of a party means an “</w:t>
      </w:r>
      <w:r>
        <w:rPr>
          <w:rFonts w:ascii="Times New Roman" w:cs="Times New Roman" w:eastAsia="Times New Roman" w:hAnsi="Times New Roman"/>
          <w:sz w:val="19"/>
          <w:szCs w:val="19"/>
          <w:i w:val="1"/>
          <w:iCs w:val="1"/>
          <w:color w:val="auto"/>
        </w:rPr>
        <w:t>affiliate</w:t>
      </w:r>
      <w:r>
        <w:rPr>
          <w:rFonts w:ascii="Times New Roman" w:cs="Times New Roman" w:eastAsia="Times New Roman" w:hAnsi="Times New Roman"/>
          <w:sz w:val="19"/>
          <w:szCs w:val="19"/>
          <w:color w:val="auto"/>
        </w:rPr>
        <w:t>” (as such term is defined under, and interpreted in accordance with, 12 U.S.C. 1841(k)) of such party.</w:t>
      </w:r>
    </w:p>
    <w:p>
      <w:pPr>
        <w:spacing w:after="0" w:line="136" w:lineRule="exact"/>
        <w:rPr>
          <w:sz w:val="20"/>
          <w:szCs w:val="20"/>
          <w:color w:val="auto"/>
        </w:rPr>
      </w:pPr>
    </w:p>
    <w:p>
      <w:pPr>
        <w:jc w:val="both"/>
        <w:ind w:left="640" w:firstLine="637"/>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Entity</w:t>
      </w:r>
      <w:r>
        <w:rPr>
          <w:rFonts w:ascii="Times New Roman" w:cs="Times New Roman" w:eastAsia="Times New Roman" w:hAnsi="Times New Roman"/>
          <w:sz w:val="19"/>
          <w:szCs w:val="19"/>
          <w:color w:val="auto"/>
        </w:rPr>
        <w:t>” means any of the following: (i) a “</w:t>
      </w:r>
      <w:r>
        <w:rPr>
          <w:rFonts w:ascii="Times New Roman" w:cs="Times New Roman" w:eastAsia="Times New Roman" w:hAnsi="Times New Roman"/>
          <w:sz w:val="19"/>
          <w:szCs w:val="19"/>
          <w:i w:val="1"/>
          <w:iCs w:val="1"/>
          <w:color w:val="auto"/>
        </w:rPr>
        <w:t>covered entity</w:t>
      </w:r>
      <w:r>
        <w:rPr>
          <w:rFonts w:ascii="Times New Roman" w:cs="Times New Roman" w:eastAsia="Times New Roman" w:hAnsi="Times New Roman"/>
          <w:sz w:val="19"/>
          <w:szCs w:val="19"/>
          <w:color w:val="auto"/>
        </w:rPr>
        <w:t>” as that term is defined in, and interpreted in accordance with, 12 C.F.R. §252.82(b); (ii) a “</w:t>
      </w:r>
      <w:r>
        <w:rPr>
          <w:rFonts w:ascii="Times New Roman" w:cs="Times New Roman" w:eastAsia="Times New Roman" w:hAnsi="Times New Roman"/>
          <w:sz w:val="19"/>
          <w:szCs w:val="19"/>
          <w:i w:val="1"/>
          <w:iCs w:val="1"/>
          <w:color w:val="auto"/>
        </w:rPr>
        <w:t>covered bank</w:t>
      </w:r>
      <w:r>
        <w:rPr>
          <w:rFonts w:ascii="Times New Roman" w:cs="Times New Roman" w:eastAsia="Times New Roman" w:hAnsi="Times New Roman"/>
          <w:sz w:val="19"/>
          <w:szCs w:val="19"/>
          <w:color w:val="auto"/>
        </w:rPr>
        <w:t>” as that term is defined in, and interpreted in accordance with, 12 C.F.R. §47.3(b); or (iii) a “</w:t>
      </w:r>
      <w:r>
        <w:rPr>
          <w:rFonts w:ascii="Times New Roman" w:cs="Times New Roman" w:eastAsia="Times New Roman" w:hAnsi="Times New Roman"/>
          <w:sz w:val="19"/>
          <w:szCs w:val="19"/>
          <w:i w:val="1"/>
          <w:iCs w:val="1"/>
          <w:color w:val="auto"/>
        </w:rPr>
        <w:t>covered FSI</w:t>
      </w:r>
      <w:r>
        <w:rPr>
          <w:rFonts w:ascii="Times New Roman" w:cs="Times New Roman" w:eastAsia="Times New Roman" w:hAnsi="Times New Roman"/>
          <w:sz w:val="19"/>
          <w:szCs w:val="19"/>
          <w:color w:val="auto"/>
        </w:rPr>
        <w:t>” as that term is defined in, and interpreted in accordance with, 12 C.F.R. §382.2(b).</w:t>
      </w:r>
    </w:p>
    <w:p>
      <w:pPr>
        <w:spacing w:after="0" w:line="148" w:lineRule="exact"/>
        <w:rPr>
          <w:sz w:val="20"/>
          <w:szCs w:val="20"/>
          <w:color w:val="auto"/>
        </w:rPr>
      </w:pPr>
    </w:p>
    <w:p>
      <w:pPr>
        <w:jc w:val="both"/>
        <w:ind w:left="640" w:firstLine="637"/>
        <w:spacing w:after="0" w:line="30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 §§252.81, 47.2 or 382.1,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129</w:t>
      </w:r>
    </w:p>
    <w:p>
      <w:pPr>
        <w:sectPr>
          <w:pgSz w:w="11900" w:h="16838" w:orient="portrait"/>
          <w:cols w:equalWidth="0" w:num="1">
            <w:col w:w="11240"/>
          </w:cols>
          <w:pgMar w:left="320" w:top="1390" w:right="339" w:bottom="1440" w:gutter="0" w:footer="0" w:header="0"/>
        </w:sectPr>
      </w:pPr>
    </w:p>
    <w:bookmarkStart w:id="243" w:name="page244"/>
    <w:bookmarkEnd w:id="243"/>
    <w:p>
      <w:pPr>
        <w:ind w:firstLine="637"/>
        <w:spacing w:after="0" w:line="30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 5390(c)(8)(D).”</w:t>
      </w:r>
    </w:p>
    <w:p>
      <w:pPr>
        <w:spacing w:after="0" w:line="1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130</w:t>
      </w:r>
    </w:p>
    <w:p>
      <w:pPr>
        <w:sectPr>
          <w:pgSz w:w="11900" w:h="16838" w:orient="portrait"/>
          <w:cols w:equalWidth="0" w:num="1">
            <w:col w:w="10600"/>
          </w:cols>
          <w:pgMar w:left="960" w:top="1386" w:right="339" w:bottom="1440" w:gutter="0" w:footer="0" w:header="0"/>
        </w:sectPr>
      </w:pPr>
    </w:p>
    <w:bookmarkStart w:id="244" w:name="page245"/>
    <w:bookmarkEnd w:id="244"/>
    <w:p>
      <w:pPr>
        <w:jc w:val="right"/>
        <w:ind w:right="4079"/>
        <w:spacing w:after="0"/>
        <w:rPr>
          <w:sz w:val="20"/>
          <w:szCs w:val="20"/>
          <w:color w:val="auto"/>
        </w:rPr>
      </w:pPr>
      <w:r>
        <w:rPr>
          <w:rFonts w:ascii="Times New Roman" w:cs="Times New Roman" w:eastAsia="Times New Roman" w:hAnsi="Times New Roman"/>
          <w:sz w:val="19"/>
          <w:szCs w:val="19"/>
          <w:b w:val="1"/>
          <w:bCs w:val="1"/>
          <w:u w:val="single" w:color="auto"/>
          <w:color w:val="auto"/>
        </w:rPr>
        <w:t>ANNEX B</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Greater Park City Company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Greater Properties, Inc.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Park Properties,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HPK,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Breckenridge Hotel Management Group,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Canyons Golf Club, LLC</w:t>
      </w:r>
    </w:p>
    <w:p>
      <w:pPr>
        <w:sectPr>
          <w:pgSz w:w="11900" w:h="16838" w:orient="portrait"/>
          <w:cols w:equalWidth="0" w:num="1">
            <w:col w:w="10139"/>
          </w:cols>
          <w:pgMar w:left="320" w:top="1386" w:right="1440" w:bottom="1440" w:gutter="0" w:footer="0" w:header="0"/>
        </w:sectPr>
      </w:pPr>
    </w:p>
    <w:bookmarkStart w:id="245" w:name="page246"/>
    <w:bookmarkEnd w:id="245"/>
    <w:p>
      <w:pPr>
        <w:jc w:val="center"/>
        <w:ind w:right="100"/>
        <w:spacing w:after="0"/>
        <w:rPr>
          <w:sz w:val="20"/>
          <w:szCs w:val="20"/>
          <w:color w:val="auto"/>
        </w:rPr>
      </w:pPr>
      <w:r>
        <w:rPr>
          <w:rFonts w:ascii="Times New Roman" w:cs="Times New Roman" w:eastAsia="Times New Roman" w:hAnsi="Times New Roman"/>
          <w:sz w:val="19"/>
          <w:szCs w:val="19"/>
          <w:b w:val="1"/>
          <w:bCs w:val="1"/>
          <w:u w:val="single" w:color="auto"/>
          <w:color w:val="auto"/>
        </w:rPr>
        <w:t>SCHEDULE 1</w:t>
      </w:r>
    </w:p>
    <w:p>
      <w:pPr>
        <w:spacing w:after="0" w:line="2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u w:val="single" w:color="auto"/>
          <w:color w:val="auto"/>
        </w:rPr>
        <w:t>Lenders and Commitments</w:t>
      </w: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1000" w:type="dxa"/>
            <w:vAlign w:val="bottom"/>
            <w:tcBorders>
              <w:top w:val="single" w:sz="8" w:color="auto"/>
              <w:left w:val="single" w:sz="8" w:color="auto"/>
              <w:right w:val="single" w:sz="8" w:color="auto"/>
            </w:tcBorders>
          </w:tcPr>
          <w:p>
            <w:pPr>
              <w:spacing w:after="0"/>
              <w:rPr>
                <w:sz w:val="17"/>
                <w:szCs w:val="17"/>
                <w:color w:val="auto"/>
              </w:rPr>
            </w:pPr>
          </w:p>
        </w:tc>
        <w:tc>
          <w:tcPr>
            <w:tcW w:w="1500" w:type="dxa"/>
            <w:vAlign w:val="bottom"/>
            <w:tcBorders>
              <w:top w:val="single" w:sz="8" w:color="auto"/>
              <w:right w:val="single" w:sz="8" w:color="auto"/>
            </w:tcBorders>
          </w:tcPr>
          <w:p>
            <w:pPr>
              <w:spacing w:after="0"/>
              <w:rPr>
                <w:sz w:val="17"/>
                <w:szCs w:val="17"/>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COMMITMENT</w:t>
            </w:r>
          </w:p>
        </w:tc>
        <w:tc>
          <w:tcPr>
            <w:tcW w:w="1380" w:type="dxa"/>
            <w:vAlign w:val="bottom"/>
            <w:tcBorders>
              <w:top w:val="single" w:sz="8" w:color="auto"/>
              <w:right w:val="single" w:sz="8" w:color="auto"/>
            </w:tcBorders>
          </w:tcPr>
          <w:p>
            <w:pPr>
              <w:spacing w:after="0"/>
              <w:rPr>
                <w:sz w:val="17"/>
                <w:szCs w:val="17"/>
                <w:color w:val="auto"/>
              </w:rPr>
            </w:pPr>
          </w:p>
        </w:tc>
        <w:tc>
          <w:tcPr>
            <w:tcW w:w="1480" w:type="dxa"/>
            <w:vAlign w:val="bottom"/>
            <w:tcBorders>
              <w:top w:val="single" w:sz="8" w:color="auto"/>
              <w:right w:val="single" w:sz="8" w:color="auto"/>
            </w:tcBorders>
          </w:tcPr>
          <w:p>
            <w:pPr>
              <w:spacing w:after="0"/>
              <w:rPr>
                <w:sz w:val="17"/>
                <w:szCs w:val="17"/>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COMMITMENT</w:t>
            </w: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DELAYED</w:t>
            </w:r>
          </w:p>
        </w:tc>
        <w:tc>
          <w:tcPr>
            <w:tcW w:w="1500" w:type="dxa"/>
            <w:vAlign w:val="bottom"/>
            <w:tcBorders>
              <w:top w:val="single" w:sz="8" w:color="auto"/>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COMMITMENT</w:t>
            </w:r>
          </w:p>
        </w:tc>
        <w:tc>
          <w:tcPr>
            <w:tcW w:w="0" w:type="dxa"/>
            <w:vAlign w:val="bottom"/>
          </w:tcPr>
          <w:p>
            <w:pPr>
              <w:spacing w:after="0"/>
              <w:rPr>
                <w:sz w:val="1"/>
                <w:szCs w:val="1"/>
                <w:color w:val="auto"/>
              </w:rPr>
            </w:pPr>
          </w:p>
        </w:tc>
      </w:tr>
      <w:tr>
        <w:trPr>
          <w:trHeight w:val="199"/>
        </w:trPr>
        <w:tc>
          <w:tcPr>
            <w:tcW w:w="100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REVOLVER</w:t>
            </w:r>
          </w:p>
        </w:tc>
        <w:tc>
          <w:tcPr>
            <w:tcW w:w="1500" w:type="dxa"/>
            <w:vAlign w:val="bottom"/>
            <w:tcBorders>
              <w:right w:val="single" w:sz="8" w:color="auto"/>
            </w:tcBorders>
            <w:vMerge w:val="continue"/>
          </w:tcPr>
          <w:p>
            <w:pPr>
              <w:spacing w:after="0"/>
              <w:rPr>
                <w:sz w:val="17"/>
                <w:szCs w:val="17"/>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LETTER OF</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500" w:type="dxa"/>
            <w:vAlign w:val="bottom"/>
            <w:tcBorders>
              <w:right w:val="single" w:sz="8" w:color="auto"/>
            </w:tcBorders>
            <w:vMerge w:val="continue"/>
          </w:tcPr>
          <w:p>
            <w:pPr>
              <w:spacing w:after="0"/>
              <w:rPr>
                <w:sz w:val="17"/>
                <w:szCs w:val="17"/>
                <w:color w:val="auto"/>
              </w:rPr>
            </w:pPr>
          </w:p>
        </w:tc>
        <w:tc>
          <w:tcPr>
            <w:tcW w:w="1500" w:type="dxa"/>
            <w:vAlign w:val="bottom"/>
            <w:tcBorders>
              <w:right w:val="single" w:sz="8" w:color="auto"/>
            </w:tcBorders>
            <w:vMerge w:val="continue"/>
          </w:tcPr>
          <w:p>
            <w:pPr>
              <w:spacing w:after="0"/>
              <w:rPr>
                <w:sz w:val="17"/>
                <w:szCs w:val="17"/>
                <w:color w:val="auto"/>
              </w:rPr>
            </w:pPr>
          </w:p>
        </w:tc>
        <w:tc>
          <w:tcPr>
            <w:tcW w:w="15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PERCENTAGE</w:t>
            </w:r>
          </w:p>
        </w:tc>
        <w:tc>
          <w:tcPr>
            <w:tcW w:w="0" w:type="dxa"/>
            <w:vAlign w:val="bottom"/>
          </w:tcPr>
          <w:p>
            <w:pPr>
              <w:spacing w:after="0"/>
              <w:rPr>
                <w:sz w:val="1"/>
                <w:szCs w:val="1"/>
                <w:color w:val="auto"/>
              </w:rPr>
            </w:pPr>
          </w:p>
        </w:tc>
      </w:tr>
      <w:tr>
        <w:trPr>
          <w:trHeight w:val="186"/>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LENDER</w:t>
            </w: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b w:val="1"/>
                <w:bCs w:val="1"/>
                <w:color w:val="auto"/>
              </w:rPr>
              <w:t>PERCENTAGE</w:t>
            </w:r>
          </w:p>
        </w:tc>
        <w:tc>
          <w:tcPr>
            <w:tcW w:w="138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b w:val="1"/>
                <w:bCs w:val="1"/>
                <w:color w:val="auto"/>
              </w:rPr>
              <w:t>PERCENTAGE</w:t>
            </w:r>
          </w:p>
        </w:tc>
        <w:tc>
          <w:tcPr>
            <w:tcW w:w="15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b w:val="1"/>
                <w:bCs w:val="1"/>
                <w:color w:val="auto"/>
              </w:rPr>
              <w:t>DRAW TERM</w:t>
            </w:r>
          </w:p>
        </w:tc>
        <w:tc>
          <w:tcPr>
            <w:tcW w:w="15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b w:val="1"/>
                <w:bCs w:val="1"/>
                <w:color w:val="auto"/>
              </w:rPr>
              <w:t>(DELAYED</w:t>
            </w:r>
          </w:p>
        </w:tc>
        <w:tc>
          <w:tcPr>
            <w:tcW w:w="0" w:type="dxa"/>
            <w:vAlign w:val="bottom"/>
          </w:tcPr>
          <w:p>
            <w:pPr>
              <w:spacing w:after="0"/>
              <w:rPr>
                <w:sz w:val="1"/>
                <w:szCs w:val="1"/>
                <w:color w:val="auto"/>
              </w:rPr>
            </w:pPr>
          </w:p>
        </w:tc>
      </w:tr>
      <w:tr>
        <w:trPr>
          <w:trHeight w:val="199"/>
        </w:trPr>
        <w:tc>
          <w:tcPr>
            <w:tcW w:w="1000" w:type="dxa"/>
            <w:vAlign w:val="bottom"/>
            <w:tcBorders>
              <w:left w:val="single" w:sz="8" w:color="auto"/>
              <w:right w:val="single" w:sz="8" w:color="auto"/>
            </w:tcBorders>
            <w:vMerge w:val="continue"/>
          </w:tcPr>
          <w:p>
            <w:pPr>
              <w:spacing w:after="0"/>
              <w:rPr>
                <w:sz w:val="17"/>
                <w:szCs w:val="17"/>
                <w:color w:val="auto"/>
              </w:rPr>
            </w:pPr>
          </w:p>
        </w:tc>
        <w:tc>
          <w:tcPr>
            <w:tcW w:w="15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COMMITMENT</w:t>
            </w:r>
          </w:p>
        </w:tc>
        <w:tc>
          <w:tcPr>
            <w:tcW w:w="15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w w:val="99"/>
              </w:rPr>
              <w:t>(REVOLVER</w:t>
            </w:r>
          </w:p>
        </w:tc>
        <w:tc>
          <w:tcPr>
            <w:tcW w:w="138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CREDIT</w:t>
            </w:r>
          </w:p>
        </w:tc>
        <w:tc>
          <w:tcPr>
            <w:tcW w:w="148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AMOUNT OF</w:t>
            </w:r>
          </w:p>
        </w:tc>
        <w:tc>
          <w:tcPr>
            <w:tcW w:w="15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(TERM LOAN</w:t>
            </w:r>
          </w:p>
        </w:tc>
        <w:tc>
          <w:tcPr>
            <w:tcW w:w="15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LOAN</w:t>
            </w:r>
          </w:p>
        </w:tc>
        <w:tc>
          <w:tcPr>
            <w:tcW w:w="15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DRAW TERM</w:t>
            </w:r>
          </w:p>
        </w:tc>
        <w:tc>
          <w:tcPr>
            <w:tcW w:w="0" w:type="dxa"/>
            <w:vAlign w:val="bottom"/>
          </w:tcPr>
          <w:p>
            <w:pPr>
              <w:spacing w:after="0"/>
              <w:rPr>
                <w:sz w:val="1"/>
                <w:szCs w:val="1"/>
                <w:color w:val="auto"/>
              </w:rPr>
            </w:pPr>
          </w:p>
        </w:tc>
      </w:tr>
      <w:tr>
        <w:trPr>
          <w:trHeight w:val="186"/>
        </w:trPr>
        <w:tc>
          <w:tcPr>
            <w:tcW w:w="100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b w:val="1"/>
                <w:bCs w:val="1"/>
                <w:color w:val="auto"/>
              </w:rPr>
              <w:t>FACILITY)</w:t>
            </w:r>
          </w:p>
        </w:tc>
        <w:tc>
          <w:tcPr>
            <w:tcW w:w="13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b w:val="1"/>
                <w:bCs w:val="1"/>
                <w:color w:val="auto"/>
              </w:rPr>
              <w:t>SUBLIMIT</w:t>
            </w:r>
            <w:r>
              <w:rPr>
                <w:rFonts w:ascii="Times New Roman" w:cs="Times New Roman" w:eastAsia="Times New Roman" w:hAnsi="Times New Roman"/>
                <w:sz w:val="19"/>
                <w:szCs w:val="19"/>
                <w:b w:val="1"/>
                <w:bCs w:val="1"/>
                <w:color w:val="EE2724"/>
              </w:rPr>
              <w:t>*</w:t>
            </w:r>
          </w:p>
        </w:tc>
        <w:tc>
          <w:tcPr>
            <w:tcW w:w="14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b w:val="1"/>
                <w:bCs w:val="1"/>
                <w:color w:val="auto"/>
              </w:rPr>
              <w:t>TERM LOAN</w:t>
            </w:r>
            <w:r>
              <w:rPr>
                <w:rFonts w:ascii="Times New Roman" w:cs="Times New Roman" w:eastAsia="Times New Roman" w:hAnsi="Times New Roman"/>
                <w:sz w:val="19"/>
                <w:szCs w:val="19"/>
                <w:b w:val="1"/>
                <w:bCs w:val="1"/>
                <w:color w:val="EE2724"/>
              </w:rPr>
              <w:t>*</w:t>
            </w:r>
          </w:p>
        </w:tc>
        <w:tc>
          <w:tcPr>
            <w:tcW w:w="15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b w:val="1"/>
                <w:bCs w:val="1"/>
                <w:color w:val="auto"/>
              </w:rPr>
              <w:t>FACILITY)</w:t>
            </w:r>
          </w:p>
        </w:tc>
        <w:tc>
          <w:tcPr>
            <w:tcW w:w="15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b w:val="1"/>
                <w:bCs w:val="1"/>
                <w:color w:val="auto"/>
              </w:rPr>
              <w:t>COMMITMENT</w:t>
            </w:r>
          </w:p>
        </w:tc>
        <w:tc>
          <w:tcPr>
            <w:tcW w:w="15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b w:val="1"/>
                <w:bCs w:val="1"/>
                <w:color w:val="auto"/>
              </w:rPr>
              <w:t>LOAN</w:t>
            </w:r>
          </w:p>
        </w:tc>
        <w:tc>
          <w:tcPr>
            <w:tcW w:w="0" w:type="dxa"/>
            <w:vAlign w:val="bottom"/>
          </w:tcPr>
          <w:p>
            <w:pPr>
              <w:spacing w:after="0"/>
              <w:rPr>
                <w:sz w:val="1"/>
                <w:szCs w:val="1"/>
                <w:color w:val="auto"/>
              </w:rPr>
            </w:pPr>
          </w:p>
        </w:tc>
      </w:tr>
      <w:tr>
        <w:trPr>
          <w:trHeight w:val="261"/>
        </w:trPr>
        <w:tc>
          <w:tcPr>
            <w:tcW w:w="1000" w:type="dxa"/>
            <w:vAlign w:val="bottom"/>
            <w:tcBorders>
              <w:left w:val="single" w:sz="8" w:color="auto"/>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FACILITY)</w:t>
            </w:r>
          </w:p>
        </w:tc>
        <w:tc>
          <w:tcPr>
            <w:tcW w:w="0" w:type="dxa"/>
            <w:vAlign w:val="bottom"/>
          </w:tcPr>
          <w:p>
            <w:pPr>
              <w:spacing w:after="0"/>
              <w:rPr>
                <w:sz w:val="1"/>
                <w:szCs w:val="1"/>
                <w:color w:val="auto"/>
              </w:rPr>
            </w:pPr>
          </w:p>
        </w:tc>
      </w:tr>
      <w:tr>
        <w:trPr>
          <w:trHeight w:val="187"/>
        </w:trPr>
        <w:tc>
          <w:tcPr>
            <w:tcW w:w="1000" w:type="dxa"/>
            <w:vAlign w:val="bottom"/>
            <w:tcBorders>
              <w:left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9"/>
                <w:szCs w:val="19"/>
                <w:color w:val="auto"/>
              </w:rPr>
              <w:t>Bank of</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$145,300,000.00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24.216666667%</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$125,000,000.00</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$229,446,615.22</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24.220000000%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$73,800,000.00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16.400000000%</w:t>
            </w: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9"/>
                <w:szCs w:val="19"/>
                <w:color w:val="auto"/>
              </w:rPr>
              <w:t>America,</w:t>
            </w: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N.A.</w:t>
            </w: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0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9"/>
                <w:szCs w:val="19"/>
                <w:color w:val="auto"/>
              </w:rPr>
              <w:t>U.S. Bank</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$128,550,000.00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21.425000000%</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$203,021,929.69</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21.430000000%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$76,600,000.00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17.022222222%</w:t>
            </w: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9"/>
                <w:szCs w:val="19"/>
                <w:color w:val="auto"/>
              </w:rPr>
              <w:t>National</w:t>
            </w: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Association</w:t>
            </w: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0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9"/>
                <w:szCs w:val="19"/>
                <w:color w:val="auto"/>
                <w:w w:val="99"/>
              </w:rPr>
              <w:t>Wells</w:t>
            </w: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9"/>
                <w:szCs w:val="19"/>
                <w:color w:val="auto"/>
                <w:w w:val="99"/>
              </w:rPr>
              <w:t>Fargo</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$128,550,000.00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21.425000000%</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$75,000,000.00</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$203,021,929.69</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21.430000000%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$76,600,000.00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17.022222222%</w:t>
            </w:r>
          </w:p>
        </w:tc>
        <w:tc>
          <w:tcPr>
            <w:tcW w:w="0" w:type="dxa"/>
            <w:vAlign w:val="bottom"/>
          </w:tcPr>
          <w:p>
            <w:pPr>
              <w:spacing w:after="0"/>
              <w:rPr>
                <w:sz w:val="1"/>
                <w:szCs w:val="1"/>
                <w:color w:val="auto"/>
              </w:rPr>
            </w:pPr>
          </w:p>
        </w:tc>
      </w:tr>
      <w:tr>
        <w:trPr>
          <w:trHeight w:val="189"/>
        </w:trPr>
        <w:tc>
          <w:tcPr>
            <w:tcW w:w="1000" w:type="dxa"/>
            <w:vAlign w:val="bottom"/>
            <w:tcBorders>
              <w:left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9"/>
                <w:szCs w:val="19"/>
                <w:color w:val="auto"/>
              </w:rPr>
              <w:t>Bank,</w:t>
            </w: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9"/>
                <w:szCs w:val="19"/>
                <w:color w:val="auto"/>
              </w:rPr>
              <w:t>National</w:t>
            </w: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Association</w:t>
            </w: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Truist Bank</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$80,425,000.00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13.404166666%</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$127,026,087.89</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13.405000000%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$74,600,000.00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16.577777778%</w:t>
            </w:r>
          </w:p>
        </w:tc>
        <w:tc>
          <w:tcPr>
            <w:tcW w:w="0" w:type="dxa"/>
            <w:vAlign w:val="bottom"/>
          </w:tcPr>
          <w:p>
            <w:pPr>
              <w:spacing w:after="0"/>
              <w:rPr>
                <w:sz w:val="1"/>
                <w:szCs w:val="1"/>
                <w:color w:val="auto"/>
              </w:rPr>
            </w:pPr>
          </w:p>
        </w:tc>
      </w:tr>
      <w:tr>
        <w:trPr>
          <w:trHeight w:val="183"/>
        </w:trPr>
        <w:tc>
          <w:tcPr>
            <w:tcW w:w="100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9"/>
                <w:szCs w:val="19"/>
                <w:color w:val="auto"/>
              </w:rPr>
              <w:t>PNC Bank,</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$46,275,000.00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7.712500000%</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$73,087,136.72</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7.715000000%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$60,300,000.00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13.400000000%</w:t>
            </w: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9"/>
                <w:szCs w:val="19"/>
                <w:color w:val="auto"/>
              </w:rPr>
              <w:t>National</w:t>
            </w: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Association</w:t>
            </w: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1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BMO Bank</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$42,850,000.00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7.141666667%</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$81,216,351.57</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8.570000000%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0.000000000%</w:t>
            </w:r>
          </w:p>
        </w:tc>
        <w:tc>
          <w:tcPr>
            <w:tcW w:w="0" w:type="dxa"/>
            <w:vAlign w:val="bottom"/>
          </w:tcPr>
          <w:p>
            <w:pPr>
              <w:spacing w:after="0"/>
              <w:rPr>
                <w:sz w:val="1"/>
                <w:szCs w:val="1"/>
                <w:color w:val="auto"/>
              </w:rPr>
            </w:pPr>
          </w:p>
        </w:tc>
      </w:tr>
      <w:tr>
        <w:trPr>
          <w:trHeight w:val="159"/>
        </w:trPr>
        <w:tc>
          <w:tcPr>
            <w:tcW w:w="1000" w:type="dxa"/>
            <w:vAlign w:val="bottom"/>
            <w:tcBorders>
              <w:left w:val="single" w:sz="8" w:color="auto"/>
              <w:bottom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8"/>
                <w:szCs w:val="18"/>
                <w:color w:val="auto"/>
              </w:rPr>
              <w:t>N.A.</w:t>
            </w:r>
          </w:p>
        </w:tc>
        <w:tc>
          <w:tcPr>
            <w:tcW w:w="150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0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9"/>
                <w:szCs w:val="19"/>
                <w:color w:val="auto"/>
              </w:rPr>
              <w:t>BOKF, NA</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$19,350,000.00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3.225000000%</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$30,640,886.72</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3.230000000%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$24,800,000.00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8"/>
              </w:rPr>
              <w:t>5.511111111%</w:t>
            </w: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9"/>
                <w:szCs w:val="19"/>
                <w:color w:val="auto"/>
              </w:rPr>
              <w:t>dba BOK</w:t>
            </w: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Financial</w:t>
            </w: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0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9"/>
                <w:szCs w:val="19"/>
                <w:color w:val="auto"/>
              </w:rPr>
              <w:t>HTLF</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$8,700,000.00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1.450000000%</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0.000000000%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$63,300,000.00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14.066666667%</w:t>
            </w:r>
          </w:p>
        </w:tc>
        <w:tc>
          <w:tcPr>
            <w:tcW w:w="0" w:type="dxa"/>
            <w:vAlign w:val="bottom"/>
          </w:tcPr>
          <w:p>
            <w:pPr>
              <w:spacing w:after="0"/>
              <w:rPr>
                <w:sz w:val="1"/>
                <w:szCs w:val="1"/>
                <w:color w:val="auto"/>
              </w:rPr>
            </w:pPr>
          </w:p>
        </w:tc>
      </w:tr>
      <w:tr>
        <w:trPr>
          <w:trHeight w:val="147"/>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Bank</w:t>
            </w:r>
          </w:p>
        </w:tc>
        <w:tc>
          <w:tcPr>
            <w:tcW w:w="150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0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10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rPr>
              <w:t>Totals</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9"/>
                <w:szCs w:val="19"/>
                <w:b w:val="1"/>
                <w:bCs w:val="1"/>
                <w:color w:val="auto"/>
              </w:rPr>
              <w:t>$600,000,000.00</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9"/>
                <w:szCs w:val="19"/>
                <w:b w:val="1"/>
                <w:bCs w:val="1"/>
                <w:color w:val="auto"/>
              </w:rPr>
              <w:t>100.0000000%</w:t>
            </w:r>
          </w:p>
        </w:tc>
        <w:tc>
          <w:tcPr>
            <w:tcW w:w="1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9"/>
                <w:szCs w:val="19"/>
                <w:b w:val="1"/>
                <w:bCs w:val="1"/>
                <w:color w:val="auto"/>
              </w:rPr>
              <w:t>$200,000,000.00</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9"/>
                <w:szCs w:val="19"/>
                <w:b w:val="1"/>
                <w:bCs w:val="1"/>
                <w:color w:val="auto"/>
              </w:rPr>
              <w:t>$947,460,937.50</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9"/>
                <w:szCs w:val="19"/>
                <w:b w:val="1"/>
                <w:bCs w:val="1"/>
                <w:color w:val="auto"/>
              </w:rPr>
              <w:t>100.0000000%</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9"/>
                <w:szCs w:val="19"/>
                <w:b w:val="1"/>
                <w:bCs w:val="1"/>
                <w:color w:val="auto"/>
              </w:rPr>
              <w:t>$450,000,000.00</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9"/>
                <w:szCs w:val="19"/>
                <w:b w:val="1"/>
                <w:bCs w:val="1"/>
                <w:color w:val="auto"/>
              </w:rPr>
              <w:t>100.0000000%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505460</wp:posOffset>
            </wp:positionV>
            <wp:extent cx="2931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931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80" w:right="7140" w:hanging="6"/>
        <w:spacing w:after="0" w:line="223" w:lineRule="auto"/>
        <w:tabs>
          <w:tab w:leader="none" w:pos="826" w:val="left"/>
        </w:tabs>
        <w:numPr>
          <w:ilvl w:val="0"/>
          <w:numId w:val="245"/>
        </w:numPr>
        <w:rPr>
          <w:rFonts w:ascii="Times New Roman" w:cs="Times New Roman" w:eastAsia="Times New Roman" w:hAnsi="Times New Roman"/>
          <w:sz w:val="19"/>
          <w:szCs w:val="19"/>
          <w:color w:val="EE2724"/>
        </w:rPr>
      </w:pPr>
      <w:r>
        <w:rPr>
          <w:rFonts w:ascii="Times New Roman" w:cs="Times New Roman" w:eastAsia="Times New Roman" w:hAnsi="Times New Roman"/>
          <w:sz w:val="19"/>
          <w:szCs w:val="19"/>
          <w:color w:val="auto"/>
        </w:rPr>
        <w:t>Part of, and not in addition to, the Revolver Commitment.</w:t>
      </w:r>
    </w:p>
    <w:p>
      <w:pPr>
        <w:ind w:left="820" w:hanging="146"/>
        <w:spacing w:after="0"/>
        <w:tabs>
          <w:tab w:leader="none" w:pos="820" w:val="left"/>
        </w:tabs>
        <w:numPr>
          <w:ilvl w:val="0"/>
          <w:numId w:val="245"/>
        </w:numPr>
        <w:rPr>
          <w:rFonts w:ascii="Times New Roman" w:cs="Times New Roman" w:eastAsia="Times New Roman" w:hAnsi="Times New Roman"/>
          <w:sz w:val="19"/>
          <w:szCs w:val="19"/>
          <w:color w:val="EE2724"/>
        </w:rPr>
      </w:pPr>
      <w:r>
        <w:rPr>
          <w:rFonts w:ascii="Times New Roman" w:cs="Times New Roman" w:eastAsia="Times New Roman" w:hAnsi="Times New Roman"/>
          <w:sz w:val="19"/>
          <w:szCs w:val="19"/>
          <w:color w:val="auto"/>
        </w:rPr>
        <w:t>As of the Effective Date.</w:t>
      </w:r>
    </w:p>
    <w:p>
      <w:pPr>
        <w:sectPr>
          <w:pgSz w:w="11900" w:h="16838" w:orient="portrait"/>
          <w:cols w:equalWidth="0" w:num="1">
            <w:col w:w="11340"/>
          </w:cols>
          <w:pgMar w:left="320" w:top="1386" w:right="2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18"/>
        </w:trPr>
        <w:tc>
          <w:tcPr>
            <w:tcW w:w="2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EXHIBIT A-3</w:t>
            </w:r>
          </w:p>
        </w:tc>
        <w:tc>
          <w:tcPr>
            <w:tcW w:w="1660" w:type="dxa"/>
            <w:vAlign w:val="bottom"/>
          </w:tcPr>
          <w:p>
            <w:pPr>
              <w:spacing w:after="0"/>
              <w:rPr>
                <w:sz w:val="18"/>
                <w:szCs w:val="18"/>
                <w:color w:val="auto"/>
              </w:rPr>
            </w:pPr>
          </w:p>
        </w:tc>
      </w:tr>
      <w:tr>
        <w:trPr>
          <w:trHeight w:val="502"/>
        </w:trPr>
        <w:tc>
          <w:tcPr>
            <w:tcW w:w="2000" w:type="dxa"/>
            <w:vAlign w:val="bottom"/>
          </w:tcPr>
          <w:p>
            <w:pPr>
              <w:spacing w:after="0"/>
              <w:rPr>
                <w:sz w:val="24"/>
                <w:szCs w:val="24"/>
                <w:color w:val="auto"/>
              </w:rPr>
            </w:pPr>
          </w:p>
        </w:tc>
        <w:tc>
          <w:tcPr>
            <w:tcW w:w="5880" w:type="dxa"/>
            <w:vAlign w:val="bottom"/>
            <w:gridSpan w:val="3"/>
          </w:tcPr>
          <w:p>
            <w:pPr>
              <w:jc w:val="center"/>
              <w:ind w:left="1283"/>
              <w:spacing w:after="0"/>
              <w:rPr>
                <w:sz w:val="20"/>
                <w:szCs w:val="20"/>
                <w:color w:val="auto"/>
              </w:rPr>
            </w:pPr>
            <w:r>
              <w:rPr>
                <w:rFonts w:ascii="Times New Roman" w:cs="Times New Roman" w:eastAsia="Times New Roman" w:hAnsi="Times New Roman"/>
                <w:sz w:val="19"/>
                <w:szCs w:val="19"/>
                <w:b w:val="1"/>
                <w:bCs w:val="1"/>
                <w:color w:val="auto"/>
              </w:rPr>
              <w:t>[FORM OF] DELAYED DRAW TERM LOAN NOTE</w:t>
            </w:r>
          </w:p>
        </w:tc>
      </w:tr>
      <w:tr>
        <w:trPr>
          <w:trHeight w:val="464"/>
        </w:trPr>
        <w:tc>
          <w:tcPr>
            <w:tcW w:w="2000" w:type="dxa"/>
            <w:vAlign w:val="bottom"/>
          </w:tcPr>
          <w:p>
            <w:pPr>
              <w:jc w:val="right"/>
              <w:ind w:right="883"/>
              <w:spacing w:after="0"/>
              <w:rPr>
                <w:sz w:val="20"/>
                <w:szCs w:val="20"/>
                <w:color w:val="auto"/>
              </w:rPr>
            </w:pPr>
            <w:r>
              <w:rPr>
                <w:rFonts w:ascii="Times New Roman" w:cs="Times New Roman" w:eastAsia="Times New Roman" w:hAnsi="Times New Roman"/>
                <w:sz w:val="19"/>
                <w:szCs w:val="19"/>
                <w:color w:val="auto"/>
              </w:rPr>
              <w:t>$[________]</w:t>
            </w:r>
          </w:p>
        </w:tc>
        <w:tc>
          <w:tcPr>
            <w:tcW w:w="3040" w:type="dxa"/>
            <w:vAlign w:val="bottom"/>
          </w:tcPr>
          <w:p>
            <w:pPr>
              <w:jc w:val="right"/>
              <w:ind w:right="1023"/>
              <w:spacing w:after="0"/>
              <w:rPr>
                <w:sz w:val="20"/>
                <w:szCs w:val="20"/>
                <w:color w:val="auto"/>
              </w:rPr>
            </w:pPr>
            <w:r>
              <w:rPr>
                <w:rFonts w:ascii="Times New Roman" w:cs="Times New Roman" w:eastAsia="Times New Roman" w:hAnsi="Times New Roman"/>
                <w:sz w:val="19"/>
                <w:szCs w:val="19"/>
                <w:color w:val="auto"/>
              </w:rPr>
              <w:t>[________]</w:t>
            </w: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value received, VAIL HOLDINGS, INC., a Colorado corporation (</w:t>
      </w:r>
      <w:r>
        <w:rPr>
          <w:rFonts w:ascii="Times New Roman" w:cs="Times New Roman" w:eastAsia="Times New Roman" w:hAnsi="Times New Roman"/>
          <w:sz w:val="19"/>
          <w:szCs w:val="19"/>
          <w:b w:val="1"/>
          <w:bCs w:val="1"/>
          <w:i w:val="1"/>
          <w:iCs w:val="1"/>
          <w:color w:val="auto"/>
        </w:rPr>
        <w:t>“Maker”</w:t>
      </w:r>
      <w:r>
        <w:rPr>
          <w:rFonts w:ascii="Times New Roman" w:cs="Times New Roman" w:eastAsia="Times New Roman" w:hAnsi="Times New Roman"/>
          <w:sz w:val="19"/>
          <w:szCs w:val="19"/>
          <w:color w:val="auto"/>
        </w:rPr>
        <w:t>), hereby promises to pay to the order of [_________________]</w:t>
      </w:r>
    </w:p>
    <w:p>
      <w:pPr>
        <w:spacing w:after="0" w:line="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“Payee”</w:t>
      </w:r>
      <w:r>
        <w:rPr>
          <w:rFonts w:ascii="Times New Roman" w:cs="Times New Roman" w:eastAsia="Times New Roman" w:hAnsi="Times New Roman"/>
          <w:sz w:val="19"/>
          <w:szCs w:val="19"/>
          <w:color w:val="auto"/>
        </w:rPr>
        <w:t xml:space="preserve">) on or before the Termination Date for the Delayed Draw Term Loan Facility or such earlier date as specified in </w:t>
      </w:r>
      <w:r>
        <w:rPr>
          <w:rFonts w:ascii="Times New Roman" w:cs="Times New Roman" w:eastAsia="Times New Roman" w:hAnsi="Times New Roman"/>
          <w:sz w:val="19"/>
          <w:szCs w:val="19"/>
          <w:i w:val="1"/>
          <w:iCs w:val="1"/>
          <w:color w:val="auto"/>
        </w:rPr>
        <w:t>Section 3.2</w:t>
      </w:r>
      <w:r>
        <w:rPr>
          <w:rFonts w:ascii="Times New Roman" w:cs="Times New Roman" w:eastAsia="Times New Roman" w:hAnsi="Times New Roman"/>
          <w:sz w:val="19"/>
          <w:szCs w:val="19"/>
          <w:color w:val="auto"/>
        </w:rPr>
        <w:t xml:space="preserve"> of the Credit Agreement (as hereinafter defined), the principal amount of [_________________] DOLLARS, or so much as may be disbursed and outstanding thereunder, together with interest, as hereinafter described.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This note has been executed and delivered under, and is subject to the terms of, the Ninth Amended and Restated Credit Agreement dated as of April 24, 2024 (as amended, supplemented, extended, or restated, the </w:t>
      </w:r>
      <w:r>
        <w:rPr>
          <w:rFonts w:ascii="Times New Roman" w:cs="Times New Roman" w:eastAsia="Times New Roman" w:hAnsi="Times New Roman"/>
          <w:sz w:val="19"/>
          <w:szCs w:val="19"/>
          <w:b w:val="1"/>
          <w:bCs w:val="1"/>
          <w:i w:val="1"/>
          <w:iCs w:val="1"/>
          <w:color w:val="auto"/>
        </w:rPr>
        <w:t>“Credit Agreement”</w:t>
      </w:r>
      <w:r>
        <w:rPr>
          <w:rFonts w:ascii="Times New Roman" w:cs="Times New Roman" w:eastAsia="Times New Roman" w:hAnsi="Times New Roman"/>
          <w:sz w:val="19"/>
          <w:szCs w:val="19"/>
          <w:color w:val="auto"/>
        </w:rPr>
        <w:t xml:space="preserve">), among Maker, the Lenders, and Bank of America, N.A., as Administrative Agent for itself and the other Lenders (including, without limitation, Payee), and is one of the </w:t>
      </w:r>
      <w:r>
        <w:rPr>
          <w:rFonts w:ascii="Times New Roman" w:cs="Times New Roman" w:eastAsia="Times New Roman" w:hAnsi="Times New Roman"/>
          <w:sz w:val="19"/>
          <w:szCs w:val="19"/>
          <w:i w:val="1"/>
          <w:iCs w:val="1"/>
          <w:color w:val="auto"/>
        </w:rPr>
        <w:t>“Delayed Draw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Loan Notes” </w:t>
      </w:r>
      <w:r>
        <w:rPr>
          <w:rFonts w:ascii="Times New Roman" w:cs="Times New Roman" w:eastAsia="Times New Roman" w:hAnsi="Times New Roman"/>
          <w:sz w:val="19"/>
          <w:szCs w:val="19"/>
          <w:color w:val="auto"/>
        </w:rPr>
        <w:t>referred to therein. Unless defined herein or the context otherwise requires, capitalized terms used herein have the meaning given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such terms in the Credit Agreement. Reference is made to the Credit Agreement for provisions affecting this note regarding applicable interest rates, principal and interest payment dates, final maturity, acceleration of maturity, exercise of Rights, payment of Attorney Costs, court costs and other costs of collection, and certain waivers by Maker and others now or hereafter obligated for payment of any sums due hereunder. Without limiting the immediately foregoing sentence, Maker, for itself and its successors and assigns, hereby waives diligence, presentment, protest, and demand and notice of protest, demand, dishonor, and non-payment of this note.</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 xml:space="preserve">This note is a Loan Paper and, therefore, is subject to the applicable provisions of </w:t>
      </w:r>
      <w:r>
        <w:rPr>
          <w:rFonts w:ascii="Times New Roman" w:cs="Times New Roman" w:eastAsia="Times New Roman" w:hAnsi="Times New Roman"/>
          <w:sz w:val="19"/>
          <w:szCs w:val="19"/>
          <w:i w:val="1"/>
          <w:iCs w:val="1"/>
          <w:color w:val="auto"/>
        </w:rPr>
        <w:t>Section 15</w:t>
      </w:r>
      <w:r>
        <w:rPr>
          <w:rFonts w:ascii="Times New Roman" w:cs="Times New Roman" w:eastAsia="Times New Roman" w:hAnsi="Times New Roman"/>
          <w:sz w:val="19"/>
          <w:szCs w:val="19"/>
          <w:color w:val="auto"/>
        </w:rPr>
        <w:t xml:space="preserve"> (including, without limitation, the registration provisions of </w:t>
      </w:r>
      <w:r>
        <w:rPr>
          <w:rFonts w:ascii="Times New Roman" w:cs="Times New Roman" w:eastAsia="Times New Roman" w:hAnsi="Times New Roman"/>
          <w:sz w:val="19"/>
          <w:szCs w:val="19"/>
          <w:i w:val="1"/>
          <w:iCs w:val="1"/>
          <w:color w:val="auto"/>
        </w:rPr>
        <w:t>Section 15.11(c))</w:t>
      </w:r>
      <w:r>
        <w:rPr>
          <w:rFonts w:ascii="Times New Roman" w:cs="Times New Roman" w:eastAsia="Times New Roman" w:hAnsi="Times New Roman"/>
          <w:sz w:val="19"/>
          <w:szCs w:val="19"/>
          <w:color w:val="auto"/>
        </w:rPr>
        <w:t xml:space="preserve"> of the Credit Agreement, all of which applicable provisions are incorporated herein by reference the same as if set forth herein verbatim. This note is also entitled to the benefits of the Guaranties and is secured by the Collateral.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Specific reference is made to </w:t>
      </w:r>
      <w:r>
        <w:rPr>
          <w:rFonts w:ascii="Times New Roman" w:cs="Times New Roman" w:eastAsia="Times New Roman" w:hAnsi="Times New Roman"/>
          <w:sz w:val="19"/>
          <w:szCs w:val="19"/>
          <w:i w:val="1"/>
          <w:iCs w:val="1"/>
          <w:color w:val="auto"/>
        </w:rPr>
        <w:t>Section 3.8</w:t>
      </w:r>
      <w:r>
        <w:rPr>
          <w:rFonts w:ascii="Times New Roman" w:cs="Times New Roman" w:eastAsia="Times New Roman" w:hAnsi="Times New Roman"/>
          <w:sz w:val="19"/>
          <w:szCs w:val="19"/>
          <w:color w:val="auto"/>
        </w:rPr>
        <w:t xml:space="preserve"> of the Credit Agreement for usury savings provisions.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Remainder of Page Intentionally Blank</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A-3</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Delayed Draw Term Loan Note</w:t>
      </w:r>
    </w:p>
    <w:p>
      <w:pPr>
        <w:sectPr>
          <w:pgSz w:w="11900" w:h="16838" w:orient="portrait"/>
          <w:cols w:equalWidth="0" w:num="1">
            <w:col w:w="11240"/>
          </w:cols>
          <w:pgMar w:left="320" w:top="1380" w:right="339" w:bottom="1440" w:gutter="0" w:footer="0" w:header="0"/>
        </w:sectPr>
      </w:pPr>
    </w:p>
    <w:bookmarkStart w:id="247" w:name="page248"/>
    <w:bookmarkEnd w:id="247"/>
    <w:p>
      <w:pPr>
        <w:spacing w:after="0" w:line="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MAKER:</w:t>
      </w:r>
    </w:p>
    <w:p>
      <w:pPr>
        <w:spacing w:after="0" w:line="2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VAIL HOLDINGS, INC.</w:t>
      </w:r>
    </w:p>
    <w:p>
      <w:pPr>
        <w:spacing w:after="0" w:line="2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By:</w:t>
      </w:r>
    </w:p>
    <w:p>
      <w:pPr>
        <w:spacing w:after="0" w:line="3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-132715</wp:posOffset>
            </wp:positionV>
            <wp:extent cx="2687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687320" cy="8255"/>
                    </a:xfrm>
                    <a:prstGeom prst="rect">
                      <a:avLst/>
                    </a:prstGeom>
                    <a:noFill/>
                  </pic:spPr>
                </pic:pic>
              </a:graphicData>
            </a:graphic>
          </wp:anchor>
        </w:drawing>
      </w:r>
    </w:p>
    <w:p>
      <w:pPr>
        <w:spacing w:after="0" w:line="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26670</wp:posOffset>
            </wp:positionV>
            <wp:extent cx="2687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687320"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-132715</wp:posOffset>
            </wp:positionV>
            <wp:extent cx="2687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687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A-3</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Delayed Draw Term Loan Note</w:t>
      </w:r>
    </w:p>
    <w:p>
      <w:pPr>
        <w:sectPr>
          <w:pgSz w:w="11900" w:h="16838" w:orient="portrait"/>
          <w:cols w:equalWidth="0" w:num="1">
            <w:col w:w="9019"/>
          </w:cols>
          <w:pgMar w:left="1440" w:top="1440" w:right="1440"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C</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LOAN NOTICE</w:t>
      </w:r>
    </w:p>
    <w:p>
      <w:pPr>
        <w:spacing w:after="0" w:line="25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________________</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Bank of America, N.A., as Administrative Agent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Attn: Betty Coleman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Fax: 214-290-9419</w:t>
      </w: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Reference is made to the Ninth Amended and Restated Credit Agreement dated as of April 24, 2024 (as amended, supplemented, extended, or restated from time to time, the “</w:t>
      </w:r>
      <w:r>
        <w:rPr>
          <w:rFonts w:ascii="Times New Roman" w:cs="Times New Roman" w:eastAsia="Times New Roman" w:hAnsi="Times New Roman"/>
          <w:sz w:val="19"/>
          <w:szCs w:val="19"/>
          <w:b w:val="1"/>
          <w:bCs w:val="1"/>
          <w:i w:val="1"/>
          <w:iCs w:val="1"/>
          <w:color w:val="auto"/>
        </w:rPr>
        <w:t>Credit Agreement</w:t>
      </w:r>
      <w:r>
        <w:rPr>
          <w:rFonts w:ascii="Times New Roman" w:cs="Times New Roman" w:eastAsia="Times New Roman" w:hAnsi="Times New Roman"/>
          <w:sz w:val="19"/>
          <w:szCs w:val="19"/>
          <w:color w:val="auto"/>
        </w:rPr>
        <w:t xml:space="preserve">”), among Vail Holdings, Inc., a Colorado corporation, the Lenders, and Bank of America, N.A., as Administrative Agent for itself and the other Lenders. Capitalized terms used herein and not otherwise defined herein shall have the meanings assigned to such terms in the Credit Agreement. The undersigned hereby gives you notice pursuant to </w:t>
      </w:r>
      <w:r>
        <w:rPr>
          <w:rFonts w:ascii="Times New Roman" w:cs="Times New Roman" w:eastAsia="Times New Roman" w:hAnsi="Times New Roman"/>
          <w:sz w:val="19"/>
          <w:szCs w:val="19"/>
          <w:i w:val="1"/>
          <w:iCs w:val="1"/>
          <w:color w:val="auto"/>
        </w:rPr>
        <w:t>Section 2.2(a)</w:t>
      </w:r>
      <w:r>
        <w:rPr>
          <w:rFonts w:ascii="Times New Roman" w:cs="Times New Roman" w:eastAsia="Times New Roman" w:hAnsi="Times New Roman"/>
          <w:sz w:val="19"/>
          <w:szCs w:val="19"/>
          <w:color w:val="auto"/>
        </w:rPr>
        <w:t xml:space="preserve"> of the Credit Agreement that it requests:</w:t>
      </w:r>
    </w:p>
    <w:p>
      <w:pPr>
        <w:spacing w:after="0" w:line="161" w:lineRule="exact"/>
        <w:rPr>
          <w:sz w:val="20"/>
          <w:szCs w:val="20"/>
          <w:color w:val="auto"/>
        </w:rPr>
      </w:pPr>
    </w:p>
    <w:p>
      <w:pPr>
        <w:ind w:right="5800" w:firstLine="6"/>
        <w:spacing w:after="0" w:line="380" w:lineRule="exact"/>
        <w:tabs>
          <w:tab w:leader="none" w:pos="221" w:val="left"/>
        </w:tabs>
        <w:numPr>
          <w:ilvl w:val="0"/>
          <w:numId w:val="246"/>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A borrowing of Loans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A conversion or continuation of Loans Such Loans to be:</w:t>
      </w:r>
    </w:p>
    <w:p>
      <w:pPr>
        <w:spacing w:after="0" w:line="183" w:lineRule="exact"/>
        <w:rPr>
          <w:sz w:val="20"/>
          <w:szCs w:val="20"/>
          <w:color w:val="auto"/>
        </w:rPr>
      </w:pPr>
    </w:p>
    <w:p>
      <w:pPr>
        <w:ind w:right="5040"/>
        <w:spacing w:after="0" w:line="380"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Term Loans Revolver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Loans Delayed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Delayed Draw Term Loan * on _____________________________ (a Business Day),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amount of $ _____________________________,**</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comprised of _____________________________ (Type of Loan requested),***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an Interest Period of ______________ months (for Term Reference Rate Loans).****</w:t>
      </w:r>
    </w:p>
    <w:p>
      <w:pPr>
        <w:spacing w:after="0" w:line="259" w:lineRule="exact"/>
        <w:rPr>
          <w:sz w:val="20"/>
          <w:szCs w:val="20"/>
          <w:color w:val="auto"/>
        </w:rPr>
      </w:pPr>
    </w:p>
    <w:p>
      <w:pPr>
        <w:ind w:right="3420"/>
        <w:spacing w:after="0" w:line="285" w:lineRule="auto"/>
        <w:rPr>
          <w:sz w:val="20"/>
          <w:szCs w:val="20"/>
          <w:color w:val="auto"/>
        </w:rPr>
      </w:pPr>
      <w:r>
        <w:rPr>
          <w:rFonts w:ascii="Times New Roman" w:cs="Times New Roman" w:eastAsia="Times New Roman" w:hAnsi="Times New Roman"/>
          <w:sz w:val="19"/>
          <w:szCs w:val="19"/>
          <w:color w:val="auto"/>
        </w:rPr>
        <w:t>Please deposit the requested Loan in our account with you [and then wire transfer amounts from that account as follows:</w:t>
      </w:r>
    </w:p>
    <w:p>
      <w:pPr>
        <w:spacing w:after="0" w:line="18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w:t>
      </w:r>
    </w:p>
    <w:p>
      <w:pPr>
        <w:spacing w:after="0" w:line="2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[Borrower hereby certifies that the following statements are true and correct on the date hereof, and will be true and correct on the Loan Date specified above after giving effect to such Loan: (a) all of the representations and warranties of the Companies in the Loan Papers are true and correct in all material respects (except to the extent that (i) they speak to a specific date or (ii) the facts on which they are based have been changed by transactions contemplated or permitted by the Credit Agreement); and (b) no Material Adverse Event, Default, or Potential Default exists or will result from the proposed funding of Loans requested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Loan Notice</w:t>
      </w:r>
    </w:p>
    <w:p>
      <w:pPr>
        <w:sectPr>
          <w:pgSz w:w="11900" w:h="16838" w:orient="portrait"/>
          <w:cols w:equalWidth="0" w:num="1">
            <w:col w:w="11240"/>
          </w:cols>
          <w:pgMar w:left="320" w:top="1386" w:right="339" w:bottom="1440" w:gutter="0" w:footer="0" w:header="0"/>
        </w:sectPr>
      </w:pPr>
    </w:p>
    <w:bookmarkStart w:id="249" w:name="page250"/>
    <w:bookmarkEnd w:id="249"/>
    <w:p>
      <w:pPr>
        <w:spacing w:after="0" w:line="83" w:lineRule="exact"/>
        <w:rPr>
          <w:sz w:val="20"/>
          <w:szCs w:val="20"/>
          <w:color w:val="auto"/>
        </w:rPr>
      </w:pPr>
    </w:p>
    <w:p>
      <w:pPr>
        <w:ind w:left="5974"/>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99" w:lineRule="exact"/>
        <w:rPr>
          <w:sz w:val="20"/>
          <w:szCs w:val="20"/>
          <w:color w:val="auto"/>
        </w:rPr>
      </w:pPr>
    </w:p>
    <w:p>
      <w:pPr>
        <w:ind w:left="5974"/>
        <w:spacing w:after="0"/>
        <w:rPr>
          <w:sz w:val="20"/>
          <w:szCs w:val="20"/>
          <w:color w:val="auto"/>
        </w:rPr>
      </w:pPr>
      <w:r>
        <w:rPr>
          <w:rFonts w:ascii="Times New Roman" w:cs="Times New Roman" w:eastAsia="Times New Roman" w:hAnsi="Times New Roman"/>
          <w:sz w:val="19"/>
          <w:szCs w:val="19"/>
          <w:color w:val="auto"/>
        </w:rPr>
        <w:t>VAIL HOLDINGS, INC.</w:t>
      </w:r>
    </w:p>
    <w:p>
      <w:pPr>
        <w:spacing w:after="0" w:line="299" w:lineRule="exact"/>
        <w:rPr>
          <w:sz w:val="20"/>
          <w:szCs w:val="20"/>
          <w:color w:val="auto"/>
        </w:rPr>
      </w:pPr>
    </w:p>
    <w:p>
      <w:pPr>
        <w:ind w:left="5974"/>
        <w:spacing w:after="0"/>
        <w:rPr>
          <w:sz w:val="20"/>
          <w:szCs w:val="20"/>
          <w:color w:val="auto"/>
        </w:rPr>
      </w:pPr>
      <w:r>
        <w:rPr>
          <w:rFonts w:ascii="Times New Roman" w:cs="Times New Roman" w:eastAsia="Times New Roman" w:hAnsi="Times New Roman"/>
          <w:sz w:val="19"/>
          <w:szCs w:val="19"/>
          <w:color w:val="auto"/>
        </w:rPr>
        <w:t>By:</w:t>
      </w:r>
    </w:p>
    <w:p>
      <w:pPr>
        <w:spacing w:after="0" w:line="35" w:lineRule="exact"/>
        <w:rPr>
          <w:sz w:val="20"/>
          <w:szCs w:val="20"/>
          <w:color w:val="auto"/>
        </w:rPr>
      </w:pPr>
    </w:p>
    <w:p>
      <w:pPr>
        <w:ind w:left="5974"/>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-132715</wp:posOffset>
            </wp:positionV>
            <wp:extent cx="2687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687320" cy="8255"/>
                    </a:xfrm>
                    <a:prstGeom prst="rect">
                      <a:avLst/>
                    </a:prstGeom>
                    <a:noFill/>
                  </pic:spPr>
                </pic:pic>
              </a:graphicData>
            </a:graphic>
          </wp:anchor>
        </w:drawing>
      </w:r>
    </w:p>
    <w:p>
      <w:pPr>
        <w:spacing w:after="0" w:line="14" w:lineRule="exact"/>
        <w:rPr>
          <w:sz w:val="20"/>
          <w:szCs w:val="20"/>
          <w:color w:val="auto"/>
        </w:rPr>
      </w:pPr>
    </w:p>
    <w:p>
      <w:pPr>
        <w:ind w:left="5974"/>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26670</wp:posOffset>
            </wp:positionV>
            <wp:extent cx="2687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687320" cy="8255"/>
                    </a:xfrm>
                    <a:prstGeom prst="rect">
                      <a:avLst/>
                    </a:prstGeom>
                    <a:noFill/>
                  </pic:spPr>
                </pic:pic>
              </a:graphicData>
            </a:graphic>
          </wp:anchor>
        </w:drawing>
        <w:drawing>
          <wp:anchor simplePos="0" relativeHeight="251657728" behindDoc="1" locked="0" layoutInCell="0" allowOverlap="1">
            <wp:simplePos x="0" y="0"/>
            <wp:positionH relativeFrom="column">
              <wp:posOffset>4422140</wp:posOffset>
            </wp:positionH>
            <wp:positionV relativeFrom="paragraph">
              <wp:posOffset>-132715</wp:posOffset>
            </wp:positionV>
            <wp:extent cx="2687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687320" cy="8255"/>
                    </a:xfrm>
                    <a:prstGeom prst="rect">
                      <a:avLst/>
                    </a:prstGeom>
                    <a:noFill/>
                  </pic:spPr>
                </pic:pic>
              </a:graphicData>
            </a:graphic>
          </wp:anchor>
        </w:drawing>
      </w:r>
    </w:p>
    <w:p>
      <w:pPr>
        <w:spacing w:after="0" w:line="331" w:lineRule="exact"/>
        <w:rPr>
          <w:sz w:val="20"/>
          <w:szCs w:val="20"/>
          <w:color w:val="auto"/>
        </w:rPr>
      </w:pPr>
    </w:p>
    <w:p>
      <w:pPr>
        <w:ind w:left="334" w:hanging="334"/>
        <w:spacing w:after="0"/>
        <w:tabs>
          <w:tab w:leader="none" w:pos="334"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Delayed Draw Term Loan to be made in a single advance on a Business Day during the Delayed Draw Term Loan Availability Period.</w:t>
      </w:r>
    </w:p>
    <w:p>
      <w:pPr>
        <w:spacing w:after="0" w:line="259" w:lineRule="exact"/>
        <w:rPr>
          <w:sz w:val="20"/>
          <w:szCs w:val="20"/>
          <w:color w:val="auto"/>
        </w:rPr>
      </w:pPr>
    </w:p>
    <w:p>
      <w:pPr>
        <w:ind w:left="-6" w:firstLine="6"/>
        <w:spacing w:after="0" w:line="300" w:lineRule="auto"/>
        <w:tabs>
          <w:tab w:leader="none" w:pos="521"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less than $500,000 or a greater integral multiple of $100,000 (if a Daily SOFR Rate Loan); not less than $1,000,000 or a greater integral multiple of $100,000 (if a Term Reference Rate Loan).</w:t>
      </w:r>
    </w:p>
    <w:p>
      <w:pPr>
        <w:spacing w:after="0" w:line="156" w:lineRule="exact"/>
        <w:rPr>
          <w:rFonts w:ascii="Times New Roman" w:cs="Times New Roman" w:eastAsia="Times New Roman" w:hAnsi="Times New Roman"/>
          <w:sz w:val="19"/>
          <w:szCs w:val="19"/>
          <w:color w:val="auto"/>
        </w:rPr>
      </w:pPr>
    </w:p>
    <w:p>
      <w:pPr>
        <w:ind w:left="534" w:hanging="534"/>
        <w:spacing w:after="0"/>
        <w:tabs>
          <w:tab w:leader="none" w:pos="534"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 Reference Rate Loan or Daily SOFR Rate Loan.</w:t>
      </w:r>
    </w:p>
    <w:p>
      <w:pPr>
        <w:spacing w:after="0" w:line="259" w:lineRule="exact"/>
        <w:rPr>
          <w:rFonts w:ascii="Times New Roman" w:cs="Times New Roman" w:eastAsia="Times New Roman" w:hAnsi="Times New Roman"/>
          <w:sz w:val="19"/>
          <w:szCs w:val="19"/>
          <w:color w:val="auto"/>
        </w:rPr>
      </w:pPr>
    </w:p>
    <w:p>
      <w:pPr>
        <w:ind w:left="634" w:hanging="634"/>
        <w:spacing w:after="0"/>
        <w:tabs>
          <w:tab w:leader="none" w:pos="634"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 Reference Rate Loan -- 1, 3, or 6 months.</w:t>
      </w:r>
    </w:p>
    <w:p>
      <w:pPr>
        <w:spacing w:after="0" w:line="245" w:lineRule="exact"/>
        <w:rPr>
          <w:rFonts w:ascii="Times New Roman" w:cs="Times New Roman" w:eastAsia="Times New Roman" w:hAnsi="Times New Roman"/>
          <w:sz w:val="19"/>
          <w:szCs w:val="19"/>
          <w:color w:val="auto"/>
        </w:rPr>
      </w:pPr>
    </w:p>
    <w:p>
      <w:pPr>
        <w:ind w:left="634"/>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may the Interest Period end after the applicable Termination Date.</w:t>
      </w:r>
    </w:p>
    <w:p>
      <w:pPr>
        <w:spacing w:after="0" w:line="259" w:lineRule="exact"/>
        <w:rPr>
          <w:rFonts w:ascii="Times New Roman" w:cs="Times New Roman" w:eastAsia="Times New Roman" w:hAnsi="Times New Roman"/>
          <w:sz w:val="19"/>
          <w:szCs w:val="19"/>
          <w:color w:val="auto"/>
        </w:rPr>
      </w:pPr>
    </w:p>
    <w:p>
      <w:pPr>
        <w:ind w:left="734" w:hanging="734"/>
        <w:spacing w:after="0"/>
        <w:tabs>
          <w:tab w:leader="none" w:pos="734" w:val="left"/>
        </w:tabs>
        <w:numPr>
          <w:ilvl w:val="0"/>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Insert paragraph for any Loan Notice provided prior to a borrowing of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color w:val="auto"/>
        </w:rPr>
        <w:t>Exhibit C</w:t>
      </w:r>
    </w:p>
    <w:p>
      <w:pPr>
        <w:spacing w:after="0" w:line="3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color w:val="auto"/>
        </w:rPr>
        <w:t>Form of Loan Notice</w:t>
      </w:r>
    </w:p>
    <w:p>
      <w:pPr>
        <w:sectPr>
          <w:pgSz w:w="11900" w:h="16838" w:orient="portrait"/>
          <w:cols w:equalWidth="0" w:num="1">
            <w:col w:w="11234"/>
          </w:cols>
          <w:pgMar w:left="326" w:top="1440" w:right="3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Kirsten A. Lynch, certify that:</w:t>
      </w:r>
    </w:p>
    <w:p>
      <w:pPr>
        <w:spacing w:after="0" w:line="377" w:lineRule="exact"/>
        <w:rPr>
          <w:sz w:val="20"/>
          <w:szCs w:val="20"/>
          <w:color w:val="auto"/>
        </w:rPr>
      </w:pPr>
    </w:p>
    <w:p>
      <w:pPr>
        <w:ind w:left="500" w:hanging="160"/>
        <w:spacing w:after="0"/>
        <w:tabs>
          <w:tab w:leader="none" w:pos="5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4" w:lineRule="exact"/>
        <w:rPr>
          <w:rFonts w:ascii="Times New Roman" w:cs="Times New Roman" w:eastAsia="Times New Roman" w:hAnsi="Times New Roman"/>
          <w:sz w:val="18"/>
          <w:szCs w:val="18"/>
          <w:color w:val="auto"/>
        </w:rPr>
      </w:pPr>
    </w:p>
    <w:p>
      <w:pPr>
        <w:jc w:val="both"/>
        <w:ind w:left="500" w:right="40" w:hanging="160"/>
        <w:spacing w:after="0" w:line="220" w:lineRule="auto"/>
        <w:tabs>
          <w:tab w:leader="none" w:pos="5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18"/>
          <w:szCs w:val="18"/>
          <w:color w:val="auto"/>
        </w:rPr>
      </w:pPr>
    </w:p>
    <w:p>
      <w:pPr>
        <w:ind w:left="500" w:right="40" w:hanging="160"/>
        <w:spacing w:after="0" w:line="234" w:lineRule="auto"/>
        <w:tabs>
          <w:tab w:leader="none" w:pos="5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 w:lineRule="exact"/>
        <w:rPr>
          <w:rFonts w:ascii="Times New Roman" w:cs="Times New Roman" w:eastAsia="Times New Roman" w:hAnsi="Times New Roman"/>
          <w:sz w:val="18"/>
          <w:szCs w:val="18"/>
          <w:color w:val="auto"/>
        </w:rPr>
      </w:pPr>
    </w:p>
    <w:p>
      <w:pPr>
        <w:jc w:val="both"/>
        <w:ind w:left="500" w:right="40" w:hanging="160"/>
        <w:spacing w:after="0" w:line="222" w:lineRule="auto"/>
        <w:tabs>
          <w:tab w:leader="none" w:pos="5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1180" w:right="40" w:hanging="672"/>
        <w:spacing w:after="0" w:line="222" w:lineRule="auto"/>
        <w:tabs>
          <w:tab w:leader="none" w:pos="11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1180" w:right="40" w:hanging="672"/>
        <w:spacing w:after="0" w:line="222" w:lineRule="auto"/>
        <w:tabs>
          <w:tab w:leader="none" w:pos="11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1180" w:right="40" w:hanging="672"/>
        <w:spacing w:after="0" w:line="234" w:lineRule="auto"/>
        <w:tabs>
          <w:tab w:leader="none" w:pos="11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Times New Roman" w:cs="Times New Roman" w:eastAsia="Times New Roman" w:hAnsi="Times New Roman"/>
          <w:sz w:val="18"/>
          <w:szCs w:val="18"/>
          <w:color w:val="auto"/>
        </w:rPr>
      </w:pPr>
    </w:p>
    <w:p>
      <w:pPr>
        <w:jc w:val="both"/>
        <w:ind w:left="1180" w:right="40" w:hanging="672"/>
        <w:spacing w:after="0" w:line="222" w:lineRule="auto"/>
        <w:tabs>
          <w:tab w:leader="none" w:pos="11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500" w:right="40" w:hanging="160"/>
        <w:spacing w:after="0" w:line="234" w:lineRule="auto"/>
        <w:tabs>
          <w:tab w:leader="none" w:pos="5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 w:lineRule="exact"/>
        <w:rPr>
          <w:rFonts w:ascii="Times New Roman" w:cs="Times New Roman" w:eastAsia="Times New Roman" w:hAnsi="Times New Roman"/>
          <w:sz w:val="18"/>
          <w:szCs w:val="18"/>
          <w:color w:val="auto"/>
        </w:rPr>
      </w:pPr>
    </w:p>
    <w:p>
      <w:pPr>
        <w:ind w:left="1180" w:right="40" w:hanging="672"/>
        <w:spacing w:after="0" w:line="234" w:lineRule="auto"/>
        <w:tabs>
          <w:tab w:leader="none" w:pos="11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Times New Roman" w:cs="Times New Roman" w:eastAsia="Times New Roman" w:hAnsi="Times New Roman"/>
          <w:sz w:val="18"/>
          <w:szCs w:val="18"/>
          <w:color w:val="auto"/>
        </w:rPr>
      </w:pPr>
    </w:p>
    <w:p>
      <w:pPr>
        <w:ind w:left="1180" w:right="40" w:hanging="672"/>
        <w:spacing w:after="0" w:line="234" w:lineRule="auto"/>
        <w:tabs>
          <w:tab w:leader="none" w:pos="11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2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11430</wp:posOffset>
            </wp:positionV>
            <wp:extent cx="3183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Kirsten A. Lynch</w:t>
      </w:r>
    </w:p>
    <w:p>
      <w:pPr>
        <w:spacing w:after="0" w:line="25"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75"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A. Korch, certify that:</w:t>
      </w:r>
    </w:p>
    <w:p>
      <w:pPr>
        <w:spacing w:after="0" w:line="377" w:lineRule="exact"/>
        <w:rPr>
          <w:sz w:val="20"/>
          <w:szCs w:val="20"/>
          <w:color w:val="auto"/>
        </w:rPr>
      </w:pPr>
    </w:p>
    <w:p>
      <w:pPr>
        <w:ind w:left="500" w:hanging="160"/>
        <w:spacing w:after="0"/>
        <w:tabs>
          <w:tab w:leader="none" w:pos="5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4" w:lineRule="exact"/>
        <w:rPr>
          <w:rFonts w:ascii="Times New Roman" w:cs="Times New Roman" w:eastAsia="Times New Roman" w:hAnsi="Times New Roman"/>
          <w:sz w:val="18"/>
          <w:szCs w:val="18"/>
          <w:color w:val="auto"/>
        </w:rPr>
      </w:pPr>
    </w:p>
    <w:p>
      <w:pPr>
        <w:jc w:val="both"/>
        <w:ind w:left="500" w:right="40" w:hanging="160"/>
        <w:spacing w:after="0" w:line="225" w:lineRule="auto"/>
        <w:tabs>
          <w:tab w:leader="none" w:pos="5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00" w:right="40" w:hanging="160"/>
        <w:spacing w:after="0" w:line="230" w:lineRule="auto"/>
        <w:tabs>
          <w:tab w:leader="none" w:pos="5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Times New Roman" w:cs="Times New Roman" w:eastAsia="Times New Roman" w:hAnsi="Times New Roman"/>
          <w:sz w:val="18"/>
          <w:szCs w:val="18"/>
          <w:color w:val="auto"/>
        </w:rPr>
      </w:pPr>
    </w:p>
    <w:p>
      <w:pPr>
        <w:jc w:val="both"/>
        <w:ind w:left="500" w:right="40" w:hanging="160"/>
        <w:spacing w:after="0" w:line="227" w:lineRule="auto"/>
        <w:tabs>
          <w:tab w:leader="none" w:pos="5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8"/>
          <w:szCs w:val="18"/>
          <w:color w:val="auto"/>
        </w:rPr>
      </w:pPr>
    </w:p>
    <w:p>
      <w:pPr>
        <w:jc w:val="both"/>
        <w:ind w:left="1180" w:right="40" w:hanging="672"/>
        <w:spacing w:after="0" w:line="225" w:lineRule="auto"/>
        <w:tabs>
          <w:tab w:leader="none" w:pos="118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180" w:right="40" w:hanging="672"/>
        <w:spacing w:after="0" w:line="225" w:lineRule="auto"/>
        <w:tabs>
          <w:tab w:leader="none" w:pos="118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180" w:right="40" w:hanging="672"/>
        <w:spacing w:after="0" w:line="230" w:lineRule="auto"/>
        <w:tabs>
          <w:tab w:leader="none" w:pos="118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Times New Roman" w:cs="Times New Roman" w:eastAsia="Times New Roman" w:hAnsi="Times New Roman"/>
          <w:sz w:val="18"/>
          <w:szCs w:val="18"/>
          <w:color w:val="auto"/>
        </w:rPr>
      </w:pPr>
    </w:p>
    <w:p>
      <w:pPr>
        <w:jc w:val="both"/>
        <w:ind w:left="1180" w:right="40" w:hanging="672"/>
        <w:spacing w:after="0" w:line="227" w:lineRule="auto"/>
        <w:tabs>
          <w:tab w:leader="none" w:pos="118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18"/>
          <w:szCs w:val="18"/>
          <w:color w:val="auto"/>
        </w:rPr>
      </w:pPr>
    </w:p>
    <w:p>
      <w:pPr>
        <w:ind w:left="500" w:right="40" w:hanging="160"/>
        <w:spacing w:after="0" w:line="230" w:lineRule="auto"/>
        <w:tabs>
          <w:tab w:leader="none" w:pos="5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Times New Roman" w:cs="Times New Roman" w:eastAsia="Times New Roman" w:hAnsi="Times New Roman"/>
          <w:sz w:val="18"/>
          <w:szCs w:val="18"/>
          <w:color w:val="auto"/>
        </w:rPr>
      </w:pPr>
    </w:p>
    <w:p>
      <w:pPr>
        <w:ind w:left="1180" w:right="40" w:hanging="672"/>
        <w:spacing w:after="0" w:line="234" w:lineRule="auto"/>
        <w:tabs>
          <w:tab w:leader="none" w:pos="118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Times New Roman" w:cs="Times New Roman" w:eastAsia="Times New Roman" w:hAnsi="Times New Roman"/>
          <w:sz w:val="18"/>
          <w:szCs w:val="18"/>
          <w:color w:val="auto"/>
        </w:rPr>
      </w:pPr>
    </w:p>
    <w:p>
      <w:pPr>
        <w:ind w:left="1180" w:right="40" w:hanging="672"/>
        <w:spacing w:after="0" w:line="234" w:lineRule="auto"/>
        <w:tabs>
          <w:tab w:leader="none" w:pos="118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2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11430</wp:posOffset>
            </wp:positionV>
            <wp:extent cx="3183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Angela A. Korch</w:t>
      </w:r>
    </w:p>
    <w:p>
      <w:pPr>
        <w:spacing w:after="0" w:line="2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941" w:right="33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CHIEF FINANCIAL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their capacity as an officer of Vail Resorts, Inc. (the “Company”) that the Company's Quarterly Report on Form 10-Q for the quarter ended January 31, 2025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2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11430</wp:posOffset>
            </wp:positionV>
            <wp:extent cx="3183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Kirsten A. Lynch</w:t>
      </w:r>
    </w:p>
    <w:p>
      <w:pPr>
        <w:spacing w:after="0" w:line="25"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2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11430</wp:posOffset>
            </wp:positionV>
            <wp:extent cx="3183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Angela A. Korch</w:t>
      </w:r>
    </w:p>
    <w:p>
      <w:pPr>
        <w:spacing w:after="0" w:line="2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A1B582"/>
    <w:multiLevelType w:val="hybridMultilevel"/>
    <w:lvl w:ilvl="0">
      <w:lvlJc w:val="left"/>
      <w:lvlText w:val="☒"/>
      <w:numFmt w:val="bullet"/>
      <w:start w:val="1"/>
    </w:lvl>
  </w:abstractNum>
  <w:abstractNum w:abstractNumId="1">
    <w:nsid w:val="4DF72E4E"/>
    <w:multiLevelType w:val="hybridMultilevel"/>
    <w:lvl w:ilvl="0">
      <w:lvlJc w:val="left"/>
      <w:lvlText w:val="☐"/>
      <w:numFmt w:val="bullet"/>
      <w:start w:val="1"/>
    </w:lvl>
  </w:abstractNum>
  <w:abstractNum w:abstractNumId="2">
    <w:nsid w:val="5046B5A9"/>
    <w:multiLevelType w:val="hybridMultilevel"/>
    <w:lvl w:ilvl="0">
      <w:lvlJc w:val="left"/>
      <w:lvlText w:val="%1."/>
      <w:numFmt w:val="decimal"/>
      <w:start w:val="1"/>
    </w:lvl>
  </w:abstractNum>
  <w:abstractNum w:abstractNumId="3">
    <w:nsid w:val="5D888A08"/>
    <w:multiLevelType w:val="hybridMultilevel"/>
    <w:lvl w:ilvl="0">
      <w:lvlJc w:val="left"/>
      <w:lvlText w:val="%1."/>
      <w:numFmt w:val="decimal"/>
      <w:start w:val="2"/>
    </w:lvl>
  </w:abstractNum>
  <w:abstractNum w:abstractNumId="4">
    <w:nsid w:val="2A082C70"/>
    <w:multiLevelType w:val="hybridMultilevel"/>
    <w:lvl w:ilvl="0">
      <w:lvlJc w:val="left"/>
      <w:lvlText w:val="(%1)"/>
      <w:numFmt w:val="lowerLetter"/>
      <w:start w:val="1"/>
    </w:lvl>
  </w:abstractNum>
  <w:abstractNum w:abstractNumId="5">
    <w:nsid w:val="5EC6AFD4"/>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6">
    <w:nsid w:val="19E21BB2"/>
    <w:multiLevelType w:val="hybridMultilevel"/>
    <w:lvl w:ilvl="0">
      <w:lvlJc w:val="left"/>
      <w:lvlText w:val="(%1)"/>
      <w:numFmt w:val="lowerRoman"/>
      <w:start w:val="3"/>
    </w:lvl>
  </w:abstractNum>
  <w:abstractNum w:abstractNumId="7">
    <w:nsid w:val="75E0858A"/>
    <w:multiLevelType w:val="hybridMultilevel"/>
    <w:lvl w:ilvl="0">
      <w:lvlJc w:val="left"/>
      <w:lvlText w:val="%1."/>
      <w:numFmt w:val="decimal"/>
      <w:start w:val="11"/>
    </w:lvl>
  </w:abstractNum>
  <w:abstractNum w:abstractNumId="8">
    <w:nsid w:val="57A61A29"/>
    <w:multiLevelType w:val="hybridMultilevel"/>
    <w:lvl w:ilvl="0">
      <w:lvlJc w:val="left"/>
      <w:lvlText w:val="•"/>
      <w:numFmt w:val="bullet"/>
      <w:start w:val="1"/>
    </w:lvl>
  </w:abstractNum>
  <w:abstractNum w:abstractNumId="9">
    <w:nsid w:val="5399C654"/>
    <w:multiLevelType w:val="hybridMultilevel"/>
    <w:lvl w:ilvl="0">
      <w:lvlJc w:val="left"/>
      <w:lvlText w:val="•"/>
      <w:numFmt w:val="bullet"/>
      <w:start w:val="1"/>
    </w:lvl>
  </w:abstractNum>
  <w:abstractNum w:abstractNumId="10">
    <w:nsid w:val="20EE1348"/>
    <w:multiLevelType w:val="hybridMultilevel"/>
    <w:lvl w:ilvl="0">
      <w:lvlJc w:val="left"/>
      <w:lvlText w:val="•"/>
      <w:numFmt w:val="bullet"/>
      <w:start w:val="1"/>
    </w:lvl>
  </w:abstractNum>
  <w:abstractNum w:abstractNumId="11">
    <w:nsid w:val="4427069A"/>
    <w:multiLevelType w:val="hybridMultilevel"/>
    <w:lvl w:ilvl="0">
      <w:lvlJc w:val="left"/>
      <w:lvlText w:val="(%1)"/>
      <w:numFmt w:val="decimal"/>
      <w:start w:val="1"/>
    </w:lvl>
  </w:abstractNum>
  <w:abstractNum w:abstractNumId="12">
    <w:nsid w:val="B37E80A"/>
    <w:multiLevelType w:val="hybridMultilevel"/>
    <w:lvl w:ilvl="0">
      <w:lvlJc w:val="left"/>
      <w:lvlText w:val="%1"/>
      <w:numFmt w:val="decimal"/>
      <w:start w:val="32"/>
    </w:lvl>
  </w:abstractNum>
  <w:abstractNum w:abstractNumId="13">
    <w:nsid w:val="2157F6BC"/>
    <w:multiLevelType w:val="hybridMultilevel"/>
    <w:lvl w:ilvl="0">
      <w:lvlJc w:val="left"/>
      <w:lvlText w:val="%1"/>
      <w:numFmt w:val="decimal"/>
      <w:start w:val="104"/>
    </w:lvl>
  </w:abstractNum>
  <w:abstractNum w:abstractNumId="14">
    <w:nsid w:val="704E1DD5"/>
    <w:multiLevelType w:val="hybridMultilevel"/>
    <w:lvl w:ilvl="0">
      <w:lvlJc w:val="left"/>
      <w:lvlText w:val="%1."/>
      <w:numFmt w:val="decimal"/>
      <w:start w:val="1"/>
    </w:lvl>
  </w:abstractNum>
  <w:abstractNum w:abstractNumId="15">
    <w:nsid w:val="57D2F10E"/>
    <w:multiLevelType w:val="hybridMultilevel"/>
    <w:lvl w:ilvl="0">
      <w:lvlJc w:val="left"/>
      <w:lvlText w:val="%1."/>
      <w:numFmt w:val="decimal"/>
      <w:start w:val="5"/>
    </w:lvl>
  </w:abstractNum>
  <w:abstractNum w:abstractNumId="16">
    <w:nsid w:val="BFFAE18"/>
    <w:multiLevelType w:val="hybridMultilevel"/>
    <w:lvl w:ilvl="0">
      <w:lvlJc w:val="left"/>
      <w:lvlText w:val="%1."/>
      <w:numFmt w:val="decimal"/>
      <w:start w:val="10"/>
    </w:lvl>
  </w:abstractNum>
  <w:abstractNum w:abstractNumId="17">
    <w:nsid w:val="E3E47A8"/>
    <w:multiLevelType w:val="hybridMultilevel"/>
    <w:lvl w:ilvl="0">
      <w:lvlJc w:val="left"/>
      <w:lvlText w:val="%1."/>
      <w:numFmt w:val="decimal"/>
      <w:start w:val="14"/>
    </w:lvl>
  </w:abstractNum>
  <w:abstractNum w:abstractNumId="18">
    <w:nsid w:val="2E48F044"/>
    <w:multiLevelType w:val="hybridMultilevel"/>
    <w:lvl w:ilvl="0">
      <w:lvlJc w:val="left"/>
      <w:lvlText w:val="%1."/>
      <w:numFmt w:val="decimal"/>
      <w:start w:val="1"/>
    </w:lvl>
  </w:abstractNum>
  <w:abstractNum w:abstractNumId="19">
    <w:nsid w:val="49D0FEAC"/>
    <w:multiLevelType w:val="hybridMultilevel"/>
    <w:lvl w:ilvl="0">
      <w:lvlJc w:val="left"/>
      <w:lvlText w:val="%1."/>
      <w:numFmt w:val="decimal"/>
      <w:start w:val="5"/>
    </w:lvl>
  </w:abstractNum>
  <w:abstractNum w:abstractNumId="20">
    <w:nsid w:val="4BEE5A5B"/>
    <w:multiLevelType w:val="hybridMultilevel"/>
    <w:lvl w:ilvl="0">
      <w:lvlJc w:val="left"/>
      <w:lvlText w:val="%1."/>
      <w:numFmt w:val="decimal"/>
      <w:start w:val="10"/>
    </w:lvl>
  </w:abstractNum>
  <w:abstractNum w:abstractNumId="21">
    <w:nsid w:val="5551B9F3"/>
    <w:multiLevelType w:val="hybridMultilevel"/>
    <w:lvl w:ilvl="0">
      <w:lvlJc w:val="left"/>
      <w:lvlText w:val="%1."/>
      <w:numFmt w:val="decimal"/>
      <w:start w:val="14"/>
    </w:lvl>
  </w:abstractNum>
  <w:abstractNum w:abstractNumId="22">
    <w:nsid w:val="24F6AB8E"/>
    <w:multiLevelType w:val="hybridMultilevel"/>
    <w:lvl w:ilvl="0">
      <w:lvlJc w:val="left"/>
      <w:lvlText w:val="%1."/>
      <w:numFmt w:val="decimal"/>
      <w:start w:val="21"/>
    </w:lvl>
  </w:abstractNum>
  <w:abstractNum w:abstractNumId="23">
    <w:nsid w:val="634C574C"/>
    <w:multiLevelType w:val="hybridMultilevel"/>
    <w:lvl w:ilvl="0">
      <w:lvlJc w:val="left"/>
      <w:lvlText w:val="%1."/>
      <w:numFmt w:val="decimal"/>
      <w:start w:val="1"/>
    </w:lvl>
  </w:abstractNum>
  <w:abstractNum w:abstractNumId="24">
    <w:nsid w:val="24E99DD7"/>
    <w:multiLevelType w:val="hybridMultilevel"/>
    <w:lvl w:ilvl="0">
      <w:lvlJc w:val="left"/>
      <w:lvlText w:val="%1."/>
      <w:numFmt w:val="decimal"/>
      <w:start w:val="5"/>
    </w:lvl>
  </w:abstractNum>
  <w:abstractNum w:abstractNumId="25">
    <w:nsid w:val="2A31B62D"/>
    <w:multiLevelType w:val="hybridMultilevel"/>
    <w:lvl w:ilvl="0">
      <w:lvlJc w:val="left"/>
      <w:lvlText w:val="%1."/>
      <w:numFmt w:val="decimal"/>
      <w:start w:val="7"/>
    </w:lvl>
  </w:abstractNum>
  <w:abstractNum w:abstractNumId="26">
    <w:nsid w:val="1849C29B"/>
    <w:multiLevelType w:val="hybridMultilevel"/>
    <w:lvl w:ilvl="0">
      <w:lvlJc w:val="left"/>
      <w:lvlText w:val="%1."/>
      <w:numFmt w:val="decimal"/>
      <w:start w:val="12"/>
    </w:lvl>
  </w:abstractNum>
  <w:abstractNum w:abstractNumId="27">
    <w:nsid w:val="7DFF9D09"/>
    <w:multiLevelType w:val="hybridMultilevel"/>
    <w:lvl w:ilvl="0">
      <w:lvlJc w:val="left"/>
      <w:lvlText w:val="%1."/>
      <w:numFmt w:val="decimal"/>
      <w:start w:val="14"/>
    </w:lvl>
  </w:abstractNum>
  <w:abstractNum w:abstractNumId="28">
    <w:nsid w:val="754342"/>
    <w:multiLevelType w:val="hybridMultilevel"/>
    <w:lvl w:ilvl="0">
      <w:lvlJc w:val="left"/>
      <w:lvlText w:val="%1."/>
      <w:numFmt w:val="decimal"/>
      <w:start w:val="16"/>
    </w:lvl>
  </w:abstractNum>
  <w:abstractNum w:abstractNumId="29">
    <w:nsid w:val="69E7F3E5"/>
    <w:multiLevelType w:val="hybridMultilevel"/>
    <w:lvl w:ilvl="0">
      <w:lvlJc w:val="left"/>
      <w:lvlText w:val="%1."/>
      <w:numFmt w:val="decimal"/>
      <w:start w:val="1"/>
    </w:lvl>
  </w:abstractNum>
  <w:abstractNum w:abstractNumId="30">
    <w:nsid w:val="2A6DE806"/>
    <w:multiLevelType w:val="hybridMultilevel"/>
    <w:lvl w:ilvl="0">
      <w:lvlJc w:val="left"/>
      <w:lvlText w:val="%1."/>
      <w:numFmt w:val="decimal"/>
      <w:start w:val="5"/>
    </w:lvl>
  </w:abstractNum>
  <w:abstractNum w:abstractNumId="31">
    <w:nsid w:val="1816F8C4"/>
    <w:multiLevelType w:val="hybridMultilevel"/>
    <w:lvl w:ilvl="0">
      <w:lvlJc w:val="left"/>
      <w:lvlText w:val="%1."/>
      <w:numFmt w:val="decimal"/>
      <w:start w:val="10"/>
    </w:lvl>
  </w:abstractNum>
  <w:abstractNum w:abstractNumId="32">
    <w:nsid w:val="37DF2233"/>
    <w:multiLevelType w:val="hybridMultilevel"/>
    <w:lvl w:ilvl="0">
      <w:lvlJc w:val="left"/>
      <w:lvlText w:val="%1."/>
      <w:numFmt w:val="decimal"/>
      <w:start w:val="14"/>
    </w:lvl>
  </w:abstractNum>
  <w:abstractNum w:abstractNumId="33">
    <w:nsid w:val="7AB49DAF"/>
    <w:multiLevelType w:val="hybridMultilevel"/>
    <w:lvl w:ilvl="0">
      <w:lvlJc w:val="left"/>
      <w:lvlText w:val="%1."/>
      <w:numFmt w:val="decimal"/>
      <w:start w:val="21"/>
    </w:lvl>
  </w:abstractNum>
  <w:abstractNum w:abstractNumId="34">
    <w:nsid w:val="759F82CD"/>
    <w:multiLevelType w:val="hybridMultilevel"/>
    <w:lvl w:ilvl="0">
      <w:lvlJc w:val="left"/>
      <w:lvlText w:val="(%1)"/>
      <w:numFmt w:val="lowerRoman"/>
      <w:start w:val="1"/>
    </w:lvl>
  </w:abstractNum>
  <w:abstractNum w:abstractNumId="35">
    <w:nsid w:val="61E74EA3"/>
    <w:multiLevelType w:val="hybridMultilevel"/>
    <w:lvl w:ilvl="0">
      <w:lvlJc w:val="left"/>
      <w:lvlText w:val="(%1)"/>
      <w:numFmt w:val="lowerRoman"/>
      <w:start w:val="1"/>
    </w:lvl>
  </w:abstractNum>
  <w:abstractNum w:abstractNumId="36">
    <w:nsid w:val="597B4D84"/>
    <w:multiLevelType w:val="hybridMultilevel"/>
    <w:lvl w:ilvl="0">
      <w:lvlJc w:val="left"/>
      <w:lvlText w:val="%1."/>
      <w:numFmt w:val="decimal"/>
      <w:start w:val="1"/>
    </w:lvl>
    <w:lvl w:ilvl="1">
      <w:lvlJc w:val="left"/>
      <w:lvlText w:val="%2."/>
      <w:numFmt w:val="lowerLetter"/>
      <w:start w:val="1"/>
    </w:lvl>
  </w:abstractNum>
  <w:abstractNum w:abstractNumId="37">
    <w:nsid w:val="F819E7F"/>
    <w:multiLevelType w:val="hybridMultilevel"/>
    <w:lvl w:ilvl="0">
      <w:lvlJc w:val="left"/>
      <w:lvlText w:val="%1"/>
      <w:numFmt w:val="decimal"/>
      <w:start w:val="1"/>
    </w:lvl>
    <w:lvl w:ilvl="1">
      <w:lvlJc w:val="left"/>
      <w:lvlText w:val="%2."/>
      <w:numFmt w:val="lowerLetter"/>
      <w:start w:val="4"/>
    </w:lvl>
  </w:abstractNum>
  <w:abstractNum w:abstractNumId="38">
    <w:nsid w:val="57C7D42D"/>
    <w:multiLevelType w:val="hybridMultilevel"/>
    <w:lvl w:ilvl="0">
      <w:lvlJc w:val="left"/>
      <w:lvlText w:val="%1."/>
      <w:numFmt w:val="decimal"/>
      <w:start w:val="2"/>
    </w:lvl>
    <w:lvl w:ilvl="1">
      <w:lvlJc w:val="left"/>
      <w:lvlText w:val="%2"/>
      <w:numFmt w:val="lowerLetter"/>
      <w:start w:val="1"/>
    </w:lvl>
  </w:abstractNum>
  <w:abstractNum w:abstractNumId="39">
    <w:nsid w:val="312167AD"/>
    <w:multiLevelType w:val="hybridMultilevel"/>
    <w:lvl w:ilvl="0">
      <w:lvlJc w:val="left"/>
      <w:lvlText w:val="%1."/>
      <w:numFmt w:val="decimal"/>
      <w:start w:val="3"/>
    </w:lvl>
  </w:abstractNum>
  <w:abstractNum w:abstractNumId="40">
    <w:nsid w:val="631B64D4"/>
    <w:multiLevelType w:val="hybridMultilevel"/>
    <w:lvl w:ilvl="0">
      <w:lvlJc w:val="left"/>
      <w:lvlText w:val="%1."/>
      <w:numFmt w:val="decimal"/>
      <w:start w:val="9"/>
    </w:lvl>
  </w:abstractNum>
  <w:abstractNum w:abstractNumId="41">
    <w:nsid w:val="78B5E776"/>
    <w:multiLevelType w:val="hybridMultilevel"/>
    <w:lvl w:ilvl="0">
      <w:lvlJc w:val="left"/>
      <w:lvlText w:val="%1."/>
      <w:numFmt w:val="decimal"/>
      <w:start w:val="10"/>
    </w:lvl>
  </w:abstractNum>
  <w:abstractNum w:abstractNumId="42">
    <w:nsid w:val="75486E47"/>
    <w:multiLevelType w:val="hybridMultilevel"/>
    <w:lvl w:ilvl="0">
      <w:lvlJc w:val="left"/>
      <w:lvlText w:val="%1."/>
      <w:numFmt w:val="decimal"/>
      <w:start w:val="13"/>
    </w:lvl>
  </w:abstractNum>
  <w:abstractNum w:abstractNumId="43">
    <w:nsid w:val="6E534CDE"/>
    <w:multiLevelType w:val="hybridMultilevel"/>
    <w:lvl w:ilvl="0">
      <w:lvlJc w:val="left"/>
      <w:lvlText w:val="%1."/>
      <w:numFmt w:val="decimal"/>
      <w:start w:val="1"/>
    </w:lvl>
    <w:lvl w:ilvl="1">
      <w:lvlJc w:val="left"/>
      <w:lvlText w:val="%2."/>
      <w:numFmt w:val="lowerLetter"/>
      <w:start w:val="1"/>
    </w:lvl>
  </w:abstractNum>
  <w:abstractNum w:abstractNumId="44">
    <w:nsid w:val="1A0DDE32"/>
    <w:multiLevelType w:val="hybridMultilevel"/>
    <w:lvl w:ilvl="0">
      <w:lvlJc w:val="left"/>
      <w:lvlText w:val="%1"/>
      <w:numFmt w:val="decimal"/>
      <w:start w:val="1"/>
    </w:lvl>
    <w:lvl w:ilvl="1">
      <w:lvlJc w:val="left"/>
      <w:lvlText w:val="%2."/>
      <w:numFmt w:val="lowerLetter"/>
      <w:start w:val="4"/>
    </w:lvl>
  </w:abstractNum>
  <w:abstractNum w:abstractNumId="45">
    <w:nsid w:val="65968C1C"/>
    <w:multiLevelType w:val="hybridMultilevel"/>
    <w:lvl w:ilvl="0">
      <w:lvlJc w:val="left"/>
      <w:lvlText w:val="%1."/>
      <w:numFmt w:val="decimal"/>
      <w:start w:val="2"/>
    </w:lvl>
    <w:lvl w:ilvl="1">
      <w:lvlJc w:val="left"/>
      <w:lvlText w:val="%2"/>
      <w:numFmt w:val="lowerLetter"/>
      <w:start w:val="1"/>
    </w:lvl>
  </w:abstractNum>
  <w:abstractNum w:abstractNumId="46">
    <w:nsid w:val="46263DEC"/>
    <w:multiLevelType w:val="hybridMultilevel"/>
    <w:lvl w:ilvl="0">
      <w:lvlJc w:val="left"/>
      <w:lvlText w:val="%1."/>
      <w:numFmt w:val="decimal"/>
      <w:start w:val="3"/>
    </w:lvl>
  </w:abstractNum>
  <w:abstractNum w:abstractNumId="47">
    <w:nsid w:val="260D8C4A"/>
    <w:multiLevelType w:val="hybridMultilevel"/>
    <w:lvl w:ilvl="0">
      <w:lvlJc w:val="left"/>
      <w:lvlText w:val="%1."/>
      <w:numFmt w:val="decimal"/>
      <w:start w:val="9"/>
    </w:lvl>
  </w:abstractNum>
  <w:abstractNum w:abstractNumId="48">
    <w:nsid w:val="73D4D3C4"/>
    <w:multiLevelType w:val="hybridMultilevel"/>
    <w:lvl w:ilvl="0">
      <w:lvlJc w:val="left"/>
      <w:lvlText w:val="%1."/>
      <w:numFmt w:val="decimal"/>
      <w:start w:val="10"/>
    </w:lvl>
  </w:abstractNum>
  <w:abstractNum w:abstractNumId="49">
    <w:nsid w:val="746F2E30"/>
    <w:multiLevelType w:val="hybridMultilevel"/>
    <w:lvl w:ilvl="0">
      <w:lvlJc w:val="left"/>
      <w:lvlText w:val="%1."/>
      <w:numFmt w:val="decimal"/>
      <w:start w:val="13"/>
    </w:lvl>
  </w:abstractNum>
  <w:abstractNum w:abstractNumId="50">
    <w:nsid w:val="6FDE8A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
    <w:nsid w:val="3FC32E20"/>
    <w:multiLevelType w:val="hybridMultilevel"/>
    <w:lvl w:ilvl="0">
      <w:lvlJc w:val="left"/>
      <w:lvlText w:val="(%1)"/>
      <w:numFmt w:val="upperLetter"/>
      <w:start w:val="3"/>
    </w:lvl>
  </w:abstractNum>
  <w:abstractNum w:abstractNumId="52">
    <w:nsid w:val="49C0E823"/>
    <w:multiLevelType w:val="hybridMultilevel"/>
    <w:lvl w:ilvl="0">
      <w:lvlJc w:val="left"/>
      <w:lvlText w:val="%1"/>
      <w:numFmt w:val="lowerLetter"/>
      <w:start w:val="1"/>
    </w:lvl>
    <w:lvl w:ilvl="1">
      <w:lvlJc w:val="left"/>
      <w:lvlText w:val="%2."/>
      <w:numFmt w:val="lowerRoman"/>
      <w:start w:val="2"/>
    </w:lvl>
  </w:abstractNum>
  <w:abstractNum w:abstractNumId="53">
    <w:nsid w:val="14D53685"/>
    <w:multiLevelType w:val="hybridMultilevel"/>
    <w:lvl w:ilvl="0">
      <w:lvlJc w:val="left"/>
      <w:lvlText w:val="%1."/>
      <w:numFmt w:val="lowerLetter"/>
      <w:start w:val="4"/>
    </w:lvl>
    <w:lvl w:ilvl="1">
      <w:lvlJc w:val="left"/>
      <w:lvlText w:val="%2"/>
      <w:numFmt w:val="lowerRoman"/>
      <w:start w:val="1"/>
    </w:lvl>
  </w:abstractNum>
  <w:abstractNum w:abstractNumId="54">
    <w:nsid w:val="230F856C"/>
    <w:multiLevelType w:val="hybridMultilevel"/>
    <w:lvl w:ilvl="0">
      <w:lvlJc w:val="left"/>
      <w:lvlText w:val="%1"/>
      <w:numFmt w:val="decimal"/>
      <w:start w:val="1"/>
    </w:lvl>
    <w:lvl w:ilvl="1">
      <w:lvlJc w:val="left"/>
      <w:lvlText w:val="%2."/>
      <w:numFmt w:val="lowerLetter"/>
      <w:start w:val="6"/>
    </w:lvl>
  </w:abstractNum>
  <w:abstractNum w:abstractNumId="55">
    <w:nsid w:val="6EAA85FB"/>
    <w:multiLevelType w:val="hybridMultilevel"/>
    <w:lvl w:ilvl="0">
      <w:lvlJc w:val="left"/>
      <w:lvlText w:val="%1."/>
      <w:numFmt w:val="decimal"/>
      <w:start w:val="2"/>
    </w:lvl>
    <w:lvl w:ilvl="1">
      <w:lvlJc w:val="left"/>
      <w:lvlText w:val="%2"/>
      <w:numFmt w:val="lowerLetter"/>
      <w:start w:val="1"/>
    </w:lvl>
  </w:abstractNum>
  <w:abstractNum w:abstractNumId="56">
    <w:nsid w:val="3F06ECB2"/>
    <w:multiLevelType w:val="hybridMultilevel"/>
    <w:lvl w:ilvl="0">
      <w:lvlJc w:val="left"/>
      <w:lvlText w:val="%1."/>
      <w:numFmt w:val="decimal"/>
      <w:start w:val="7"/>
    </w:lvl>
  </w:abstractNum>
  <w:abstractNum w:abstractNumId="57">
    <w:nsid w:val="3B594807"/>
    <w:multiLevelType w:val="hybridMultilevel"/>
    <w:lvl w:ilvl="0">
      <w:lvlJc w:val="left"/>
      <w:lvlText w:val="%1."/>
      <w:numFmt w:val="decimal"/>
      <w:start w:val="10"/>
    </w:lvl>
  </w:abstractNum>
  <w:abstractNum w:abstractNumId="58">
    <w:nsid w:val="6CAA2304"/>
    <w:multiLevelType w:val="hybridMultilevel"/>
    <w:lvl w:ilvl="0">
      <w:lvlJc w:val="left"/>
      <w:lvlText w:val="%1."/>
      <w:numFmt w:val="decimal"/>
      <w:start w:val="1"/>
    </w:lvl>
    <w:lvl w:ilvl="1">
      <w:lvlJc w:val="left"/>
      <w:lvlText w:val="%2."/>
      <w:numFmt w:val="lowerLetter"/>
      <w:start w:val="1"/>
    </w:lvl>
  </w:abstractNum>
  <w:abstractNum w:abstractNumId="59">
    <w:nsid w:val="3F7C2FF4"/>
    <w:multiLevelType w:val="hybridMultilevel"/>
    <w:lvl w:ilvl="0">
      <w:lvlJc w:val="left"/>
      <w:lvlText w:val="%1"/>
      <w:numFmt w:val="decimal"/>
      <w:start w:val="1"/>
    </w:lvl>
    <w:lvl w:ilvl="1">
      <w:lvlJc w:val="left"/>
      <w:lvlText w:val="%2."/>
      <w:numFmt w:val="lowerLetter"/>
      <w:start w:val="4"/>
    </w:lvl>
  </w:abstractNum>
  <w:abstractNum w:abstractNumId="60">
    <w:nsid w:val="25413BEC"/>
    <w:multiLevelType w:val="hybridMultilevel"/>
    <w:lvl w:ilvl="0">
      <w:lvlJc w:val="left"/>
      <w:lvlText w:val="%1."/>
      <w:numFmt w:val="decimal"/>
      <w:start w:val="2"/>
    </w:lvl>
    <w:lvl w:ilvl="1">
      <w:lvlJc w:val="left"/>
      <w:lvlText w:val="%2"/>
      <w:numFmt w:val="lowerLetter"/>
      <w:start w:val="1"/>
    </w:lvl>
  </w:abstractNum>
  <w:abstractNum w:abstractNumId="61">
    <w:nsid w:val="17180B0B"/>
    <w:multiLevelType w:val="hybridMultilevel"/>
    <w:lvl w:ilvl="0">
      <w:lvlJc w:val="left"/>
      <w:lvlText w:val="%1."/>
      <w:numFmt w:val="decimal"/>
      <w:start w:val="3"/>
    </w:lvl>
  </w:abstractNum>
  <w:abstractNum w:abstractNumId="62">
    <w:nsid w:val="579328B9"/>
    <w:multiLevelType w:val="hybridMultilevel"/>
    <w:lvl w:ilvl="0">
      <w:lvlJc w:val="left"/>
      <w:lvlText w:val="%1."/>
      <w:numFmt w:val="decimal"/>
      <w:start w:val="9"/>
    </w:lvl>
  </w:abstractNum>
  <w:abstractNum w:abstractNumId="63">
    <w:nsid w:val="5D205E20"/>
    <w:multiLevelType w:val="hybridMultilevel"/>
    <w:lvl w:ilvl="0">
      <w:lvlJc w:val="left"/>
      <w:lvlText w:val="%1."/>
      <w:numFmt w:val="decimal"/>
      <w:start w:val="10"/>
    </w:lvl>
  </w:abstractNum>
  <w:abstractNum w:abstractNumId="64">
    <w:nsid w:val="11CCA8BA"/>
    <w:multiLevelType w:val="hybridMultilevel"/>
    <w:lvl w:ilvl="0">
      <w:lvlJc w:val="left"/>
      <w:lvlText w:val="%1."/>
      <w:numFmt w:val="decimal"/>
      <w:start w:val="13"/>
    </w:lvl>
  </w:abstractNum>
  <w:abstractNum w:abstractNumId="65">
    <w:nsid w:val="4D32AB86"/>
    <w:multiLevelType w:val="hybridMultilevel"/>
    <w:lvl w:ilvl="0">
      <w:lvlJc w:val="left"/>
      <w:lvlText w:val="(%1)"/>
      <w:numFmt w:val="lowerRoman"/>
      <w:start w:val="1"/>
    </w:lvl>
  </w:abstractNum>
  <w:abstractNum w:abstractNumId="66">
    <w:nsid w:val="3F07ACC3"/>
    <w:multiLevelType w:val="hybridMultilevel"/>
    <w:lvl w:ilvl="0">
      <w:lvlJc w:val="left"/>
      <w:lvlText w:val="(%1)"/>
      <w:numFmt w:val="lowerRoman"/>
      <w:start w:val="1"/>
    </w:lvl>
  </w:abstractNum>
  <w:abstractNum w:abstractNumId="67">
    <w:nsid w:val="6B47F63E"/>
    <w:multiLevelType w:val="hybridMultilevel"/>
    <w:lvl w:ilvl="0">
      <w:lvlJc w:val="left"/>
      <w:lvlText w:val="%1."/>
      <w:numFmt w:val="upperLetter"/>
      <w:start w:val="1"/>
    </w:lvl>
  </w:abstractNum>
  <w:abstractNum w:abstractNumId="68">
    <w:nsid w:val="5CB44A05"/>
    <w:multiLevelType w:val="hybridMultilevel"/>
    <w:lvl w:ilvl="0">
      <w:lvlJc w:val="left"/>
      <w:lvlText w:val="%1."/>
      <w:numFmt w:val="decimal"/>
      <w:start w:val="1"/>
    </w:lvl>
    <w:lvl w:ilvl="1">
      <w:lvlJc w:val="left"/>
      <w:lvlText w:val="(%2)"/>
      <w:numFmt w:val="lowerRoman"/>
      <w:start w:val="1"/>
    </w:lvl>
  </w:abstractNum>
  <w:abstractNum w:abstractNumId="69">
    <w:nsid w:val="16CF80F1"/>
    <w:multiLevelType w:val="hybridMultilevel"/>
    <w:lvl w:ilvl="0">
      <w:lvlJc w:val="left"/>
      <w:lvlText w:val="%1."/>
      <w:numFmt w:val="decimal"/>
      <w:start w:val="3"/>
    </w:lvl>
    <w:lvl w:ilvl="1">
      <w:lvlJc w:val="left"/>
      <w:lvlText w:val="(%2)"/>
      <w:numFmt w:val="lowerLetter"/>
      <w:start w:val="1"/>
    </w:lvl>
  </w:abstractNum>
  <w:abstractNum w:abstractNumId="70">
    <w:nsid w:val="1C695DEC"/>
    <w:multiLevelType w:val="hybridMultilevel"/>
    <w:lvl w:ilvl="0">
      <w:lvlJc w:val="left"/>
      <w:lvlText w:val="%1."/>
      <w:numFmt w:val="decimal"/>
      <w:start w:val="5"/>
    </w:lvl>
    <w:lvl w:ilvl="1">
      <w:lvlJc w:val="left"/>
      <w:lvlText w:val="(%2)"/>
      <w:numFmt w:val="lowerLetter"/>
      <w:start w:val="1"/>
    </w:lvl>
  </w:abstractNum>
  <w:abstractNum w:abstractNumId="71">
    <w:nsid w:val="3FCFAED9"/>
    <w:multiLevelType w:val="hybridMultilevel"/>
    <w:lvl w:ilvl="0">
      <w:lvlJc w:val="left"/>
      <w:lvlText w:val="(%1)"/>
      <w:numFmt w:val="lowerLetter"/>
      <w:start w:val="3"/>
    </w:lvl>
  </w:abstractNum>
  <w:abstractNum w:abstractNumId="72">
    <w:nsid w:val="F856867"/>
    <w:multiLevelType w:val="hybridMultilevel"/>
    <w:lvl w:ilvl="0">
      <w:lvlJc w:val="left"/>
      <w:lvlText w:val="%1."/>
      <w:numFmt w:val="decimal"/>
      <w:start w:val="9"/>
    </w:lvl>
  </w:abstractNum>
  <w:abstractNum w:abstractNumId="73">
    <w:nsid w:val="11B1CC33"/>
    <w:multiLevelType w:val="hybridMultilevel"/>
    <w:lvl w:ilvl="0">
      <w:lvlJc w:val="left"/>
      <w:lvlText w:val="%1."/>
      <w:numFmt w:val="upperLetter"/>
      <w:start w:val="1"/>
    </w:lvl>
  </w:abstractNum>
  <w:abstractNum w:abstractNumId="74">
    <w:nsid w:val="2E22FBB7"/>
    <w:multiLevelType w:val="hybridMultilevel"/>
    <w:lvl w:ilvl="0">
      <w:lvlJc w:val="left"/>
      <w:lvlText w:val="(%1)"/>
      <w:numFmt w:val="lowerLetter"/>
      <w:start w:val="1"/>
    </w:lvl>
  </w:abstractNum>
  <w:abstractNum w:abstractNumId="75">
    <w:nsid w:val="29934699"/>
    <w:multiLevelType w:val="hybridMultilevel"/>
    <w:lvl w:ilvl="0">
      <w:lvlJc w:val="left"/>
      <w:lvlText w:val="(%1)"/>
      <w:numFmt w:val="lowerLetter"/>
      <w:start w:val="9"/>
    </w:lvl>
    <w:lvl w:ilvl="1">
      <w:lvlJc w:val="left"/>
      <w:lvlText w:val="(%2)"/>
      <w:numFmt w:val="lowerLetter"/>
      <w:start w:val="3"/>
    </w:lvl>
  </w:abstractNum>
  <w:abstractNum w:abstractNumId="76">
    <w:nsid w:val="77485850"/>
    <w:multiLevelType w:val="hybridMultilevel"/>
    <w:lvl w:ilvl="0">
      <w:lvlJc w:val="left"/>
      <w:lvlText w:val="(%1)"/>
      <w:numFmt w:val="lowerLetter"/>
      <w:start w:val="1"/>
    </w:lvl>
  </w:abstractNum>
  <w:abstractNum w:abstractNumId="77">
    <w:nsid w:val="744939A3"/>
    <w:multiLevelType w:val="hybridMultilevel"/>
    <w:lvl w:ilvl="0">
      <w:lvlJc w:val="left"/>
      <w:lvlText w:val="(%1)"/>
      <w:numFmt w:val="lowerLetter"/>
      <w:start w:val="25"/>
    </w:lvl>
  </w:abstractNum>
  <w:abstractNum w:abstractNumId="78">
    <w:nsid w:val="4FA0D2E3"/>
    <w:multiLevelType w:val="hybridMultilevel"/>
    <w:lvl w:ilvl="0">
      <w:lvlJc w:val="left"/>
      <w:lvlText w:val="(%1)"/>
      <w:numFmt w:val="lowerLetter"/>
      <w:start w:val="1"/>
    </w:lvl>
  </w:abstractNum>
  <w:abstractNum w:abstractNumId="79">
    <w:nsid w:val="6B1D2C14"/>
    <w:multiLevelType w:val="hybridMultilevel"/>
    <w:lvl w:ilvl="0">
      <w:lvlJc w:val="left"/>
      <w:lvlText w:val="(%1)"/>
      <w:numFmt w:val="lowerLetter"/>
      <w:start w:val="3"/>
    </w:lvl>
  </w:abstractNum>
  <w:abstractNum w:abstractNumId="80">
    <w:nsid w:val="68B867D3"/>
    <w:multiLevelType w:val="hybridMultilevel"/>
    <w:lvl w:ilvl="0">
      <w:lvlJc w:val="left"/>
      <w:lvlText w:val="(%1)"/>
      <w:numFmt w:val="lowerLetter"/>
      <w:start w:val="1"/>
    </w:lvl>
  </w:abstractNum>
  <w:abstractNum w:abstractNumId="81">
    <w:nsid w:val="3F7F5DD9"/>
    <w:multiLevelType w:val="hybridMultilevel"/>
    <w:lvl w:ilvl="0">
      <w:lvlJc w:val="left"/>
      <w:lvlText w:val="(%1)"/>
      <w:numFmt w:val="lowerLetter"/>
      <w:start w:val="1"/>
    </w:lvl>
  </w:abstractNum>
  <w:abstractNum w:abstractNumId="82">
    <w:nsid w:val="2AE05A34"/>
    <w:multiLevelType w:val="hybridMultilevel"/>
    <w:lvl w:ilvl="0">
      <w:lvlJc w:val="left"/>
      <w:lvlText w:val="(%1)"/>
      <w:numFmt w:val="lowerLetter"/>
      <w:start w:val="9"/>
    </w:lvl>
  </w:abstractNum>
  <w:abstractNum w:abstractNumId="83">
    <w:nsid w:val="32794FF7"/>
    <w:multiLevelType w:val="hybridMultilevel"/>
    <w:lvl w:ilvl="0">
      <w:lvlJc w:val="left"/>
      <w:lvlText w:val="(%1)"/>
      <w:numFmt w:val="lowerLetter"/>
      <w:start w:val="1"/>
    </w:lvl>
  </w:abstractNum>
  <w:abstractNum w:abstractNumId="84">
    <w:nsid w:val="5454945E"/>
    <w:multiLevelType w:val="hybridMultilevel"/>
    <w:lvl w:ilvl="0">
      <w:lvlJc w:val="left"/>
      <w:lvlText w:val="(%1)"/>
      <w:numFmt w:val="lowerLetter"/>
      <w:start w:val="12"/>
    </w:lvl>
  </w:abstractNum>
  <w:abstractNum w:abstractNumId="85">
    <w:nsid w:val="4DEFDFA0"/>
    <w:multiLevelType w:val="hybridMultilevel"/>
    <w:lvl w:ilvl="0">
      <w:lvlJc w:val="left"/>
      <w:lvlText w:val="(%1)"/>
      <w:numFmt w:val="lowerLetter"/>
      <w:start w:val="35"/>
    </w:lvl>
    <w:lvl w:ilvl="1">
      <w:lvlJc w:val="left"/>
      <w:lvlText w:val="(%2)"/>
      <w:numFmt w:val="lowerLetter"/>
      <w:start w:val="14"/>
    </w:lvl>
  </w:abstractNum>
  <w:abstractNum w:abstractNumId="86">
    <w:nsid w:val="2123D5F2"/>
    <w:multiLevelType w:val="hybridMultilevel"/>
    <w:lvl w:ilvl="0">
      <w:lvlJc w:val="left"/>
      <w:lvlText w:val="(%1)"/>
      <w:numFmt w:val="lowerLetter"/>
      <w:start w:val="1"/>
    </w:lvl>
  </w:abstractNum>
  <w:abstractNum w:abstractNumId="87">
    <w:nsid w:val="135B8110"/>
    <w:multiLevelType w:val="hybridMultilevel"/>
    <w:lvl w:ilvl="0">
      <w:lvlJc w:val="left"/>
      <w:lvlText w:val="(%1)"/>
      <w:numFmt w:val="lowerLetter"/>
      <w:start w:val="1"/>
    </w:lvl>
    <w:lvl w:ilvl="1">
      <w:lvlJc w:val="left"/>
      <w:lvlText w:val="(%2)"/>
      <w:numFmt w:val="lowerRoman"/>
      <w:start w:val="2"/>
    </w:lvl>
  </w:abstractNum>
  <w:abstractNum w:abstractNumId="88">
    <w:nsid w:val="94927A8"/>
    <w:multiLevelType w:val="hybridMultilevel"/>
    <w:lvl w:ilvl="0">
      <w:lvlJc w:val="left"/>
      <w:lvlText w:val="(%1)"/>
      <w:numFmt w:val="lowerLetter"/>
      <w:start w:val="4"/>
    </w:lvl>
  </w:abstractNum>
  <w:abstractNum w:abstractNumId="89">
    <w:nsid w:val="DCDF8F6"/>
    <w:multiLevelType w:val="hybridMultilevel"/>
    <w:lvl w:ilvl="0">
      <w:lvlJc w:val="left"/>
      <w:lvlText w:val="(%1)"/>
      <w:numFmt w:val="lowerLetter"/>
      <w:start w:val="1"/>
    </w:lvl>
  </w:abstractNum>
  <w:abstractNum w:abstractNumId="90">
    <w:nsid w:val="52D7B105"/>
    <w:multiLevelType w:val="hybridMultilevel"/>
    <w:lvl w:ilvl="0">
      <w:lvlJc w:val="left"/>
      <w:lvlText w:val="(%1)"/>
      <w:numFmt w:val="lowerLetter"/>
      <w:start w:val="1"/>
    </w:lvl>
  </w:abstractNum>
  <w:abstractNum w:abstractNumId="91">
    <w:nsid w:val="2E8A6394"/>
    <w:multiLevelType w:val="hybridMultilevel"/>
    <w:lvl w:ilvl="0">
      <w:lvlJc w:val="left"/>
      <w:lvlText w:val="(%1)"/>
      <w:numFmt w:val="lowerLetter"/>
      <w:start w:val="2"/>
    </w:lvl>
  </w:abstractNum>
  <w:abstractNum w:abstractNumId="92">
    <w:nsid w:val="24E60401"/>
    <w:multiLevelType w:val="hybridMultilevel"/>
    <w:lvl w:ilvl="0">
      <w:lvlJc w:val="left"/>
      <w:lvlText w:val="(%1)"/>
      <w:numFmt w:val="lowerLetter"/>
      <w:start w:val="2"/>
    </w:lvl>
  </w:abstractNum>
  <w:abstractNum w:abstractNumId="93">
    <w:nsid w:val="2A6AD9BE"/>
    <w:multiLevelType w:val="hybridMultilevel"/>
    <w:lvl w:ilvl="0">
      <w:lvlJc w:val="left"/>
      <w:lvlText w:val="(%1)"/>
      <w:numFmt w:val="lowerLetter"/>
      <w:start w:val="3"/>
    </w:lvl>
  </w:abstractNum>
  <w:abstractNum w:abstractNumId="94">
    <w:nsid w:val="BAAC1B4"/>
    <w:multiLevelType w:val="hybridMultilevel"/>
    <w:lvl w:ilvl="0">
      <w:lvlJc w:val="left"/>
      <w:lvlText w:val="(%1)"/>
      <w:numFmt w:val="lowerLetter"/>
      <w:start w:val="1"/>
    </w:lvl>
  </w:abstractNum>
  <w:abstractNum w:abstractNumId="95">
    <w:nsid w:val="36B2ACBC"/>
    <w:multiLevelType w:val="hybridMultilevel"/>
    <w:lvl w:ilvl="0">
      <w:lvlJc w:val="left"/>
      <w:lvlText w:val="(%1)"/>
      <w:numFmt w:val="lowerLetter"/>
      <w:start w:val="3"/>
    </w:lvl>
  </w:abstractNum>
  <w:abstractNum w:abstractNumId="96">
    <w:nsid w:val="779D8544"/>
    <w:multiLevelType w:val="hybridMultilevel"/>
    <w:lvl w:ilvl="0">
      <w:lvlJc w:val="left"/>
      <w:lvlText w:val="(%1)"/>
      <w:numFmt w:val="lowerLetter"/>
      <w:start w:val="5"/>
    </w:lvl>
    <w:lvl w:ilvl="1">
      <w:lvlJc w:val="left"/>
      <w:lvlText w:val="(%2)"/>
      <w:numFmt w:val="lowerRoman"/>
      <w:start w:val="1"/>
    </w:lvl>
  </w:abstractNum>
  <w:abstractNum w:abstractNumId="97">
    <w:nsid w:val="4AB26E78"/>
    <w:multiLevelType w:val="hybridMultilevel"/>
    <w:lvl w:ilvl="0">
      <w:lvlJc w:val="left"/>
      <w:lvlText w:val="(%1)"/>
      <w:numFmt w:val="lowerLetter"/>
      <w:start w:val="2"/>
    </w:lvl>
  </w:abstractNum>
  <w:abstractNum w:abstractNumId="98">
    <w:nsid w:val="21FAA2FA"/>
    <w:multiLevelType w:val="hybridMultilevel"/>
    <w:lvl w:ilvl="0">
      <w:lvlJc w:val="left"/>
      <w:lvlText w:val="(%1)"/>
      <w:numFmt w:val="lowerLetter"/>
      <w:start w:val="3"/>
    </w:lvl>
  </w:abstractNum>
  <w:abstractNum w:abstractNumId="99">
    <w:nsid w:val="5451CF49"/>
    <w:multiLevelType w:val="hybridMultilevel"/>
    <w:lvl w:ilvl="0">
      <w:lvlJc w:val="left"/>
      <w:lvlText w:val="(%1)"/>
      <w:numFmt w:val="lowerLetter"/>
      <w:start w:val="1"/>
    </w:lvl>
    <w:lvl w:ilvl="1">
      <w:lvlJc w:val="left"/>
      <w:lvlText w:val="(%2)"/>
      <w:numFmt w:val="lowerLetter"/>
      <w:start w:val="9"/>
    </w:lvl>
  </w:abstractNum>
  <w:abstractNum w:abstractNumId="100">
    <w:nsid w:val="6181EF69"/>
    <w:multiLevelType w:val="hybridMultilevel"/>
    <w:lvl w:ilvl="0">
      <w:lvlJc w:val="left"/>
      <w:lvlText w:val="(%1)"/>
      <w:numFmt w:val="lowerLetter"/>
      <w:start w:val="25"/>
    </w:lvl>
    <w:lvl w:ilvl="1">
      <w:lvlJc w:val="left"/>
      <w:lvlText w:val="%2"/>
      <w:numFmt w:val="lowerLetter"/>
      <w:start w:val="1"/>
    </w:lvl>
  </w:abstractNum>
  <w:abstractNum w:abstractNumId="101">
    <w:nsid w:val="3E6400E6"/>
    <w:multiLevelType w:val="hybridMultilevel"/>
    <w:lvl w:ilvl="0">
      <w:lvlJc w:val="left"/>
      <w:lvlText w:val="(%1)"/>
      <w:numFmt w:val="lowerRoman"/>
      <w:start w:val="2"/>
    </w:lvl>
    <w:lvl w:ilvl="1">
      <w:lvlJc w:val="left"/>
      <w:lvlText w:val="(%2)"/>
      <w:numFmt w:val="upperLetter"/>
      <w:start w:val="1"/>
    </w:lvl>
  </w:abstractNum>
  <w:abstractNum w:abstractNumId="102">
    <w:nsid w:val="14217E23"/>
    <w:multiLevelType w:val="hybridMultilevel"/>
    <w:lvl w:ilvl="0">
      <w:lvlJc w:val="left"/>
      <w:lvlText w:val="%1"/>
      <w:numFmt w:val="lowerRoman"/>
      <w:start w:val="1"/>
    </w:lvl>
    <w:lvl w:ilvl="1">
      <w:lvlJc w:val="left"/>
      <w:lvlText w:val="(%2)"/>
      <w:numFmt w:val="upperLetter"/>
      <w:start w:val="2"/>
    </w:lvl>
  </w:abstractNum>
  <w:abstractNum w:abstractNumId="103">
    <w:nsid w:val="710757D0"/>
    <w:multiLevelType w:val="hybridMultilevel"/>
    <w:lvl w:ilvl="0">
      <w:lvlJc w:val="left"/>
      <w:lvlText w:val="(%1)"/>
      <w:numFmt w:val="lowerRoman"/>
      <w:start w:val="3"/>
    </w:lvl>
    <w:lvl w:ilvl="1">
      <w:lvlJc w:val="left"/>
      <w:lvlText w:val="(%2)"/>
      <w:numFmt w:val="upperLetter"/>
      <w:start w:val="1"/>
    </w:lvl>
  </w:abstractNum>
  <w:abstractNum w:abstractNumId="104">
    <w:nsid w:val="5015CD1A"/>
    <w:multiLevelType w:val="hybridMultilevel"/>
    <w:lvl w:ilvl="0">
      <w:lvlJc w:val="left"/>
      <w:lvlText w:val="(%1)"/>
      <w:numFmt w:val="lowerRoman"/>
      <w:start w:val="3"/>
    </w:lvl>
  </w:abstractNum>
  <w:abstractNum w:abstractNumId="105">
    <w:nsid w:val="424479DA"/>
    <w:multiLevelType w:val="hybridMultilevel"/>
    <w:lvl w:ilvl="0">
      <w:lvlJc w:val="left"/>
      <w:lvlText w:val="%1"/>
      <w:numFmt w:val="lowerLetter"/>
      <w:start w:val="1"/>
    </w:lvl>
    <w:lvl w:ilvl="1">
      <w:lvlJc w:val="left"/>
      <w:lvlText w:val="(%2)"/>
      <w:numFmt w:val="lowerLetter"/>
      <w:start w:val="22"/>
    </w:lvl>
  </w:abstractNum>
  <w:abstractNum w:abstractNumId="106">
    <w:nsid w:val="1A9A9E69"/>
    <w:multiLevelType w:val="hybridMultilevel"/>
    <w:lvl w:ilvl="0">
      <w:lvlJc w:val="left"/>
      <w:lvlText w:val="(%1)"/>
      <w:numFmt w:val="lowerLetter"/>
      <w:start w:val="2"/>
    </w:lvl>
    <w:lvl w:ilvl="1">
      <w:lvlJc w:val="left"/>
      <w:lvlText w:val="(%2)"/>
      <w:numFmt w:val="lowerLetter"/>
      <w:start w:val="9"/>
    </w:lvl>
  </w:abstractNum>
  <w:abstractNum w:abstractNumId="107">
    <w:nsid w:val="475E256A"/>
    <w:multiLevelType w:val="hybridMultilevel"/>
    <w:lvl w:ilvl="0">
      <w:lvlJc w:val="left"/>
      <w:lvlText w:val="(%1)"/>
      <w:numFmt w:val="lowerRoman"/>
      <w:start w:val="2"/>
    </w:lvl>
  </w:abstractNum>
  <w:abstractNum w:abstractNumId="108">
    <w:nsid w:val="368DB37E"/>
    <w:multiLevelType w:val="hybridMultilevel"/>
    <w:lvl w:ilvl="0">
      <w:lvlJc w:val="left"/>
      <w:lvlText w:val="%1"/>
      <w:numFmt w:val="lowerLetter"/>
      <w:start w:val="1"/>
    </w:lvl>
    <w:lvl w:ilvl="1">
      <w:lvlJc w:val="left"/>
      <w:lvlText w:val="(%2)"/>
      <w:numFmt w:val="lowerRoman"/>
      <w:start w:val="3"/>
    </w:lvl>
  </w:abstractNum>
  <w:abstractNum w:abstractNumId="109">
    <w:nsid w:val="6A3B714C"/>
    <w:multiLevelType w:val="hybridMultilevel"/>
    <w:lvl w:ilvl="0">
      <w:lvlJc w:val="left"/>
      <w:lvlText w:val="(%1)"/>
      <w:numFmt w:val="lowerLetter"/>
      <w:start w:val="3"/>
    </w:lvl>
    <w:lvl w:ilvl="1">
      <w:lvlJc w:val="left"/>
      <w:lvlText w:val="(%2)"/>
      <w:numFmt w:val="lowerRoman"/>
      <w:start w:val="1"/>
    </w:lvl>
  </w:abstractNum>
  <w:abstractNum w:abstractNumId="110">
    <w:nsid w:val="327B517E"/>
    <w:multiLevelType w:val="hybridMultilevel"/>
    <w:lvl w:ilvl="0">
      <w:lvlJc w:val="left"/>
      <w:lvlText w:val="(%1)"/>
      <w:numFmt w:val="lowerRoman"/>
      <w:start w:val="1"/>
    </w:lvl>
    <w:lvl w:ilvl="1">
      <w:lvlJc w:val="left"/>
      <w:lvlText w:val="(%2)"/>
      <w:numFmt w:val="lowerRoman"/>
      <w:start w:val="2"/>
    </w:lvl>
  </w:abstractNum>
  <w:abstractNum w:abstractNumId="111">
    <w:nsid w:val="1F461B51"/>
    <w:multiLevelType w:val="hybridMultilevel"/>
    <w:lvl w:ilvl="0">
      <w:lvlJc w:val="left"/>
      <w:lvlText w:val="%1"/>
      <w:numFmt w:val="lowerLetter"/>
      <w:start w:val="1"/>
    </w:lvl>
    <w:lvl w:ilvl="1">
      <w:lvlJc w:val="left"/>
      <w:lvlText w:val="(%2)"/>
      <w:numFmt w:val="lowerRoman"/>
      <w:start w:val="4"/>
    </w:lvl>
  </w:abstractNum>
  <w:abstractNum w:abstractNumId="112">
    <w:nsid w:val="29BACF25"/>
    <w:multiLevelType w:val="hybridMultilevel"/>
    <w:lvl w:ilvl="0">
      <w:lvlJc w:val="left"/>
      <w:lvlText w:val="(%1)"/>
      <w:numFmt w:val="lowerLetter"/>
      <w:start w:val="4"/>
    </w:lvl>
    <w:lvl w:ilvl="1">
      <w:lvlJc w:val="left"/>
      <w:lvlText w:val="(%2)"/>
      <w:numFmt w:val="lowerRoman"/>
      <w:start w:val="1"/>
    </w:lvl>
  </w:abstractNum>
  <w:abstractNum w:abstractNumId="113">
    <w:nsid w:val="5D5BABB3"/>
    <w:multiLevelType w:val="hybridMultilevel"/>
    <w:lvl w:ilvl="0">
      <w:lvlJc w:val="left"/>
      <w:lvlText w:val="%1"/>
      <w:numFmt w:val="lowerLetter"/>
      <w:start w:val="1"/>
    </w:lvl>
    <w:lvl w:ilvl="1">
      <w:lvlJc w:val="left"/>
      <w:lvlText w:val="(%2)"/>
      <w:numFmt w:val="lowerLetter"/>
      <w:start w:val="35"/>
    </w:lvl>
  </w:abstractNum>
  <w:abstractNum w:abstractNumId="114">
    <w:nsid w:val="51BF6B48"/>
    <w:multiLevelType w:val="hybridMultilevel"/>
    <w:lvl w:ilvl="0">
      <w:lvlJc w:val="left"/>
      <w:lvlText w:val="(%1)"/>
      <w:numFmt w:val="lowerLetter"/>
      <w:start w:val="5"/>
    </w:lvl>
    <w:lvl w:ilvl="1">
      <w:lvlJc w:val="left"/>
      <w:lvlText w:val="(%2)"/>
      <w:numFmt w:val="lowerLetter"/>
      <w:start w:val="9"/>
    </w:lvl>
  </w:abstractNum>
  <w:abstractNum w:abstractNumId="115">
    <w:nsid w:val="7E0F6384"/>
    <w:multiLevelType w:val="hybridMultilevel"/>
    <w:lvl w:ilvl="0">
      <w:lvlJc w:val="left"/>
      <w:lvlText w:val="(%1)"/>
      <w:numFmt w:val="lowerRoman"/>
      <w:start w:val="2"/>
    </w:lvl>
  </w:abstractNum>
  <w:abstractNum w:abstractNumId="116">
    <w:nsid w:val="2B4B8B53"/>
    <w:multiLevelType w:val="hybridMultilevel"/>
    <w:lvl w:ilvl="0">
      <w:lvlJc w:val="left"/>
      <w:lvlText w:val="(%1)"/>
      <w:numFmt w:val="lowerRoman"/>
      <w:start w:val="8"/>
    </w:lvl>
  </w:abstractNum>
  <w:abstractNum w:abstractNumId="117">
    <w:nsid w:val="72E3413A"/>
    <w:multiLevelType w:val="hybridMultilevel"/>
    <w:lvl w:ilvl="0">
      <w:lvlJc w:val="left"/>
      <w:lvlText w:val="(%1)"/>
      <w:numFmt w:val="lowerLetter"/>
      <w:start w:val="6"/>
    </w:lvl>
  </w:abstractNum>
  <w:abstractNum w:abstractNumId="118">
    <w:nsid w:val="116AE494"/>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2"/>
    </w:lvl>
  </w:abstractNum>
  <w:abstractNum w:abstractNumId="119">
    <w:nsid w:val="3494B2FB"/>
    <w:multiLevelType w:val="hybridMultilevel"/>
    <w:lvl w:ilvl="0">
      <w:lvlJc w:val="left"/>
      <w:lvlText w:val="(%1)"/>
      <w:numFmt w:val="lowerRoman"/>
      <w:start w:val="2"/>
    </w:lvl>
  </w:abstractNum>
  <w:abstractNum w:abstractNumId="120">
    <w:nsid w:val="B13A31"/>
    <w:multiLevelType w:val="hybridMultilevel"/>
    <w:lvl w:ilvl="0">
      <w:lvlJc w:val="left"/>
      <w:lvlText w:val="%1"/>
      <w:numFmt w:val="lowerLetter"/>
      <w:start w:val="1"/>
    </w:lvl>
    <w:lvl w:ilvl="1">
      <w:lvlJc w:val="left"/>
      <w:lvlText w:val="(%2)"/>
      <w:numFmt w:val="lowerRoman"/>
      <w:start w:val="5"/>
    </w:lvl>
  </w:abstractNum>
  <w:abstractNum w:abstractNumId="121">
    <w:nsid w:val="64429599"/>
    <w:multiLevelType w:val="hybridMultilevel"/>
    <w:lvl w:ilvl="0">
      <w:lvlJc w:val="left"/>
      <w:lvlText w:val="(%1)"/>
      <w:numFmt w:val="lowerLetter"/>
      <w:start w:val="10"/>
    </w:lvl>
    <w:lvl w:ilvl="1">
      <w:lvlJc w:val="left"/>
      <w:lvlText w:val="%2"/>
      <w:numFmt w:val="lowerRoman"/>
      <w:start w:val="1"/>
    </w:lvl>
  </w:abstractNum>
  <w:abstractNum w:abstractNumId="122">
    <w:nsid w:val="631F1690"/>
    <w:multiLevelType w:val="hybridMultilevel"/>
    <w:lvl w:ilvl="0">
      <w:lvlJc w:val="left"/>
      <w:lvlText w:val="(%1)"/>
      <w:numFmt w:val="lowerLetter"/>
      <w:start w:val="1"/>
    </w:lvl>
  </w:abstractNum>
  <w:abstractNum w:abstractNumId="123">
    <w:nsid w:val="25973E32"/>
    <w:multiLevelType w:val="hybridMultilevel"/>
    <w:lvl w:ilvl="0">
      <w:lvlJc w:val="left"/>
      <w:lvlText w:val="(%1)"/>
      <w:numFmt w:val="lowerLetter"/>
      <w:start w:val="2"/>
    </w:lvl>
    <w:lvl w:ilvl="1">
      <w:lvlJc w:val="left"/>
      <w:lvlText w:val="(%2)"/>
      <w:numFmt w:val="lowerRoman"/>
      <w:start w:val="1"/>
    </w:lvl>
  </w:abstractNum>
  <w:abstractNum w:abstractNumId="124">
    <w:nsid w:val="EAD6F57"/>
    <w:multiLevelType w:val="hybridMultilevel"/>
    <w:lvl w:ilvl="0">
      <w:lvlJc w:val="left"/>
      <w:lvlText w:val="(%1)"/>
      <w:numFmt w:val="lowerLetter"/>
      <w:start w:val="5"/>
    </w:lvl>
    <w:lvl w:ilvl="1">
      <w:lvlJc w:val="left"/>
      <w:lvlText w:val="(%2)"/>
      <w:numFmt w:val="lowerRoman"/>
      <w:start w:val="1"/>
    </w:lvl>
  </w:abstractNum>
  <w:abstractNum w:abstractNumId="125">
    <w:nsid w:val="6EC9D844"/>
    <w:multiLevelType w:val="hybridMultilevel"/>
    <w:lvl w:ilvl="0">
      <w:lvlJc w:val="left"/>
      <w:lvlText w:val="(%1)"/>
      <w:numFmt w:val="lowerLetter"/>
      <w:start w:val="1"/>
    </w:lvl>
  </w:abstractNum>
  <w:abstractNum w:abstractNumId="126">
    <w:nsid w:val="5C49EAEE"/>
    <w:multiLevelType w:val="hybridMultilevel"/>
    <w:lvl w:ilvl="0">
      <w:lvlJc w:val="left"/>
      <w:lvlText w:val="(%1)"/>
      <w:numFmt w:val="lowerLetter"/>
      <w:start w:val="2"/>
    </w:lvl>
  </w:abstractNum>
  <w:abstractNum w:abstractNumId="127">
    <w:nsid w:val="64AF49B"/>
    <w:multiLevelType w:val="hybridMultilevel"/>
    <w:lvl w:ilvl="0">
      <w:lvlJc w:val="left"/>
      <w:lvlText w:val="(%1)"/>
      <w:numFmt w:val="lowerLetter"/>
      <w:start w:val="1"/>
    </w:lvl>
  </w:abstractNum>
  <w:abstractNum w:abstractNumId="128">
    <w:nsid w:val="397C46BC"/>
    <w:multiLevelType w:val="hybridMultilevel"/>
    <w:lvl w:ilvl="0">
      <w:lvlJc w:val="left"/>
      <w:lvlText w:val="(%1)"/>
      <w:numFmt w:val="lowerRoman"/>
      <w:start w:val="1"/>
    </w:lvl>
  </w:abstractNum>
  <w:abstractNum w:abstractNumId="129">
    <w:nsid w:val="7E448DE9"/>
    <w:multiLevelType w:val="hybridMultilevel"/>
    <w:lvl w:ilvl="0">
      <w:lvlJc w:val="left"/>
      <w:lvlText w:val="(%1)"/>
      <w:numFmt w:val="lowerLetter"/>
      <w:start w:val="1"/>
    </w:lvl>
  </w:abstractNum>
  <w:abstractNum w:abstractNumId="130">
    <w:nsid w:val="5A9CC3E5"/>
    <w:multiLevelType w:val="hybridMultilevel"/>
    <w:lvl w:ilvl="0">
      <w:lvlJc w:val="left"/>
      <w:lvlText w:val="(%1)"/>
      <w:numFmt w:val="lowerLetter"/>
      <w:start w:val="1"/>
    </w:lvl>
  </w:abstractNum>
  <w:abstractNum w:abstractNumId="131">
    <w:nsid w:val="1AFE3625"/>
    <w:multiLevelType w:val="hybridMultilevel"/>
    <w:lvl w:ilvl="0">
      <w:lvlJc w:val="left"/>
      <w:lvlText w:val="(%1)"/>
      <w:numFmt w:val="lowerLetter"/>
      <w:start w:val="1"/>
    </w:lvl>
  </w:abstractNum>
  <w:abstractNum w:abstractNumId="132">
    <w:nsid w:val="3CA88ECF"/>
    <w:multiLevelType w:val="hybridMultilevel"/>
    <w:lvl w:ilvl="0">
      <w:lvlJc w:val="left"/>
      <w:lvlText w:val="(%1)"/>
      <w:numFmt w:val="lowerLetter"/>
      <w:start w:val="1"/>
    </w:lvl>
    <w:lvl w:ilvl="1">
      <w:lvlJc w:val="left"/>
      <w:lvlText w:val="(%2)"/>
      <w:numFmt w:val="lowerLetter"/>
      <w:start w:val="3"/>
    </w:lvl>
  </w:abstractNum>
  <w:abstractNum w:abstractNumId="133">
    <w:nsid w:val="6EBE4208"/>
    <w:multiLevelType w:val="hybridMultilevel"/>
    <w:lvl w:ilvl="0">
      <w:lvlJc w:val="left"/>
      <w:lvlText w:val="(%1)"/>
      <w:numFmt w:val="lowerLetter"/>
      <w:start w:val="4"/>
    </w:lvl>
  </w:abstractNum>
  <w:abstractNum w:abstractNumId="134">
    <w:nsid w:val="C058DF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35">
    <w:nsid w:val="CBE5BE9"/>
    <w:multiLevelType w:val="hybridMultilevel"/>
    <w:lvl w:ilvl="0">
      <w:lvlJc w:val="left"/>
      <w:lvlText w:val="(%1)"/>
      <w:numFmt w:val="lowerRoman"/>
      <w:start w:val="3"/>
    </w:lvl>
    <w:lvl w:ilvl="1">
      <w:lvlJc w:val="left"/>
      <w:lvlText w:val="(%2)"/>
      <w:numFmt w:val="lowerRoman"/>
      <w:start w:val="3"/>
    </w:lvl>
    <w:lvl w:ilvl="2">
      <w:lvlJc w:val="left"/>
      <w:lvlText w:val="(%3)"/>
      <w:numFmt w:val="upperLetter"/>
      <w:start w:val="1"/>
    </w:lvl>
  </w:abstractNum>
  <w:abstractNum w:abstractNumId="136">
    <w:nsid w:val="3102BBE2"/>
    <w:multiLevelType w:val="hybridMultilevel"/>
    <w:lvl w:ilvl="0">
      <w:lvlJc w:val="left"/>
      <w:lvlText w:val="(%1)"/>
      <w:numFmt w:val="lowerLetter"/>
      <w:start w:val="2"/>
    </w:lvl>
  </w:abstractNum>
  <w:abstractNum w:abstractNumId="137">
    <w:nsid w:val="26A02C5E"/>
    <w:multiLevelType w:val="hybridMultilevel"/>
    <w:lvl w:ilvl="0">
      <w:lvlJc w:val="left"/>
      <w:lvlText w:val="(%1)"/>
      <w:numFmt w:val="lowerLetter"/>
      <w:start w:val="1"/>
    </w:lvl>
    <w:lvl w:ilvl="1">
      <w:lvlJc w:val="left"/>
      <w:lvlText w:val="(%2)"/>
      <w:numFmt w:val="lowerRoman"/>
      <w:start w:val="1"/>
    </w:lvl>
  </w:abstractNum>
  <w:abstractNum w:abstractNumId="138">
    <w:nsid w:val="541C8153"/>
    <w:multiLevelType w:val="hybridMultilevel"/>
    <w:lvl w:ilvl="0">
      <w:lvlJc w:val="left"/>
      <w:lvlText w:val="(%1)"/>
      <w:numFmt w:val="upperLetter"/>
      <w:start w:val="1"/>
    </w:lvl>
    <w:lvl w:ilvl="1">
      <w:lvlJc w:val="left"/>
      <w:lvlText w:val="%2"/>
      <w:numFmt w:val="lowerRoman"/>
      <w:start w:val="1"/>
    </w:lvl>
  </w:abstractNum>
  <w:abstractNum w:abstractNumId="139">
    <w:nsid w:val="67906F60"/>
    <w:multiLevelType w:val="hybridMultilevel"/>
    <w:lvl w:ilvl="0">
      <w:lvlJc w:val="left"/>
      <w:lvlText w:val="(%1)"/>
      <w:numFmt w:val="upperLetter"/>
      <w:start w:val="3"/>
    </w:lvl>
    <w:lvl w:ilvl="1">
      <w:lvlJc w:val="left"/>
      <w:lvlText w:val="(%2)"/>
      <w:numFmt w:val="lowerRoman"/>
      <w:start w:val="3"/>
    </w:lvl>
  </w:abstractNum>
  <w:abstractNum w:abstractNumId="140">
    <w:nsid w:val="10DB9DAA"/>
    <w:multiLevelType w:val="hybridMultilevel"/>
    <w:lvl w:ilvl="0">
      <w:lvlJc w:val="left"/>
      <w:lvlText w:val="(%1)"/>
      <w:numFmt w:val="lowerLetter"/>
      <w:start w:val="2"/>
    </w:lvl>
    <w:lvl w:ilvl="1">
      <w:lvlJc w:val="left"/>
      <w:lvlText w:val="(%2)"/>
      <w:numFmt w:val="lowerRoman"/>
      <w:start w:val="1"/>
    </w:lvl>
  </w:abstractNum>
  <w:abstractNum w:abstractNumId="141">
    <w:nsid w:val="697D2D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42">
    <w:nsid w:val="6D68AB2"/>
    <w:multiLevelType w:val="hybridMultilevel"/>
    <w:lvl w:ilvl="0">
      <w:lvlJc w:val="left"/>
      <w:lvlText w:val="(%1)"/>
      <w:numFmt w:val="upperLetter"/>
      <w:start w:val="9"/>
    </w:lvl>
  </w:abstractNum>
  <w:abstractNum w:abstractNumId="143">
    <w:nsid w:val="3A966CD0"/>
    <w:multiLevelType w:val="hybridMultilevel"/>
    <w:lvl w:ilvl="0">
      <w:lvlJc w:val="left"/>
      <w:lvlText w:val="(%1)"/>
      <w:numFmt w:val="upperLetter"/>
      <w:start w:val="35"/>
    </w:lvl>
  </w:abstractNum>
  <w:abstractNum w:abstractNumId="144">
    <w:nsid w:val="63F37E85"/>
    <w:multiLevelType w:val="hybridMultilevel"/>
    <w:lvl w:ilvl="0">
      <w:lvlJc w:val="left"/>
      <w:lvlText w:val="%1"/>
      <w:numFmt w:val="lowerLetter"/>
      <w:start w:val="1"/>
    </w:lvl>
    <w:lvl w:ilvl="1">
      <w:lvlJc w:val="left"/>
      <w:lvlText w:val="(%2)"/>
      <w:numFmt w:val="upperLetter"/>
      <w:start w:val="61"/>
    </w:lvl>
  </w:abstractNum>
  <w:abstractNum w:abstractNumId="145">
    <w:nsid w:val="5895F5FA"/>
    <w:multiLevelType w:val="hybridMultilevel"/>
    <w:lvl w:ilvl="0">
      <w:lvlJc w:val="left"/>
      <w:lvlText w:val="(%1)"/>
      <w:numFmt w:val="lowerLetter"/>
      <w:start w:val="25"/>
    </w:lvl>
    <w:lvl w:ilvl="1">
      <w:lvlJc w:val="left"/>
      <w:lvlText w:val="%2"/>
      <w:numFmt w:val="upperLetter"/>
      <w:start w:val="1"/>
    </w:lvl>
  </w:abstractNum>
  <w:abstractNum w:abstractNumId="146">
    <w:nsid w:val="38A5D054"/>
    <w:multiLevelType w:val="hybridMultilevel"/>
    <w:lvl w:ilvl="0">
      <w:lvlJc w:val="left"/>
      <w:lvlText w:val="(%1)"/>
      <w:numFmt w:val="upperLetter"/>
      <w:start w:val="3"/>
    </w:lvl>
  </w:abstractNum>
  <w:abstractNum w:abstractNumId="147">
    <w:nsid w:val="F3F09D8"/>
    <w:multiLevelType w:val="hybridMultilevel"/>
    <w:lvl w:ilvl="0">
      <w:lvlJc w:val="left"/>
      <w:lvlText w:val="%1"/>
      <w:numFmt w:val="lowerRoman"/>
      <w:start w:val="1"/>
    </w:lvl>
    <w:lvl w:ilvl="1">
      <w:lvlJc w:val="left"/>
      <w:lvlText w:val="(%2)"/>
      <w:numFmt w:val="upperLetter"/>
      <w:start w:val="4"/>
    </w:lvl>
  </w:abstractNum>
  <w:abstractNum w:abstractNumId="148">
    <w:nsid w:val="4B793735"/>
    <w:multiLevelType w:val="hybridMultilevel"/>
    <w:lvl w:ilvl="0">
      <w:lvlJc w:val="left"/>
      <w:lvlText w:val="(%1)"/>
      <w:numFmt w:val="lowerRoman"/>
      <w:start w:val="3"/>
    </w:lvl>
    <w:lvl w:ilvl="1">
      <w:lvlJc w:val="left"/>
      <w:lvlText w:val="%2"/>
      <w:numFmt w:val="upperLetter"/>
      <w:start w:val="1"/>
    </w:lvl>
  </w:abstractNum>
  <w:abstractNum w:abstractNumId="149">
    <w:nsid w:val="4A10B4E8"/>
    <w:multiLevelType w:val="hybridMultilevel"/>
    <w:lvl w:ilvl="0">
      <w:lvlJc w:val="left"/>
      <w:lvlText w:val="(%1)"/>
      <w:numFmt w:val="lowerLetter"/>
      <w:start w:val="6"/>
    </w:lvl>
  </w:abstractNum>
  <w:abstractNum w:abstractNumId="150">
    <w:nsid w:val="43D3BCD4"/>
    <w:multiLevelType w:val="hybridMultilevel"/>
    <w:lvl w:ilvl="0">
      <w:lvlJc w:val="left"/>
      <w:lvlText w:val="(%1)"/>
      <w:numFmt w:val="lowerLetter"/>
      <w:start w:val="7"/>
    </w:lvl>
  </w:abstractNum>
  <w:abstractNum w:abstractNumId="151">
    <w:nsid w:val="4C2A7166"/>
    <w:multiLevelType w:val="hybridMultilevel"/>
    <w:lvl w:ilvl="0">
      <w:lvlJc w:val="left"/>
      <w:lvlText w:val="(%1)"/>
      <w:numFmt w:val="lowerLetter"/>
      <w:start w:val="1"/>
    </w:lvl>
  </w:abstractNum>
  <w:abstractNum w:abstractNumId="152">
    <w:nsid w:val="2E534A82"/>
    <w:multiLevelType w:val="hybridMultilevel"/>
    <w:lvl w:ilvl="0">
      <w:lvlJc w:val="left"/>
      <w:lvlText w:val="(%1)"/>
      <w:numFmt w:val="lowerLetter"/>
      <w:start w:val="2"/>
    </w:lvl>
    <w:lvl w:ilvl="1">
      <w:lvlJc w:val="left"/>
      <w:lvlText w:val="(%2)"/>
      <w:numFmt w:val="lowerRoman"/>
      <w:start w:val="1"/>
    </w:lvl>
  </w:abstractNum>
  <w:abstractNum w:abstractNumId="153">
    <w:nsid w:val="26F2D364"/>
    <w:multiLevelType w:val="hybridMultilevel"/>
    <w:lvl w:ilvl="0">
      <w:lvlJc w:val="left"/>
      <w:lvlText w:val="(%1)"/>
      <w:numFmt w:val="lowerLetter"/>
      <w:start w:val="1"/>
    </w:lvl>
  </w:abstractNum>
  <w:abstractNum w:abstractNumId="154">
    <w:nsid w:val="71C1AF98"/>
    <w:multiLevelType w:val="hybridMultilevel"/>
    <w:lvl w:ilvl="0">
      <w:lvlJc w:val="left"/>
      <w:lvlText w:val="(%1)"/>
      <w:numFmt w:val="lowerLetter"/>
      <w:start w:val="1"/>
    </w:lvl>
    <w:lvl w:ilvl="1">
      <w:lvlJc w:val="left"/>
      <w:lvlText w:val="(%2)"/>
      <w:numFmt w:val="lowerRoman"/>
      <w:start w:val="1"/>
    </w:lvl>
  </w:abstractNum>
  <w:abstractNum w:abstractNumId="155">
    <w:nsid w:val="3D00B9D9"/>
    <w:multiLevelType w:val="hybridMultilevel"/>
    <w:lvl w:ilvl="0">
      <w:lvlJc w:val="left"/>
      <w:lvlText w:val="(%1)"/>
      <w:numFmt w:val="lowerLetter"/>
      <w:start w:val="2"/>
    </w:lvl>
  </w:abstractNum>
  <w:abstractNum w:abstractNumId="156">
    <w:nsid w:val="15BCABA8"/>
    <w:multiLevelType w:val="hybridMultilevel"/>
    <w:lvl w:ilvl="0">
      <w:lvlJc w:val="left"/>
      <w:lvlText w:val="(%1)"/>
      <w:numFmt w:val="lowerLetter"/>
      <w:start w:val="3"/>
    </w:lvl>
  </w:abstractNum>
  <w:abstractNum w:abstractNumId="157">
    <w:nsid w:val="4E0B9A87"/>
    <w:multiLevelType w:val="hybridMultilevel"/>
    <w:lvl w:ilvl="0">
      <w:lvlJc w:val="left"/>
      <w:lvlText w:val="(%1)"/>
      <w:numFmt w:val="lowerLetter"/>
      <w:start w:val="1"/>
    </w:lvl>
  </w:abstractNum>
  <w:abstractNum w:abstractNumId="158">
    <w:nsid w:val="434BAE75"/>
    <w:multiLevelType w:val="hybridMultilevel"/>
    <w:lvl w:ilvl="0">
      <w:lvlJc w:val="left"/>
      <w:lvlText w:val="(%1)"/>
      <w:numFmt w:val="lowerLetter"/>
      <w:start w:val="1"/>
    </w:lvl>
  </w:abstractNum>
  <w:abstractNum w:abstractNumId="159">
    <w:nsid w:val="4F38F265"/>
    <w:multiLevelType w:val="hybridMultilevel"/>
    <w:lvl w:ilvl="0">
      <w:lvlJc w:val="left"/>
      <w:lvlText w:val="(%1)"/>
      <w:numFmt w:val="lowerLetter"/>
      <w:start w:val="1"/>
    </w:lvl>
  </w:abstractNum>
  <w:abstractNum w:abstractNumId="160">
    <w:nsid w:val="4C502870"/>
    <w:multiLevelType w:val="hybridMultilevel"/>
    <w:lvl w:ilvl="0">
      <w:lvlJc w:val="left"/>
      <w:lvlText w:val="(%1)"/>
      <w:numFmt w:val="lowerLetter"/>
      <w:start w:val="2"/>
    </w:lvl>
  </w:abstractNum>
  <w:abstractNum w:abstractNumId="161">
    <w:nsid w:val="1DE8725A"/>
    <w:multiLevelType w:val="hybridMultilevel"/>
    <w:lvl w:ilvl="0">
      <w:lvlJc w:val="left"/>
      <w:lvlText w:val="(%1)"/>
      <w:numFmt w:val="lowerLetter"/>
      <w:start w:val="1"/>
    </w:lvl>
  </w:abstractNum>
  <w:abstractNum w:abstractNumId="162">
    <w:nsid w:val="6A37288A"/>
    <w:multiLevelType w:val="hybridMultilevel"/>
    <w:lvl w:ilvl="0">
      <w:lvlJc w:val="left"/>
      <w:lvlText w:val="(%1)"/>
      <w:numFmt w:val="lowerLetter"/>
      <w:start w:val="2"/>
    </w:lvl>
  </w:abstractNum>
  <w:abstractNum w:abstractNumId="163">
    <w:nsid w:val="8F8B73F"/>
    <w:multiLevelType w:val="hybridMultilevel"/>
    <w:lvl w:ilvl="0">
      <w:lvlJc w:val="left"/>
      <w:lvlText w:val="(%1)"/>
      <w:numFmt w:val="lowerLetter"/>
      <w:start w:val="12"/>
    </w:lvl>
  </w:abstractNum>
  <w:abstractNum w:abstractNumId="164">
    <w:nsid w:val="CA6B462"/>
    <w:multiLevelType w:val="hybridMultilevel"/>
    <w:lvl w:ilvl="0">
      <w:lvlJc w:val="left"/>
      <w:lvlText w:val="(%1)"/>
      <w:numFmt w:val="lowerLetter"/>
      <w:start w:val="5"/>
    </w:lvl>
  </w:abstractNum>
  <w:abstractNum w:abstractNumId="165">
    <w:nsid w:val="763CB680"/>
    <w:multiLevelType w:val="hybridMultilevel"/>
    <w:lvl w:ilvl="0">
      <w:lvlJc w:val="left"/>
      <w:lvlText w:val="(%1)"/>
      <w:numFmt w:val="lowerLetter"/>
      <w:start w:val="1"/>
    </w:lvl>
  </w:abstractNum>
  <w:abstractNum w:abstractNumId="166">
    <w:nsid w:val="15B71329"/>
    <w:multiLevelType w:val="hybridMultilevel"/>
    <w:lvl w:ilvl="0">
      <w:lvlJc w:val="left"/>
      <w:lvlText w:val="(%1)"/>
      <w:numFmt w:val="lowerLetter"/>
      <w:start w:val="2"/>
    </w:lvl>
  </w:abstractNum>
  <w:abstractNum w:abstractNumId="167">
    <w:nsid w:val="3DA97044"/>
    <w:multiLevelType w:val="hybridMultilevel"/>
    <w:lvl w:ilvl="0">
      <w:lvlJc w:val="left"/>
      <w:lvlText w:val="(%1)"/>
      <w:numFmt w:val="lowerLetter"/>
      <w:start w:val="2"/>
    </w:lvl>
  </w:abstractNum>
  <w:abstractNum w:abstractNumId="168">
    <w:nsid w:val="1CDCE2DE"/>
    <w:multiLevelType w:val="hybridMultilevel"/>
    <w:lvl w:ilvl="0">
      <w:lvlJc w:val="left"/>
      <w:lvlText w:val="(%1)"/>
      <w:numFmt w:val="lowerLetter"/>
      <w:start w:val="1"/>
    </w:lvl>
  </w:abstractNum>
  <w:abstractNum w:abstractNumId="169">
    <w:nsid w:val="69D3947C"/>
    <w:multiLevelType w:val="hybridMultilevel"/>
    <w:lvl w:ilvl="0">
      <w:lvlJc w:val="left"/>
      <w:lvlText w:val="(%1)"/>
      <w:numFmt w:val="lowerLetter"/>
      <w:start w:val="5"/>
    </w:lvl>
  </w:abstractNum>
  <w:abstractNum w:abstractNumId="170">
    <w:nsid w:val="2539DFA5"/>
    <w:multiLevelType w:val="hybridMultilevel"/>
    <w:lvl w:ilvl="0">
      <w:lvlJc w:val="left"/>
      <w:lvlText w:val="(%1)"/>
      <w:numFmt w:val="lowerLetter"/>
      <w:start w:val="7"/>
    </w:lvl>
  </w:abstractNum>
  <w:abstractNum w:abstractNumId="171">
    <w:nsid w:val="2DB88089"/>
    <w:multiLevelType w:val="hybridMultilevel"/>
    <w:lvl w:ilvl="0">
      <w:lvlJc w:val="left"/>
      <w:lvlText w:val="(%1)"/>
      <w:numFmt w:val="lowerLetter"/>
      <w:start w:val="8"/>
    </w:lvl>
  </w:abstractNum>
  <w:abstractNum w:abstractNumId="172">
    <w:nsid w:val="706B674E"/>
    <w:multiLevelType w:val="hybridMultilevel"/>
    <w:lvl w:ilvl="0">
      <w:lvlJc w:val="left"/>
      <w:lvlText w:val="(%1)"/>
      <w:numFmt w:val="lowerRoman"/>
      <w:start w:val="1"/>
    </w:lvl>
  </w:abstractNum>
  <w:abstractNum w:abstractNumId="173">
    <w:nsid w:val="2C106A57"/>
    <w:multiLevelType w:val="hybridMultilevel"/>
    <w:lvl w:ilvl="0">
      <w:lvlJc w:val="left"/>
      <w:lvlText w:val="(%1)"/>
      <w:numFmt w:val="lowerLetter"/>
      <w:start w:val="1"/>
    </w:lvl>
  </w:abstractNum>
  <w:abstractNum w:abstractNumId="174">
    <w:nsid w:val="684EED59"/>
    <w:multiLevelType w:val="hybridMultilevel"/>
    <w:lvl w:ilvl="0">
      <w:lvlJc w:val="left"/>
      <w:lvlText w:val="(%1)"/>
      <w:numFmt w:val="lowerLetter"/>
      <w:start w:val="1"/>
    </w:lvl>
  </w:abstractNum>
  <w:abstractNum w:abstractNumId="175">
    <w:nsid w:val="545EE5D3"/>
    <w:multiLevelType w:val="hybridMultilevel"/>
    <w:lvl w:ilvl="0">
      <w:lvlJc w:val="left"/>
      <w:lvlText w:val="(%1)"/>
      <w:numFmt w:val="lowerLetter"/>
      <w:start w:val="2"/>
    </w:lvl>
  </w:abstractNum>
  <w:abstractNum w:abstractNumId="176">
    <w:nsid w:val="4A66051"/>
    <w:multiLevelType w:val="hybridMultilevel"/>
    <w:lvl w:ilvl="0">
      <w:lvlJc w:val="left"/>
      <w:lvlText w:val="(%1)"/>
      <w:numFmt w:val="lowerLetter"/>
      <w:start w:val="1"/>
    </w:lvl>
  </w:abstractNum>
  <w:abstractNum w:abstractNumId="177">
    <w:nsid w:val="20F4BDAD"/>
    <w:multiLevelType w:val="hybridMultilevel"/>
    <w:lvl w:ilvl="0">
      <w:lvlJc w:val="left"/>
      <w:lvlText w:val="(%1)"/>
      <w:numFmt w:val="lowerLetter"/>
      <w:start w:val="1"/>
    </w:lvl>
  </w:abstractNum>
  <w:abstractNum w:abstractNumId="178">
    <w:nsid w:val="639DEFAC"/>
    <w:multiLevelType w:val="hybridMultilevel"/>
    <w:lvl w:ilvl="0">
      <w:lvlJc w:val="left"/>
      <w:lvlText w:val="(%1)"/>
      <w:numFmt w:val="lowerLetter"/>
      <w:start w:val="9"/>
    </w:lvl>
  </w:abstractNum>
  <w:abstractNum w:abstractNumId="179">
    <w:nsid w:val="501F9786"/>
    <w:multiLevelType w:val="hybridMultilevel"/>
    <w:lvl w:ilvl="0">
      <w:lvlJc w:val="left"/>
      <w:lvlText w:val="%1"/>
      <w:numFmt w:val="lowerLetter"/>
      <w:start w:val="1"/>
    </w:lvl>
    <w:lvl w:ilvl="1">
      <w:lvlJc w:val="left"/>
      <w:lvlText w:val="(%2)"/>
      <w:numFmt w:val="lowerRoman"/>
      <w:start w:val="1"/>
    </w:lvl>
  </w:abstractNum>
  <w:abstractNum w:abstractNumId="180">
    <w:nsid w:val="6B057295"/>
    <w:multiLevelType w:val="hybridMultilevel"/>
    <w:lvl w:ilvl="0">
      <w:lvlJc w:val="left"/>
      <w:lvlText w:val="(%1)"/>
      <w:numFmt w:val="lowerLetter"/>
      <w:start w:val="6"/>
    </w:lvl>
    <w:lvl w:ilvl="1">
      <w:lvlJc w:val="left"/>
      <w:lvlText w:val="(%2)"/>
      <w:numFmt w:val="lowerRoman"/>
      <w:start w:val="3"/>
    </w:lvl>
  </w:abstractNum>
  <w:abstractNum w:abstractNumId="181">
    <w:nsid w:val="2771AC80"/>
    <w:multiLevelType w:val="hybridMultilevel"/>
    <w:lvl w:ilvl="0">
      <w:lvlJc w:val="left"/>
      <w:lvlText w:val="(%1)"/>
      <w:numFmt w:val="lowerLetter"/>
      <w:start w:val="15"/>
    </w:lvl>
  </w:abstractNum>
  <w:abstractNum w:abstractNumId="182">
    <w:nsid w:val="1C4A08EC"/>
    <w:multiLevelType w:val="hybridMultilevel"/>
    <w:lvl w:ilvl="0">
      <w:lvlJc w:val="left"/>
      <w:lvlText w:val="(%1)"/>
      <w:numFmt w:val="lowerLetter"/>
      <w:start w:val="16"/>
    </w:lvl>
  </w:abstractNum>
  <w:abstractNum w:abstractNumId="183">
    <w:nsid w:val="1958BD17"/>
    <w:multiLevelType w:val="hybridMultilevel"/>
    <w:lvl w:ilvl="0">
      <w:lvlJc w:val="left"/>
      <w:lvlText w:val="(%1)"/>
      <w:numFmt w:val="lowerLetter"/>
      <w:start w:val="1"/>
    </w:lvl>
  </w:abstractNum>
  <w:abstractNum w:abstractNumId="184">
    <w:nsid w:val="4E647FE4"/>
    <w:multiLevelType w:val="hybridMultilevel"/>
    <w:lvl w:ilvl="0">
      <w:lvlJc w:val="left"/>
      <w:lvlText w:val="(%1)"/>
      <w:numFmt w:val="lowerRoman"/>
      <w:start w:val="1"/>
    </w:lvl>
  </w:abstractNum>
  <w:abstractNum w:abstractNumId="185">
    <w:nsid w:val="E0BB885"/>
    <w:multiLevelType w:val="hybridMultilevel"/>
    <w:lvl w:ilvl="0">
      <w:lvlJc w:val="left"/>
      <w:lvlText w:val="(%1)"/>
      <w:numFmt w:val="lowerLetter"/>
      <w:start w:val="5"/>
    </w:lvl>
  </w:abstractNum>
  <w:abstractNum w:abstractNumId="186">
    <w:nsid w:val="565976F1"/>
    <w:multiLevelType w:val="hybridMultilevel"/>
    <w:lvl w:ilvl="0">
      <w:lvlJc w:val="left"/>
      <w:lvlText w:val="(%1)"/>
      <w:numFmt w:val="lowerLetter"/>
      <w:start w:val="6"/>
    </w:lvl>
  </w:abstractNum>
  <w:abstractNum w:abstractNumId="187">
    <w:nsid w:val="64212B8C"/>
    <w:multiLevelType w:val="hybridMultilevel"/>
    <w:lvl w:ilvl="0">
      <w:lvlJc w:val="left"/>
      <w:lvlText w:val="(%1)"/>
      <w:numFmt w:val="lowerLetter"/>
      <w:start w:val="1"/>
    </w:lvl>
  </w:abstractNum>
  <w:abstractNum w:abstractNumId="188">
    <w:nsid w:val="5C17530C"/>
    <w:multiLevelType w:val="hybridMultilevel"/>
    <w:lvl w:ilvl="0">
      <w:lvlJc w:val="left"/>
      <w:lvlText w:val="(%1)"/>
      <w:numFmt w:val="lowerRoman"/>
      <w:start w:val="1"/>
    </w:lvl>
  </w:abstractNum>
  <w:abstractNum w:abstractNumId="189">
    <w:nsid w:val="19A52566"/>
    <w:multiLevelType w:val="hybridMultilevel"/>
    <w:lvl w:ilvl="0">
      <w:lvlJc w:val="left"/>
      <w:lvlText w:val="%1"/>
      <w:numFmt w:val="decimal"/>
      <w:start w:val="1"/>
    </w:lvl>
    <w:lvl w:ilvl="1">
      <w:lvlJc w:val="left"/>
      <w:lvlText w:val="(%2)"/>
      <w:numFmt w:val="upperLetter"/>
      <w:start w:val="1"/>
    </w:lvl>
  </w:abstractNum>
  <w:abstractNum w:abstractNumId="190">
    <w:nsid w:val="335A1DF1"/>
    <w:multiLevelType w:val="hybridMultilevel"/>
    <w:lvl w:ilvl="0">
      <w:lvlJc w:val="left"/>
      <w:lvlText w:val="(%1)"/>
      <w:numFmt w:val="decimal"/>
      <w:start w:val="2"/>
    </w:lvl>
    <w:lvl w:ilvl="1">
      <w:lvlJc w:val="left"/>
      <w:lvlText w:val="%2"/>
      <w:numFmt w:val="upperLetter"/>
      <w:start w:val="1"/>
    </w:lvl>
  </w:abstractNum>
  <w:abstractNum w:abstractNumId="191">
    <w:nsid w:val="28677B7C"/>
    <w:multiLevelType w:val="hybridMultilevel"/>
    <w:lvl w:ilvl="0">
      <w:lvlJc w:val="left"/>
      <w:lvlText w:val="(%1)"/>
      <w:numFmt w:val="upperLetter"/>
      <w:start w:val="2"/>
    </w:lvl>
  </w:abstractNum>
  <w:abstractNum w:abstractNumId="192">
    <w:nsid w:val="378D97C0"/>
    <w:multiLevelType w:val="hybridMultilevel"/>
    <w:lvl w:ilvl="0">
      <w:lvlJc w:val="left"/>
      <w:lvlText w:val="(%1)"/>
      <w:numFmt w:val="lowerRoman"/>
      <w:start w:val="2"/>
    </w:lvl>
  </w:abstractNum>
  <w:abstractNum w:abstractNumId="193">
    <w:nsid w:val="1D91467C"/>
    <w:multiLevelType w:val="hybridMultilevel"/>
    <w:lvl w:ilvl="0">
      <w:lvlJc w:val="left"/>
      <w:lvlText w:val="%1"/>
      <w:numFmt w:val="decimal"/>
      <w:start w:val="1"/>
    </w:lvl>
    <w:lvl w:ilvl="1">
      <w:lvlJc w:val="left"/>
      <w:lvlText w:val="(%2)"/>
      <w:numFmt w:val="upperLetter"/>
      <w:start w:val="1"/>
    </w:lvl>
  </w:abstractNum>
  <w:abstractNum w:abstractNumId="194">
    <w:nsid w:val="316032BB"/>
    <w:multiLevelType w:val="hybridMultilevel"/>
    <w:lvl w:ilvl="0">
      <w:lvlJc w:val="left"/>
      <w:lvlText w:val="(%1)"/>
      <w:numFmt w:val="decimal"/>
      <w:start w:val="2"/>
    </w:lvl>
    <w:lvl w:ilvl="1">
      <w:lvlJc w:val="left"/>
      <w:lvlText w:val="(%2)"/>
      <w:numFmt w:val="upperLetter"/>
      <w:start w:val="2"/>
    </w:lvl>
  </w:abstractNum>
  <w:abstractNum w:abstractNumId="195">
    <w:nsid w:val="44344C22"/>
    <w:multiLevelType w:val="hybridMultilevel"/>
    <w:lvl w:ilvl="0">
      <w:lvlJc w:val="left"/>
      <w:lvlText w:val="(%1)"/>
      <w:numFmt w:val="decimal"/>
      <w:start w:val="1"/>
    </w:lvl>
  </w:abstractNum>
  <w:abstractNum w:abstractNumId="196">
    <w:nsid w:val="13CDFCFC"/>
    <w:multiLevelType w:val="hybridMultilevel"/>
    <w:lvl w:ilvl="0">
      <w:lvlJc w:val="left"/>
      <w:lvlText w:val="(%1)"/>
      <w:numFmt w:val="upperLetter"/>
      <w:start w:val="4"/>
    </w:lvl>
  </w:abstractNum>
  <w:abstractNum w:abstractNumId="197">
    <w:nsid w:val="471745E4"/>
    <w:multiLevelType w:val="hybridMultilevel"/>
    <w:lvl w:ilvl="0">
      <w:lvlJc w:val="left"/>
      <w:lvlText w:val="(%1)"/>
      <w:numFmt w:val="lowerRoman"/>
      <w:start w:val="3"/>
    </w:lvl>
  </w:abstractNum>
  <w:abstractNum w:abstractNumId="198">
    <w:nsid w:val="1DDBC66"/>
    <w:multiLevelType w:val="hybridMultilevel"/>
    <w:lvl w:ilvl="0">
      <w:lvlJc w:val="left"/>
      <w:lvlText w:val="(%1)"/>
      <w:numFmt w:val="lowerLetter"/>
      <w:start w:val="2"/>
    </w:lvl>
  </w:abstractNum>
  <w:abstractNum w:abstractNumId="199">
    <w:nsid w:val="30AADFDA"/>
    <w:multiLevelType w:val="hybridMultilevel"/>
    <w:lvl w:ilvl="0">
      <w:lvlJc w:val="left"/>
      <w:lvlText w:val="(%1)"/>
      <w:numFmt w:val="lowerLetter"/>
      <w:start w:val="2"/>
    </w:lvl>
  </w:abstractNum>
  <w:abstractNum w:abstractNumId="200">
    <w:nsid w:val="30EADA61"/>
    <w:multiLevelType w:val="hybridMultilevel"/>
    <w:lvl w:ilvl="0">
      <w:lvlJc w:val="left"/>
      <w:lvlText w:val="(%1)"/>
      <w:numFmt w:val="lowerLetter"/>
      <w:start w:val="1"/>
    </w:lvl>
  </w:abstractNum>
  <w:abstractNum w:abstractNumId="201">
    <w:nsid w:val="27179C0B"/>
    <w:multiLevelType w:val="hybridMultilevel"/>
    <w:lvl w:ilvl="0">
      <w:lvlJc w:val="left"/>
      <w:lvlText w:val="(%1)"/>
      <w:numFmt w:val="lowerLetter"/>
      <w:start w:val="1"/>
    </w:lvl>
  </w:abstractNum>
  <w:abstractNum w:abstractNumId="202">
    <w:nsid w:val="5E636063"/>
    <w:multiLevelType w:val="hybridMultilevel"/>
    <w:lvl w:ilvl="0">
      <w:lvlJc w:val="left"/>
      <w:lvlText w:val="(%1)"/>
      <w:numFmt w:val="lowerLetter"/>
      <w:start w:val="1"/>
    </w:lvl>
  </w:abstractNum>
  <w:abstractNum w:abstractNumId="203">
    <w:nsid w:val="215641AF"/>
    <w:multiLevelType w:val="hybridMultilevel"/>
    <w:lvl w:ilvl="0">
      <w:lvlJc w:val="left"/>
      <w:lvlText w:val="(%1)"/>
      <w:numFmt w:val="lowerLetter"/>
      <w:start w:val="1"/>
    </w:lvl>
  </w:abstractNum>
  <w:abstractNum w:abstractNumId="204">
    <w:nsid w:val="53280662"/>
    <w:multiLevelType w:val="hybridMultilevel"/>
    <w:lvl w:ilvl="0">
      <w:lvlJc w:val="left"/>
      <w:lvlText w:val="(%1)"/>
      <w:numFmt w:val="lowerLetter"/>
      <w:start w:val="1"/>
    </w:lvl>
  </w:abstractNum>
  <w:abstractNum w:abstractNumId="205">
    <w:nsid w:val="46B24DBC"/>
    <w:multiLevelType w:val="hybridMultilevel"/>
    <w:lvl w:ilvl="0">
      <w:lvlJc w:val="left"/>
      <w:lvlText w:val="(%1)"/>
      <w:numFmt w:val="lowerLetter"/>
      <w:start w:val="2"/>
    </w:lvl>
  </w:abstractNum>
  <w:abstractNum w:abstractNumId="206">
    <w:nsid w:val="75B52783"/>
    <w:multiLevelType w:val="hybridMultilevel"/>
    <w:lvl w:ilvl="0">
      <w:lvlJc w:val="left"/>
      <w:lvlText w:val="(%1)"/>
      <w:numFmt w:val="lowerLetter"/>
      <w:start w:val="1"/>
    </w:lvl>
  </w:abstractNum>
  <w:abstractNum w:abstractNumId="207">
    <w:nsid w:val="57CE66B4"/>
    <w:multiLevelType w:val="hybridMultilevel"/>
    <w:lvl w:ilvl="0">
      <w:lvlJc w:val="left"/>
      <w:lvlText w:val="(%1)"/>
      <w:numFmt w:val="lowerLetter"/>
      <w:start w:val="1"/>
    </w:lvl>
  </w:abstractNum>
  <w:abstractNum w:abstractNumId="208">
    <w:nsid w:val="67A70B69"/>
    <w:multiLevelType w:val="hybridMultilevel"/>
    <w:lvl w:ilvl="0">
      <w:lvlJc w:val="left"/>
      <w:lvlText w:val="(%1)"/>
      <w:numFmt w:val="lowerLetter"/>
      <w:start w:val="2"/>
    </w:lvl>
  </w:abstractNum>
  <w:abstractNum w:abstractNumId="209">
    <w:nsid w:val="5953172F"/>
    <w:multiLevelType w:val="hybridMultilevel"/>
    <w:lvl w:ilvl="0">
      <w:lvlJc w:val="left"/>
      <w:lvlText w:val="%1"/>
      <w:numFmt w:val="lowerLetter"/>
      <w:start w:val="1"/>
    </w:lvl>
    <w:lvl w:ilvl="1">
      <w:lvlJc w:val="left"/>
      <w:lvlText w:val="(%2)"/>
      <w:numFmt w:val="lowerLetter"/>
      <w:start w:val="5"/>
    </w:lvl>
  </w:abstractNum>
  <w:abstractNum w:abstractNumId="210">
    <w:nsid w:val="27EDFE3A"/>
    <w:multiLevelType w:val="hybridMultilevel"/>
    <w:lvl w:ilvl="0">
      <w:lvlJc w:val="left"/>
      <w:lvlText w:val="(%1)"/>
      <w:numFmt w:val="lowerLetter"/>
      <w:start w:val="35"/>
    </w:lvl>
    <w:lvl w:ilvl="1">
      <w:lvlJc w:val="left"/>
      <w:lvlText w:val="(%2)"/>
      <w:numFmt w:val="lowerLetter"/>
      <w:start w:val="6"/>
    </w:lvl>
  </w:abstractNum>
  <w:abstractNum w:abstractNumId="211">
    <w:nsid w:val="52AC7DFF"/>
    <w:multiLevelType w:val="hybridMultilevel"/>
    <w:lvl w:ilvl="0">
      <w:lvlJc w:val="left"/>
      <w:lvlText w:val="(%1)"/>
      <w:numFmt w:val="lowerLetter"/>
      <w:start w:val="1"/>
    </w:lvl>
  </w:abstractNum>
  <w:abstractNum w:abstractNumId="212">
    <w:nsid w:val="C4C3AF"/>
    <w:multiLevelType w:val="hybridMultilevel"/>
    <w:lvl w:ilvl="0">
      <w:lvlJc w:val="left"/>
      <w:lvlText w:val="(%1)"/>
      <w:numFmt w:val="lowerRoman"/>
      <w:start w:val="1"/>
    </w:lvl>
  </w:abstractNum>
  <w:abstractNum w:abstractNumId="213">
    <w:nsid w:val="44380727"/>
    <w:multiLevelType w:val="hybridMultilevel"/>
    <w:lvl w:ilvl="0">
      <w:lvlJc w:val="left"/>
      <w:lvlText w:val="(%1)"/>
      <w:numFmt w:val="lowerLetter"/>
      <w:start w:val="2"/>
    </w:lvl>
  </w:abstractNum>
  <w:abstractNum w:abstractNumId="214">
    <w:nsid w:val="6C053B16"/>
    <w:multiLevelType w:val="hybridMultilevel"/>
    <w:lvl w:ilvl="0">
      <w:lvlJc w:val="left"/>
      <w:lvlText w:val="%1"/>
      <w:numFmt w:val="lowerLetter"/>
      <w:start w:val="1"/>
    </w:lvl>
    <w:lvl w:ilvl="1">
      <w:lvlJc w:val="left"/>
      <w:lvlText w:val="(%2)"/>
      <w:numFmt w:val="lowerLetter"/>
      <w:start w:val="3"/>
    </w:lvl>
  </w:abstractNum>
  <w:abstractNum w:abstractNumId="215">
    <w:nsid w:val="4F294393"/>
    <w:multiLevelType w:val="hybridMultilevel"/>
    <w:lvl w:ilvl="0">
      <w:lvlJc w:val="left"/>
      <w:lvlText w:val="(%1)"/>
      <w:numFmt w:val="lowerLetter"/>
      <w:start w:val="9"/>
    </w:lvl>
    <w:lvl w:ilvl="1">
      <w:lvlJc w:val="left"/>
      <w:lvlText w:val="%2"/>
      <w:numFmt w:val="lowerLetter"/>
      <w:start w:val="1"/>
    </w:lvl>
  </w:abstractNum>
  <w:abstractNum w:abstractNumId="216">
    <w:nsid w:val="5243BFAC"/>
    <w:multiLevelType w:val="hybridMultilevel"/>
    <w:lvl w:ilvl="0">
      <w:lvlJc w:val="left"/>
      <w:lvlText w:val="%1"/>
      <w:numFmt w:val="lowerLetter"/>
      <w:start w:val="1"/>
    </w:lvl>
    <w:lvl w:ilvl="1">
      <w:lvlJc w:val="left"/>
      <w:lvlText w:val="(%2)"/>
      <w:numFmt w:val="lowerLetter"/>
      <w:start w:val="5"/>
    </w:lvl>
  </w:abstractNum>
  <w:abstractNum w:abstractNumId="217">
    <w:nsid w:val="425EB207"/>
    <w:multiLevelType w:val="hybridMultilevel"/>
    <w:lvl w:ilvl="0">
      <w:lvlJc w:val="left"/>
      <w:lvlText w:val="(%1)"/>
      <w:numFmt w:val="lowerLetter"/>
      <w:start w:val="9"/>
    </w:lvl>
    <w:lvl w:ilvl="1">
      <w:lvlJc w:val="left"/>
      <w:lvlText w:val="%2"/>
      <w:numFmt w:val="lowerLetter"/>
      <w:start w:val="1"/>
    </w:lvl>
  </w:abstractNum>
  <w:abstractNum w:abstractNumId="218">
    <w:nsid w:val="334A6F1F"/>
    <w:multiLevelType w:val="hybridMultilevel"/>
    <w:lvl w:ilvl="0">
      <w:lvlJc w:val="left"/>
      <w:lvlText w:val="(%1)"/>
      <w:numFmt w:val="lowerLetter"/>
      <w:start w:val="1"/>
    </w:lvl>
  </w:abstractNum>
  <w:abstractNum w:abstractNumId="219">
    <w:nsid w:val="2E5B12B8"/>
    <w:multiLevelType w:val="hybridMultilevel"/>
    <w:lvl w:ilvl="0">
      <w:lvlJc w:val="left"/>
      <w:lvlText w:val="(%1)"/>
      <w:numFmt w:val="lowerLetter"/>
      <w:start w:val="3"/>
    </w:lvl>
  </w:abstractNum>
  <w:abstractNum w:abstractNumId="220">
    <w:nsid w:val="5C03D76D"/>
    <w:multiLevelType w:val="hybridMultilevel"/>
    <w:lvl w:ilvl="0">
      <w:lvlJc w:val="left"/>
      <w:lvlText w:val="(%1)"/>
      <w:numFmt w:val="lowerLetter"/>
      <w:start w:val="1"/>
    </w:lvl>
  </w:abstractNum>
  <w:abstractNum w:abstractNumId="221">
    <w:nsid w:val="66A48D11"/>
    <w:multiLevelType w:val="hybridMultilevel"/>
    <w:lvl w:ilvl="0">
      <w:lvlJc w:val="left"/>
      <w:lvlText w:val="(%1)"/>
      <w:numFmt w:val="lowerLetter"/>
      <w:start w:val="2"/>
    </w:lvl>
  </w:abstractNum>
  <w:abstractNum w:abstractNumId="222">
    <w:nsid w:val="56C28E34"/>
    <w:multiLevelType w:val="hybridMultilevel"/>
    <w:lvl w:ilvl="0">
      <w:lvlJc w:val="left"/>
      <w:lvlText w:val="(%1)"/>
      <w:numFmt w:val="lowerLetter"/>
      <w:start w:val="1"/>
    </w:lvl>
  </w:abstractNum>
  <w:abstractNum w:abstractNumId="223">
    <w:nsid w:val="13916F2D"/>
    <w:multiLevelType w:val="hybridMultilevel"/>
    <w:lvl w:ilvl="0">
      <w:lvlJc w:val="left"/>
      <w:lvlText w:val="(%1)"/>
      <w:numFmt w:val="lowerLetter"/>
      <w:start w:val="7"/>
    </w:lvl>
  </w:abstractNum>
  <w:abstractNum w:abstractNumId="224">
    <w:nsid w:val="435D38D"/>
    <w:multiLevelType w:val="hybridMultilevel"/>
    <w:lvl w:ilvl="0">
      <w:lvlJc w:val="left"/>
      <w:lvlText w:val="%1"/>
      <w:numFmt w:val="lowerLetter"/>
      <w:start w:val="1"/>
    </w:lvl>
    <w:lvl w:ilvl="1">
      <w:lvlJc w:val="left"/>
      <w:lvlText w:val="(%2)"/>
      <w:numFmt w:val="lowerLetter"/>
      <w:start w:val="1"/>
    </w:lvl>
  </w:abstractNum>
  <w:abstractNum w:abstractNumId="225">
    <w:nsid w:val="822C0EF"/>
    <w:multiLevelType w:val="hybridMultilevel"/>
    <w:lvl w:ilvl="0">
      <w:lvlJc w:val="left"/>
      <w:lvlText w:val="(%1)"/>
      <w:numFmt w:val="lowerLetter"/>
      <w:start w:val="2"/>
    </w:lvl>
    <w:lvl w:ilvl="1">
      <w:lvlJc w:val="left"/>
      <w:lvlText w:val="%2"/>
      <w:numFmt w:val="lowerLetter"/>
      <w:start w:val="1"/>
    </w:lvl>
  </w:abstractNum>
  <w:abstractNum w:abstractNumId="226">
    <w:nsid w:val="57C5BB4F"/>
    <w:multiLevelType w:val="hybridMultilevel"/>
    <w:lvl w:ilvl="0">
      <w:lvlJc w:val="left"/>
      <w:lvlText w:val="(%1)"/>
      <w:numFmt w:val="lowerLetter"/>
      <w:start w:val="2"/>
    </w:lvl>
  </w:abstractNum>
  <w:abstractNum w:abstractNumId="227">
    <w:nsid w:val="1803D089"/>
    <w:multiLevelType w:val="hybridMultilevel"/>
    <w:lvl w:ilvl="0">
      <w:lvlJc w:val="left"/>
      <w:lvlText w:val="(%1)"/>
      <w:numFmt w:val="lowerRoman"/>
      <w:start w:val="1"/>
    </w:lvl>
  </w:abstractNum>
  <w:abstractNum w:abstractNumId="228">
    <w:nsid w:val="4F3A06D4"/>
    <w:multiLevelType w:val="hybridMultilevel"/>
    <w:lvl w:ilvl="0">
      <w:lvlJc w:val="left"/>
      <w:lvlText w:val="(%1)"/>
      <w:numFmt w:val="upperLetter"/>
      <w:start w:val="1"/>
    </w:lvl>
  </w:abstractNum>
  <w:abstractNum w:abstractNumId="229">
    <w:nsid w:val="59A377B6"/>
    <w:multiLevelType w:val="hybridMultilevel"/>
    <w:lvl w:ilvl="0">
      <w:lvlJc w:val="left"/>
      <w:lvlText w:val="(%1)"/>
      <w:numFmt w:val="upperLetter"/>
      <w:start w:val="2"/>
    </w:lvl>
  </w:abstractNum>
  <w:abstractNum w:abstractNumId="230">
    <w:nsid w:val="48AEB063"/>
    <w:multiLevelType w:val="hybridMultilevel"/>
    <w:lvl w:ilvl="0">
      <w:lvlJc w:val="left"/>
      <w:lvlText w:val="(%1)"/>
      <w:numFmt w:val="lowerRoman"/>
      <w:start w:val="2"/>
    </w:lvl>
  </w:abstractNum>
  <w:abstractNum w:abstractNumId="231">
    <w:nsid w:val="24E135"/>
    <w:multiLevelType w:val="hybridMultilevel"/>
    <w:lvl w:ilvl="0">
      <w:lvlJc w:val="left"/>
      <w:lvlText w:val="(%1)"/>
      <w:numFmt w:val="upperLetter"/>
      <w:start w:val="1"/>
    </w:lvl>
  </w:abstractNum>
  <w:abstractNum w:abstractNumId="232">
    <w:nsid w:val="BB13C1"/>
    <w:multiLevelType w:val="hybridMultilevel"/>
    <w:lvl w:ilvl="0">
      <w:lvlJc w:val="left"/>
      <w:lvlText w:val="(%1)"/>
      <w:numFmt w:val="lowerRoman"/>
      <w:start w:val="4"/>
    </w:lvl>
  </w:abstractNum>
  <w:abstractNum w:abstractNumId="233">
    <w:nsid w:val="271210C7"/>
    <w:multiLevelType w:val="hybridMultilevel"/>
    <w:lvl w:ilvl="0">
      <w:lvlJc w:val="left"/>
      <w:lvlText w:val="(%1)"/>
      <w:numFmt w:val="lowerLetter"/>
      <w:start w:val="3"/>
    </w:lvl>
  </w:abstractNum>
  <w:abstractNum w:abstractNumId="234">
    <w:nsid w:val="217B22E4"/>
    <w:multiLevelType w:val="hybridMultilevel"/>
    <w:lvl w:ilvl="0">
      <w:lvlJc w:val="left"/>
      <w:lvlText w:val="(%1)"/>
      <w:numFmt w:val="lowerLetter"/>
      <w:start w:val="5"/>
    </w:lvl>
  </w:abstractNum>
  <w:abstractNum w:abstractNumId="235">
    <w:nsid w:val="53E31A24"/>
    <w:multiLevelType w:val="hybridMultilevel"/>
    <w:lvl w:ilvl="0">
      <w:lvlJc w:val="left"/>
      <w:lvlText w:val="(%1)"/>
      <w:numFmt w:val="lowerLetter"/>
      <w:start w:val="1"/>
    </w:lvl>
    <w:lvl w:ilvl="1">
      <w:lvlJc w:val="left"/>
      <w:lvlText w:val="(%2)"/>
      <w:numFmt w:val="lowerLetter"/>
      <w:start w:val="2"/>
    </w:lvl>
  </w:abstractNum>
  <w:abstractNum w:abstractNumId="236">
    <w:nsid w:val="6DC45E83"/>
    <w:multiLevelType w:val="hybridMultilevel"/>
    <w:lvl w:ilvl="0">
      <w:lvlJc w:val="left"/>
      <w:lvlText w:val="(%1)"/>
      <w:numFmt w:val="lowerLetter"/>
      <w:start w:val="4"/>
    </w:lvl>
    <w:lvl w:ilvl="1">
      <w:lvlJc w:val="left"/>
      <w:lvlText w:val="(%2)"/>
      <w:numFmt w:val="lowerLetter"/>
      <w:start w:val="5"/>
    </w:lvl>
  </w:abstractNum>
  <w:abstractNum w:abstractNumId="237">
    <w:nsid w:val="17304A67"/>
    <w:multiLevelType w:val="hybridMultilevel"/>
    <w:lvl w:ilvl="0">
      <w:lvlJc w:val="left"/>
      <w:lvlText w:val="(%1)"/>
      <w:numFmt w:val="lowerLetter"/>
      <w:start w:val="7"/>
    </w:lvl>
  </w:abstractNum>
  <w:abstractNum w:abstractNumId="238">
    <w:nsid w:val="2BB180D8"/>
    <w:multiLevelType w:val="hybridMultilevel"/>
    <w:lvl w:ilvl="0">
      <w:lvlJc w:val="left"/>
      <w:lvlText w:val="(%1)"/>
      <w:numFmt w:val="upperLetter"/>
      <w:start w:val="1"/>
    </w:lvl>
  </w:abstractNum>
  <w:abstractNum w:abstractNumId="239">
    <w:nsid w:val="556B69ED"/>
    <w:multiLevelType w:val="hybridMultilevel"/>
    <w:lvl w:ilvl="0">
      <w:lvlJc w:val="left"/>
      <w:lvlText w:val="(%1)"/>
      <w:numFmt w:val="lowerLetter"/>
      <w:start w:val="2"/>
    </w:lvl>
    <w:lvl w:ilvl="1">
      <w:lvlJc w:val="left"/>
      <w:lvlText w:val="(%2)"/>
      <w:numFmt w:val="lowerLetter"/>
      <w:start w:val="9"/>
    </w:lvl>
  </w:abstractNum>
  <w:abstractNum w:abstractNumId="240">
    <w:nsid w:val="70836196"/>
    <w:multiLevelType w:val="hybridMultilevel"/>
    <w:lvl w:ilvl="0">
      <w:lvlJc w:val="left"/>
      <w:lvlText w:val="(%1)"/>
      <w:numFmt w:val="lowerRoman"/>
      <w:start w:val="2"/>
    </w:lvl>
  </w:abstractNum>
  <w:abstractNum w:abstractNumId="241">
    <w:nsid w:val="539F7F12"/>
    <w:multiLevelType w:val="hybridMultilevel"/>
    <w:lvl w:ilvl="0">
      <w:lvlJc w:val="left"/>
      <w:lvlText w:val="(%1)"/>
      <w:numFmt w:val="lowerLetter"/>
      <w:start w:val="1"/>
    </w:lvl>
  </w:abstractNum>
  <w:abstractNum w:abstractNumId="242">
    <w:nsid w:val="2817E7EC"/>
    <w:multiLevelType w:val="hybridMultilevel"/>
    <w:lvl w:ilvl="0">
      <w:lvlJc w:val="left"/>
      <w:lvlText w:val="(%1)"/>
      <w:numFmt w:val="lowerRoman"/>
      <w:start w:val="1"/>
    </w:lvl>
  </w:abstractNum>
  <w:abstractNum w:abstractNumId="243">
    <w:nsid w:val="71482545"/>
    <w:multiLevelType w:val="hybridMultilevel"/>
    <w:lvl w:ilvl="0">
      <w:lvlJc w:val="left"/>
      <w:lvlText w:val="(%1)"/>
      <w:numFmt w:val="lowerRoman"/>
      <w:start w:val="2"/>
    </w:lvl>
  </w:abstractNum>
  <w:abstractNum w:abstractNumId="244">
    <w:nsid w:val="17D78639"/>
    <w:multiLevelType w:val="hybridMultilevel"/>
    <w:lvl w:ilvl="0">
      <w:lvlJc w:val="left"/>
      <w:lvlText w:val="*"/>
      <w:numFmt w:val="bullet"/>
      <w:start w:val="1"/>
    </w:lvl>
  </w:abstractNum>
  <w:abstractNum w:abstractNumId="245">
    <w:nsid w:val="141D2302"/>
    <w:multiLevelType w:val="hybridMultilevel"/>
    <w:lvl w:ilvl="0">
      <w:lvlJc w:val="left"/>
      <w:lvlText w:val="☐"/>
      <w:numFmt w:val="bullet"/>
      <w:start w:val="1"/>
    </w:lvl>
  </w:abstractNum>
  <w:abstractNum w:abstractNumId="246">
    <w:nsid w:val="407168D8"/>
    <w:multiLevelType w:val="hybridMultilevel"/>
    <w:lvl w:ilvl="0">
      <w:lvlJc w:val="left"/>
      <w:lvlText w:val="*"/>
      <w:numFmt w:val="bullet"/>
      <w:start w:val="1"/>
    </w:lvl>
  </w:abstractNum>
  <w:abstractNum w:abstractNumId="247">
    <w:nsid w:val="6A1B45E5"/>
    <w:multiLevelType w:val="hybridMultilevel"/>
    <w:lvl w:ilvl="0">
      <w:lvlJc w:val="left"/>
      <w:lvlText w:val="**"/>
      <w:numFmt w:val="bullet"/>
      <w:start w:val="1"/>
    </w:lvl>
  </w:abstractNum>
  <w:abstractNum w:abstractNumId="248">
    <w:nsid w:val="567BD50A"/>
    <w:multiLevelType w:val="hybridMultilevel"/>
    <w:lvl w:ilvl="0">
      <w:lvlJc w:val="left"/>
      <w:lvlText w:val="***"/>
      <w:numFmt w:val="bullet"/>
      <w:start w:val="1"/>
    </w:lvl>
  </w:abstractNum>
  <w:abstractNum w:abstractNumId="249">
    <w:nsid w:val="73BBD7F8"/>
    <w:multiLevelType w:val="hybridMultilevel"/>
    <w:lvl w:ilvl="0">
      <w:lvlJc w:val="left"/>
      <w:lvlText w:val="****"/>
      <w:numFmt w:val="bullet"/>
      <w:start w:val="1"/>
    </w:lvl>
  </w:abstractNum>
  <w:abstractNum w:abstractNumId="250">
    <w:nsid w:val="1876589D"/>
    <w:multiLevelType w:val="hybridMultilevel"/>
    <w:lvl w:ilvl="0">
      <w:lvlJc w:val="left"/>
      <w:lvlText w:val="*****"/>
      <w:numFmt w:val="bullet"/>
      <w:start w:val="1"/>
    </w:lvl>
  </w:abstractNum>
  <w:abstractNum w:abstractNumId="251">
    <w:nsid w:val="327FAC77"/>
    <w:multiLevelType w:val="hybridMultilevel"/>
    <w:lvl w:ilvl="0">
      <w:lvlJc w:val="left"/>
      <w:lvlText w:val="%1."/>
      <w:numFmt w:val="decimal"/>
      <w:start w:val="1"/>
    </w:lvl>
    <w:lvl w:ilvl="1">
      <w:lvlJc w:val="left"/>
      <w:lvlText w:val="%2)"/>
      <w:numFmt w:val="lowerLetter"/>
      <w:start w:val="1"/>
    </w:lvl>
  </w:abstractNum>
  <w:abstractNum w:abstractNumId="252">
    <w:nsid w:val="5A60650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53" Type="http://schemas.openxmlformats.org/officeDocument/2006/relationships/hyperlink" Target="https://www.sec.gov/Archives/edgar/data/0000812011/000081201124000207/exhibit101-vailresortsinc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2025-03-10T15:23:37Z</dcterms:created>
  <dcterms:modified xsi:type="dcterms:W3CDTF">2025-03-10T15:23:37Z</dcterms:modified>
</cp:coreProperties>
</file>