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8, 2026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Vail Resorts, Inc.</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33"/>
        </w:trPr>
        <w:tc>
          <w:tcPr>
            <w:tcW w:w="3040" w:type="dxa"/>
            <w:vAlign w:val="bottom"/>
            <w:tcBorders>
              <w:top w:val="single" w:sz="8" w:color="auto"/>
            </w:tcBorders>
            <w:gridSpan w:val="2"/>
          </w:tcPr>
          <w:p>
            <w:pPr>
              <w:jc w:val="center"/>
              <w:ind w:left="419"/>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1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File Number)</w:t>
            </w: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47"/>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b w:val="1"/>
                <w:bCs w:val="1"/>
                <w:color w:val="auto"/>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4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304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Times New Roman" w:cs="Times New Roman" w:eastAsia="Times New Roman" w:hAnsi="Times New Roman"/>
                <w:sz w:val="14"/>
                <w:szCs w:val="14"/>
                <w:color w:val="auto"/>
              </w:rPr>
              <w:t>(Zip Code)</w:t>
            </w:r>
          </w:p>
        </w:tc>
      </w:tr>
      <w:tr>
        <w:trPr>
          <w:trHeight w:val="568"/>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800" w:type="dxa"/>
            <w:vAlign w:val="bottom"/>
          </w:tcPr>
          <w:p>
            <w:pPr>
              <w:spacing w:after="0"/>
              <w:rPr>
                <w:sz w:val="21"/>
                <w:szCs w:val="21"/>
                <w:color w:val="auto"/>
              </w:rPr>
            </w:pPr>
          </w:p>
        </w:tc>
      </w:tr>
    </w:tbl>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33655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8, 2026, Vail Resorts, Inc. issued a press release announcing its results for the three and nine months ended April 30, 2026. A copy of the press release is being furnished as Exhibit 99.1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40" w:type="dxa"/>
            <w:vAlign w:val="bottom"/>
          </w:tcPr>
          <w:p>
            <w:pPr>
              <w:spacing w:after="0"/>
              <w:rPr>
                <w:sz w:val="17"/>
                <w:szCs w:val="17"/>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8, 2026, announcing fiscal 2026 third quarter results.</w:t>
            </w:r>
          </w:p>
        </w:tc>
      </w:tr>
      <w:tr>
        <w:trPr>
          <w:trHeight w:val="20"/>
        </w:trPr>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80" w:type="dxa"/>
            <w:vAlign w:val="bottom"/>
            <w:gridSpan w:val="2"/>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50"/>
        </w:trPr>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51"/>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Vail Resorts, Inc.</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Angela A. Korch</w:t>
            </w:r>
          </w:p>
        </w:tc>
      </w:tr>
      <w:tr>
        <w:trPr>
          <w:trHeight w:val="218"/>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4"/>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11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448310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310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Vail Resorts Contacts: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 Relations: Connie Wang, </w:t>
      </w:r>
      <w:r>
        <w:rPr>
          <w:rFonts w:ascii="Times New Roman" w:cs="Times New Roman" w:eastAsia="Times New Roman" w:hAnsi="Times New Roman"/>
          <w:sz w:val="18"/>
          <w:szCs w:val="18"/>
          <w:u w:val="single" w:color="auto"/>
          <w:color w:val="0000FF"/>
        </w:rPr>
        <w:t>InvestorRelations@vailresorts.com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Sara Olson, </w:t>
      </w:r>
      <w:r>
        <w:rPr>
          <w:rFonts w:ascii="Times New Roman" w:cs="Times New Roman" w:eastAsia="Times New Roman" w:hAnsi="Times New Roman"/>
          <w:sz w:val="18"/>
          <w:szCs w:val="18"/>
          <w:u w:val="single" w:color="auto"/>
          <w:color w:val="0000FF"/>
        </w:rPr>
        <w:t>News@vailresorts.com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Vail Resorts Reports Third Quarter Fiscal 2026 Results, Provides Updated Fiscal 2026 Guidance and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Provides Early Season Pass Sales Results</w:t>
      </w:r>
    </w:p>
    <w:p>
      <w:pPr>
        <w:spacing w:after="0" w:line="250" w:lineRule="exact"/>
        <w:rPr>
          <w:sz w:val="20"/>
          <w:szCs w:val="20"/>
          <w:color w:val="auto"/>
        </w:rPr>
      </w:pPr>
    </w:p>
    <w:p>
      <w:pPr>
        <w:ind w:right="20" w:firstLine="648"/>
        <w:spacing w:after="0" w:line="482" w:lineRule="auto"/>
        <w:rPr>
          <w:sz w:val="20"/>
          <w:szCs w:val="20"/>
          <w:color w:val="auto"/>
        </w:rPr>
      </w:pPr>
      <w:r>
        <w:rPr>
          <w:rFonts w:ascii="Times New Roman" w:cs="Times New Roman" w:eastAsia="Times New Roman" w:hAnsi="Times New Roman"/>
          <w:sz w:val="18"/>
          <w:szCs w:val="18"/>
          <w:color w:val="auto"/>
        </w:rPr>
        <w:t>BROOMFIELD, Colo. - June 8, 2026 - Vail Resorts, Inc. (NYSE: MTN) today reported results for the third quarter of fiscal 2026 ended April 30, 2026, updated fiscal 2026 guidance and provided early season pass sales results.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1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fiscal 2026 net income attributable to Vail Resorts, Inc. was $314.4 million compared to $389.7 million in the prior year.</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fiscal 2026 Resort Reported EBITDA was $586.4 million compared to $647.7 million in the prior year.</w:t>
      </w:r>
    </w:p>
    <w:p>
      <w:pPr>
        <w:spacing w:after="0" w:line="211" w:lineRule="exact"/>
        <w:rPr>
          <w:rFonts w:ascii="Times New Roman" w:cs="Times New Roman" w:eastAsia="Times New Roman" w:hAnsi="Times New Roman"/>
          <w:sz w:val="18"/>
          <w:szCs w:val="18"/>
          <w:color w:val="auto"/>
        </w:rPr>
      </w:pPr>
    </w:p>
    <w:p>
      <w:pPr>
        <w:ind w:left="660" w:hanging="328"/>
        <w:spacing w:after="0" w:line="48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fiscal 2026 guidance, in line with the update provided in April, and is now expecting net income attributable to Vail Resorts, Inc. of $128 million to $162 million and Resort Reported EBITDA of $735 million to $755 million.</w:t>
      </w:r>
    </w:p>
    <w:p>
      <w:pPr>
        <w:jc w:val="both"/>
        <w:ind w:left="660" w:hanging="328"/>
        <w:spacing w:after="0" w:line="4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product unit sales through May 26, 2026 for the upcoming 2026/2027 North American ski season decreased approximately 10%, days sold decreased approximately 8% and sales dollars, inclusive of sales and admissions taxes, decreased approximately 5%, as compared to the prior year period through May 27, 2025.</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a quarterly cash dividend of $2.22 per share of Vail Resorts' common stock that will be payable on July 9, 2026 to</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of record as of June 25, 2026.</w:t>
      </w:r>
    </w:p>
    <w:p>
      <w:pPr>
        <w:spacing w:after="0" w:line="212" w:lineRule="exact"/>
        <w:rPr>
          <w:sz w:val="20"/>
          <w:szCs w:val="20"/>
          <w:color w:val="auto"/>
        </w:rPr>
      </w:pPr>
    </w:p>
    <w:p>
      <w:pPr>
        <w:jc w:val="both"/>
        <w:ind w:firstLine="648"/>
        <w:spacing w:after="0" w:line="493" w:lineRule="auto"/>
        <w:rPr>
          <w:sz w:val="20"/>
          <w:szCs w:val="20"/>
          <w:color w:val="auto"/>
        </w:rPr>
      </w:pPr>
      <w:r>
        <w:rPr>
          <w:rFonts w:ascii="Times New Roman" w:cs="Times New Roman" w:eastAsia="Times New Roman" w:hAnsi="Times New Roman"/>
          <w:sz w:val="18"/>
          <w:szCs w:val="18"/>
          <w:color w:val="auto"/>
        </w:rPr>
        <w:t>Commenting on the Company’s fiscal 2026 third quarter results, Rob Katz, Chief Executive Officer said, “Weather conditions remained extremely unfavorable in the third quarter, adding to what had already been one of the most challenging winters in history across the western U.S., driving continued pressure on visitation and revenue in the quarter, particularly at our destination resorts in the Rockies. While these dynamics negatively impacted results, our advance commitment model provided considerable stability and strong cost discipline kept us on track to exceed our resource efficiency transformation plan savings for the year. At the same time, our continued investments in talent, technology and resort operations drove record guest</w:t>
      </w:r>
    </w:p>
    <w:p>
      <w:pPr>
        <w:sectPr>
          <w:pgSz w:w="11900" w:h="16838" w:orient="portrait"/>
          <w:cols w:equalWidth="0" w:num="1">
            <w:col w:w="11240"/>
          </w:cols>
          <w:pgMar w:left="320" w:top="981" w:right="339" w:bottom="1440" w:gutter="0" w:footer="0" w:header="0"/>
        </w:sectPr>
      </w:pPr>
    </w:p>
    <w:bookmarkStart w:id="4" w:name="page5"/>
    <w:bookmarkEnd w:id="4"/>
    <w:p>
      <w:pPr>
        <w:jc w:val="both"/>
        <w:ind w:right="20"/>
        <w:spacing w:after="0" w:line="485" w:lineRule="auto"/>
        <w:rPr>
          <w:sz w:val="20"/>
          <w:szCs w:val="20"/>
          <w:color w:val="auto"/>
        </w:rPr>
      </w:pPr>
      <w:r>
        <w:rPr>
          <w:rFonts w:ascii="Times New Roman" w:cs="Times New Roman" w:eastAsia="Times New Roman" w:hAnsi="Times New Roman"/>
          <w:sz w:val="18"/>
          <w:szCs w:val="18"/>
          <w:color w:val="auto"/>
        </w:rPr>
        <w:t>satisfaction scores and strong employee engagement. Despite the weather challenges of the past year, our strategic focus remains unchanged, and we are pleased with the progress we made this year. The new lift ticket products and strategic shifts in our marketing approach showed early positive results this past season, with our lift ticket visitation meaningfully outperforming the industry based on preliminary data, including in the Rockies, and we continued to make significant strides in enhancing the guest experience.</w:t>
      </w:r>
    </w:p>
    <w:p>
      <w:pPr>
        <w:spacing w:after="0" w:line="1" w:lineRule="exact"/>
        <w:rPr>
          <w:sz w:val="20"/>
          <w:szCs w:val="20"/>
          <w:color w:val="auto"/>
        </w:rPr>
      </w:pPr>
    </w:p>
    <w:p>
      <w:pPr>
        <w:jc w:val="both"/>
        <w:ind w:firstLine="648"/>
        <w:spacing w:after="0" w:line="481" w:lineRule="auto"/>
        <w:rPr>
          <w:sz w:val="20"/>
          <w:szCs w:val="20"/>
          <w:color w:val="auto"/>
        </w:rPr>
      </w:pPr>
      <w:r>
        <w:rPr>
          <w:rFonts w:ascii="Times New Roman" w:cs="Times New Roman" w:eastAsia="Times New Roman" w:hAnsi="Times New Roman"/>
          <w:sz w:val="18"/>
          <w:szCs w:val="18"/>
          <w:color w:val="auto"/>
        </w:rPr>
        <w:t>“Looking ahead, we see significant opportunity to further elevate the guest experience across our resorts through continued investments in lifts, snowmaking, terrain and our talent, while leveraging the scale and strength of our integrated network to implement new technologies and enhance key elements of the guest experience. We have key initiatives underway in our gear, ski school and dining businesses, as well as every facet of guest engagement and communication, and will share updates on these efforts in the upcoming months. Together, these initiatives will play an important role in driving future visitation growth and long-term value creation.”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Operating Results</w:t>
      </w:r>
    </w:p>
    <w:p>
      <w:pPr>
        <w:spacing w:after="0" w:line="212" w:lineRule="exact"/>
        <w:rPr>
          <w:sz w:val="20"/>
          <w:szCs w:val="20"/>
          <w:color w:val="auto"/>
        </w:rPr>
      </w:pPr>
    </w:p>
    <w:p>
      <w:pPr>
        <w:jc w:val="both"/>
        <w:ind w:left="660" w:hanging="328"/>
        <w:spacing w:after="0" w:line="48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Resort Net Revenue </w:t>
      </w:r>
      <w:r>
        <w:rPr>
          <w:rFonts w:ascii="Times New Roman" w:cs="Times New Roman" w:eastAsia="Times New Roman" w:hAnsi="Times New Roman"/>
          <w:sz w:val="18"/>
          <w:szCs w:val="18"/>
          <w:color w:val="auto"/>
        </w:rPr>
        <w:t>decreased $90.4 million, or 7.0%, compared to the prior year, primarily driven by unfavorable weather conditions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visitation and revenue for both local and destination guests, particularly at the Rockies and Tahoe resorts. Compared to the prior year, total lift revenue declined 5%, despite visitation being down 15%, primarily as a result of 2025/2026 North American Pass Sales increasing 3% heading into the season.</w:t>
      </w:r>
    </w:p>
    <w:p>
      <w:pPr>
        <w:ind w:left="660" w:hanging="328"/>
        <w:spacing w:after="0" w:line="48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Resort Reported EBITDA </w:t>
      </w:r>
      <w:r>
        <w:rPr>
          <w:rFonts w:ascii="Times New Roman" w:cs="Times New Roman" w:eastAsia="Times New Roman" w:hAnsi="Times New Roman"/>
          <w:sz w:val="18"/>
          <w:szCs w:val="18"/>
          <w:color w:val="auto"/>
        </w:rPr>
        <w:t>decreased $61.3 million, or 9.5%, compared to the prior year, which was primarily driven by the weather-related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headwinds, and were partially offset by disciplined cost management and continued resource efficiency transformation cost savings.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2026 Guidance</w:t>
      </w:r>
    </w:p>
    <w:p>
      <w:pPr>
        <w:spacing w:after="0" w:line="216" w:lineRule="exact"/>
        <w:rPr>
          <w:sz w:val="20"/>
          <w:szCs w:val="20"/>
          <w:color w:val="auto"/>
        </w:rPr>
      </w:pPr>
    </w:p>
    <w:p>
      <w:pPr>
        <w:ind w:firstLine="648"/>
        <w:spacing w:after="0" w:line="485" w:lineRule="auto"/>
        <w:rPr>
          <w:sz w:val="20"/>
          <w:szCs w:val="20"/>
          <w:color w:val="auto"/>
        </w:rPr>
      </w:pPr>
      <w:r>
        <w:rPr>
          <w:rFonts w:ascii="Times New Roman" w:cs="Times New Roman" w:eastAsia="Times New Roman" w:hAnsi="Times New Roman"/>
          <w:sz w:val="18"/>
          <w:szCs w:val="18"/>
          <w:color w:val="auto"/>
        </w:rPr>
        <w:t>Due to the historically challenging weather conditions in the western U.S. that persisted through the third quarter, which negatively impacted demand, the Company is reducing its fiscal 2026 guidance. The Company now expects fiscal 2026 Net Income and Resort EBITDA as follows: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Vail Resorts, Inc. of $128 million to $162 million.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 Reported EBITDA of $735 million to $755 million.</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49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 efficiency transformation plan remains on track to achieve an incremental $45 million of efficiencies over the prior year, before one-time costs, and the Company now expects to deliver $106 million of annualized cost efficiencies, representing a $6 million increase above the original two-year plan. Revised Fiscal 2026 Resort EBITDA guidance includes an estimated $13 million of one-time costs in support of the Company’s resource efficiency transformation plan.</w:t>
      </w:r>
    </w:p>
    <w:p>
      <w:pPr>
        <w:sectPr>
          <w:pgSz w:w="11900" w:h="16838" w:orient="portrait"/>
          <w:cols w:equalWidth="0" w:num="1">
            <w:col w:w="11240"/>
          </w:cols>
          <w:pgMar w:left="320" w:top="985" w:right="339" w:bottom="1440" w:gutter="0" w:footer="0" w:header="0"/>
        </w:sectPr>
      </w:pPr>
    </w:p>
    <w:bookmarkStart w:id="5" w:name="page6"/>
    <w:bookmarkEnd w:id="5"/>
    <w:p>
      <w:pPr>
        <w:jc w:val="both"/>
        <w:ind w:firstLine="648"/>
        <w:spacing w:after="0" w:line="485" w:lineRule="auto"/>
        <w:rPr>
          <w:sz w:val="20"/>
          <w:szCs w:val="20"/>
          <w:color w:val="auto"/>
        </w:rPr>
      </w:pPr>
      <w:r>
        <w:rPr>
          <w:rFonts w:ascii="Times New Roman" w:cs="Times New Roman" w:eastAsia="Times New Roman" w:hAnsi="Times New Roman"/>
          <w:sz w:val="18"/>
          <w:szCs w:val="18"/>
          <w:color w:val="auto"/>
        </w:rPr>
        <w:t>The updated guidance also assumes (1) normal weather conditions and operations throughout the Australian ski season and North American summer season; (2) a continuation of the current economic environment; and (3) foreign currency exchange rates as of June 8, 2026, including an exchange rate of $0.72 between the Canadian Dollar and U.S. Dollar related to the operations of Whistler Blackcomb in Canada, an exchange rate of $0.70 between the Australian Dollar and U.S. Dollar related to the operations of Perisher, Falls Creek and Hotham in Australia, and an exchange rate of $1.26 between the Swiss Franc and U.S. Dollar related to the operations of Andermatt-Sedrun and Crans Montana in Switzerland, and does not include any potential impacts related to future fluctuations in foreign currency exchange rates, which may be impacted by tariffs, trade disputes, or other factors.</w:t>
      </w:r>
    </w:p>
    <w:p>
      <w:pPr>
        <w:spacing w:after="0" w:line="1" w:lineRule="exact"/>
        <w:rPr>
          <w:sz w:val="20"/>
          <w:szCs w:val="20"/>
          <w:color w:val="auto"/>
        </w:rPr>
      </w:pPr>
    </w:p>
    <w:p>
      <w:pPr>
        <w:jc w:val="both"/>
        <w:ind w:firstLine="648"/>
        <w:spacing w:after="0" w:line="443" w:lineRule="auto"/>
        <w:rPr>
          <w:sz w:val="20"/>
          <w:szCs w:val="20"/>
          <w:color w:val="auto"/>
        </w:rPr>
      </w:pPr>
      <w:r>
        <w:rPr>
          <w:rFonts w:ascii="Times New Roman" w:cs="Times New Roman" w:eastAsia="Times New Roman" w:hAnsi="Times New Roman"/>
          <w:sz w:val="18"/>
          <w:szCs w:val="18"/>
          <w:color w:val="auto"/>
        </w:rPr>
        <w:t>The following table reflects the forecasted guidance range for the Company's fiscal year ending July 31, 2026 for Total Reported EBITDA (after stock-based compensation expense) and reconciles net income attributable to Vail Resorts, Inc. guidance to such Total Reported EBITDA guidance.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Fiscal 2026 Guidance</w:t>
            </w:r>
          </w:p>
        </w:tc>
      </w:tr>
      <w:tr>
        <w:trPr>
          <w:trHeight w:val="229"/>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8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For the Year Ending</w:t>
            </w:r>
          </w:p>
        </w:tc>
      </w:tr>
      <w:tr>
        <w:trPr>
          <w:trHeight w:val="238"/>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July 31, 2026</w:t>
            </w:r>
          </w:p>
        </w:tc>
      </w:tr>
      <w:tr>
        <w:trPr>
          <w:trHeight w:val="214"/>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 End</w:t>
            </w:r>
          </w:p>
        </w:tc>
        <w:tc>
          <w:tcPr>
            <w:tcW w:w="30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High End</w:t>
            </w:r>
          </w:p>
        </w:tc>
      </w:tr>
      <w:tr>
        <w:trPr>
          <w:trHeight w:val="238"/>
        </w:trPr>
        <w:tc>
          <w:tcPr>
            <w:tcW w:w="8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128,000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183,000</w:t>
            </w:r>
          </w:p>
        </w:tc>
      </w:tr>
      <w:tr>
        <w:trPr>
          <w:trHeight w:val="230"/>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303,000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299,000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30"/>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48"/>
        </w:trPr>
        <w:tc>
          <w:tcPr>
            <w:tcW w:w="8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739,000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761,000</w:t>
            </w: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Mountain Reported EBITDA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721,000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739,000</w:t>
            </w:r>
          </w:p>
        </w:tc>
      </w:tr>
      <w:tr>
        <w:trPr>
          <w:trHeight w:val="230"/>
        </w:trPr>
        <w:tc>
          <w:tcPr>
            <w:tcW w:w="8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Lodging Reported EBITDA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3"/>
        </w:trPr>
        <w:tc>
          <w:tcPr>
            <w:tcW w:w="824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Resort Reported EBITDA </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735,000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755,000</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8"/>
        </w:trPr>
        <w:tc>
          <w:tcPr>
            <w:tcW w:w="8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739,000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761,000</w:t>
            </w: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20" w:right="20" w:firstLine="6"/>
        <w:spacing w:after="0" w:line="289" w:lineRule="auto"/>
        <w:tabs>
          <w:tab w:leader="none" w:pos="15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 for income taxes may be impacted by excess tax benefits primarily resulting from vesting and exercises of equity awards. Our estimated provision for income taxes does not include the impact, if any, of unknown future exercises of employee equity awards, which could have a material impact given that a significant portion of our awards may be in-the-money depending on the current value of the stock price.</w:t>
      </w:r>
    </w:p>
    <w:p>
      <w:pPr>
        <w:spacing w:after="0" w:line="152" w:lineRule="exact"/>
        <w:rPr>
          <w:rFonts w:ascii="Times New Roman" w:cs="Times New Roman" w:eastAsia="Times New Roman" w:hAnsi="Times New Roman"/>
          <w:sz w:val="16"/>
          <w:szCs w:val="16"/>
          <w:color w:val="auto"/>
          <w:vertAlign w:val="superscript"/>
        </w:rPr>
      </w:pPr>
    </w:p>
    <w:p>
      <w:pPr>
        <w:ind w:left="20" w:right="20" w:firstLine="6"/>
        <w:spacing w:after="0" w:line="291" w:lineRule="auto"/>
        <w:tabs>
          <w:tab w:leader="none" w:pos="166"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Our guidance includes certain forward looking known changes in the fair value of the contingent consideration based solely on the passage of time and resulting impact on present value. Guidance excludes any forward looking change based upon, among other things, financial projections including long-term growth rates for Park City, which such change may be material.</w:t>
      </w:r>
    </w:p>
    <w:p>
      <w:pPr>
        <w:spacing w:after="0" w:line="1"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Mountain Reported EBITDA also includes approximately $24 million of stock-based compensation.</w:t>
      </w:r>
    </w:p>
    <w:p>
      <w:pPr>
        <w:spacing w:after="0" w:line="55"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Lodging Reported EBITDA also includes approximately $3 million of stock-based compensation.</w:t>
      </w:r>
    </w:p>
    <w:p>
      <w:pPr>
        <w:spacing w:after="0" w:line="55" w:lineRule="exact"/>
        <w:rPr>
          <w:rFonts w:ascii="Times New Roman" w:cs="Times New Roman" w:eastAsia="Times New Roman" w:hAnsi="Times New Roman"/>
          <w:sz w:val="9"/>
          <w:szCs w:val="9"/>
          <w:color w:val="auto"/>
        </w:rPr>
      </w:pPr>
    </w:p>
    <w:p>
      <w:pPr>
        <w:jc w:val="both"/>
        <w:ind w:left="20" w:right="20" w:firstLine="6"/>
        <w:spacing w:after="0" w:line="271" w:lineRule="auto"/>
        <w:tabs>
          <w:tab w:leader="none" w:pos="183"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provides Reported EBITDA ranges for the Mountain and Lodging segments, as well as for the two combined. The low and high of the expected ranges provided for the Mountain and Lodging segments, while possible, do not sum to the high or low end of the Resort Reported EBITDA range provided because we do not expect or assume that we will hit the low or high end of both ranges.</w:t>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 Pass Sales</w:t>
      </w:r>
    </w:p>
    <w:p>
      <w:pPr>
        <w:spacing w:after="0" w:line="212" w:lineRule="exact"/>
        <w:rPr>
          <w:sz w:val="20"/>
          <w:szCs w:val="20"/>
          <w:color w:val="auto"/>
        </w:rPr>
      </w:pPr>
    </w:p>
    <w:p>
      <w:pPr>
        <w:jc w:val="both"/>
        <w:ind w:firstLine="290"/>
        <w:spacing w:after="0" w:line="433" w:lineRule="auto"/>
        <w:rPr>
          <w:sz w:val="20"/>
          <w:szCs w:val="20"/>
          <w:color w:val="auto"/>
        </w:rPr>
      </w:pPr>
      <w:r>
        <w:rPr>
          <w:rFonts w:ascii="Times New Roman" w:cs="Times New Roman" w:eastAsia="Times New Roman" w:hAnsi="Times New Roman"/>
          <w:sz w:val="18"/>
          <w:szCs w:val="18"/>
          <w:color w:val="auto"/>
        </w:rPr>
        <w:t>Pass product units sold through May 26, 2026 for the upcoming North American ski season decreased approximately 10%, days sold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decreased approximately 8% and sales dollars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inclusive of sales and admissions taxes, decreased approximately 5%, as compared to the prior year period through May 27, 2025. The decline in performance-to-date reflects softer demand following one of the worst snowfall years in history in the western U.S., most evident in weaker trends across weather-impacted markets such as Colorado, Utah and Lake Tahoe, and among Destination guests who typically visit the Rockies, relative to much stronger performance in the East and at Whistler Blackcomb.</w:t>
      </w:r>
    </w:p>
    <w:p>
      <w:pPr>
        <w:spacing w:after="0" w:line="21" w:lineRule="exact"/>
        <w:rPr>
          <w:sz w:val="20"/>
          <w:szCs w:val="20"/>
          <w:color w:val="auto"/>
        </w:rPr>
      </w:pPr>
    </w:p>
    <w:p>
      <w:pPr>
        <w:jc w:val="both"/>
        <w:ind w:firstLine="648"/>
        <w:spacing w:after="0" w:line="477" w:lineRule="auto"/>
        <w:rPr>
          <w:sz w:val="20"/>
          <w:szCs w:val="20"/>
          <w:color w:val="auto"/>
        </w:rPr>
      </w:pPr>
      <w:r>
        <w:rPr>
          <w:rFonts w:ascii="Times New Roman" w:cs="Times New Roman" w:eastAsia="Times New Roman" w:hAnsi="Times New Roman"/>
          <w:sz w:val="18"/>
          <w:szCs w:val="18"/>
          <w:color w:val="auto"/>
        </w:rPr>
        <w:t>The Company is seeing encouraging guest response to its new Young Adult pass products that are solidly outperforming other age groups, in addition to Unlimited pass products solidly outperforming frequency products, underscoring sustained demand for core high-value products.</w:t>
      </w:r>
    </w:p>
    <w:p>
      <w:pPr>
        <w:spacing w:after="0" w:line="1" w:lineRule="exact"/>
        <w:rPr>
          <w:sz w:val="20"/>
          <w:szCs w:val="20"/>
          <w:color w:val="auto"/>
        </w:rPr>
      </w:pPr>
    </w:p>
    <w:p>
      <w:pPr>
        <w:jc w:val="both"/>
        <w:ind w:firstLine="648"/>
        <w:spacing w:after="0" w:line="485" w:lineRule="auto"/>
        <w:rPr>
          <w:sz w:val="20"/>
          <w:szCs w:val="20"/>
          <w:color w:val="auto"/>
        </w:rPr>
      </w:pPr>
      <w:r>
        <w:rPr>
          <w:rFonts w:ascii="Times New Roman" w:cs="Times New Roman" w:eastAsia="Times New Roman" w:hAnsi="Times New Roman"/>
          <w:sz w:val="18"/>
          <w:szCs w:val="18"/>
          <w:color w:val="auto"/>
        </w:rPr>
        <w:t>Commenting on the Company’s season pass sales for the upcoming North American ski season, Katz said, “While any decline in pass sales is disappointing, it is not surprising given the severity of this past season’s conditions and we are encouraged that third-party data indicates our spring pass results are meaningfully outperforming others in the industry during this period. We believe the challenging conditions have delayed purchase decisions, creating the opportunity for improved pass performance in the Fall selling season and/or ultimately through lift ticket purchases during next season. Historical U.S. ski market data indicates that visitation typically fully recovers following a season with poor conditions if the subsequent season has normal conditions, and we believe we are well positioned to capture that visitation with the pass and lift ticket product and marketing strategies we have developed. That said, given how anomalous this past season was, there remains continued uncertainty around how the full pass selling season and next season’s visitation will ultimately unfold. We will provide more information about pass sales results and our thoughts on next season in our Q4 earnings release in September.”</w:t>
      </w:r>
    </w:p>
    <w:p>
      <w:pPr>
        <w:spacing w:after="0" w:line="2" w:lineRule="exact"/>
        <w:rPr>
          <w:sz w:val="20"/>
          <w:szCs w:val="20"/>
          <w:color w:val="auto"/>
        </w:rPr>
      </w:pPr>
    </w:p>
    <w:p>
      <w:pPr>
        <w:jc w:val="both"/>
        <w:ind w:firstLine="648"/>
        <w:spacing w:after="0" w:line="450" w:lineRule="auto"/>
        <w:rPr>
          <w:sz w:val="20"/>
          <w:szCs w:val="20"/>
          <w:color w:val="auto"/>
        </w:rPr>
      </w:pPr>
      <w:r>
        <w:rPr>
          <w:rFonts w:ascii="Times New Roman" w:cs="Times New Roman" w:eastAsia="Times New Roman" w:hAnsi="Times New Roman"/>
          <w:sz w:val="18"/>
          <w:szCs w:val="18"/>
          <w:color w:val="auto"/>
        </w:rPr>
        <w:t>Epic Australia Pass sales through May 27, 2026 increased approximately 26% in units and approximately 31% in sales dollars as compared to the period in the prior year through May 28, 2025.</w:t>
      </w:r>
    </w:p>
    <w:p>
      <w:pPr>
        <w:spacing w:after="0" w:line="41" w:lineRule="exact"/>
        <w:rPr>
          <w:sz w:val="20"/>
          <w:szCs w:val="20"/>
          <w:color w:val="auto"/>
        </w:rPr>
      </w:pPr>
    </w:p>
    <w:p>
      <w:pPr>
        <w:ind w:right="20" w:firstLine="8"/>
        <w:spacing w:after="0" w:line="350" w:lineRule="auto"/>
        <w:tabs>
          <w:tab w:leader="none" w:pos="88" w:val="left"/>
        </w:tabs>
        <w:numPr>
          <w:ilvl w:val="0"/>
          <w:numId w:val="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4"/>
          <w:szCs w:val="14"/>
          <w:i w:val="1"/>
          <w:iCs w:val="1"/>
          <w:color w:val="auto"/>
        </w:rPr>
        <w:t>Days sold measures an estimate of how many days of access are sold, calculated by assigning a number of days to each pass unit and assumes a blended estimate of 8 days sold to unlimited passes and actual number of access days purchased for frequency products.</w:t>
      </w:r>
    </w:p>
    <w:p>
      <w:pPr>
        <w:spacing w:after="0" w:line="41" w:lineRule="exact"/>
        <w:rPr>
          <w:sz w:val="20"/>
          <w:szCs w:val="20"/>
          <w:color w:val="auto"/>
        </w:rPr>
      </w:pPr>
    </w:p>
    <w:p>
      <w:pPr>
        <w:ind w:firstLine="8"/>
        <w:spacing w:after="0" w:line="382" w:lineRule="auto"/>
        <w:tabs>
          <w:tab w:leader="none" w:pos="88" w:val="left"/>
        </w:tabs>
        <w:numPr>
          <w:ilvl w:val="0"/>
          <w:numId w:val="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4"/>
          <w:szCs w:val="14"/>
          <w:i w:val="1"/>
          <w:iCs w:val="1"/>
          <w:color w:val="auto"/>
        </w:rPr>
        <w:t>Pass product sales are adjusted to eliminate the impact of foreign currency by applying an exchange rate of $0.72 between the Canadian dollar and U.S. dollar in both periods for Whistler Blackcomb pass sales.</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Return of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Despite difficult conditions this year, the Company remains confident in its long-term cash flow generation strength and its stable business model.</w:t>
      </w:r>
    </w:p>
    <w:p>
      <w:pPr>
        <w:sectPr>
          <w:pgSz w:w="11900" w:h="16838" w:orient="portrait"/>
          <w:cols w:equalWidth="0" w:num="1">
            <w:col w:w="11240"/>
          </w:cols>
          <w:pgMar w:left="320" w:top="1224" w:right="339" w:bottom="1440" w:gutter="0" w:footer="0" w:header="0"/>
        </w:sectPr>
      </w:pPr>
    </w:p>
    <w:bookmarkStart w:id="7" w:name="page8"/>
    <w:bookmarkEnd w:id="7"/>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2026, the Company's total liquidity as measured by total cash plus revolver availability was approximately $1.1 billion.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was 3.5 times trailing twelve months Total Reported EBITDA.</w:t>
      </w:r>
    </w:p>
    <w:p>
      <w:pPr>
        <w:spacing w:after="0" w:line="211" w:lineRule="exact"/>
        <w:rPr>
          <w:rFonts w:ascii="Times New Roman" w:cs="Times New Roman" w:eastAsia="Times New Roman" w:hAnsi="Times New Roman"/>
          <w:sz w:val="18"/>
          <w:szCs w:val="18"/>
          <w:color w:val="auto"/>
        </w:rPr>
      </w:pPr>
    </w:p>
    <w:p>
      <w:pPr>
        <w:ind w:left="660" w:hanging="328"/>
        <w:spacing w:after="0" w:line="48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declared a quarterly cash dividend of $2.22 per share of Vail Resorts’ common stock that will be payable on July 9, 2026 to shareholders of record as of June 25, 2026.</w:t>
      </w:r>
    </w:p>
    <w:p>
      <w:pPr>
        <w:jc w:val="both"/>
        <w:ind w:left="660" w:hanging="328"/>
        <w:spacing w:after="0" w:line="48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reaffirmed its calendar 2026 capital plan of approximately $215 million to $220 million in core capital, consistent with its long-term capital investment guidance. Including growth capital investments, at the Company’s European resorts and in support of Resource Efficiency</w:t>
      </w:r>
    </w:p>
    <w:p>
      <w:pPr>
        <w:ind w:left="660"/>
        <w:spacing w:after="0" w:line="475" w:lineRule="auto"/>
        <w:rPr>
          <w:sz w:val="20"/>
          <w:szCs w:val="20"/>
          <w:color w:val="auto"/>
        </w:rPr>
      </w:pPr>
      <w:r>
        <w:rPr>
          <w:rFonts w:ascii="Times New Roman" w:cs="Times New Roman" w:eastAsia="Times New Roman" w:hAnsi="Times New Roman"/>
          <w:sz w:val="18"/>
          <w:szCs w:val="18"/>
          <w:color w:val="auto"/>
        </w:rPr>
        <w:t>Transformation and real estate planning projects, the Company plans to invest a total of approximately $234 million to $239 million in calendar year 2026.</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216" w:lineRule="exact"/>
        <w:rPr>
          <w:sz w:val="20"/>
          <w:szCs w:val="20"/>
          <w:color w:val="auto"/>
        </w:rPr>
      </w:pPr>
    </w:p>
    <w:p>
      <w:pPr>
        <w:jc w:val="both"/>
        <w:ind w:firstLine="648"/>
        <w:spacing w:after="0" w:line="493" w:lineRule="auto"/>
        <w:rPr>
          <w:sz w:val="20"/>
          <w:szCs w:val="20"/>
          <w:color w:val="auto"/>
        </w:rPr>
      </w:pPr>
      <w:r>
        <w:rPr>
          <w:rFonts w:ascii="Times New Roman" w:cs="Times New Roman" w:eastAsia="Times New Roman" w:hAnsi="Times New Roman"/>
          <w:sz w:val="18"/>
          <w:szCs w:val="18"/>
          <w:color w:val="auto"/>
        </w:rPr>
        <w:t>The Company will conduct a conference call today at 5:00 p.m. Eastern time to discuss the financial results. The call will be webcast and can be accessed at investors.vailresorts.com, or dial (800) 225-9448 (U.S. and Canada) or +1 (203) 518-9708 (international). The conference ID is MTNQ326. A replay of the conference call will be available two hours following the conclusion of the conference call through June 15, 2026, at 11:59 p.m. Eastern time. To access the replay, dial (800) 757-4770 (U.S. and Canada) or +1 (402) 220-7228 (international). The conference call will also be archived at https://investors.vailresorts.com.</w:t>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Vail Resorts, Inc. (NYSE: MTN)</w:t>
      </w:r>
    </w:p>
    <w:p>
      <w:pPr>
        <w:spacing w:after="0" w:line="216" w:lineRule="exact"/>
        <w:rPr>
          <w:sz w:val="20"/>
          <w:szCs w:val="20"/>
          <w:color w:val="auto"/>
        </w:rPr>
      </w:pPr>
    </w:p>
    <w:p>
      <w:pPr>
        <w:jc w:val="both"/>
        <w:ind w:firstLine="648"/>
        <w:spacing w:after="0" w:line="482" w:lineRule="auto"/>
        <w:rPr>
          <w:sz w:val="20"/>
          <w:szCs w:val="20"/>
          <w:color w:val="auto"/>
        </w:rPr>
      </w:pPr>
      <w:r>
        <w:rPr>
          <w:rFonts w:ascii="Times New Roman" w:cs="Times New Roman" w:eastAsia="Times New Roman" w:hAnsi="Times New Roman"/>
          <w:sz w:val="18"/>
          <w:szCs w:val="18"/>
          <w:color w:val="auto"/>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240 retail and rental locations across North America. Learn more about our company at www.VailResorts.com, or discover our resorts and pass options at www.EpicPass.com.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16" w:lineRule="exact"/>
        <w:rPr>
          <w:sz w:val="20"/>
          <w:szCs w:val="20"/>
          <w:color w:val="auto"/>
        </w:rPr>
      </w:pPr>
    </w:p>
    <w:p>
      <w:pPr>
        <w:jc w:val="both"/>
        <w:ind w:firstLine="648"/>
        <w:spacing w:after="0" w:line="486" w:lineRule="auto"/>
        <w:rPr>
          <w:sz w:val="20"/>
          <w:szCs w:val="20"/>
          <w:color w:val="auto"/>
        </w:rPr>
      </w:pPr>
      <w:r>
        <w:rPr>
          <w:rFonts w:ascii="Times New Roman" w:cs="Times New Roman" w:eastAsia="Times New Roman" w:hAnsi="Times New Roman"/>
          <w:sz w:val="18"/>
          <w:szCs w:val="18"/>
          <w:color w:val="auto"/>
        </w:rPr>
        <w:t>Certain statements discussed in this press release and on the conference call, other than statements of historical information, are forward-looking statements within the meaning of the federal securities laws, including the statements regarding expected fiscal years 2026 and 2027 and calendar years 2026 and 2027 performance and the assumptions related thereto, including, but not limited to, our expected net income and Resort Reported EBITDA; our expectations regarding our liquidity; our expectations related to our pass and lift ticket products and initiatives; capital investment projects; our calendar year 2026 capital plans; our expectations and anticipated benefits of our capital structure; our expectations related to our key initiatives and strategies; our anticipated drivers of visitation and value creation; and our expectations regarding our Resource Efficiency Transformation plan.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risks associated with the effects of high or prolonged inflation, elevated interest rates and financial institution disruptions; unfavorable weather conditions or the impact of climate change, natural disasters or other events; the ultimate amount of refunds that we could be required to refund to our pass product holders for qualifying circumstances under our Epic Coverage program; the willingness or ability of our guests to travel due to terrorism, the uncertainty of military conflicts or public health emergencies, and the cost and availability of travel options and changing consumer preferences, discretionary spending habits; risks related to travel and airline disruptions, and other adverse impacts on the ability of our guests to travel; risks related to interruptions or disruptions of our information technology systems, data security or cyberattacks; risks related to our reliance on information technology, including our failure to maintain the integrity of our customer or employee data and our ability to adapt to technological developments or industry trends; our ability to</w:t>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483" w:lineRule="auto"/>
        <w:rPr>
          <w:sz w:val="20"/>
          <w:szCs w:val="20"/>
          <w:color w:val="auto"/>
        </w:rPr>
      </w:pPr>
      <w:r>
        <w:rPr>
          <w:rFonts w:ascii="Times New Roman" w:cs="Times New Roman" w:eastAsia="Times New Roman" w:hAnsi="Times New Roman"/>
          <w:sz w:val="18"/>
          <w:szCs w:val="18"/>
          <w:color w:val="auto"/>
        </w:rPr>
        <w:t>acquire, develop and implement relevant technology offerings for customers and partners; the seasonality of our business combined with adverse events that may occur during our peak operating periods; competition in our mountain and lodging businesses or with other recreational and leisure activities; risks related to the high fixed cost structure of our business; our ability to fund resort capital expenditures, or accurately identify the need for, or anticipate the timing of certain capital expenditures; risks related to a disruption in our water supply that would impact our snowmaking capabilities and operations; our reliance on government permits or approvals for our use of public land or to make operational and capital improvements; risks related to resource efficiency transformation initiatives; risks related to federal, state, local and foreign government laws, rules and regulations, including environmental and health and safety laws and regulations; risks related to changes in security and privacy laws and regulations which could increase our operating costs and adversely affect our ability to market our products, properties and services effectively; potential failure to adapt to technological developments or industry trends regarding information technology; our ability to successfully launch and promote adoption of new products, technology, services and programs; risks related to our workforce, including increased labor costs, loss of key personnel and our ability to maintain adequate staffing, including hiring and retaining a sufficient seasonal workforce; our ability to successfully integrate acquired businesses, including their integration into our internal controls and infrastructure; our ability to successfully navigate new markets, including Europe, or that acquired businesses may fail to perform in accordance with expectations; a deterioration in the quality or reputation of our brands, including our ability to protect our intellectual property and the risk of accidents at our mountain resorts; risks related to scrutiny and changing expectations regarding our sustainability practices and reporting; risks associated with international operations, including fluctuations in foreign currency exchange rates where the Company has foreign currency exposure, primarily the Canadian and Australian dollars and the Swiss franc, as compared to the U.S. dollar; changes in tax laws, regulations or interpretations, or adverse determinations by taxing authorities; 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 a materially adverse change in our financial condition; adverse consequences of current or future litigation and legal claims; changes in accounting judgments and estimates, accounting principles, policies or guidelines; and other risks detailed in the Company’s filings with the Securities and Exchange Commission, including the “Risk Factors” section of the Company’s most recently filed Annual Report on Form 10-K and quarterly reports on Form 10-Q.</w:t>
      </w:r>
    </w:p>
    <w:p>
      <w:pPr>
        <w:spacing w:after="0" w:line="16" w:lineRule="exact"/>
        <w:rPr>
          <w:sz w:val="20"/>
          <w:szCs w:val="20"/>
          <w:color w:val="auto"/>
        </w:rPr>
      </w:pPr>
    </w:p>
    <w:p>
      <w:pPr>
        <w:jc w:val="both"/>
        <w:ind w:firstLine="648"/>
        <w:spacing w:after="0" w:line="501" w:lineRule="auto"/>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 All guidance and forward-looking statements in this press release are made as of the date hereof and we do not undertake any obligation to update any forecast or forward-looking statements whether as a result of new information, future events or otherwise, except as may be required by law.</w:t>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Concerning Non-GAAP Financial Measures</w:t>
      </w:r>
    </w:p>
    <w:p>
      <w:pPr>
        <w:spacing w:after="0" w:line="216" w:lineRule="exact"/>
        <w:rPr>
          <w:sz w:val="20"/>
          <w:szCs w:val="20"/>
          <w:color w:val="auto"/>
        </w:rPr>
      </w:pPr>
    </w:p>
    <w:p>
      <w:pPr>
        <w:jc w:val="both"/>
        <w:ind w:firstLine="648"/>
        <w:spacing w:after="0" w:line="483" w:lineRule="auto"/>
        <w:rPr>
          <w:sz w:val="20"/>
          <w:szCs w:val="20"/>
          <w:color w:val="auto"/>
        </w:rPr>
      </w:pPr>
      <w:r>
        <w:rPr>
          <w:rFonts w:ascii="Times New Roman" w:cs="Times New Roman" w:eastAsia="Times New Roman" w:hAnsi="Times New Roman"/>
          <w:sz w:val="18"/>
          <w:szCs w:val="18"/>
          <w:color w:val="auto"/>
        </w:rPr>
        <w:t>When reporting financial results, we use the terms Resort Reported EBITDA, Total Reported EBITDA, Resort EBITDA Margin, Net Debt and Net Real Estate Cash Flow, which are not financial measures under accounting principles generally accepted in the United States of America (“GAAP”). Resort Reported EBITDA, Total Reported EBITDA, Resort EBITDA Margin, Net Debt and Net Real Estate Cash Flow should not be considered in isolation or as an alternative to, or substitute for, measures of financial performance or liquidity prepared in accordance with GAAP. In addition, we report segment Reported EBITDA (i.e., Mountain, Lodging and Real Estate), the measure of segment profit or loss required to be disclosed in accordance with GAAP. Accordingly, these measures may not be comparable to similarly-titled measures of other companies. Additionally, with respect to discussion of impacts from currency, the Company calculates the impact by applying current period foreign exchange rates to the prior period results, as the Company believes that comparing financial information using comparable foreign exchange rates is a more objective and useful measure of changes in operating performance.</w:t>
      </w:r>
    </w:p>
    <w:p>
      <w:pPr>
        <w:spacing w:after="0" w:line="4" w:lineRule="exact"/>
        <w:rPr>
          <w:sz w:val="20"/>
          <w:szCs w:val="20"/>
          <w:color w:val="auto"/>
        </w:rPr>
      </w:pPr>
    </w:p>
    <w:p>
      <w:pPr>
        <w:jc w:val="both"/>
        <w:ind w:firstLine="648"/>
        <w:spacing w:after="0" w:line="489" w:lineRule="auto"/>
        <w:rPr>
          <w:sz w:val="20"/>
          <w:szCs w:val="20"/>
          <w:color w:val="auto"/>
        </w:rPr>
      </w:pPr>
      <w:r>
        <w:rPr>
          <w:rFonts w:ascii="Times New Roman" w:cs="Times New Roman" w:eastAsia="Times New Roman" w:hAnsi="Times New Roman"/>
          <w:sz w:val="18"/>
          <w:szCs w:val="18"/>
          <w:color w:val="auto"/>
        </w:rPr>
        <w:t>Reported EBITDA (and its counterpart for each of our segments) has been presented herein as a measure of the Company’s performance. The Company believes that Reported EBITDA is an indicative measurement of the Company’s operating performance and is similar to performance metrics generally used by investors to evaluate other companies in the resort and lodging industries. The Company defines Resort EBITDA Margin as Resort Reported EBITDA divided by Resort net revenue. The Company believes Resort EBITDA Margin is an important measurement of operating performance. The Company believes that Net Debt is an important measurement of liquidity as it is an indicator of the Company’s ability to obtain additional capital resources for its future cash needs. Additionally, the Company believes Net Real Estate Cash Flow is important as a cash flow indicator for its Real Estate segment. See the tables provided in this release for reconciliations of our measures of segment profitability and non-GAAP financial measures to the most directly comparable GAAP financial measures.</w:t>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80" w:type="dxa"/>
            <w:vAlign w:val="bottom"/>
          </w:tcPr>
          <w:p>
            <w:pPr>
              <w:spacing w:after="0"/>
              <w:rPr>
                <w:sz w:val="16"/>
                <w:szCs w:val="16"/>
                <w:color w:val="auto"/>
              </w:rPr>
            </w:pPr>
          </w:p>
        </w:tc>
        <w:tc>
          <w:tcPr>
            <w:tcW w:w="2460" w:type="dxa"/>
            <w:vAlign w:val="bottom"/>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1,043,884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2,160,491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2,259,172</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161,209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399,441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433,537</w:t>
            </w:r>
          </w:p>
        </w:tc>
      </w:tr>
      <w:tr>
        <w:trPr>
          <w:trHeight w:val="22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Resort net revenue</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1,205,093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2,559,932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2,692,709</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1,205,175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2,560,136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2,693,058</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459,875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1,214,221</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1,245,010</w:t>
            </w: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56,701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143,471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156,164</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102,559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334,601</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327,408</w:t>
            </w:r>
          </w:p>
        </w:tc>
      </w:tr>
      <w:tr>
        <w:trPr>
          <w:trHeight w:val="223"/>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619,135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1,692,293</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1,728,582</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1,475</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4,768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23"/>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620,610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1,697,061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1,733,493</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(224,686)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(221,963)</w:t>
            </w: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29"/>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494,128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629,355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759,014</w:t>
            </w: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9,168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(127,372)</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445,854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486,915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643,925</w:t>
            </w:r>
          </w:p>
        </w:tc>
      </w:tr>
      <w:tr>
        <w:trPr>
          <w:trHeight w:val="230"/>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(105,631)</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23"/>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340,223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369,612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486,280</w:t>
            </w:r>
          </w:p>
        </w:tc>
      </w:tr>
      <w:tr>
        <w:trPr>
          <w:trHeight w:val="229"/>
        </w:trPr>
        <w:tc>
          <w:tcPr>
            <w:tcW w:w="5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314,435</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389,740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337,690</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460,861</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amounts</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35,633</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35,765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37,365</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35,686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35,811</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r>
    </w:tbl>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Condensed Statements of Operations - Other Data</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7"/>
                <w:szCs w:val="17"/>
                <w:color w:val="auto"/>
              </w:rPr>
            </w:pPr>
          </w:p>
        </w:tc>
        <w:tc>
          <w:tcPr>
            <w:tcW w:w="240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196"/>
        </w:trPr>
        <w:tc>
          <w:tcPr>
            <w:tcW w:w="58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579,611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859,194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948,991</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6,805</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23"/>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586,416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868,028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967,689</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23"/>
        </w:trPr>
        <w:tc>
          <w:tcPr>
            <w:tcW w:w="5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585,423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654,082</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874,922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987,531</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stock-based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w:t>
            </w:r>
          </w:p>
        </w:tc>
      </w:tr>
      <w:tr>
        <w:trPr>
          <w:trHeight w:val="22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stock-based compensation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2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stock-based compensation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7,385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w:t>
            </w:r>
          </w:p>
        </w:tc>
      </w:tr>
      <w:tr>
        <w:trPr>
          <w:trHeight w:val="229"/>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stock-based compensation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8"/>
        </w:trPr>
        <w:tc>
          <w:tcPr>
            <w:tcW w:w="5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7,443</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Mountain Segment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ETP)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3"/>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3"/>
                <w:szCs w:val="13"/>
                <w:color w:val="auto"/>
              </w:rPr>
            </w:pPr>
          </w:p>
        </w:tc>
        <w:tc>
          <w:tcPr>
            <w:tcW w:w="2240" w:type="dxa"/>
            <w:vAlign w:val="bottom"/>
            <w:gridSpan w:val="3"/>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84"/>
        </w:trPr>
        <w:tc>
          <w:tcPr>
            <w:tcW w:w="36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8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Mountain revenue: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Lift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770,259</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Ski school</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Dining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110,972</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Retail/rental</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104,211</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261,014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1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1,129,778</w:t>
            </w: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1,212,549</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2,327,321</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2,448,939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Mountain operating expense: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238,346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256,343</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614,110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639,363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cost of sales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30,617</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Resort related fees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55,604</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137,596</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144,413</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376,492</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550,625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577,778</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1,468,516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579,611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1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859,194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948,991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Lodging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Average Daily Rate (“ADR”) and Revenue per Available Room (“RevPAR”))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3"/>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2200" w:type="dxa"/>
            <w:vAlign w:val="bottom"/>
            <w:gridSpan w:val="3"/>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20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84"/>
        </w:trPr>
        <w:tc>
          <w:tcPr>
            <w:tcW w:w="36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7.2 %</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78,659</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219,292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82,894</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232,611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210,458</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68,510</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472.36</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Key Balance Sheet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30,</w:t>
            </w:r>
          </w:p>
        </w:tc>
        <w:tc>
          <w:tcPr>
            <w:tcW w:w="90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551,727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877,167</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2,949,629</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2,118,911</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73,512</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591,474</w:t>
            </w:r>
          </w:p>
        </w:tc>
      </w:tr>
      <w:tr>
        <w:trPr>
          <w:trHeight w:val="223"/>
        </w:trPr>
        <w:tc>
          <w:tcPr>
            <w:tcW w:w="8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3,023,141</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2,710,385</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371,374</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467,034</w:t>
            </w:r>
          </w:p>
        </w:tc>
      </w:tr>
      <w:tr>
        <w:trPr>
          <w:trHeight w:val="223"/>
        </w:trPr>
        <w:tc>
          <w:tcPr>
            <w:tcW w:w="8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2,651,767</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2,243,351</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Measures of Segment Profitability and Non-GAAP Financial Measures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Presented below is a reconciliation of net income attributable to Vail Resorts, Inc. to Total Reported EBITDA for the three and nine months ended April 30, 2026 and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314,435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337,690</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460,861</w:t>
            </w:r>
          </w:p>
        </w:tc>
      </w:tr>
      <w:tr>
        <w:trPr>
          <w:trHeight w:val="230"/>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25,788</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31,922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w:t>
            </w: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340,223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369,612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486,280</w:t>
            </w:r>
          </w:p>
        </w:tc>
      </w:tr>
      <w:tr>
        <w:trPr>
          <w:trHeight w:val="229"/>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105,631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130,073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117,303</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157,645</w:t>
            </w: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445,854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486,915</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77,219</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224,686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6,053</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13,500</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14,439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51,318</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152,081</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127,372</w:t>
            </w:r>
          </w:p>
        </w:tc>
      </w:tr>
      <w:tr>
        <w:trPr>
          <w:trHeight w:val="223"/>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585,423</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654,082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874,922</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987,531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579,611</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635,437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859,194</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948,991</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6,805</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8,834</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586,416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868,028</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967,689</w:t>
            </w: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6,894</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585,423</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654,082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874,922</w:t>
            </w:r>
          </w:p>
        </w:tc>
        <w:tc>
          <w:tcPr>
            <w:tcW w:w="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987,531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Resort represents the sum of Mountain and Lodging</w:t>
      </w:r>
    </w:p>
    <w:p>
      <w:pPr>
        <w:sectPr>
          <w:pgSz w:w="11900" w:h="16838" w:orient="portrait"/>
          <w:cols w:equalWidth="0" w:num="1">
            <w:col w:w="11240"/>
          </w:cols>
          <w:pgMar w:left="320" w:top="887"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Presented below is a reconciliation of net income attributable to Vail Resorts, Inc. to Total Reported EBITDA calculated in accordance with GAAP for the twelve months ended April 30, 2026.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9"/>
        </w:trPr>
        <w:tc>
          <w:tcPr>
            <w:tcW w:w="9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0"/>
        </w:trPr>
        <w:tc>
          <w:tcPr>
            <w:tcW w:w="9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3"/>
        </w:trPr>
        <w:tc>
          <w:tcPr>
            <w:tcW w:w="9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9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156,833</w:t>
            </w:r>
          </w:p>
        </w:tc>
      </w:tr>
      <w:tr>
        <w:trPr>
          <w:trHeight w:val="229"/>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w:t>
            </w:r>
          </w:p>
        </w:tc>
      </w:tr>
      <w:tr>
        <w:trPr>
          <w:trHeight w:val="223"/>
        </w:trPr>
        <w:tc>
          <w:tcPr>
            <w:tcW w:w="9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181,308</w:t>
            </w:r>
          </w:p>
        </w:tc>
      </w:tr>
      <w:tr>
        <w:trPr>
          <w:trHeight w:val="229"/>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64,079</w:t>
            </w:r>
          </w:p>
        </w:tc>
      </w:tr>
      <w:tr>
        <w:trPr>
          <w:trHeight w:val="223"/>
        </w:trPr>
        <w:tc>
          <w:tcPr>
            <w:tcW w:w="9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245,387</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299,160</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 and other,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on intercompany loans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196,337</w:t>
            </w:r>
          </w:p>
        </w:tc>
      </w:tr>
      <w:tr>
        <w:trPr>
          <w:trHeight w:val="223"/>
        </w:trPr>
        <w:tc>
          <w:tcPr>
            <w:tcW w:w="9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750,153</w:t>
            </w:r>
          </w:p>
        </w:tc>
      </w:tr>
      <w:tr>
        <w:trPr>
          <w:trHeight w:val="20"/>
        </w:trPr>
        <w:tc>
          <w:tcPr>
            <w:tcW w:w="9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7"/>
        </w:trPr>
        <w:tc>
          <w:tcPr>
            <w:tcW w:w="9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731,544</w:t>
            </w:r>
          </w:p>
        </w:tc>
      </w:tr>
      <w:tr>
        <w:trPr>
          <w:trHeight w:val="230"/>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w:t>
            </w:r>
          </w:p>
        </w:tc>
      </w:tr>
      <w:tr>
        <w:trPr>
          <w:trHeight w:val="223"/>
        </w:trPr>
        <w:tc>
          <w:tcPr>
            <w:tcW w:w="9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744,475</w:t>
            </w:r>
          </w:p>
        </w:tc>
      </w:tr>
      <w:tr>
        <w:trPr>
          <w:trHeight w:val="230"/>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r>
      <w:tr>
        <w:trPr>
          <w:trHeight w:val="22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750,153</w:t>
            </w:r>
          </w:p>
        </w:tc>
      </w:tr>
      <w:tr>
        <w:trPr>
          <w:trHeight w:val="21"/>
        </w:trPr>
        <w:tc>
          <w:tcPr>
            <w:tcW w:w="9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Resort represents the sum of Mountain and Lodging</w:t>
      </w: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long-term debt, net to Net Debt and the calculation of Net Debt to Total Reported EBITDA for the twelve months ended April 30,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90"/>
        </w:trPr>
        <w:tc>
          <w:tcPr>
            <w:tcW w:w="6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1"/>
        </w:trPr>
        <w:tc>
          <w:tcPr>
            <w:tcW w:w="6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As of April 30, 2026</w:t>
            </w:r>
          </w:p>
        </w:tc>
      </w:tr>
      <w:tr>
        <w:trPr>
          <w:trHeight w:val="23"/>
        </w:trPr>
        <w:tc>
          <w:tcPr>
            <w:tcW w:w="61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2,949,629</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73,512</w:t>
            </w:r>
          </w:p>
        </w:tc>
      </w:tr>
      <w:tr>
        <w:trPr>
          <w:trHeight w:val="223"/>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3,023,141</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371,374</w:t>
            </w:r>
          </w:p>
        </w:tc>
      </w:tr>
      <w:tr>
        <w:trPr>
          <w:trHeight w:val="248"/>
        </w:trPr>
        <w:tc>
          <w:tcPr>
            <w:tcW w:w="61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3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2,651,767</w:t>
            </w: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Borders>
              <w:bottom w:val="single" w:sz="8" w:color="auto"/>
            </w:tcBorders>
          </w:tcPr>
          <w:p>
            <w:pPr>
              <w:ind w:left="240"/>
              <w:spacing w:after="0" w:line="203" w:lineRule="exact"/>
              <w:rPr>
                <w:sz w:val="20"/>
                <w:szCs w:val="20"/>
                <w:color w:val="auto"/>
              </w:rPr>
            </w:pPr>
            <w:r>
              <w:rPr>
                <w:rFonts w:ascii="Times New Roman" w:cs="Times New Roman" w:eastAsia="Times New Roman" w:hAnsi="Times New Roman"/>
                <w:sz w:val="18"/>
                <w:szCs w:val="18"/>
                <w:color w:val="auto"/>
              </w:rPr>
              <w:t>Net debt to Total Reported EBITDA</w:t>
            </w:r>
          </w:p>
        </w:tc>
        <w:tc>
          <w:tcPr>
            <w:tcW w:w="3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3.5x</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Real Estate Reported EBITDA to Net Real Estate Cash Flow for the three and nine months ended April 30, 2026 and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3"/>
                <w:szCs w:val="13"/>
                <w:color w:val="auto"/>
              </w:rPr>
            </w:pPr>
          </w:p>
        </w:tc>
      </w:tr>
      <w:tr>
        <w:trPr>
          <w:trHeight w:val="189"/>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r>
      <w:tr>
        <w:trPr>
          <w:trHeight w:val="190"/>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6"/>
                <w:szCs w:val="16"/>
                <w:color w:val="auto"/>
              </w:rPr>
            </w:pPr>
          </w:p>
        </w:tc>
        <w:tc>
          <w:tcPr>
            <w:tcW w:w="2420" w:type="dxa"/>
            <w:vAlign w:val="bottom"/>
            <w:gridSpan w:val="3"/>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6,894</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Real Estate stock-based compensation</w:t>
            </w:r>
          </w:p>
        </w:tc>
        <w:tc>
          <w:tcPr>
            <w:tcW w:w="28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179</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real estate deposits and recovery of previously incurred project</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costs/land basis less investments in real estate</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5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Real Estate Cash Flow</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1"/>
        </w:trPr>
        <w:tc>
          <w:tcPr>
            <w:tcW w:w="5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reconciles Resort net revenue to Resort EBITDA Margin for fiscal 2026 guidance.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9"/>
        </w:trPr>
        <w:tc>
          <w:tcPr>
            <w:tcW w:w="1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90"/>
        </w:trPr>
        <w:tc>
          <w:tcPr>
            <w:tcW w:w="1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 xml:space="preserve">Fiscal 2026 Guidance </w:t>
            </w:r>
            <w:r>
              <w:rPr>
                <w:rFonts w:ascii="Times New Roman" w:cs="Times New Roman" w:eastAsia="Times New Roman" w:hAnsi="Times New Roman"/>
                <w:sz w:val="9"/>
                <w:szCs w:val="9"/>
                <w:b w:val="1"/>
                <w:bCs w:val="1"/>
                <w:color w:val="auto"/>
              </w:rPr>
              <w:t>(2)</w:t>
            </w:r>
          </w:p>
        </w:tc>
      </w:tr>
      <w:tr>
        <w:trPr>
          <w:trHeight w:val="23"/>
        </w:trPr>
        <w:tc>
          <w:tcPr>
            <w:tcW w:w="6580" w:type="dxa"/>
            <w:vAlign w:val="bottom"/>
            <w:tcBorders>
              <w:bottom w:val="single" w:sz="8" w:color="auto"/>
            </w:tcBorders>
            <w:gridSpan w:val="2"/>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5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Resort net revenue </w:t>
            </w:r>
            <w:r>
              <w:rPr>
                <w:rFonts w:ascii="Times New Roman" w:cs="Times New Roman" w:eastAsia="Times New Roman" w:hAnsi="Times New Roman"/>
                <w:sz w:val="23"/>
                <w:szCs w:val="23"/>
                <w:color w:val="auto"/>
                <w:vertAlign w:val="superscript"/>
              </w:rPr>
              <w:t>(1)</w:t>
            </w:r>
          </w:p>
        </w:tc>
        <w:tc>
          <w:tcPr>
            <w:tcW w:w="2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2,853,000</w:t>
            </w:r>
          </w:p>
        </w:tc>
      </w:tr>
      <w:tr>
        <w:trPr>
          <w:trHeight w:val="229"/>
        </w:trPr>
        <w:tc>
          <w:tcPr>
            <w:tcW w:w="6580" w:type="dxa"/>
            <w:vAlign w:val="bottom"/>
            <w:tcBorders>
              <w:bottom w:val="single" w:sz="8" w:color="auto"/>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Resort Reported EBITDA </w:t>
            </w:r>
            <w:r>
              <w:rPr>
                <w:rFonts w:ascii="Times New Roman" w:cs="Times New Roman" w:eastAsia="Times New Roman" w:hAnsi="Times New Roman"/>
                <w:sz w:val="23"/>
                <w:szCs w:val="23"/>
                <w:color w:val="auto"/>
                <w:vertAlign w:val="superscript"/>
              </w:rPr>
              <w:t>(1)</w:t>
            </w:r>
          </w:p>
        </w:tc>
        <w:tc>
          <w:tcPr>
            <w:tcW w:w="2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745,000</w:t>
            </w:r>
          </w:p>
        </w:tc>
      </w:tr>
      <w:tr>
        <w:trPr>
          <w:trHeight w:val="223"/>
        </w:trPr>
        <w:tc>
          <w:tcPr>
            <w:tcW w:w="180" w:type="dxa"/>
            <w:vAlign w:val="bottom"/>
            <w:tcBorders>
              <w:bottom w:val="single" w:sz="8" w:color="auto"/>
            </w:tcBorders>
            <w:shd w:val="clear" w:color="auto" w:fill="CCEEFF"/>
          </w:tcPr>
          <w:p>
            <w:pPr>
              <w:spacing w:after="0"/>
              <w:rPr>
                <w:sz w:val="19"/>
                <w:szCs w:val="19"/>
                <w:color w:val="auto"/>
              </w:rPr>
            </w:pPr>
          </w:p>
        </w:tc>
        <w:tc>
          <w:tcPr>
            <w:tcW w:w="6400" w:type="dxa"/>
            <w:vAlign w:val="bottom"/>
            <w:tcBorders>
              <w:bottom w:val="single" w:sz="8" w:color="auto"/>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 xml:space="preserve">Resort EBITDA Margin </w:t>
            </w:r>
            <w:r>
              <w:rPr>
                <w:rFonts w:ascii="Times New Roman" w:cs="Times New Roman" w:eastAsia="Times New Roman" w:hAnsi="Times New Roman"/>
                <w:sz w:val="23"/>
                <w:szCs w:val="23"/>
                <w:color w:val="auto"/>
                <w:vertAlign w:val="superscript"/>
              </w:rPr>
              <w:t>(1)</w:t>
            </w:r>
          </w:p>
        </w:tc>
        <w:tc>
          <w:tcPr>
            <w:tcW w:w="2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407"/>
        </w:trPr>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(1)</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 represents the sum of Mountain and Lodging</w:t>
            </w:r>
          </w:p>
        </w:tc>
        <w:tc>
          <w:tcPr>
            <w:tcW w:w="28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w:t>
            </w: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the mid-point of Guidance</w:t>
            </w:r>
          </w:p>
        </w:tc>
        <w:tc>
          <w:tcPr>
            <w:tcW w:w="28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20"/>
      </w:cols>
      <w:pgMar w:left="320" w:top="9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2026-06-08T15:15:49Z</dcterms:created>
  <dcterms:modified xsi:type="dcterms:W3CDTF">2026-06-08T15:15:49Z</dcterms:modified>
</cp:coreProperties>
</file>