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88"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33"/>
          <w:szCs w:val="33"/>
          <w:color w:val="auto"/>
        </w:rPr>
      </w:pPr>
      <w:r>
        <w:rPr>
          <w:rFonts w:ascii="Times New Roman" w:cs="Times New Roman" w:eastAsia="Times New Roman" w:hAnsi="Times New Roman"/>
          <w:sz w:val="20"/>
          <w:szCs w:val="20"/>
          <w:b w:val="1"/>
          <w:bCs w:val="1"/>
          <w:color w:val="auto"/>
        </w:rPr>
        <w:t>QUARTERLY</w:t>
      </w:r>
      <w:r>
        <w:rPr>
          <w:rFonts w:ascii="Times New Roman" w:cs="Times New Roman" w:eastAsia="Times New Roman" w:hAnsi="Times New Roman"/>
          <w:sz w:val="39"/>
          <w:szCs w:val="39"/>
          <w:b w:val="1"/>
          <w:bCs w:val="1"/>
          <w:color w:val="auto"/>
          <w:vertAlign w:val="subscript"/>
        </w:rPr>
        <w:t>1934</w:t>
      </w:r>
      <w:r>
        <w:rPr>
          <w:rFonts w:ascii="Times New Roman" w:cs="Times New Roman" w:eastAsia="Times New Roman" w:hAnsi="Times New Roman"/>
          <w:sz w:val="20"/>
          <w:szCs w:val="20"/>
          <w:b w:val="1"/>
          <w:bCs w:val="1"/>
          <w:color w:val="auto"/>
        </w:rPr>
        <w:t xml:space="preserve"> REPORT PURSUANT TO SECTION 13 OR 15(d) OF THE SECURITIES EXCHANGE ACT OF</w:t>
      </w:r>
    </w:p>
    <w:p>
      <w:pPr>
        <w:spacing w:after="0" w:line="3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quarterly period ended January 31, 2026</w:t>
      </w:r>
    </w:p>
    <w:p>
      <w:pPr>
        <w:spacing w:after="0" w:line="72" w:lineRule="exact"/>
        <w:rPr>
          <w:sz w:val="24"/>
          <w:szCs w:val="24"/>
          <w:color w:val="auto"/>
        </w:rPr>
      </w:pPr>
    </w:p>
    <w:p>
      <w:pPr>
        <w:ind w:left="680" w:hanging="641"/>
        <w:spacing w:after="0"/>
        <w:tabs>
          <w:tab w:leader="none" w:pos="680" w:val="left"/>
        </w:tabs>
        <w:numPr>
          <w:ilvl w:val="0"/>
          <w:numId w:val="2"/>
        </w:numPr>
        <w:rPr>
          <w:rFonts w:ascii="MS PGothic" w:cs="MS PGothic" w:eastAsia="MS PGothic" w:hAnsi="MS PGothic"/>
          <w:sz w:val="33"/>
          <w:szCs w:val="33"/>
          <w:color w:val="auto"/>
        </w:rPr>
      </w:pPr>
      <w:r>
        <w:rPr>
          <w:rFonts w:ascii="Times New Roman" w:cs="Times New Roman" w:eastAsia="Times New Roman" w:hAnsi="Times New Roman"/>
          <w:sz w:val="20"/>
          <w:szCs w:val="20"/>
          <w:b w:val="1"/>
          <w:bCs w:val="1"/>
          <w:color w:val="auto"/>
        </w:rPr>
        <w:t>TRANSITION</w:t>
      </w:r>
      <w:r>
        <w:rPr>
          <w:rFonts w:ascii="Times New Roman" w:cs="Times New Roman" w:eastAsia="Times New Roman" w:hAnsi="Times New Roman"/>
          <w:sz w:val="39"/>
          <w:szCs w:val="39"/>
          <w:b w:val="1"/>
          <w:bCs w:val="1"/>
          <w:color w:val="auto"/>
          <w:vertAlign w:val="subscript"/>
        </w:rPr>
        <w:t>1934</w:t>
      </w:r>
      <w:r>
        <w:rPr>
          <w:rFonts w:ascii="Times New Roman" w:cs="Times New Roman" w:eastAsia="Times New Roman" w:hAnsi="Times New Roman"/>
          <w:sz w:val="20"/>
          <w:szCs w:val="20"/>
          <w:b w:val="1"/>
          <w:bCs w:val="1"/>
          <w:color w:val="auto"/>
        </w:rPr>
        <w:t xml:space="preserve"> REPORT PURSUANT TO SECTION 13 OR 15(d) OF THE SECURITIES EXCHANGE ACT OF</w:t>
      </w:r>
    </w:p>
    <w:p>
      <w:pPr>
        <w:spacing w:after="0" w:line="245" w:lineRule="exact"/>
        <w:rPr>
          <w:sz w:val="24"/>
          <w:szCs w:val="24"/>
          <w:color w:val="auto"/>
        </w:rPr>
      </w:pPr>
    </w:p>
    <w:p>
      <w:pPr>
        <w:ind w:left="3880"/>
        <w:spacing w:after="0"/>
        <w:tabs>
          <w:tab w:leader="none" w:pos="662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001-09614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2011045</wp:posOffset>
            </wp:positionH>
            <wp:positionV relativeFrom="paragraph">
              <wp:posOffset>85725</wp:posOffset>
            </wp:positionV>
            <wp:extent cx="3128645" cy="5575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2864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Vail Resorts,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40" w:type="dxa"/>
            <w:vAlign w:val="bottom"/>
            <w:tcBorders>
              <w:bottom w:val="single" w:sz="8" w:color="auto"/>
            </w:tcBorders>
            <w:gridSpan w:val="3"/>
          </w:tcPr>
          <w:p>
            <w:pPr>
              <w:jc w:val="center"/>
              <w:ind w:left="83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920" w:type="dxa"/>
            <w:vAlign w:val="bottom"/>
            <w:tcBorders>
              <w:bottom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2"/>
          </w:tcPr>
          <w:p>
            <w:pPr>
              <w:jc w:val="right"/>
              <w:ind w:right="1384"/>
              <w:spacing w:after="0"/>
              <w:rPr>
                <w:sz w:val="20"/>
                <w:szCs w:val="20"/>
                <w:color w:val="auto"/>
              </w:rPr>
            </w:pPr>
            <w:r>
              <w:rPr>
                <w:rFonts w:ascii="Times New Roman" w:cs="Times New Roman" w:eastAsia="Times New Roman" w:hAnsi="Times New Roman"/>
                <w:sz w:val="18"/>
                <w:szCs w:val="18"/>
                <w:b w:val="1"/>
                <w:bCs w:val="1"/>
                <w:color w:val="auto"/>
              </w:rPr>
              <w:t>51-0291762</w:t>
            </w:r>
          </w:p>
        </w:tc>
        <w:tc>
          <w:tcPr>
            <w:tcW w:w="860" w:type="dxa"/>
            <w:vAlign w:val="bottom"/>
          </w:tcPr>
          <w:p>
            <w:pPr>
              <w:spacing w:after="0"/>
              <w:rPr>
                <w:sz w:val="20"/>
                <w:szCs w:val="20"/>
                <w:color w:val="auto"/>
              </w:rPr>
            </w:pPr>
          </w:p>
        </w:tc>
      </w:tr>
      <w:tr>
        <w:trPr>
          <w:trHeight w:val="128"/>
        </w:trPr>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40" w:type="dxa"/>
            <w:vAlign w:val="bottom"/>
            <w:gridSpan w:val="3"/>
          </w:tcPr>
          <w:p>
            <w:pPr>
              <w:jc w:val="center"/>
              <w:ind w:left="838"/>
              <w:spacing w:after="0" w:line="12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540" w:type="dxa"/>
            <w:vAlign w:val="bottom"/>
          </w:tcPr>
          <w:p>
            <w:pPr>
              <w:jc w:val="center"/>
              <w:ind w:right="1164"/>
              <w:spacing w:after="0" w:line="129" w:lineRule="exact"/>
              <w:rPr>
                <w:sz w:val="20"/>
                <w:szCs w:val="20"/>
                <w:color w:val="auto"/>
              </w:rPr>
            </w:pPr>
            <w:r>
              <w:rPr>
                <w:rFonts w:ascii="Times New Roman" w:cs="Times New Roman" w:eastAsia="Times New Roman" w:hAnsi="Times New Roman"/>
                <w:sz w:val="14"/>
                <w:szCs w:val="14"/>
                <w:color w:val="auto"/>
              </w:rPr>
              <w:t>(I.R.S. Employer</w:t>
            </w:r>
          </w:p>
        </w:tc>
        <w:tc>
          <w:tcPr>
            <w:tcW w:w="860" w:type="dxa"/>
            <w:vAlign w:val="bottom"/>
          </w:tcPr>
          <w:p>
            <w:pPr>
              <w:spacing w:after="0"/>
              <w:rPr>
                <w:sz w:val="11"/>
                <w:szCs w:val="11"/>
                <w:color w:val="auto"/>
              </w:rPr>
            </w:pPr>
          </w:p>
        </w:tc>
      </w:tr>
      <w:tr>
        <w:trPr>
          <w:trHeight w:val="188"/>
        </w:trPr>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40" w:type="dxa"/>
            <w:vAlign w:val="bottom"/>
            <w:gridSpan w:val="3"/>
          </w:tcPr>
          <w:p>
            <w:pPr>
              <w:jc w:val="center"/>
              <w:ind w:left="81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9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0" w:type="dxa"/>
            <w:vAlign w:val="bottom"/>
            <w:gridSpan w:val="2"/>
          </w:tcPr>
          <w:p>
            <w:pPr>
              <w:jc w:val="center"/>
              <w:ind w:right="2100"/>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451"/>
        </w:trPr>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40" w:type="dxa"/>
            <w:vAlign w:val="bottom"/>
            <w:gridSpan w:val="3"/>
          </w:tcPr>
          <w:p>
            <w:pPr>
              <w:jc w:val="center"/>
              <w:ind w:left="838"/>
              <w:spacing w:after="0"/>
              <w:rPr>
                <w:sz w:val="20"/>
                <w:szCs w:val="20"/>
                <w:color w:val="auto"/>
              </w:rPr>
            </w:pPr>
            <w:r>
              <w:rPr>
                <w:rFonts w:ascii="Times New Roman" w:cs="Times New Roman" w:eastAsia="Times New Roman" w:hAnsi="Times New Roman"/>
                <w:sz w:val="18"/>
                <w:szCs w:val="18"/>
                <w:b w:val="1"/>
                <w:bCs w:val="1"/>
                <w:color w:val="auto"/>
                <w:w w:val="99"/>
              </w:rPr>
              <w:t>390 Interlocken Crescent</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8"/>
        </w:trPr>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40" w:type="dxa"/>
            <w:vAlign w:val="bottom"/>
            <w:tcBorders>
              <w:bottom w:val="single" w:sz="8" w:color="auto"/>
            </w:tcBorders>
            <w:gridSpan w:val="3"/>
          </w:tcPr>
          <w:p>
            <w:pPr>
              <w:ind w:left="1440"/>
              <w:spacing w:after="0"/>
              <w:rPr>
                <w:sz w:val="20"/>
                <w:szCs w:val="20"/>
                <w:color w:val="auto"/>
              </w:rPr>
            </w:pPr>
            <w:r>
              <w:rPr>
                <w:rFonts w:ascii="Times New Roman" w:cs="Times New Roman" w:eastAsia="Times New Roman" w:hAnsi="Times New Roman"/>
                <w:sz w:val="18"/>
                <w:szCs w:val="18"/>
                <w:b w:val="1"/>
                <w:bCs w:val="1"/>
                <w:color w:val="auto"/>
              </w:rPr>
              <w:t>Broomfield, Colorado</w:t>
            </w:r>
          </w:p>
        </w:tc>
        <w:tc>
          <w:tcPr>
            <w:tcW w:w="920" w:type="dxa"/>
            <w:vAlign w:val="bottom"/>
            <w:tcBorders>
              <w:bottom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2"/>
          </w:tcPr>
          <w:p>
            <w:pPr>
              <w:jc w:val="right"/>
              <w:ind w:right="1584"/>
              <w:spacing w:after="0"/>
              <w:rPr>
                <w:sz w:val="20"/>
                <w:szCs w:val="20"/>
                <w:color w:val="auto"/>
              </w:rPr>
            </w:pPr>
            <w:r>
              <w:rPr>
                <w:rFonts w:ascii="Times New Roman" w:cs="Times New Roman" w:eastAsia="Times New Roman" w:hAnsi="Times New Roman"/>
                <w:sz w:val="18"/>
                <w:szCs w:val="18"/>
                <w:b w:val="1"/>
                <w:bCs w:val="1"/>
                <w:color w:val="auto"/>
              </w:rPr>
              <w:t>80021</w:t>
            </w:r>
          </w:p>
        </w:tc>
        <w:tc>
          <w:tcPr>
            <w:tcW w:w="860" w:type="dxa"/>
            <w:vAlign w:val="bottom"/>
          </w:tcPr>
          <w:p>
            <w:pPr>
              <w:spacing w:after="0"/>
              <w:rPr>
                <w:sz w:val="20"/>
                <w:szCs w:val="20"/>
                <w:color w:val="auto"/>
              </w:rPr>
            </w:pPr>
          </w:p>
        </w:tc>
      </w:tr>
      <w:tr>
        <w:trPr>
          <w:trHeight w:val="182"/>
        </w:trPr>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40" w:type="dxa"/>
            <w:vAlign w:val="bottom"/>
            <w:gridSpan w:val="3"/>
          </w:tcPr>
          <w:p>
            <w:pPr>
              <w:jc w:val="center"/>
              <w:ind w:left="81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40" w:type="dxa"/>
            <w:vAlign w:val="bottom"/>
          </w:tcPr>
          <w:p>
            <w:pPr>
              <w:jc w:val="center"/>
              <w:ind w:right="1144"/>
              <w:spacing w:after="0"/>
              <w:rPr>
                <w:sz w:val="20"/>
                <w:szCs w:val="20"/>
                <w:color w:val="auto"/>
              </w:rPr>
            </w:pPr>
            <w:r>
              <w:rPr>
                <w:rFonts w:ascii="Times New Roman" w:cs="Times New Roman" w:eastAsia="Times New Roman" w:hAnsi="Times New Roman"/>
                <w:sz w:val="14"/>
                <w:szCs w:val="14"/>
                <w:color w:val="auto"/>
              </w:rPr>
              <w:t>(Zip Code)</w:t>
            </w:r>
          </w:p>
        </w:tc>
        <w:tc>
          <w:tcPr>
            <w:tcW w:w="860" w:type="dxa"/>
            <w:vAlign w:val="bottom"/>
          </w:tcPr>
          <w:p>
            <w:pPr>
              <w:spacing w:after="0"/>
              <w:rPr>
                <w:sz w:val="15"/>
                <w:szCs w:val="15"/>
                <w:color w:val="auto"/>
              </w:rPr>
            </w:pPr>
          </w:p>
        </w:tc>
      </w:tr>
      <w:tr>
        <w:trPr>
          <w:trHeight w:val="554"/>
        </w:trPr>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(303) 404-1800</w:t>
            </w:r>
          </w:p>
        </w:tc>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4140" w:type="dxa"/>
            <w:vAlign w:val="bottom"/>
            <w:gridSpan w:val="6"/>
          </w:tcPr>
          <w:p>
            <w:pPr>
              <w:jc w:val="center"/>
              <w:ind w:left="2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0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419"/>
        </w:trPr>
        <w:tc>
          <w:tcPr>
            <w:tcW w:w="4720" w:type="dxa"/>
            <w:vAlign w:val="bottom"/>
            <w:gridSpan w:val="5"/>
          </w:tcPr>
          <w:p>
            <w:pPr>
              <w:jc w:val="center"/>
              <w:ind w:right="5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21"/>
        </w:trPr>
        <w:tc>
          <w:tcPr>
            <w:tcW w:w="6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3300" w:type="dxa"/>
            <w:vAlign w:val="bottom"/>
            <w:tcBorders>
              <w:bottom w:val="single" w:sz="8" w:color="auto"/>
            </w:tcBorders>
            <w:gridSpan w:val="2"/>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gridSpan w:val="3"/>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700" w:type="dxa"/>
            <w:vAlign w:val="bottom"/>
            <w:tcBorders>
              <w:bottom w:val="single" w:sz="8" w:color="auto"/>
            </w:tcBorders>
            <w:gridSpan w:val="3"/>
          </w:tcPr>
          <w:p>
            <w:pPr>
              <w:spacing w:after="0"/>
              <w:rPr>
                <w:sz w:val="10"/>
                <w:szCs w:val="10"/>
                <w:color w:val="auto"/>
              </w:rPr>
            </w:pPr>
          </w:p>
        </w:tc>
      </w:tr>
      <w:tr>
        <w:trPr>
          <w:trHeight w:val="223"/>
        </w:trPr>
        <w:tc>
          <w:tcPr>
            <w:tcW w:w="60" w:type="dxa"/>
            <w:vAlign w:val="bottom"/>
            <w:tcBorders>
              <w:right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300" w:type="dxa"/>
            <w:vAlign w:val="bottom"/>
            <w:tcBorders>
              <w:bottom w:val="single" w:sz="8" w:color="auto"/>
              <w:right w:val="single" w:sz="8" w:color="auto"/>
            </w:tcBorders>
            <w:gridSpan w:val="2"/>
          </w:tcPr>
          <w:p>
            <w:pPr>
              <w:jc w:val="center"/>
              <w:ind w:right="79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540" w:type="dxa"/>
            <w:vAlign w:val="bottom"/>
            <w:tcBorders>
              <w:bottom w:val="single" w:sz="8" w:color="auto"/>
            </w:tcBorders>
          </w:tcPr>
          <w:p>
            <w:pPr>
              <w:spacing w:after="0"/>
              <w:rPr>
                <w:sz w:val="19"/>
                <w:szCs w:val="19"/>
                <w:color w:val="auto"/>
              </w:rPr>
            </w:pPr>
          </w:p>
        </w:tc>
        <w:tc>
          <w:tcPr>
            <w:tcW w:w="2360" w:type="dxa"/>
            <w:vAlign w:val="bottom"/>
            <w:tcBorders>
              <w:bottom w:val="single" w:sz="8" w:color="auto"/>
              <w:right w:val="single" w:sz="8" w:color="auto"/>
            </w:tcBorders>
            <w:gridSpan w:val="3"/>
          </w:tcPr>
          <w:p>
            <w:pPr>
              <w:jc w:val="center"/>
              <w:ind w:right="580"/>
              <w:spacing w:after="0"/>
              <w:rPr>
                <w:sz w:val="20"/>
                <w:szCs w:val="20"/>
                <w:color w:val="auto"/>
              </w:rPr>
            </w:pPr>
            <w:r>
              <w:rPr>
                <w:rFonts w:ascii="Times New Roman" w:cs="Times New Roman" w:eastAsia="Times New Roman" w:hAnsi="Times New Roman"/>
                <w:sz w:val="18"/>
                <w:szCs w:val="18"/>
                <w:color w:val="auto"/>
              </w:rPr>
              <w:t>Trading Symbol</w:t>
            </w:r>
          </w:p>
        </w:tc>
        <w:tc>
          <w:tcPr>
            <w:tcW w:w="460" w:type="dxa"/>
            <w:vAlign w:val="bottom"/>
            <w:tcBorders>
              <w:bottom w:val="single" w:sz="8" w:color="auto"/>
            </w:tcBorders>
          </w:tcPr>
          <w:p>
            <w:pPr>
              <w:spacing w:after="0"/>
              <w:rPr>
                <w:sz w:val="19"/>
                <w:szCs w:val="19"/>
                <w:color w:val="auto"/>
              </w:rPr>
            </w:pPr>
          </w:p>
        </w:tc>
        <w:tc>
          <w:tcPr>
            <w:tcW w:w="3700" w:type="dxa"/>
            <w:vAlign w:val="bottom"/>
            <w:tcBorders>
              <w:bottom w:val="single" w:sz="8" w:color="auto"/>
              <w:right w:val="single" w:sz="8" w:color="auto"/>
            </w:tcBorders>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60" w:type="dxa"/>
            <w:vAlign w:val="bottom"/>
            <w:tcBorders>
              <w:right w:val="single" w:sz="8" w:color="auto"/>
            </w:tcBorders>
          </w:tcPr>
          <w:p>
            <w:pPr>
              <w:spacing w:after="0"/>
              <w:rPr>
                <w:sz w:val="19"/>
                <w:szCs w:val="19"/>
                <w:color w:val="auto"/>
              </w:rPr>
            </w:pPr>
          </w:p>
        </w:tc>
        <w:tc>
          <w:tcPr>
            <w:tcW w:w="412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$0.01 par value</w:t>
            </w:r>
          </w:p>
        </w:tc>
        <w:tc>
          <w:tcPr>
            <w:tcW w:w="540" w:type="dxa"/>
            <w:vAlign w:val="bottom"/>
            <w:tcBorders>
              <w:bottom w:val="single" w:sz="8" w:color="auto"/>
            </w:tcBorders>
          </w:tcPr>
          <w:p>
            <w:pPr>
              <w:spacing w:after="0"/>
              <w:rPr>
                <w:sz w:val="19"/>
                <w:szCs w:val="19"/>
                <w:color w:val="auto"/>
              </w:rPr>
            </w:pPr>
          </w:p>
        </w:tc>
        <w:tc>
          <w:tcPr>
            <w:tcW w:w="2360" w:type="dxa"/>
            <w:vAlign w:val="bottom"/>
            <w:tcBorders>
              <w:bottom w:val="single" w:sz="8" w:color="auto"/>
              <w:right w:val="single" w:sz="8" w:color="auto"/>
            </w:tcBorders>
            <w:gridSpan w:val="3"/>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MTN</w:t>
            </w:r>
          </w:p>
        </w:tc>
        <w:tc>
          <w:tcPr>
            <w:tcW w:w="4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gridSpan w:val="2"/>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r>
    </w:tbl>
    <w:p>
      <w:pPr>
        <w:spacing w:after="0" w:line="306" w:lineRule="exact"/>
        <w:rPr>
          <w:sz w:val="24"/>
          <w:szCs w:val="24"/>
          <w:color w:val="auto"/>
        </w:rPr>
      </w:pPr>
    </w:p>
    <w:p>
      <w:pPr>
        <w:jc w:val="both"/>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w:t>
      </w:r>
    </w:p>
    <w:p>
      <w:pPr>
        <w:spacing w:after="0" w:line="48" w:lineRule="exact"/>
        <w:rPr>
          <w:sz w:val="24"/>
          <w:szCs w:val="24"/>
          <w:color w:val="auto"/>
        </w:rPr>
      </w:pPr>
    </w:p>
    <w:p>
      <w:pPr>
        <w:jc w:val="both"/>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w:t>
      </w:r>
    </w:p>
    <w:p>
      <w:pPr>
        <w:spacing w:after="0" w:line="62"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60" w:type="dxa"/>
        <w:tblCellMar>
          <w:top w:w="0" w:type="dxa"/>
          <w:left w:w="0" w:type="dxa"/>
          <w:bottom w:w="0" w:type="dxa"/>
          <w:right w:w="0" w:type="dxa"/>
        </w:tblCellMar>
      </w:tblPr>
      <w:tr>
        <w:trPr>
          <w:trHeight w:val="330"/>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60" w:type="dxa"/>
            <w:vAlign w:val="bottom"/>
          </w:tcPr>
          <w:p>
            <w:pPr>
              <w:ind w:left="440"/>
              <w:spacing w:after="0" w:line="221" w:lineRule="exact"/>
              <w:rPr>
                <w:sz w:val="20"/>
                <w:szCs w:val="20"/>
                <w:color w:val="auto"/>
              </w:rPr>
            </w:pPr>
            <w:r>
              <w:rPr>
                <w:rFonts w:ascii="MS PGothic" w:cs="MS PGothic" w:eastAsia="MS PGothic" w:hAnsi="MS PGothic"/>
                <w:sz w:val="22"/>
                <w:szCs w:val="22"/>
                <w:color w:val="auto"/>
              </w:rPr>
              <w:t>☒</w:t>
            </w:r>
          </w:p>
        </w:tc>
        <w:tc>
          <w:tcPr>
            <w:tcW w:w="496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Accelerated filer</w:t>
            </w:r>
          </w:p>
        </w:tc>
        <w:tc>
          <w:tcPr>
            <w:tcW w:w="6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62"/>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60" w:type="dxa"/>
            <w:vAlign w:val="bottom"/>
          </w:tcPr>
          <w:p>
            <w:pPr>
              <w:ind w:left="440"/>
              <w:spacing w:after="0" w:line="221" w:lineRule="exact"/>
              <w:rPr>
                <w:sz w:val="20"/>
                <w:szCs w:val="20"/>
                <w:color w:val="auto"/>
              </w:rPr>
            </w:pPr>
            <w:r>
              <w:rPr>
                <w:rFonts w:ascii="MS PGothic" w:cs="MS PGothic" w:eastAsia="MS PGothic" w:hAnsi="MS PGothic"/>
                <w:sz w:val="22"/>
                <w:szCs w:val="22"/>
                <w:color w:val="auto"/>
              </w:rPr>
              <w:t>☐</w:t>
            </w:r>
          </w:p>
        </w:tc>
        <w:tc>
          <w:tcPr>
            <w:tcW w:w="496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78"/>
        </w:trPr>
        <w:tc>
          <w:tcPr>
            <w:tcW w:w="20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96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Emerging growth company</w:t>
            </w:r>
          </w:p>
        </w:tc>
        <w:tc>
          <w:tcPr>
            <w:tcW w:w="6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46" w:lineRule="exact"/>
        <w:rPr>
          <w:sz w:val="24"/>
          <w:szCs w:val="24"/>
          <w:color w:val="auto"/>
        </w:rPr>
      </w:pPr>
    </w:p>
    <w:p>
      <w:pPr>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83" w:lineRule="exact"/>
        <w:rPr>
          <w:sz w:val="24"/>
          <w:szCs w:val="24"/>
          <w:color w:val="auto"/>
        </w:rPr>
      </w:pPr>
    </w:p>
    <w:p>
      <w:pPr>
        <w:ind w:right="1680"/>
        <w:spacing w:after="0" w:line="3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As of March 4, 2026, 35,633,051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892"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20" w:type="dxa"/>
            <w:vAlign w:val="bottom"/>
            <w:gridSpan w:val="10"/>
          </w:tcPr>
          <w:p>
            <w:pPr>
              <w:ind w:left="1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74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540" w:type="dxa"/>
            <w:vAlign w:val="bottom"/>
            <w:tcBorders>
              <w:bottom w:val="single" w:sz="8" w:color="auto"/>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50"/>
        </w:trPr>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74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960" w:type="dxa"/>
            <w:vAlign w:val="bottom"/>
          </w:tcPr>
          <w:p>
            <w:pPr>
              <w:spacing w:after="0"/>
              <w:rPr>
                <w:sz w:val="16"/>
                <w:szCs w:val="16"/>
                <w:color w:val="auto"/>
              </w:rPr>
            </w:pPr>
          </w:p>
        </w:tc>
        <w:tc>
          <w:tcPr>
            <w:tcW w:w="974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Consolidated Condensed Balance Sheets as of January 31, 2026, July 31, 2025 and January 31, 2025</w:t>
            </w:r>
          </w:p>
        </w:tc>
        <w:tc>
          <w:tcPr>
            <w:tcW w:w="5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60" w:type="dxa"/>
            <w:vAlign w:val="bottom"/>
            <w:shd w:val="clear" w:color="auto" w:fill="CCEEFF"/>
          </w:tcPr>
          <w:p>
            <w:pPr>
              <w:spacing w:after="0"/>
              <w:rPr>
                <w:sz w:val="16"/>
                <w:szCs w:val="16"/>
                <w:color w:val="auto"/>
              </w:rPr>
            </w:pPr>
          </w:p>
        </w:tc>
        <w:tc>
          <w:tcPr>
            <w:tcW w:w="832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Condensed Statements of Operations for the Three and Six Months Ended January 31, 2026 and 2025</w:t>
            </w:r>
          </w:p>
        </w:tc>
        <w:tc>
          <w:tcPr>
            <w:tcW w:w="1420" w:type="dxa"/>
            <w:vAlign w:val="bottom"/>
            <w:gridSpan w:val="3"/>
            <w:shd w:val="clear" w:color="auto" w:fill="CCEEFF"/>
          </w:tcPr>
          <w:p>
            <w:pPr>
              <w:spacing w:after="0"/>
              <w:rPr>
                <w:sz w:val="16"/>
                <w:szCs w:val="16"/>
                <w:color w:val="auto"/>
              </w:rPr>
            </w:pPr>
          </w:p>
        </w:tc>
        <w:tc>
          <w:tcPr>
            <w:tcW w:w="5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1"/>
        </w:trPr>
        <w:tc>
          <w:tcPr>
            <w:tcW w:w="9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6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60" w:type="dxa"/>
            <w:vAlign w:val="bottom"/>
          </w:tcPr>
          <w:p>
            <w:pPr>
              <w:spacing w:after="0"/>
              <w:rPr>
                <w:sz w:val="16"/>
                <w:szCs w:val="16"/>
                <w:color w:val="auto"/>
              </w:rPr>
            </w:pPr>
          </w:p>
        </w:tc>
        <w:tc>
          <w:tcPr>
            <w:tcW w:w="974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Consolidated Condensed Statements of Comprehensive Income (Loss) for the Three and Six Months Ended January 31, 2026 and</w:t>
            </w:r>
          </w:p>
        </w:tc>
        <w:tc>
          <w:tcPr>
            <w:tcW w:w="54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360" w:type="dxa"/>
            <w:vAlign w:val="bottom"/>
            <w:tcBorders>
              <w:top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rPr>
              <w:t>2025</w:t>
            </w:r>
          </w:p>
        </w:tc>
        <w:tc>
          <w:tcPr>
            <w:tcW w:w="2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16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8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60" w:type="dxa"/>
            <w:vAlign w:val="bottom"/>
            <w:shd w:val="clear" w:color="auto" w:fill="CCEEFF"/>
          </w:tcPr>
          <w:p>
            <w:pPr>
              <w:spacing w:after="0"/>
              <w:rPr>
                <w:sz w:val="17"/>
                <w:szCs w:val="17"/>
                <w:color w:val="auto"/>
              </w:rPr>
            </w:pPr>
          </w:p>
        </w:tc>
        <w:tc>
          <w:tcPr>
            <w:tcW w:w="9060" w:type="dxa"/>
            <w:vAlign w:val="bottom"/>
            <w:gridSpan w:val="15"/>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0000FF"/>
                <w:w w:val="99"/>
              </w:rPr>
              <w:t>Consolidated Condensed Statements of Stockholders’ Equity for the Three and Six Months Ended January 31, 2026 and 2025</w:t>
            </w:r>
          </w:p>
        </w:tc>
        <w:tc>
          <w:tcPr>
            <w:tcW w:w="680" w:type="dxa"/>
            <w:vAlign w:val="bottom"/>
            <w:gridSpan w:val="2"/>
            <w:shd w:val="clear" w:color="auto" w:fill="CCEEFF"/>
          </w:tcPr>
          <w:p>
            <w:pPr>
              <w:spacing w:after="0"/>
              <w:rPr>
                <w:sz w:val="17"/>
                <w:szCs w:val="17"/>
                <w:color w:val="auto"/>
              </w:rPr>
            </w:pPr>
          </w:p>
        </w:tc>
        <w:tc>
          <w:tcPr>
            <w:tcW w:w="540" w:type="dxa"/>
            <w:vAlign w:val="bottom"/>
            <w:gridSpan w:val="4"/>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9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6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60" w:type="dxa"/>
            <w:vAlign w:val="bottom"/>
          </w:tcPr>
          <w:p>
            <w:pPr>
              <w:spacing w:after="0"/>
              <w:rPr>
                <w:sz w:val="16"/>
                <w:szCs w:val="16"/>
                <w:color w:val="auto"/>
              </w:rPr>
            </w:pPr>
          </w:p>
        </w:tc>
        <w:tc>
          <w:tcPr>
            <w:tcW w:w="906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FF"/>
              </w:rPr>
              <w:t>Consolidated Condensed Statements of Cash Flows for the Six Months Ended January 31, 2026 and 2025</w:t>
            </w:r>
          </w:p>
        </w:tc>
        <w:tc>
          <w:tcPr>
            <w:tcW w:w="680" w:type="dxa"/>
            <w:vAlign w:val="bottom"/>
            <w:gridSpan w:val="2"/>
          </w:tcPr>
          <w:p>
            <w:pPr>
              <w:spacing w:after="0"/>
              <w:rPr>
                <w:sz w:val="16"/>
                <w:szCs w:val="16"/>
                <w:color w:val="auto"/>
              </w:rPr>
            </w:pPr>
          </w:p>
        </w:tc>
        <w:tc>
          <w:tcPr>
            <w:tcW w:w="5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60" w:type="dxa"/>
            <w:vAlign w:val="bottom"/>
            <w:shd w:val="clear" w:color="auto" w:fill="CCEEFF"/>
          </w:tcPr>
          <w:p>
            <w:pPr>
              <w:spacing w:after="0"/>
              <w:rPr>
                <w:sz w:val="16"/>
                <w:szCs w:val="16"/>
                <w:color w:val="auto"/>
              </w:rPr>
            </w:pPr>
          </w:p>
        </w:tc>
        <w:tc>
          <w:tcPr>
            <w:tcW w:w="400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Notes to Consolidated Condensed Financial Statements</w:t>
            </w:r>
          </w:p>
        </w:tc>
        <w:tc>
          <w:tcPr>
            <w:tcW w:w="5740" w:type="dxa"/>
            <w:vAlign w:val="bottom"/>
            <w:gridSpan w:val="9"/>
            <w:shd w:val="clear" w:color="auto" w:fill="CCEEFF"/>
          </w:tcPr>
          <w:p>
            <w:pPr>
              <w:spacing w:after="0"/>
              <w:rPr>
                <w:sz w:val="16"/>
                <w:szCs w:val="16"/>
                <w:color w:val="auto"/>
              </w:rPr>
            </w:pPr>
          </w:p>
        </w:tc>
        <w:tc>
          <w:tcPr>
            <w:tcW w:w="5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9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6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74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380" w:type="dxa"/>
            <w:vAlign w:val="bottom"/>
            <w:tcBorders>
              <w:bottom w:val="single" w:sz="8" w:color="CCEEFF"/>
            </w:tcBorders>
            <w:gridSpan w:val="7"/>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40</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974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5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9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74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9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9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74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5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974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5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41</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74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974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5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41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60" w:type="dxa"/>
            <w:vAlign w:val="bottom"/>
            <w:tcBorders>
              <w:top w:val="single" w:sz="8" w:color="CCEEFF"/>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7420" w:type="dxa"/>
            <w:vAlign w:val="bottom"/>
            <w:tcBorders>
              <w:top w:val="single" w:sz="8" w:color="CCEEFF"/>
            </w:tcBorders>
            <w:gridSpan w:val="10"/>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41</w:t>
            </w:r>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8420" w:type="dxa"/>
            <w:vAlign w:val="bottom"/>
            <w:tcBorders>
              <w:bottom w:val="single" w:sz="8" w:color="CCEEFF"/>
            </w:tcBorders>
            <w:gridSpan w:val="13"/>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41</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9740" w:type="dxa"/>
            <w:vAlign w:val="bottom"/>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5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42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5"/>
        </w:trPr>
        <w:tc>
          <w:tcPr>
            <w:tcW w:w="960" w:type="dxa"/>
            <w:vAlign w:val="bottom"/>
            <w:tcBorders>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Consolidated Condensed Balance Sheets</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320" w:type="dxa"/>
            <w:vAlign w:val="bottom"/>
          </w:tcPr>
          <w:p>
            <w:pPr>
              <w:spacing w:after="0"/>
              <w:rPr>
                <w:sz w:val="16"/>
                <w:szCs w:val="16"/>
                <w:color w:val="auto"/>
              </w:rPr>
            </w:pPr>
          </w:p>
        </w:tc>
        <w:tc>
          <w:tcPr>
            <w:tcW w:w="14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260" w:type="dxa"/>
            <w:vAlign w:val="bottom"/>
          </w:tcPr>
          <w:p>
            <w:pPr>
              <w:spacing w:after="0"/>
              <w:rPr>
                <w:sz w:val="16"/>
                <w:szCs w:val="16"/>
                <w:color w:val="auto"/>
              </w:rPr>
            </w:pPr>
          </w:p>
        </w:tc>
        <w:tc>
          <w:tcPr>
            <w:tcW w:w="144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January 31, 2025</w:t>
            </w:r>
          </w:p>
        </w:tc>
      </w:tr>
      <w:tr>
        <w:trPr>
          <w:trHeight w:val="23"/>
        </w:trPr>
        <w:tc>
          <w:tcPr>
            <w:tcW w:w="6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384,737</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440,290</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488,211</w:t>
            </w:r>
          </w:p>
        </w:tc>
      </w:tr>
      <w:tr>
        <w:trPr>
          <w:trHeight w:val="229"/>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21,100</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16,129</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16,344</w:t>
            </w:r>
          </w:p>
        </w:tc>
      </w:tr>
      <w:tr>
        <w:trPr>
          <w:trHeight w:val="23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receivables, net (Note 6)</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160,049</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382,370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123,553</w:t>
            </w:r>
          </w:p>
        </w:tc>
      </w:tr>
      <w:tr>
        <w:trPr>
          <w:trHeight w:val="229"/>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 net</w:t>
            </w:r>
          </w:p>
        </w:tc>
        <w:tc>
          <w:tcPr>
            <w:tcW w:w="26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141,381</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117,178</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131,974</w:t>
            </w:r>
          </w:p>
        </w:tc>
      </w:tr>
      <w:tr>
        <w:trPr>
          <w:trHeight w:val="229"/>
        </w:trPr>
        <w:tc>
          <w:tcPr>
            <w:tcW w:w="60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115,455</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93,823</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78,385</w:t>
            </w:r>
          </w:p>
        </w:tc>
      </w:tr>
      <w:tr>
        <w:trPr>
          <w:trHeight w:val="223"/>
        </w:trPr>
        <w:tc>
          <w:tcPr>
            <w:tcW w:w="6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822,722</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1,049,790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838,467</w:t>
            </w:r>
          </w:p>
        </w:tc>
      </w:tr>
      <w:tr>
        <w:trPr>
          <w:trHeight w:val="229"/>
        </w:trPr>
        <w:tc>
          <w:tcPr>
            <w:tcW w:w="6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plant and equipment, net (Note 6)</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2,413,722</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2,374,654</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2,377,357</w:t>
            </w:r>
          </w:p>
        </w:tc>
      </w:tr>
      <w:tr>
        <w:trPr>
          <w:trHeight w:val="230"/>
        </w:trPr>
        <w:tc>
          <w:tcPr>
            <w:tcW w:w="6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Real estate held for sale or investment</w:t>
            </w:r>
          </w:p>
        </w:tc>
        <w:tc>
          <w:tcPr>
            <w:tcW w:w="26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76,317</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87,853</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90,799</w:t>
            </w:r>
          </w:p>
        </w:tc>
      </w:tr>
      <w:tr>
        <w:trPr>
          <w:trHeight w:val="229"/>
        </w:trPr>
        <w:tc>
          <w:tcPr>
            <w:tcW w:w="6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Goodwill, net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1,698,098</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1,675,215</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1,626,952</w:t>
            </w:r>
          </w:p>
        </w:tc>
      </w:tr>
      <w:tr>
        <w:trPr>
          <w:trHeight w:val="229"/>
        </w:trPr>
        <w:tc>
          <w:tcPr>
            <w:tcW w:w="6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300,084</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298,497</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292,815</w:t>
            </w:r>
          </w:p>
        </w:tc>
      </w:tr>
      <w:tr>
        <w:trPr>
          <w:trHeight w:val="230"/>
        </w:trPr>
        <w:tc>
          <w:tcPr>
            <w:tcW w:w="6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237,117</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242,485</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250,752</w:t>
            </w:r>
          </w:p>
        </w:tc>
      </w:tr>
      <w:tr>
        <w:trPr>
          <w:trHeight w:val="229"/>
        </w:trPr>
        <w:tc>
          <w:tcPr>
            <w:tcW w:w="60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51,942</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49,391</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42,765</w:t>
            </w:r>
          </w:p>
        </w:tc>
      </w:tr>
      <w:tr>
        <w:trPr>
          <w:trHeight w:val="248"/>
        </w:trPr>
        <w:tc>
          <w:tcPr>
            <w:tcW w:w="60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5,600,002</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5,777,885</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5,519,907</w:t>
            </w:r>
          </w:p>
        </w:tc>
      </w:tr>
      <w:tr>
        <w:trPr>
          <w:trHeight w:val="20"/>
        </w:trPr>
        <w:tc>
          <w:tcPr>
            <w:tcW w:w="6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0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liabilities (Note 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1,236,488</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1,056,665</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1,192,209</w:t>
            </w:r>
          </w:p>
        </w:tc>
      </w:tr>
      <w:tr>
        <w:trPr>
          <w:trHeight w:val="22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 payable</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13,875</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11,452</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w:t>
            </w:r>
          </w:p>
        </w:tc>
      </w:tr>
      <w:tr>
        <w:trPr>
          <w:trHeight w:val="230"/>
        </w:trPr>
        <w:tc>
          <w:tcPr>
            <w:tcW w:w="6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Long-term debt due within one year (Note 5)</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73,005</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599,509</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587,169</w:t>
            </w:r>
          </w:p>
        </w:tc>
      </w:tr>
      <w:tr>
        <w:trPr>
          <w:trHeight w:val="223"/>
        </w:trPr>
        <w:tc>
          <w:tcPr>
            <w:tcW w:w="6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1,323,368</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1,667,626</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1,783,542</w:t>
            </w:r>
          </w:p>
        </w:tc>
      </w:tr>
      <w:tr>
        <w:trPr>
          <w:trHeight w:val="230"/>
        </w:trPr>
        <w:tc>
          <w:tcPr>
            <w:tcW w:w="6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Long-term debt, net (Note 5)</w:t>
            </w:r>
          </w:p>
        </w:tc>
        <w:tc>
          <w:tcPr>
            <w:tcW w:w="26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2,857,753</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2,594,765</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2,128,064</w:t>
            </w:r>
          </w:p>
        </w:tc>
      </w:tr>
      <w:tr>
        <w:trPr>
          <w:trHeight w:val="229"/>
        </w:trPr>
        <w:tc>
          <w:tcPr>
            <w:tcW w:w="6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211,900</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215,085</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230,484</w:t>
            </w:r>
          </w:p>
        </w:tc>
      </w:tr>
      <w:tr>
        <w:trPr>
          <w:trHeight w:val="230"/>
        </w:trPr>
        <w:tc>
          <w:tcPr>
            <w:tcW w:w="6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297,938</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294,464</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301,562</w:t>
            </w:r>
          </w:p>
        </w:tc>
      </w:tr>
      <w:tr>
        <w:trPr>
          <w:trHeight w:val="230"/>
        </w:trPr>
        <w:tc>
          <w:tcPr>
            <w:tcW w:w="602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264,257</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252,041</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275,389</w:t>
            </w:r>
          </w:p>
        </w:tc>
      </w:tr>
      <w:tr>
        <w:trPr>
          <w:trHeight w:val="223"/>
        </w:trPr>
        <w:tc>
          <w:tcPr>
            <w:tcW w:w="60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4,955,216</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5,023,981</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4,719,041</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175"/>
        </w:trPr>
        <w:tc>
          <w:tcPr>
            <w:tcW w:w="602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Preferred stock, $0.01 par value, 25,000 shares authorized, no shares issued</w:t>
            </w: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243"/>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and outstanding</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602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$0.01 par value, 100,000 shares authorized, 47,015, 46,945</w:t>
            </w:r>
          </w:p>
        </w:tc>
        <w:tc>
          <w:tcPr>
            <w:tcW w:w="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43"/>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46,923 shares issued, respectively</w:t>
            </w:r>
          </w:p>
        </w:tc>
        <w:tc>
          <w:tcPr>
            <w:tcW w:w="26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470</w:t>
            </w:r>
          </w:p>
        </w:tc>
        <w:tc>
          <w:tcPr>
            <w:tcW w:w="32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469</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23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1,180,671</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1,171,536</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1,153,868</w:t>
            </w:r>
          </w:p>
        </w:tc>
      </w:tr>
      <w:tr>
        <w:trPr>
          <w:trHeight w:val="230"/>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(57,889)</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(134,699)</w:t>
            </w:r>
          </w:p>
        </w:tc>
      </w:tr>
      <w:tr>
        <w:trPr>
          <w:trHeight w:val="23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583,001</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718,662</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671,973</w:t>
            </w:r>
          </w:p>
        </w:tc>
      </w:tr>
      <w:tr>
        <w:trPr>
          <w:trHeight w:val="229"/>
        </w:trPr>
        <w:tc>
          <w:tcPr>
            <w:tcW w:w="6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Treasury stock, at cost, 11,383, 11,060 and 9,587 shares, respectively (Note 10)</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(1,453,869)</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(1,408,279)</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(1,176,104)</w:t>
            </w:r>
          </w:p>
        </w:tc>
      </w:tr>
      <w:tr>
        <w:trPr>
          <w:trHeight w:val="223"/>
        </w:trPr>
        <w:tc>
          <w:tcPr>
            <w:tcW w:w="6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Vail Resorts, Inc. stockholders’ equity</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301,816</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424,499</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515,507</w:t>
            </w:r>
          </w:p>
        </w:tc>
      </w:tr>
      <w:tr>
        <w:trPr>
          <w:trHeight w:val="229"/>
        </w:trPr>
        <w:tc>
          <w:tcPr>
            <w:tcW w:w="6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342,970</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329,405</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285,359</w:t>
            </w:r>
          </w:p>
        </w:tc>
      </w:tr>
      <w:tr>
        <w:trPr>
          <w:trHeight w:val="223"/>
        </w:trPr>
        <w:tc>
          <w:tcPr>
            <w:tcW w:w="60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644,786</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753,904</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800,866</w:t>
            </w:r>
          </w:p>
        </w:tc>
      </w:tr>
      <w:tr>
        <w:trPr>
          <w:trHeight w:val="223"/>
        </w:trPr>
        <w:tc>
          <w:tcPr>
            <w:tcW w:w="60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5,600,002</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5,777,885</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5,519,907</w:t>
            </w:r>
          </w:p>
        </w:tc>
      </w:tr>
      <w:tr>
        <w:trPr>
          <w:trHeight w:val="20"/>
        </w:trPr>
        <w:tc>
          <w:tcPr>
            <w:tcW w:w="6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ind w:left="5240"/>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Operations</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c>
          <w:tcPr>
            <w:tcW w:w="300" w:type="dxa"/>
            <w:vAlign w:val="bottom"/>
          </w:tcPr>
          <w:p>
            <w:pPr>
              <w:spacing w:after="0"/>
              <w:rPr>
                <w:sz w:val="16"/>
                <w:szCs w:val="16"/>
                <w:color w:val="auto"/>
              </w:rPr>
            </w:pPr>
          </w:p>
        </w:tc>
        <w:tc>
          <w:tcPr>
            <w:tcW w:w="2600" w:type="dxa"/>
            <w:vAlign w:val="bottom"/>
            <w:gridSpan w:val="3"/>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Six Months Ended January 31,</w:t>
            </w:r>
          </w:p>
        </w:tc>
      </w:tr>
      <w:tr>
        <w:trPr>
          <w:trHeight w:val="23"/>
        </w:trPr>
        <w:tc>
          <w:tcPr>
            <w:tcW w:w="5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53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Mountain and Lodging services and other</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918,554</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957,091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1,116,607</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1,144,141</w:t>
            </w:r>
          </w:p>
        </w:tc>
      </w:tr>
      <w:tr>
        <w:trPr>
          <w:trHeight w:val="229"/>
        </w:trPr>
        <w:tc>
          <w:tcPr>
            <w:tcW w:w="53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Mountain and Lodging retail and dining</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165,336</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179,963</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238,232</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253,125</w:t>
            </w:r>
          </w:p>
        </w:tc>
      </w:tr>
      <w:tr>
        <w:trPr>
          <w:trHeight w:val="223"/>
        </w:trPr>
        <w:tc>
          <w:tcPr>
            <w:tcW w:w="53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Resort net revenue</w:t>
            </w:r>
          </w:p>
        </w:tc>
        <w:tc>
          <w:tcPr>
            <w:tcW w:w="24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1,083,890</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1,137,054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1,354,839</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1,397,266</w:t>
            </w:r>
          </w:p>
        </w:tc>
      </w:tr>
      <w:tr>
        <w:trPr>
          <w:trHeight w:val="230"/>
        </w:trPr>
        <w:tc>
          <w:tcPr>
            <w:tcW w:w="53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122</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23"/>
        </w:trPr>
        <w:tc>
          <w:tcPr>
            <w:tcW w:w="53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net revenue</w:t>
            </w:r>
          </w:p>
        </w:tc>
        <w:tc>
          <w:tcPr>
            <w:tcW w:w="24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1,083,932</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1,137,225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1,354,961</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1,397,500</w:t>
            </w:r>
          </w:p>
        </w:tc>
      </w:tr>
      <w:tr>
        <w:trPr>
          <w:trHeight w:val="176"/>
        </w:trPr>
        <w:tc>
          <w:tcPr>
            <w:tcW w:w="53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Operating expense (exclusive of depreciation and amortization shown</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4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separately below):</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29"/>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Mountain and Lodging operating expense</w:t>
            </w:r>
          </w:p>
        </w:tc>
        <w:tc>
          <w:tcPr>
            <w:tcW w:w="24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481,277</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495,585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754,346</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761,849</w:t>
            </w:r>
          </w:p>
        </w:tc>
      </w:tr>
      <w:tr>
        <w:trPr>
          <w:trHeight w:val="229"/>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Mountain and Lodging retail and dining cost of products sold</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58,536</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86,770</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96,958</w:t>
            </w:r>
          </w:p>
        </w:tc>
      </w:tr>
      <w:tr>
        <w:trPr>
          <w:trHeight w:val="230"/>
        </w:trPr>
        <w:tc>
          <w:tcPr>
            <w:tcW w:w="53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121,618</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114,540</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232,042</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221,397</w:t>
            </w:r>
          </w:p>
        </w:tc>
      </w:tr>
      <w:tr>
        <w:trPr>
          <w:trHeight w:val="223"/>
        </w:trPr>
        <w:tc>
          <w:tcPr>
            <w:tcW w:w="53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Resort operating expense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661,431</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678,136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1,073,158</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1,080,204</w:t>
            </w:r>
          </w:p>
        </w:tc>
      </w:tr>
      <w:tr>
        <w:trPr>
          <w:trHeight w:val="230"/>
        </w:trPr>
        <w:tc>
          <w:tcPr>
            <w:tcW w:w="53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Real Estate operating expense</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1,669</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3,293</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3,249</w:t>
            </w:r>
          </w:p>
        </w:tc>
      </w:tr>
      <w:tr>
        <w:trPr>
          <w:trHeight w:val="223"/>
        </w:trPr>
        <w:tc>
          <w:tcPr>
            <w:tcW w:w="53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segment operating expense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663,100</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679,894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1,076,451</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1,083,453</w:t>
            </w: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(expense) income:</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(74,350)</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(147,467)</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(145,896)</w:t>
            </w:r>
          </w:p>
        </w:tc>
      </w:tr>
      <w:tr>
        <w:trPr>
          <w:trHeight w:val="229"/>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gain on sale of real property</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3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11,058</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16,506</w:t>
            </w:r>
          </w:p>
        </w:tc>
      </w:tr>
      <w:tr>
        <w:trPr>
          <w:trHeight w:val="230"/>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estimated fair value of contingent consideration (Note 7)</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3,700</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w:t>
            </w:r>
          </w:p>
        </w:tc>
      </w:tr>
      <w:tr>
        <w:trPr>
          <w:trHeight w:val="229"/>
        </w:trPr>
        <w:tc>
          <w:tcPr>
            <w:tcW w:w="53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(Loss) gain on disposal of fixed assets and other, net</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(5,935)</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w:t>
            </w:r>
          </w:p>
        </w:tc>
      </w:tr>
      <w:tr>
        <w:trPr>
          <w:trHeight w:val="22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345,048</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135,227</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181,242</w:t>
            </w:r>
          </w:p>
        </w:tc>
      </w:tr>
      <w:tr>
        <w:trPr>
          <w:trHeight w:val="229"/>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Mountain equity investment (loss) income, net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w:t>
            </w:r>
          </w:p>
        </w:tc>
      </w:tr>
      <w:tr>
        <w:trPr>
          <w:trHeight w:val="230"/>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income and other, net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3,525</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6,548</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5,514</w:t>
            </w:r>
          </w:p>
        </w:tc>
      </w:tr>
      <w:tr>
        <w:trPr>
          <w:trHeight w:val="230"/>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gain (loss) on intercompany loans</w:t>
            </w:r>
          </w:p>
        </w:tc>
        <w:tc>
          <w:tcPr>
            <w:tcW w:w="24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197</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118</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w:t>
            </w:r>
          </w:p>
        </w:tc>
      </w:tr>
      <w:tr>
        <w:trPr>
          <w:trHeight w:val="230"/>
        </w:trPr>
        <w:tc>
          <w:tcPr>
            <w:tcW w:w="53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(49,476)</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(42,670)</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(100,763)</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(85,467)</w:t>
            </w: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4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298,132</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41,061</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102,536</w:t>
            </w:r>
          </w:p>
        </w:tc>
      </w:tr>
      <w:tr>
        <w:trPr>
          <w:trHeight w:val="229"/>
        </w:trPr>
        <w:tc>
          <w:tcPr>
            <w:tcW w:w="53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(72,287)</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(85,956)</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(11,672)</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(27,572)</w:t>
            </w: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spacing w:after="0"/>
              <w:rPr>
                <w:sz w:val="19"/>
                <w:szCs w:val="19"/>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225,845</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29,389</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74,964</w:t>
            </w:r>
          </w:p>
        </w:tc>
      </w:tr>
      <w:tr>
        <w:trPr>
          <w:trHeight w:val="229"/>
        </w:trPr>
        <w:tc>
          <w:tcPr>
            <w:tcW w:w="53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(15,838)</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(12,551)</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(6,134)</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w:t>
            </w:r>
          </w:p>
        </w:tc>
      </w:tr>
      <w:tr>
        <w:trPr>
          <w:trHeight w:val="223"/>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Vail Resorts, Inc.</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210,007</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244,376</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23,255</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71,121</w:t>
            </w:r>
          </w:p>
        </w:tc>
      </w:tr>
      <w:tr>
        <w:trPr>
          <w:trHeight w:val="20"/>
        </w:trPr>
        <w:tc>
          <w:tcPr>
            <w:tcW w:w="5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 amounts (Note 4):</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 net income per share attributable to Vail Resorts, Inc.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5.87</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0.65</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29"/>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 net income per share attributable to Vail Resorts, Inc.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5.87</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0.65</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34"/>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2.22</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4.44</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r>
    </w:tbl>
    <w:p>
      <w:pPr>
        <w:spacing w:after="0" w:line="1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887" w:right="3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Comprehensive Income (Loss)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c>
          <w:tcPr>
            <w:tcW w:w="300" w:type="dxa"/>
            <w:vAlign w:val="bottom"/>
          </w:tcPr>
          <w:p>
            <w:pPr>
              <w:spacing w:after="0"/>
              <w:rPr>
                <w:sz w:val="16"/>
                <w:szCs w:val="16"/>
                <w:color w:val="auto"/>
              </w:rPr>
            </w:pPr>
          </w:p>
        </w:tc>
        <w:tc>
          <w:tcPr>
            <w:tcW w:w="2600" w:type="dxa"/>
            <w:vAlign w:val="bottom"/>
            <w:gridSpan w:val="3"/>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Six Months Ended January 31,</w:t>
            </w:r>
          </w:p>
        </w:tc>
      </w:tr>
      <w:tr>
        <w:trPr>
          <w:trHeight w:val="23"/>
        </w:trPr>
        <w:tc>
          <w:tcPr>
            <w:tcW w:w="5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5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Pr>
          <w:p>
            <w:pPr>
              <w:spacing w:after="0"/>
              <w:rPr>
                <w:sz w:val="16"/>
                <w:szCs w:val="16"/>
                <w:color w:val="auto"/>
              </w:rPr>
            </w:pPr>
          </w:p>
        </w:tc>
        <w:tc>
          <w:tcPr>
            <w:tcW w:w="10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225,845</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29,389</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74,964</w:t>
            </w:r>
          </w:p>
        </w:tc>
      </w:tr>
      <w:tr>
        <w:trPr>
          <w:trHeight w:val="229"/>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72,976</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64,580</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(91,818)</w:t>
            </w:r>
          </w:p>
        </w:tc>
      </w:tr>
      <w:tr>
        <w:trPr>
          <w:trHeight w:val="230"/>
        </w:trPr>
        <w:tc>
          <w:tcPr>
            <w:tcW w:w="53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estimated fair value of hedging instruments, net of tax</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6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298,821</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93,969</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(18,609)</w:t>
            </w:r>
          </w:p>
        </w:tc>
      </w:tr>
      <w:tr>
        <w:trPr>
          <w:trHeight w:val="230"/>
        </w:trPr>
        <w:tc>
          <w:tcPr>
            <w:tcW w:w="53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(35,544)</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12,150</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(21,282)</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22,319</w:t>
            </w:r>
          </w:p>
        </w:tc>
      </w:tr>
      <w:tr>
        <w:trPr>
          <w:trHeight w:val="223"/>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Vail Resorts, Inc.</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263,277</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181,113</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72,687</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3,710</w:t>
            </w:r>
          </w:p>
        </w:tc>
      </w:tr>
      <w:tr>
        <w:trPr>
          <w:trHeight w:val="21"/>
        </w:trPr>
        <w:tc>
          <w:tcPr>
            <w:tcW w:w="5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87" w:right="3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w w:val="92"/>
              </w:rPr>
              <w:t>Total Vail</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2"/>
        </w:trPr>
        <w:tc>
          <w:tcPr>
            <w:tcW w:w="3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center"/>
              <w:ind w:right="42"/>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center"/>
              <w:ind w:right="42"/>
              <w:spacing w:after="0" w:line="122" w:lineRule="exact"/>
              <w:rPr>
                <w:sz w:val="20"/>
                <w:szCs w:val="20"/>
                <w:color w:val="auto"/>
              </w:rPr>
            </w:pPr>
            <w:r>
              <w:rPr>
                <w:rFonts w:ascii="Times New Roman" w:cs="Times New Roman" w:eastAsia="Times New Roman" w:hAnsi="Times New Roman"/>
                <w:sz w:val="13"/>
                <w:szCs w:val="13"/>
                <w:b w:val="1"/>
                <w:bCs w:val="1"/>
                <w:color w:val="auto"/>
                <w:w w:val="97"/>
              </w:rPr>
              <w:t>Resorts, Inc.</w:t>
            </w: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180" w:type="dxa"/>
            <w:vAlign w:val="bottom"/>
          </w:tcPr>
          <w:p>
            <w:pPr>
              <w:spacing w:after="0"/>
              <w:rPr>
                <w:sz w:val="11"/>
                <w:szCs w:val="11"/>
                <w:color w:val="auto"/>
              </w:rPr>
            </w:pP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Additional Paid</w:t>
            </w:r>
          </w:p>
        </w:tc>
        <w:tc>
          <w:tcPr>
            <w:tcW w:w="10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80" w:type="dxa"/>
            <w:vAlign w:val="bottom"/>
          </w:tcPr>
          <w:p>
            <w:pPr>
              <w:spacing w:after="0"/>
              <w:rPr>
                <w:sz w:val="11"/>
                <w:szCs w:val="11"/>
                <w:color w:val="auto"/>
              </w:rPr>
            </w:pPr>
          </w:p>
        </w:tc>
        <w:tc>
          <w:tcPr>
            <w:tcW w:w="820" w:type="dxa"/>
            <w:vAlign w:val="bottom"/>
          </w:tcPr>
          <w:p>
            <w:pPr>
              <w:jc w:val="right"/>
              <w:ind w:right="181"/>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20" w:type="dxa"/>
            <w:vAlign w:val="bottom"/>
          </w:tcPr>
          <w:p>
            <w:pPr>
              <w:spacing w:after="0"/>
              <w:rPr>
                <w:sz w:val="11"/>
                <w:szCs w:val="11"/>
                <w:color w:val="auto"/>
              </w:rPr>
            </w:pPr>
          </w:p>
        </w:tc>
        <w:tc>
          <w:tcPr>
            <w:tcW w:w="880" w:type="dxa"/>
            <w:vAlign w:val="bottom"/>
          </w:tcPr>
          <w:p>
            <w:pPr>
              <w:jc w:val="center"/>
              <w:ind w:right="22"/>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100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120" w:type="dxa"/>
            <w:vAlign w:val="bottom"/>
          </w:tcPr>
          <w:p>
            <w:pPr>
              <w:spacing w:after="0"/>
              <w:rPr>
                <w:sz w:val="11"/>
                <w:szCs w:val="11"/>
                <w:color w:val="auto"/>
              </w:rPr>
            </w:pPr>
          </w:p>
        </w:tc>
        <w:tc>
          <w:tcPr>
            <w:tcW w:w="880" w:type="dxa"/>
            <w:vAlign w:val="bottom"/>
          </w:tcPr>
          <w:p>
            <w:pPr>
              <w:jc w:val="center"/>
              <w:ind w:right="41"/>
              <w:spacing w:after="0" w:line="135" w:lineRule="exact"/>
              <w:rPr>
                <w:sz w:val="20"/>
                <w:szCs w:val="20"/>
                <w:color w:val="auto"/>
              </w:rPr>
            </w:pPr>
            <w:r>
              <w:rPr>
                <w:rFonts w:ascii="Times New Roman" w:cs="Times New Roman" w:eastAsia="Times New Roman" w:hAnsi="Times New Roman"/>
                <w:sz w:val="13"/>
                <w:szCs w:val="13"/>
                <w:b w:val="1"/>
                <w:bCs w:val="1"/>
                <w:color w:val="auto"/>
                <w:w w:val="99"/>
              </w:rPr>
              <w:t>Stockholders’</w:t>
            </w:r>
          </w:p>
        </w:tc>
        <w:tc>
          <w:tcPr>
            <w:tcW w:w="0" w:type="dxa"/>
            <w:vAlign w:val="bottom"/>
          </w:tcPr>
          <w:p>
            <w:pPr>
              <w:spacing w:after="0"/>
              <w:rPr>
                <w:sz w:val="1"/>
                <w:szCs w:val="1"/>
                <w:color w:val="auto"/>
              </w:rPr>
            </w:pPr>
          </w:p>
        </w:tc>
      </w:tr>
      <w:tr>
        <w:trPr>
          <w:trHeight w:val="171"/>
        </w:trPr>
        <w:tc>
          <w:tcPr>
            <w:tcW w:w="3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in Capital</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69"/>
        </w:trPr>
        <w:tc>
          <w:tcPr>
            <w:tcW w:w="3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w w:val="99"/>
              </w:rPr>
              <w:t>Vail Resorts</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October 31, 2024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1,146,518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(71,436)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510,426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(1,155,902)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430,075</w:t>
            </w: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301,200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731,275</w:t>
            </w: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244,376</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244,376</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12,551</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256,927</w:t>
            </w:r>
          </w:p>
        </w:tc>
        <w:tc>
          <w:tcPr>
            <w:tcW w:w="0" w:type="dxa"/>
            <w:vAlign w:val="bottom"/>
          </w:tcPr>
          <w:p>
            <w:pPr>
              <w:spacing w:after="0"/>
              <w:rPr>
                <w:sz w:val="1"/>
                <w:szCs w:val="1"/>
                <w:color w:val="auto"/>
              </w:rPr>
            </w:pPr>
          </w:p>
        </w:tc>
      </w:tr>
      <w:tr>
        <w:trPr>
          <w:trHeight w:val="213"/>
        </w:trPr>
        <w:tc>
          <w:tcPr>
            <w:tcW w:w="3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(63,263)</w:t>
            </w: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(63,263)</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(24,701)</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(87,964)</w:t>
            </w:r>
          </w:p>
        </w:tc>
        <w:tc>
          <w:tcPr>
            <w:tcW w:w="0" w:type="dxa"/>
            <w:vAlign w:val="bottom"/>
          </w:tcPr>
          <w:p>
            <w:pPr>
              <w:spacing w:after="0"/>
              <w:rPr>
                <w:sz w:val="1"/>
                <w:szCs w:val="1"/>
                <w:color w:val="auto"/>
              </w:rPr>
            </w:pPr>
          </w:p>
        </w:tc>
      </w:tr>
      <w:tr>
        <w:trPr>
          <w:trHeight w:val="212"/>
        </w:trPr>
        <w:tc>
          <w:tcPr>
            <w:tcW w:w="3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comprehensive income (loss)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181,113</w:t>
            </w: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(12,150)</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168,963</w:t>
            </w:r>
          </w:p>
        </w:tc>
        <w:tc>
          <w:tcPr>
            <w:tcW w:w="0" w:type="dxa"/>
            <w:vAlign w:val="bottom"/>
          </w:tcPr>
          <w:p>
            <w:pPr>
              <w:spacing w:after="0"/>
              <w:rPr>
                <w:sz w:val="1"/>
                <w:szCs w:val="1"/>
                <w:color w:val="auto"/>
              </w:rPr>
            </w:pPr>
          </w:p>
        </w:tc>
      </w:tr>
      <w:tr>
        <w:trPr>
          <w:trHeight w:val="207"/>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7,526</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7,526</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7,526</w:t>
            </w:r>
          </w:p>
        </w:tc>
        <w:tc>
          <w:tcPr>
            <w:tcW w:w="0" w:type="dxa"/>
            <w:vAlign w:val="bottom"/>
          </w:tcPr>
          <w:p>
            <w:pPr>
              <w:spacing w:after="0"/>
              <w:rPr>
                <w:sz w:val="1"/>
                <w:szCs w:val="1"/>
                <w:color w:val="auto"/>
              </w:rPr>
            </w:pPr>
          </w:p>
        </w:tc>
      </w:tr>
      <w:tr>
        <w:trPr>
          <w:trHeight w:val="165"/>
        </w:trPr>
        <w:tc>
          <w:tcPr>
            <w:tcW w:w="31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shares under share award plans, net</w:t>
            </w:r>
          </w:p>
        </w:tc>
        <w:tc>
          <w:tcPr>
            <w:tcW w:w="2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 shares withheld for employee taxes</w:t>
            </w:r>
          </w:p>
        </w:tc>
        <w:tc>
          <w:tcPr>
            <w:tcW w:w="2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Repurchases of common stock (Note 10)</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(20,202)</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(20,202)</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(20,202)</w:t>
            </w: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(Note 4)</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(82,829)</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(82,829)</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(82,829)</w:t>
            </w:r>
          </w:p>
        </w:tc>
        <w:tc>
          <w:tcPr>
            <w:tcW w:w="0" w:type="dxa"/>
            <w:vAlign w:val="bottom"/>
          </w:tcPr>
          <w:p>
            <w:pPr>
              <w:spacing w:after="0"/>
              <w:rPr>
                <w:sz w:val="1"/>
                <w:szCs w:val="1"/>
                <w:color w:val="auto"/>
              </w:rPr>
            </w:pPr>
          </w:p>
        </w:tc>
      </w:tr>
      <w:tr>
        <w:trPr>
          <w:trHeight w:val="213"/>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 net</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(3,691)</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(3,691)</w:t>
            </w:r>
          </w:p>
        </w:tc>
        <w:tc>
          <w:tcPr>
            <w:tcW w:w="0" w:type="dxa"/>
            <w:vAlign w:val="bottom"/>
          </w:tcPr>
          <w:p>
            <w:pPr>
              <w:spacing w:after="0"/>
              <w:rPr>
                <w:sz w:val="1"/>
                <w:szCs w:val="1"/>
                <w:color w:val="auto"/>
              </w:rPr>
            </w:pPr>
          </w:p>
        </w:tc>
      </w:tr>
      <w:tr>
        <w:trPr>
          <w:trHeight w:val="235"/>
        </w:trPr>
        <w:tc>
          <w:tcPr>
            <w:tcW w:w="3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January 31, 2025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2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1,153,868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(134,699)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671,973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(1,176,104)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515,507</w:t>
            </w: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285,359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800,866</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October 31, 2025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1,173,902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(61,727)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452,097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(1,408,279)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156,463</w:t>
            </w: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311,585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468,048</w:t>
            </w: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210,007</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210,007</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15,838</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225,845</w:t>
            </w:r>
          </w:p>
        </w:tc>
        <w:tc>
          <w:tcPr>
            <w:tcW w:w="0" w:type="dxa"/>
            <w:vAlign w:val="bottom"/>
          </w:tcPr>
          <w:p>
            <w:pPr>
              <w:spacing w:after="0"/>
              <w:rPr>
                <w:sz w:val="1"/>
                <w:szCs w:val="1"/>
                <w:color w:val="auto"/>
              </w:rPr>
            </w:pPr>
          </w:p>
        </w:tc>
      </w:tr>
      <w:tr>
        <w:trPr>
          <w:trHeight w:val="213"/>
        </w:trPr>
        <w:tc>
          <w:tcPr>
            <w:tcW w:w="3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53,270</w:t>
            </w: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53,270</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19,706</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72,976</w:t>
            </w:r>
          </w:p>
        </w:tc>
        <w:tc>
          <w:tcPr>
            <w:tcW w:w="0" w:type="dxa"/>
            <w:vAlign w:val="bottom"/>
          </w:tcPr>
          <w:p>
            <w:pPr>
              <w:spacing w:after="0"/>
              <w:rPr>
                <w:sz w:val="1"/>
                <w:szCs w:val="1"/>
                <w:color w:val="auto"/>
              </w:rPr>
            </w:pPr>
          </w:p>
        </w:tc>
      </w:tr>
      <w:tr>
        <w:trPr>
          <w:trHeight w:val="212"/>
        </w:trPr>
        <w:tc>
          <w:tcPr>
            <w:tcW w:w="3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263,277</w:t>
            </w: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35,544</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298,821</w:t>
            </w:r>
          </w:p>
        </w:tc>
        <w:tc>
          <w:tcPr>
            <w:tcW w:w="0" w:type="dxa"/>
            <w:vAlign w:val="bottom"/>
          </w:tcPr>
          <w:p>
            <w:pPr>
              <w:spacing w:after="0"/>
              <w:rPr>
                <w:sz w:val="1"/>
                <w:szCs w:val="1"/>
                <w:color w:val="auto"/>
              </w:rPr>
            </w:pPr>
          </w:p>
        </w:tc>
      </w:tr>
      <w:tr>
        <w:trPr>
          <w:trHeight w:val="207"/>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6,960</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6,960</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6,960</w:t>
            </w:r>
          </w:p>
        </w:tc>
        <w:tc>
          <w:tcPr>
            <w:tcW w:w="0" w:type="dxa"/>
            <w:vAlign w:val="bottom"/>
          </w:tcPr>
          <w:p>
            <w:pPr>
              <w:spacing w:after="0"/>
              <w:rPr>
                <w:sz w:val="1"/>
                <w:szCs w:val="1"/>
                <w:color w:val="auto"/>
              </w:rPr>
            </w:pPr>
          </w:p>
        </w:tc>
      </w:tr>
      <w:tr>
        <w:trPr>
          <w:trHeight w:val="165"/>
        </w:trPr>
        <w:tc>
          <w:tcPr>
            <w:tcW w:w="31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shares under share award plans, net</w:t>
            </w:r>
          </w:p>
        </w:tc>
        <w:tc>
          <w:tcPr>
            <w:tcW w:w="2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 shares withheld for employee taxes</w:t>
            </w:r>
          </w:p>
        </w:tc>
        <w:tc>
          <w:tcPr>
            <w:tcW w:w="2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Repurchases of common stock (Note 10)</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(45,590)</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(45,590)</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(45,590)</w:t>
            </w: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(Note 4)</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(79,103)</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(79,103)</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(79,103)</w:t>
            </w:r>
          </w:p>
        </w:tc>
        <w:tc>
          <w:tcPr>
            <w:tcW w:w="0" w:type="dxa"/>
            <w:vAlign w:val="bottom"/>
          </w:tcPr>
          <w:p>
            <w:pPr>
              <w:spacing w:after="0"/>
              <w:rPr>
                <w:sz w:val="1"/>
                <w:szCs w:val="1"/>
                <w:color w:val="auto"/>
              </w:rPr>
            </w:pPr>
          </w:p>
        </w:tc>
      </w:tr>
      <w:tr>
        <w:trPr>
          <w:trHeight w:val="213"/>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 net</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(4,159)</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(4,159)</w:t>
            </w:r>
          </w:p>
        </w:tc>
        <w:tc>
          <w:tcPr>
            <w:tcW w:w="0" w:type="dxa"/>
            <w:vAlign w:val="bottom"/>
          </w:tcPr>
          <w:p>
            <w:pPr>
              <w:spacing w:after="0"/>
              <w:rPr>
                <w:sz w:val="1"/>
                <w:szCs w:val="1"/>
                <w:color w:val="auto"/>
              </w:rPr>
            </w:pPr>
          </w:p>
        </w:tc>
      </w:tr>
      <w:tr>
        <w:trPr>
          <w:trHeight w:val="234"/>
        </w:trPr>
        <w:tc>
          <w:tcPr>
            <w:tcW w:w="3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January 31, 2026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2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1,180,671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583,001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(1,453,869)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301,816</w:t>
            </w: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342,970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644,786</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49"/>
        </w:trPr>
        <w:tc>
          <w:tcPr>
            <w:tcW w:w="3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w w:val="92"/>
              </w:rPr>
              <w:t>Total Vail</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1"/>
        </w:trPr>
        <w:tc>
          <w:tcPr>
            <w:tcW w:w="3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center"/>
              <w:ind w:right="41"/>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center"/>
              <w:ind w:right="42"/>
              <w:spacing w:after="0" w:line="122" w:lineRule="exact"/>
              <w:rPr>
                <w:sz w:val="20"/>
                <w:szCs w:val="20"/>
                <w:color w:val="auto"/>
              </w:rPr>
            </w:pPr>
            <w:r>
              <w:rPr>
                <w:rFonts w:ascii="Times New Roman" w:cs="Times New Roman" w:eastAsia="Times New Roman" w:hAnsi="Times New Roman"/>
                <w:sz w:val="13"/>
                <w:szCs w:val="13"/>
                <w:b w:val="1"/>
                <w:bCs w:val="1"/>
                <w:color w:val="auto"/>
                <w:w w:val="97"/>
              </w:rPr>
              <w:t>Resorts, Inc.</w:t>
            </w: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180" w:type="dxa"/>
            <w:vAlign w:val="bottom"/>
          </w:tcPr>
          <w:p>
            <w:pPr>
              <w:spacing w:after="0"/>
              <w:rPr>
                <w:sz w:val="11"/>
                <w:szCs w:val="11"/>
                <w:color w:val="auto"/>
              </w:rPr>
            </w:pP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Additional Paid</w:t>
            </w:r>
          </w:p>
        </w:tc>
        <w:tc>
          <w:tcPr>
            <w:tcW w:w="10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80" w:type="dxa"/>
            <w:vAlign w:val="bottom"/>
          </w:tcPr>
          <w:p>
            <w:pPr>
              <w:spacing w:after="0"/>
              <w:rPr>
                <w:sz w:val="11"/>
                <w:szCs w:val="11"/>
                <w:color w:val="auto"/>
              </w:rPr>
            </w:pPr>
          </w:p>
        </w:tc>
        <w:tc>
          <w:tcPr>
            <w:tcW w:w="820" w:type="dxa"/>
            <w:vAlign w:val="bottom"/>
          </w:tcPr>
          <w:p>
            <w:pPr>
              <w:jc w:val="right"/>
              <w:ind w:right="181"/>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20" w:type="dxa"/>
            <w:vAlign w:val="bottom"/>
          </w:tcPr>
          <w:p>
            <w:pPr>
              <w:spacing w:after="0"/>
              <w:rPr>
                <w:sz w:val="11"/>
                <w:szCs w:val="11"/>
                <w:color w:val="auto"/>
              </w:rPr>
            </w:pPr>
          </w:p>
        </w:tc>
        <w:tc>
          <w:tcPr>
            <w:tcW w:w="880" w:type="dxa"/>
            <w:vAlign w:val="bottom"/>
          </w:tcPr>
          <w:p>
            <w:pPr>
              <w:jc w:val="center"/>
              <w:ind w:right="22"/>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100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120" w:type="dxa"/>
            <w:vAlign w:val="bottom"/>
          </w:tcPr>
          <w:p>
            <w:pPr>
              <w:spacing w:after="0"/>
              <w:rPr>
                <w:sz w:val="11"/>
                <w:szCs w:val="11"/>
                <w:color w:val="auto"/>
              </w:rPr>
            </w:pPr>
          </w:p>
        </w:tc>
        <w:tc>
          <w:tcPr>
            <w:tcW w:w="880" w:type="dxa"/>
            <w:vAlign w:val="bottom"/>
          </w:tcPr>
          <w:p>
            <w:pPr>
              <w:jc w:val="center"/>
              <w:ind w:right="41"/>
              <w:spacing w:after="0" w:line="135" w:lineRule="exact"/>
              <w:rPr>
                <w:sz w:val="20"/>
                <w:szCs w:val="20"/>
                <w:color w:val="auto"/>
              </w:rPr>
            </w:pPr>
            <w:r>
              <w:rPr>
                <w:rFonts w:ascii="Times New Roman" w:cs="Times New Roman" w:eastAsia="Times New Roman" w:hAnsi="Times New Roman"/>
                <w:sz w:val="13"/>
                <w:szCs w:val="13"/>
                <w:b w:val="1"/>
                <w:bCs w:val="1"/>
                <w:color w:val="auto"/>
                <w:w w:val="99"/>
              </w:rPr>
              <w:t>Stockholders’</w:t>
            </w:r>
          </w:p>
        </w:tc>
        <w:tc>
          <w:tcPr>
            <w:tcW w:w="0" w:type="dxa"/>
            <w:vAlign w:val="bottom"/>
          </w:tcPr>
          <w:p>
            <w:pPr>
              <w:spacing w:after="0"/>
              <w:rPr>
                <w:sz w:val="1"/>
                <w:szCs w:val="1"/>
                <w:color w:val="auto"/>
              </w:rPr>
            </w:pPr>
          </w:p>
        </w:tc>
      </w:tr>
      <w:tr>
        <w:trPr>
          <w:trHeight w:val="171"/>
        </w:trPr>
        <w:tc>
          <w:tcPr>
            <w:tcW w:w="3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in Capital</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69"/>
        </w:trPr>
        <w:tc>
          <w:tcPr>
            <w:tcW w:w="3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w w:val="99"/>
              </w:rPr>
              <w:t>Vail Resorts</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July 31, 2024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1,145,610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(67,288)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766,826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(1,135,685)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709,932</w:t>
            </w: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314,946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1,024,878</w:t>
            </w: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71,121</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71,121</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3,843</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74,964</w:t>
            </w:r>
          </w:p>
        </w:tc>
        <w:tc>
          <w:tcPr>
            <w:tcW w:w="0" w:type="dxa"/>
            <w:vAlign w:val="bottom"/>
          </w:tcPr>
          <w:p>
            <w:pPr>
              <w:spacing w:after="0"/>
              <w:rPr>
                <w:sz w:val="1"/>
                <w:szCs w:val="1"/>
                <w:color w:val="auto"/>
              </w:rPr>
            </w:pPr>
          </w:p>
        </w:tc>
      </w:tr>
      <w:tr>
        <w:trPr>
          <w:trHeight w:val="213"/>
        </w:trPr>
        <w:tc>
          <w:tcPr>
            <w:tcW w:w="3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(65,656)</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(65,656)</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(26,162)</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(91,818)</w:t>
            </w:r>
          </w:p>
        </w:tc>
        <w:tc>
          <w:tcPr>
            <w:tcW w:w="0" w:type="dxa"/>
            <w:vAlign w:val="bottom"/>
          </w:tcPr>
          <w:p>
            <w:pPr>
              <w:spacing w:after="0"/>
              <w:rPr>
                <w:sz w:val="1"/>
                <w:szCs w:val="1"/>
                <w:color w:val="auto"/>
              </w:rPr>
            </w:pPr>
          </w:p>
        </w:tc>
      </w:tr>
      <w:tr>
        <w:trPr>
          <w:trHeight w:val="165"/>
        </w:trPr>
        <w:tc>
          <w:tcPr>
            <w:tcW w:w="31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Change in estimated fair value of hedging</w:t>
            </w:r>
          </w:p>
        </w:tc>
        <w:tc>
          <w:tcPr>
            <w:tcW w:w="2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(1,755)</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(1,755)</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(1,755)</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instruments, net of tax</w:t>
            </w:r>
          </w:p>
        </w:tc>
        <w:tc>
          <w:tcPr>
            <w:tcW w:w="2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Total comprehensive income (loss)</w:t>
            </w:r>
          </w:p>
        </w:tc>
        <w:tc>
          <w:tcPr>
            <w:tcW w:w="20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3,710</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(22,319)</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(18,609)</w:t>
            </w:r>
          </w:p>
        </w:tc>
        <w:tc>
          <w:tcPr>
            <w:tcW w:w="0" w:type="dxa"/>
            <w:vAlign w:val="bottom"/>
          </w:tcPr>
          <w:p>
            <w:pPr>
              <w:spacing w:after="0"/>
              <w:rPr>
                <w:sz w:val="1"/>
                <w:szCs w:val="1"/>
                <w:color w:val="auto"/>
              </w:rPr>
            </w:pPr>
          </w:p>
        </w:tc>
      </w:tr>
      <w:tr>
        <w:trPr>
          <w:trHeight w:val="212"/>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14,217</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14,217</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14,217</w:t>
            </w:r>
          </w:p>
        </w:tc>
        <w:tc>
          <w:tcPr>
            <w:tcW w:w="0" w:type="dxa"/>
            <w:vAlign w:val="bottom"/>
          </w:tcPr>
          <w:p>
            <w:pPr>
              <w:spacing w:after="0"/>
              <w:rPr>
                <w:sz w:val="1"/>
                <w:szCs w:val="1"/>
                <w:color w:val="auto"/>
              </w:rPr>
            </w:pPr>
          </w:p>
        </w:tc>
      </w:tr>
      <w:tr>
        <w:trPr>
          <w:trHeight w:val="162"/>
        </w:trPr>
        <w:tc>
          <w:tcPr>
            <w:tcW w:w="31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shares under share award plans, net</w:t>
            </w:r>
          </w:p>
        </w:tc>
        <w:tc>
          <w:tcPr>
            <w:tcW w:w="2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(5,959)</w:t>
            </w: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(5,959)</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(5,959)</w:t>
            </w: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 shares withheld for employee taxes</w:t>
            </w:r>
          </w:p>
        </w:tc>
        <w:tc>
          <w:tcPr>
            <w:tcW w:w="2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 (Note 10)</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(40,419)</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(40,419)</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(40,419)</w:t>
            </w: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(Note 4)</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(165,974)</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(165,974)</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(165,974)</w:t>
            </w:r>
          </w:p>
        </w:tc>
        <w:tc>
          <w:tcPr>
            <w:tcW w:w="0" w:type="dxa"/>
            <w:vAlign w:val="bottom"/>
          </w:tcPr>
          <w:p>
            <w:pPr>
              <w:spacing w:after="0"/>
              <w:rPr>
                <w:sz w:val="1"/>
                <w:szCs w:val="1"/>
                <w:color w:val="auto"/>
              </w:rPr>
            </w:pPr>
          </w:p>
        </w:tc>
      </w:tr>
      <w:tr>
        <w:trPr>
          <w:trHeight w:val="216"/>
        </w:trPr>
        <w:tc>
          <w:tcPr>
            <w:tcW w:w="3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 net</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(7,268)</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(7,268)</w:t>
            </w:r>
          </w:p>
        </w:tc>
        <w:tc>
          <w:tcPr>
            <w:tcW w:w="0" w:type="dxa"/>
            <w:vAlign w:val="bottom"/>
          </w:tcPr>
          <w:p>
            <w:pPr>
              <w:spacing w:after="0"/>
              <w:rPr>
                <w:sz w:val="1"/>
                <w:szCs w:val="1"/>
                <w:color w:val="auto"/>
              </w:rPr>
            </w:pPr>
          </w:p>
        </w:tc>
      </w:tr>
      <w:tr>
        <w:trPr>
          <w:trHeight w:val="209"/>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January 31, 2025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2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1,153,868</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(134,699)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671,973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(1,176,104)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515,507</w:t>
            </w: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285,359</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800,866</w:t>
            </w:r>
          </w:p>
        </w:tc>
        <w:tc>
          <w:tcPr>
            <w:tcW w:w="0" w:type="dxa"/>
            <w:vAlign w:val="bottom"/>
          </w:tcPr>
          <w:p>
            <w:pPr>
              <w:spacing w:after="0"/>
              <w:rPr>
                <w:sz w:val="1"/>
                <w:szCs w:val="1"/>
                <w:color w:val="auto"/>
              </w:rPr>
            </w:pPr>
          </w:p>
        </w:tc>
      </w:tr>
      <w:tr>
        <w:trPr>
          <w:trHeight w:val="20"/>
        </w:trPr>
        <w:tc>
          <w:tcPr>
            <w:tcW w:w="3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July 31, 2025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2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1,171,536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(57,889)</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718,662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(1,408,279)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424,499</w:t>
            </w: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329,405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753,904</w:t>
            </w: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23,255</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23,255</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6,134</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29,389</w:t>
            </w: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49,432</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49,432</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15,148</w:t>
            </w: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64,580</w:t>
            </w:r>
          </w:p>
        </w:tc>
        <w:tc>
          <w:tcPr>
            <w:tcW w:w="0" w:type="dxa"/>
            <w:vAlign w:val="bottom"/>
          </w:tcPr>
          <w:p>
            <w:pPr>
              <w:spacing w:after="0"/>
              <w:rPr>
                <w:sz w:val="1"/>
                <w:szCs w:val="1"/>
                <w:color w:val="auto"/>
              </w:rPr>
            </w:pPr>
          </w:p>
        </w:tc>
      </w:tr>
      <w:tr>
        <w:trPr>
          <w:trHeight w:val="207"/>
        </w:trPr>
        <w:tc>
          <w:tcPr>
            <w:tcW w:w="3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20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72,687</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21,282</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93,969</w:t>
            </w:r>
          </w:p>
        </w:tc>
        <w:tc>
          <w:tcPr>
            <w:tcW w:w="0" w:type="dxa"/>
            <w:vAlign w:val="bottom"/>
          </w:tcPr>
          <w:p>
            <w:pPr>
              <w:spacing w:after="0"/>
              <w:rPr>
                <w:sz w:val="1"/>
                <w:szCs w:val="1"/>
                <w:color w:val="auto"/>
              </w:rPr>
            </w:pPr>
          </w:p>
        </w:tc>
      </w:tr>
      <w:tr>
        <w:trPr>
          <w:trHeight w:val="212"/>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13,202</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13,202</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13,202</w:t>
            </w:r>
          </w:p>
        </w:tc>
        <w:tc>
          <w:tcPr>
            <w:tcW w:w="0" w:type="dxa"/>
            <w:vAlign w:val="bottom"/>
          </w:tcPr>
          <w:p>
            <w:pPr>
              <w:spacing w:after="0"/>
              <w:rPr>
                <w:sz w:val="1"/>
                <w:szCs w:val="1"/>
                <w:color w:val="auto"/>
              </w:rPr>
            </w:pPr>
          </w:p>
        </w:tc>
      </w:tr>
      <w:tr>
        <w:trPr>
          <w:trHeight w:val="162"/>
        </w:trPr>
        <w:tc>
          <w:tcPr>
            <w:tcW w:w="31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shares under share award plans, net</w:t>
            </w:r>
          </w:p>
        </w:tc>
        <w:tc>
          <w:tcPr>
            <w:tcW w:w="2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(4,067)</w:t>
            </w: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(4,066)</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(4,066)</w:t>
            </w: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 shares withheld for employee taxes</w:t>
            </w:r>
          </w:p>
        </w:tc>
        <w:tc>
          <w:tcPr>
            <w:tcW w:w="2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 (Note 10)</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(45,590)</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(45,590)</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(45,590)</w:t>
            </w: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(Note 4)</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(158,916)</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(158,916)</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(158,916)</w:t>
            </w:r>
          </w:p>
        </w:tc>
        <w:tc>
          <w:tcPr>
            <w:tcW w:w="0" w:type="dxa"/>
            <w:vAlign w:val="bottom"/>
          </w:tcPr>
          <w:p>
            <w:pPr>
              <w:spacing w:after="0"/>
              <w:rPr>
                <w:sz w:val="1"/>
                <w:szCs w:val="1"/>
                <w:color w:val="auto"/>
              </w:rPr>
            </w:pPr>
          </w:p>
        </w:tc>
      </w:tr>
      <w:tr>
        <w:trPr>
          <w:trHeight w:val="216"/>
        </w:trPr>
        <w:tc>
          <w:tcPr>
            <w:tcW w:w="3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 net</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(7,717)</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(7,717)</w:t>
            </w:r>
          </w:p>
        </w:tc>
        <w:tc>
          <w:tcPr>
            <w:tcW w:w="0" w:type="dxa"/>
            <w:vAlign w:val="bottom"/>
          </w:tcPr>
          <w:p>
            <w:pPr>
              <w:spacing w:after="0"/>
              <w:rPr>
                <w:sz w:val="1"/>
                <w:szCs w:val="1"/>
                <w:color w:val="auto"/>
              </w:rPr>
            </w:pPr>
          </w:p>
        </w:tc>
      </w:tr>
      <w:tr>
        <w:trPr>
          <w:trHeight w:val="209"/>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January 31, 2026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2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1,180,671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(8,457)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583,001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(1,453,869)</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301,816</w:t>
            </w:r>
          </w:p>
        </w:tc>
        <w:tc>
          <w:tcPr>
            <w:tcW w:w="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342,970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644,786</w:t>
            </w:r>
          </w:p>
        </w:tc>
        <w:tc>
          <w:tcPr>
            <w:tcW w:w="0" w:type="dxa"/>
            <w:vAlign w:val="bottom"/>
          </w:tcPr>
          <w:p>
            <w:pPr>
              <w:spacing w:after="0"/>
              <w:rPr>
                <w:sz w:val="1"/>
                <w:szCs w:val="1"/>
                <w:color w:val="auto"/>
              </w:rPr>
            </w:pPr>
          </w:p>
        </w:tc>
      </w:tr>
      <w:tr>
        <w:trPr>
          <w:trHeight w:val="23"/>
        </w:trPr>
        <w:tc>
          <w:tcPr>
            <w:tcW w:w="3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consolidated condensed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40" w:type="dxa"/>
            <w:vAlign w:val="bottom"/>
          </w:tcPr>
          <w:p>
            <w:pPr>
              <w:spacing w:after="0"/>
              <w:rPr>
                <w:sz w:val="16"/>
                <w:szCs w:val="16"/>
                <w:color w:val="auto"/>
              </w:rPr>
            </w:pPr>
          </w:p>
        </w:tc>
        <w:tc>
          <w:tcPr>
            <w:tcW w:w="2740" w:type="dxa"/>
            <w:vAlign w:val="bottom"/>
            <w:gridSpan w:val="3"/>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Six Months Ended January 31,</w:t>
            </w:r>
          </w:p>
        </w:tc>
        <w:tc>
          <w:tcPr>
            <w:tcW w:w="680" w:type="dxa"/>
            <w:vAlign w:val="bottom"/>
          </w:tcPr>
          <w:p>
            <w:pPr>
              <w:spacing w:after="0"/>
              <w:rPr>
                <w:sz w:val="16"/>
                <w:szCs w:val="16"/>
                <w:color w:val="auto"/>
              </w:rPr>
            </w:pPr>
          </w:p>
        </w:tc>
      </w:tr>
      <w:tr>
        <w:trPr>
          <w:trHeight w:val="23"/>
        </w:trPr>
        <w:tc>
          <w:tcPr>
            <w:tcW w:w="73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0"/>
        </w:trPr>
        <w:tc>
          <w:tcPr>
            <w:tcW w:w="7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6"/>
                <w:szCs w:val="16"/>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9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3"/>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980" w:type="dxa"/>
            <w:vAlign w:val="bottom"/>
          </w:tcPr>
          <w:p>
            <w:pPr>
              <w:jc w:val="right"/>
              <w:ind w:right="803"/>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29,389</w:t>
            </w:r>
          </w:p>
        </w:tc>
        <w:tc>
          <w:tcPr>
            <w:tcW w:w="1040" w:type="dxa"/>
            <w:vAlign w:val="bottom"/>
          </w:tcPr>
          <w:p>
            <w:pPr>
              <w:jc w:val="right"/>
              <w:ind w:right="801"/>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74,964</w:t>
            </w:r>
          </w:p>
        </w:tc>
      </w:tr>
      <w:tr>
        <w:trPr>
          <w:trHeight w:val="219"/>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7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8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147,467</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145,896</w:t>
            </w:r>
          </w:p>
        </w:tc>
      </w:tr>
      <w:tr>
        <w:trPr>
          <w:trHeight w:val="219"/>
        </w:trPr>
        <w:tc>
          <w:tcPr>
            <w:tcW w:w="7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13,202</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14,217</w:t>
            </w:r>
          </w:p>
        </w:tc>
      </w:tr>
      <w:tr>
        <w:trPr>
          <w:trHeight w:val="213"/>
        </w:trPr>
        <w:tc>
          <w:tcPr>
            <w:tcW w:w="7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98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11,672</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27,572</w:t>
            </w:r>
          </w:p>
        </w:tc>
      </w:tr>
      <w:tr>
        <w:trPr>
          <w:trHeight w:val="219"/>
        </w:trPr>
        <w:tc>
          <w:tcPr>
            <w:tcW w:w="7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non-cash (income) expense, net</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3,084</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(11,954)</w:t>
            </w:r>
          </w:p>
        </w:tc>
      </w:tr>
      <w:tr>
        <w:trPr>
          <w:trHeight w:val="213"/>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7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Accounts receivables, net</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225,512</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250,972</w:t>
            </w:r>
          </w:p>
        </w:tc>
      </w:tr>
      <w:tr>
        <w:trPr>
          <w:trHeight w:val="213"/>
        </w:trPr>
        <w:tc>
          <w:tcPr>
            <w:tcW w:w="7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Inventories, net</w:t>
            </w:r>
          </w:p>
        </w:tc>
        <w:tc>
          <w:tcPr>
            <w:tcW w:w="9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(22,916)</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(14,855)</w:t>
            </w:r>
          </w:p>
        </w:tc>
      </w:tr>
      <w:tr>
        <w:trPr>
          <w:trHeight w:val="219"/>
        </w:trPr>
        <w:tc>
          <w:tcPr>
            <w:tcW w:w="7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102,160</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104,051</w:t>
            </w:r>
          </w:p>
        </w:tc>
      </w:tr>
      <w:tr>
        <w:trPr>
          <w:trHeight w:val="213"/>
        </w:trPr>
        <w:tc>
          <w:tcPr>
            <w:tcW w:w="7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revenue</w:t>
            </w:r>
          </w:p>
        </w:tc>
        <w:tc>
          <w:tcPr>
            <w:tcW w:w="98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109,929</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116,812</w:t>
            </w:r>
          </w:p>
        </w:tc>
      </w:tr>
      <w:tr>
        <w:trPr>
          <w:trHeight w:val="219"/>
        </w:trPr>
        <w:tc>
          <w:tcPr>
            <w:tcW w:w="7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Income taxes payable</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(19,739)</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(72,799)</w:t>
            </w:r>
          </w:p>
        </w:tc>
      </w:tr>
      <w:tr>
        <w:trPr>
          <w:trHeight w:val="213"/>
        </w:trPr>
        <w:tc>
          <w:tcPr>
            <w:tcW w:w="73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Other assets and liabilities, net</w:t>
            </w:r>
          </w:p>
        </w:tc>
        <w:tc>
          <w:tcPr>
            <w:tcW w:w="9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(23,910)</w:t>
            </w:r>
          </w:p>
        </w:tc>
        <w:tc>
          <w:tcPr>
            <w:tcW w:w="10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(25,710)</w:t>
            </w:r>
          </w:p>
        </w:tc>
      </w:tr>
      <w:tr>
        <w:trPr>
          <w:trHeight w:val="212"/>
        </w:trPr>
        <w:tc>
          <w:tcPr>
            <w:tcW w:w="73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575,850</w:t>
            </w: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609,166</w:t>
            </w:r>
          </w:p>
        </w:tc>
      </w:tr>
      <w:tr>
        <w:trPr>
          <w:trHeight w:val="213"/>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7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Capital expenditures</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(146,584)</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(146,029)</w:t>
            </w:r>
          </w:p>
        </w:tc>
      </w:tr>
      <w:tr>
        <w:trPr>
          <w:trHeight w:val="213"/>
        </w:trPr>
        <w:tc>
          <w:tcPr>
            <w:tcW w:w="73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Other investing activities, net</w:t>
            </w:r>
          </w:p>
        </w:tc>
        <w:tc>
          <w:tcPr>
            <w:tcW w:w="9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583</w:t>
            </w:r>
          </w:p>
        </w:tc>
        <w:tc>
          <w:tcPr>
            <w:tcW w:w="10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18,009</w:t>
            </w:r>
          </w:p>
        </w:tc>
      </w:tr>
      <w:tr>
        <w:trPr>
          <w:trHeight w:val="212"/>
        </w:trPr>
        <w:tc>
          <w:tcPr>
            <w:tcW w:w="7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(146,001)</w:t>
            </w: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(128,020)</w:t>
            </w:r>
          </w:p>
        </w:tc>
      </w:tr>
      <w:tr>
        <w:trPr>
          <w:trHeight w:val="213"/>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9"/>
        </w:trPr>
        <w:tc>
          <w:tcPr>
            <w:tcW w:w="7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Proceeds from borrowings under Vail Holdings Credit Agreement</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275,000</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Repayment of 0.0% Convertible Notes</w:t>
            </w:r>
          </w:p>
        </w:tc>
        <w:tc>
          <w:tcPr>
            <w:tcW w:w="9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(525,000)</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(48,000)</w:t>
            </w:r>
          </w:p>
        </w:tc>
      </w:tr>
      <w:tr>
        <w:trPr>
          <w:trHeight w:val="219"/>
        </w:trPr>
        <w:tc>
          <w:tcPr>
            <w:tcW w:w="7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Repayments of borrowings under Vail Holdings Credit Agreement</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(24,609)</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(24,609)</w:t>
            </w:r>
          </w:p>
        </w:tc>
      </w:tr>
      <w:tr>
        <w:trPr>
          <w:trHeight w:val="213"/>
        </w:trPr>
        <w:tc>
          <w:tcPr>
            <w:tcW w:w="7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Employee taxes paid for share award exercises</w:t>
            </w:r>
          </w:p>
        </w:tc>
        <w:tc>
          <w:tcPr>
            <w:tcW w:w="9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(4,066)</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(5,959)</w:t>
            </w:r>
          </w:p>
        </w:tc>
      </w:tr>
      <w:tr>
        <w:trPr>
          <w:trHeight w:val="219"/>
        </w:trPr>
        <w:tc>
          <w:tcPr>
            <w:tcW w:w="7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Dividends paid</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(158,916)</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(165,974)</w:t>
            </w:r>
          </w:p>
        </w:tc>
      </w:tr>
      <w:tr>
        <w:trPr>
          <w:trHeight w:val="213"/>
        </w:trPr>
        <w:tc>
          <w:tcPr>
            <w:tcW w:w="7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9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(45,000)</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w:t>
            </w:r>
          </w:p>
        </w:tc>
      </w:tr>
      <w:tr>
        <w:trPr>
          <w:trHeight w:val="216"/>
        </w:trPr>
        <w:tc>
          <w:tcPr>
            <w:tcW w:w="734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financing activities, net</w:t>
            </w:r>
          </w:p>
        </w:tc>
        <w:tc>
          <w:tcPr>
            <w:tcW w:w="9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(10,565)</w:t>
            </w:r>
          </w:p>
        </w:tc>
        <w:tc>
          <w:tcPr>
            <w:tcW w:w="10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(18,689)</w:t>
            </w:r>
          </w:p>
        </w:tc>
      </w:tr>
      <w:tr>
        <w:trPr>
          <w:trHeight w:val="210"/>
        </w:trPr>
        <w:tc>
          <w:tcPr>
            <w:tcW w:w="73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9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(493,156)</w:t>
            </w:r>
          </w:p>
        </w:tc>
        <w:tc>
          <w:tcPr>
            <w:tcW w:w="10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(303,231)</w:t>
            </w:r>
          </w:p>
        </w:tc>
      </w:tr>
      <w:tr>
        <w:trPr>
          <w:trHeight w:val="212"/>
        </w:trPr>
        <w:tc>
          <w:tcPr>
            <w:tcW w:w="7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9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12,725</w:t>
            </w: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(10,423)</w:t>
            </w:r>
          </w:p>
        </w:tc>
      </w:tr>
      <w:tr>
        <w:trPr>
          <w:trHeight w:val="213"/>
        </w:trPr>
        <w:tc>
          <w:tcPr>
            <w:tcW w:w="73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9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(50,582)</w:t>
            </w:r>
          </w:p>
        </w:tc>
        <w:tc>
          <w:tcPr>
            <w:tcW w:w="10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167,492</w:t>
            </w:r>
          </w:p>
        </w:tc>
      </w:tr>
      <w:tr>
        <w:trPr>
          <w:trHeight w:val="219"/>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3"/>
        </w:trPr>
        <w:tc>
          <w:tcPr>
            <w:tcW w:w="73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Beginning of period</w:t>
            </w:r>
          </w:p>
        </w:tc>
        <w:tc>
          <w:tcPr>
            <w:tcW w:w="9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456,419</w:t>
            </w:r>
          </w:p>
        </w:tc>
        <w:tc>
          <w:tcPr>
            <w:tcW w:w="10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337,063</w:t>
            </w:r>
          </w:p>
        </w:tc>
      </w:tr>
      <w:tr>
        <w:trPr>
          <w:trHeight w:val="234"/>
        </w:trPr>
        <w:tc>
          <w:tcPr>
            <w:tcW w:w="734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End of period</w:t>
            </w:r>
          </w:p>
        </w:tc>
        <w:tc>
          <w:tcPr>
            <w:tcW w:w="980" w:type="dxa"/>
            <w:vAlign w:val="bottom"/>
            <w:tcBorders>
              <w:bottom w:val="single" w:sz="8" w:color="auto"/>
            </w:tcBorders>
            <w:shd w:val="clear" w:color="auto" w:fill="CCEEFF"/>
          </w:tcPr>
          <w:p>
            <w:pPr>
              <w:jc w:val="right"/>
              <w:ind w:right="803"/>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405,837</w:t>
            </w:r>
          </w:p>
        </w:tc>
        <w:tc>
          <w:tcPr>
            <w:tcW w:w="1040" w:type="dxa"/>
            <w:vAlign w:val="bottom"/>
            <w:tcBorders>
              <w:bottom w:val="single" w:sz="8" w:color="auto"/>
            </w:tcBorders>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504,555</w:t>
            </w:r>
          </w:p>
        </w:tc>
      </w:tr>
      <w:tr>
        <w:trPr>
          <w:trHeight w:val="20"/>
        </w:trPr>
        <w:tc>
          <w:tcPr>
            <w:tcW w:w="7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98"/>
        </w:trPr>
        <w:tc>
          <w:tcPr>
            <w:tcW w:w="7340" w:type="dxa"/>
            <w:vAlign w:val="bottom"/>
          </w:tcPr>
          <w:p>
            <w:pPr>
              <w:spacing w:after="0"/>
              <w:rPr>
                <w:sz w:val="8"/>
                <w:szCs w:val="8"/>
                <w:color w:val="auto"/>
              </w:rPr>
            </w:pPr>
          </w:p>
        </w:tc>
        <w:tc>
          <w:tcPr>
            <w:tcW w:w="9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80" w:type="dxa"/>
            <w:vAlign w:val="bottom"/>
          </w:tcPr>
          <w:p>
            <w:pPr>
              <w:spacing w:after="0"/>
              <w:rPr>
                <w:sz w:val="8"/>
                <w:szCs w:val="8"/>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Non-cash investing activities:</w:t>
            </w:r>
          </w:p>
        </w:tc>
        <w:tc>
          <w:tcPr>
            <w:tcW w:w="9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0"/>
        </w:trPr>
        <w:tc>
          <w:tcPr>
            <w:tcW w:w="7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capital expenditures</w:t>
            </w:r>
          </w:p>
        </w:tc>
        <w:tc>
          <w:tcPr>
            <w:tcW w:w="980" w:type="dxa"/>
            <w:vAlign w:val="bottom"/>
          </w:tcPr>
          <w:p>
            <w:pPr>
              <w:jc w:val="right"/>
              <w:ind w:right="803"/>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11,916</w:t>
            </w:r>
          </w:p>
        </w:tc>
        <w:tc>
          <w:tcPr>
            <w:tcW w:w="1040" w:type="dxa"/>
            <w:vAlign w:val="bottom"/>
          </w:tcPr>
          <w:p>
            <w:pPr>
              <w:jc w:val="right"/>
              <w:ind w:right="801"/>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17,588</w:t>
            </w:r>
          </w:p>
        </w:tc>
      </w:tr>
    </w:tbl>
    <w:p>
      <w:pPr>
        <w:spacing w:after="0" w:line="1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consolidated condensed financial statements.</w:t>
      </w:r>
    </w:p>
    <w:p>
      <w:pPr>
        <w:spacing w:after="0" w:line="200" w:lineRule="exact"/>
        <w:rPr>
          <w:sz w:val="20"/>
          <w:szCs w:val="20"/>
          <w:color w:val="auto"/>
        </w:rPr>
      </w:pPr>
    </w:p>
    <w:p>
      <w:pPr>
        <w:spacing w:after="0" w:line="3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580" w:top="887" w:right="55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Business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Vail Resorts, Inc. (“Vail Resorts”) is organized as a holding company and operates through various subsidiaries. Vail Resorts and its subsidiaries (collectively, the “Company”) operate in three reportable segments: Mountain, Lodging and Real Estate. The Company refers to “Resort” as the combination of the Mountain and Lodging segments.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Mountain segment, the Company operates the following 42 destination mountain resorts and regional ski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5863590" cy="258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6359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*Denotes a destination mountain resort, which generally receives a meaningful portion of skier visits from long-distance travelers, as opposed to the Company’s regional ski areas, which tend to generate skier visits predominantly from their respective local markets.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the Mountain segment includes ancillary services, primarily including ski school, dining and retail/rental operations, and for the Company’s Australian ski areas, including lodging and transportation operations.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Lodging segment, the Company owns and/or manages a collection of luxury hotels and condominiums under its RockResorts brand; other strategic lodging properties and a large number of condominiums located in proximity to the Company’s North American mountain resorts; National Park Service (“NPS”) concessioner properties including the Grand Teton Lodge Company, which operates destination resorts in Grand Teton National Park; a Colorado resort ground transportation company and mountain resort golf courses.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Real Estate segment primarily owns, develops and sells real estate in and around the Company’s resort communities.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mountain business and its lodging properties proximate to the Company’s mountain resorts are seasonal in nature and typically experience their peak operating seasons from mid-December through mid-April in North America and Europe. The peak operating season at the Company’s Australian resorts, NPS concessioner properties and golf courses generally occurs from June to early October.</w:t>
      </w:r>
    </w:p>
    <w:p>
      <w:pPr>
        <w:spacing w:after="0" w:line="172"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1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Consolidated Condensed Financial Statements — </w:t>
      </w:r>
      <w:r>
        <w:rPr>
          <w:rFonts w:ascii="Times New Roman" w:cs="Times New Roman" w:eastAsia="Times New Roman" w:hAnsi="Times New Roman"/>
          <w:sz w:val="18"/>
          <w:szCs w:val="18"/>
          <w:color w:val="auto"/>
        </w:rPr>
        <w:t>In the opinion of the Company, the accompanying Consolidated Condensed Financial Statements reflect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adjustments necessary to state fairly the Company’s financial position, results of operations and</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9" w:name="page10"/>
    <w:bookmarkEnd w:id="9"/>
    <w:p>
      <w:pPr>
        <w:jc w:val="both"/>
        <w:spacing w:after="0" w:line="256" w:lineRule="auto"/>
        <w:rPr>
          <w:sz w:val="20"/>
          <w:szCs w:val="20"/>
          <w:color w:val="auto"/>
        </w:rPr>
      </w:pPr>
      <w:r>
        <w:rPr>
          <w:rFonts w:ascii="Times New Roman" w:cs="Times New Roman" w:eastAsia="Times New Roman" w:hAnsi="Times New Roman"/>
          <w:sz w:val="18"/>
          <w:szCs w:val="18"/>
          <w:color w:val="auto"/>
        </w:rPr>
        <w:t>cash flows for the interim periods presented. All such adjustments are of a normal recurring nature. Results for interim periods are not indicative of the results for the entire fiscal year, particularly given the significant seasonality to the Company’s operating cycle. The accompanying Consolidated Condensed Financial Statements should be read in conjunction with the audited Consolidated Financial Statements included in the Company’s Annual Report on Form 10-K for the fiscal year ended July 31, 2025. Certain information and footnote disclosures, including significant accounting policies, normally included in fiscal year financial statements prepared in accordance with accounting principles generally accepted in the U.S. (“GAAP”) have been condensed or omitted. The Consolidated Condensed Balance Sheet as of July 31, 2025, was derived from audited financial statements.</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 The preparation of financial statements in conformity with GAAP requires management to make estimates and assumptions that affect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reported amounts of assets and liabilities, the disclosure of contingent assets and liabilities at the balance sheet date and the reported amounts of revenue and expenses during the reporting periods. Actual results could differ from those estimates.</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Fair Value of Financial Instruments </w:t>
      </w:r>
      <w:r>
        <w:rPr>
          <w:rFonts w:ascii="Times New Roman" w:cs="Times New Roman" w:eastAsia="Times New Roman" w:hAnsi="Times New Roman"/>
          <w:sz w:val="18"/>
          <w:szCs w:val="18"/>
          <w:color w:val="auto"/>
        </w:rPr>
        <w:t>— The estimated fair values of the 6.50% Notes and 5.625% Notes (both described in Note 5, Long-Term Debt)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quoted market prices (a Level 2 input). The fair value of the NRP Loan (as defined in Note 5, Long-Term Debt) has been estimated using current borrowing rates for comparable debt instruments with similar maturity dates (a Level 2 input). The fair value of the EPR Secured Notes (as defined in Note 5, Long-Term Debt) has been estimated using current borrowing rates for comparable debt instruments with similar maturity dates (a Level 2 input) and future revenue projections (a Level 3 input). The carrying values, including any unamortized premium or discount, and estimated fair values of the 6.50% Notes, 5.625% Notes, EPR Secured Notes and NRP Loan as of January 31, 2026 are presented below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1060" w:type="dxa"/>
            <w:vAlign w:val="bottom"/>
          </w:tcPr>
          <w:p>
            <w:pPr>
              <w:spacing w:after="0"/>
              <w:rPr>
                <w:sz w:val="16"/>
                <w:szCs w:val="16"/>
                <w:color w:val="auto"/>
              </w:rPr>
            </w:pPr>
          </w:p>
        </w:tc>
      </w:tr>
      <w:tr>
        <w:trPr>
          <w:trHeight w:val="23"/>
        </w:trPr>
        <w:tc>
          <w:tcPr>
            <w:tcW w:w="79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31"/>
        </w:trPr>
        <w:tc>
          <w:tcPr>
            <w:tcW w:w="79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tcPr>
          <w:p>
            <w:pPr>
              <w:jc w:val="right"/>
              <w:ind w:right="438"/>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620" w:type="dxa"/>
            <w:vAlign w:val="bottom"/>
          </w:tcPr>
          <w:p>
            <w:pPr>
              <w:spacing w:after="0"/>
              <w:rPr>
                <w:sz w:val="11"/>
                <w:szCs w:val="11"/>
                <w:color w:val="auto"/>
              </w:rPr>
            </w:pPr>
          </w:p>
        </w:tc>
        <w:tc>
          <w:tcPr>
            <w:tcW w:w="1060" w:type="dxa"/>
            <w:vAlign w:val="bottom"/>
          </w:tcPr>
          <w:p>
            <w:pPr>
              <w:jc w:val="right"/>
              <w:ind w:right="616"/>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5"/>
        </w:trPr>
        <w:tc>
          <w:tcPr>
            <w:tcW w:w="79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28"/>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6.50% Notes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6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622,356</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5.625% Notes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6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508,270</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EPR Secured Notes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114,162</w:t>
            </w:r>
          </w:p>
        </w:tc>
        <w:tc>
          <w:tcPr>
            <w:tcW w:w="6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164,663</w:t>
            </w:r>
          </w:p>
        </w:tc>
      </w:tr>
      <w:tr>
        <w:trPr>
          <w:trHeight w:val="229"/>
        </w:trPr>
        <w:tc>
          <w:tcPr>
            <w:tcW w:w="7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NRP Loan</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37,308</w:t>
            </w:r>
          </w:p>
        </w:tc>
        <w:tc>
          <w:tcPr>
            <w:tcW w:w="6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29,923</w:t>
            </w: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for all other financial instruments not included in the above table approximate their respective fair value due to their short-term nature or the variable nature of their associated interest rates.</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Revision of Previously Issued Consolidated Financial Statements — </w:t>
      </w:r>
      <w:r>
        <w:rPr>
          <w:rFonts w:ascii="Times New Roman" w:cs="Times New Roman" w:eastAsia="Times New Roman" w:hAnsi="Times New Roman"/>
          <w:sz w:val="18"/>
          <w:szCs w:val="18"/>
          <w:color w:val="auto"/>
        </w:rPr>
        <w:t>During the fourth quarter of fiscal 2025, the Company identified an immaterial error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accounting for the EPR Secured Notes, which resulted in an understatement of non-cash interest expense, long-term debt due within one year and long-term debt, net as of and for the years ended July 31, 2024 and July 31, 2023. The Company also identified an immaterial error in its accounting for certain completed capital projects, which resulted in an understatement of depreciation expense and overstatement of property, plant and equipment, net as of and for the years ended July 31, 2024 and July 31, 2023. The Company evaluated the errors and concluded that they were not material, individually or in the aggregate, to its previously issued Consolidated Financial Statements.</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correct the immaterial errors, the Company elected to revise its previously issued Consolidated Financial Statements as of and for the years ended July 31, 2024 and July 31, 2023 and its unaudited Consolidated Condensed Financial Statements as of and for the three and six months ended January 31, 2025. The revision also includes the correction of other previously identified immaterial errors in its Consolidated Financial Statements as of and for the years ended July 31, 2024 and July 31, 2023 and its unaudited Consolidated Condensed Financial Statements as of and for the three and six months ended January 31, 2025, which the Company had evaluated or recorded as out of period adjustments in prior periods. The Company had previously determined that these errors did not, individually or in the aggregate, result in a material error of its previously issued Consolidated Financial Statements as of and for the years ended July 31, 2024 and July 31, 2023 and its unaudited Consolidated Condensed Financial Statements as of and for the three and six months ended January 31, 2025. Further information regarding the errors and related revisions is included in Note 11, Revision of Previously Issued Consolidated Condensed Financial Statements.</w:t>
      </w:r>
    </w:p>
    <w:p>
      <w:pPr>
        <w:spacing w:after="0" w:line="18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presented the revision of its previously issued Consolidated Financial Statements as of and for the years ended July 31, 2024 and July 31, 2023 in connection with the filing of its 2025 Annual Report on Form 10-K. The Company is presenting the revision of its previously issued unaudited Consolidated Condensed Financial Statements as of and for the three and six months ended January 31, 2025 in the accompanying unaudited Consolidated Condensed Financial Statements and related disclosures.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Standards Being Evaluated</w:t>
      </w:r>
    </w:p>
    <w:p>
      <w:pPr>
        <w:spacing w:after="0" w:line="10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December 2023, the Financial Accounting Standards Board (the “FASB”) issued Accounting Standards Update (“ASU”) 2023-09, “Income Taxes (Topic 740): Improvements to Income Tax Disclosures,” which includes amendments that further enhance the transparency and decision usefulness of income tax disclosures, primarily through standardization and disaggregation of rate reconciliation categories and income taxes paid by jurisdiction. This update is effective for annual periods beginning after December 15, 2024 (the Company’s fiscal year ending July 31, 2026). The Company will adopt the standard during the fourth quarter of its fiscal year ending July 31, 2026. The adoption will not materially affect the Company’s financial position or results of operations, but the Company expects the adoption to result in additional disclosures.</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which will expand the disclosures regarding a public entity’s expenses by providing disaggregation of certain costs and expenses. The ASU primarily requires that, for each interim and annual reporting period, an entity disclose the amounts of purchases of inventory, employee compensation, depreciation, and intangible asset amortization, as well as other certain qualitative disclosures regarding costs and expenses. The ASU is effective for fiscal years beginning after December 15, 2026 (the Company’s fiscal year ending July 31, 2028), and interim periods thereafter, with early adoption permitted. The Company is in the process of evaluating the effect that the adoption of this standard will have on its financial statements, including determining the timing of adoption.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September 2025, the FASB issued ASU 2025-06, “Intangibles—Goodwill and Other—Internal-Use Software (Subtopic 350-40). The amendments in this update remove all references to prescriptive and sequential software development stages (referred to as “project stages”) throughout Subtopic 350-40. Therefore, an entity will start capitalizing software costs when management has authorized and committed to funding the software project and it is probable that the project will be completed and that the software will be used to perform the function intended. This ASU allows for prospective, modified or retrospective transition. The ASU is effective for fiscal years beginning after December 15, 2027 (the Company’s fiscal year ending July 31, 2029) and interim reporting periods within those annual periods, with early adoption permitted. The Company is in the process of evaluating the effect that the adoption of this standard will have on its financial statements, including determining the timing and method of adoption.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2025, the FASB issued ASU 2025-10, “Government Grants (Topic 832): Accounting for Government Grants Received by Business Entities.” The amendments in this update establish authoritative guidance the recognition, measurement, presentation, and disclosure of government grants. Under ASU 2025-10, government grants are recognized when it is probable that the entity will both comply with the conditions of the grant and the grant will be received. The ASU provides specific accounting models for grants related to assets and grants related to income, including options to recognize government grants as deferred income or as a reduction of the asset’s cost basis. The ASU also requires enhanced disclosures regarding the nature of government grants, significant terms and conditions, accounting policies applied, and amounts recognized in the financial statements. The ASU is effective for fiscal years beginning after December 15, 2028 (the Company’s fiscal year ending July 31, 2030) and interim reporting periods within those annual periods, with early adoption permitted. The Company is in the process of evaluating the effect that the adoption of this standard will have on its financial statements, including determining the timing of adoption.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1" w:name="page12"/>
    <w:bookmarkEnd w:id="11"/>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tab/>
        <w:t>Revenues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net revenues disaggregated by segment and major revenue type for the three and six months ended January 31, 2026 and 2025 (in thousands):</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3"/>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c>
          <w:tcPr>
            <w:tcW w:w="380" w:type="dxa"/>
            <w:vAlign w:val="bottom"/>
          </w:tcPr>
          <w:p>
            <w:pPr>
              <w:spacing w:after="0"/>
              <w:rPr>
                <w:sz w:val="16"/>
                <w:szCs w:val="16"/>
                <w:color w:val="auto"/>
              </w:rPr>
            </w:pPr>
          </w:p>
        </w:tc>
        <w:tc>
          <w:tcPr>
            <w:tcW w:w="2580" w:type="dxa"/>
            <w:vAlign w:val="bottom"/>
            <w:gridSpan w:val="3"/>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Six Months Ended January 31,</w:t>
            </w:r>
          </w:p>
        </w:tc>
      </w:tr>
      <w:tr>
        <w:trPr>
          <w:trHeight w:val="23"/>
        </w:trPr>
        <w:tc>
          <w:tcPr>
            <w:tcW w:w="5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2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Mountain net revenue: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Lift</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625,927</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644,918</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675,570</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685,341</w:t>
            </w:r>
          </w:p>
        </w:tc>
      </w:tr>
      <w:tr>
        <w:trPr>
          <w:trHeight w:val="229"/>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Ski School</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120,625</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133,009</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128,511</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139,848</w:t>
            </w:r>
          </w:p>
        </w:tc>
      </w:tr>
      <w:tr>
        <w:trPr>
          <w:trHeight w:val="229"/>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Dining</w:t>
            </w:r>
          </w:p>
        </w:tc>
        <w:tc>
          <w:tcPr>
            <w:tcW w:w="34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84,625</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90,907</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104,412</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111,535</w:t>
            </w:r>
          </w:p>
        </w:tc>
      </w:tr>
      <w:tr>
        <w:trPr>
          <w:trHeight w:val="230"/>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Retail/Rental</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126,012</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135,159</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156,803</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164,685</w:t>
            </w:r>
          </w:p>
        </w:tc>
      </w:tr>
      <w:tr>
        <w:trPr>
          <w:trHeight w:val="229"/>
        </w:trPr>
        <w:tc>
          <w:tcPr>
            <w:tcW w:w="5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55,115</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59,101</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132,247</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134,981</w:t>
            </w:r>
          </w:p>
        </w:tc>
      </w:tr>
      <w:tr>
        <w:trPr>
          <w:trHeight w:val="223"/>
        </w:trPr>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Mountain net revenue</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1,012,304</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1,063,094</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1,197,543</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1,236,390</w:t>
            </w: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Lodging net revenue:</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Owned hotel rooms</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12,741</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13,439</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41,188</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41,514</w:t>
            </w:r>
          </w:p>
        </w:tc>
      </w:tr>
      <w:tr>
        <w:trPr>
          <w:trHeight w:val="229"/>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Managed condominium rooms</w:t>
            </w:r>
          </w:p>
        </w:tc>
        <w:tc>
          <w:tcPr>
            <w:tcW w:w="34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26,089</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27,074</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35,779</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38,779</w:t>
            </w:r>
          </w:p>
        </w:tc>
      </w:tr>
      <w:tr>
        <w:trPr>
          <w:trHeight w:val="229"/>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Dining</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13,379</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13,754</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32,761</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33,706</w:t>
            </w:r>
          </w:p>
        </w:tc>
      </w:tr>
      <w:tr>
        <w:trPr>
          <w:trHeight w:val="230"/>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Transportation</w:t>
            </w:r>
          </w:p>
        </w:tc>
        <w:tc>
          <w:tcPr>
            <w:tcW w:w="340" w:type="dxa"/>
            <w:vAlign w:val="bottom"/>
          </w:tcPr>
          <w:p>
            <w:pPr>
              <w:spacing w:after="0"/>
              <w:rPr>
                <w:sz w:val="19"/>
                <w:szCs w:val="19"/>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4,804</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5,507</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6,213</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7,041</w:t>
            </w:r>
          </w:p>
        </w:tc>
      </w:tr>
      <w:tr>
        <w:trPr>
          <w:trHeight w:val="229"/>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Golf</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8,054</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7,801</w:t>
            </w:r>
          </w:p>
        </w:tc>
      </w:tr>
      <w:tr>
        <w:trPr>
          <w:trHeight w:val="229"/>
        </w:trPr>
        <w:tc>
          <w:tcPr>
            <w:tcW w:w="5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10,202</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10,415</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25,094</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25,131</w:t>
            </w:r>
          </w:p>
        </w:tc>
      </w:tr>
      <w:tr>
        <w:trPr>
          <w:trHeight w:val="223"/>
        </w:trPr>
        <w:tc>
          <w:tcPr>
            <w:tcW w:w="5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67,215</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70,189</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149,089</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153,972</w:t>
            </w:r>
          </w:p>
        </w:tc>
      </w:tr>
      <w:tr>
        <w:trPr>
          <w:trHeight w:val="229"/>
        </w:trPr>
        <w:tc>
          <w:tcPr>
            <w:tcW w:w="5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Payroll cost reimbursements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4,371</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8,207</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6,904</w:t>
            </w:r>
          </w:p>
        </w:tc>
      </w:tr>
      <w:tr>
        <w:trPr>
          <w:trHeight w:val="223"/>
        </w:trPr>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Lodging net revenue</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71,586</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73,960</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157,296</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160,876</w:t>
            </w: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Resort net revenue</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1,083,890</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1,137,054</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1,354,839</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1,397,266</w:t>
            </w:r>
          </w:p>
        </w:tc>
      </w:tr>
      <w:tr>
        <w:trPr>
          <w:trHeight w:val="230"/>
        </w:trPr>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Real Estate net revenue</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23"/>
        </w:trPr>
        <w:tc>
          <w:tcPr>
            <w:tcW w:w="5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Total net revenue</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1,083,932</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1,137,225</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1,354,961</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1,397,500</w:t>
            </w: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Deferred revenue balances of a short-term nature were $717.5 million, $602.1 million and $688.4 million as of January 31, 2026, July 31, 2025 and January 31, 2025 respectively. For the three and six months ended January 31, 2026, the Company recognized approximately $255.5 million and $308.8 million, respectively, of revenue that was included in the deferred revenue balance as of July 31, 2025. Deferred revenue balances of a long-term nature, comprised primarily of long-term private club initiation fee revenue, were $96.5 million, $99.4 million and $103.1 million as of January 31, 2026, July 31, 2025 and January 31, 2025, respectively. As of January 31, 2026, the weighted average remaining period over which revenue for unsatisfied performance obligations on long-term private club contracts will be recognized was approximately 14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to Obtain Contracts with Customers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Costs to obtain contracts with customers are recorded within other current assets on the Company’s Consolidated Condensed Balance Sheets and were $16.1 million, $6.6 million and $14.3 million as of January 31, 2026, July 31, 2025 and January 31, 2025, respectively. The amounts capitalized are subject to amortization generally beginning in the second quarter of each fiscal year, commensurate with the recognition of revenue for related pass products. The Company recorded amortization of $15.6 million and $14.9 million for these costs during both the three and six months ended January 31, 2026 and January 31, 2025, respectively, which was recorded within Mountain and Lodging operating expense on the Company’s Consolidated Condensed Statements of Operations.</w:t>
      </w:r>
    </w:p>
    <w:p>
      <w:pPr>
        <w:spacing w:after="0" w:line="18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Net Income per Share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earnings per share (“EPS”) excludes dilution and is computed by dividing net income attributable to Vail Resorts stockholders by the weighted-average shares outstanding during the period. Diluted EPS reflects the potential dilution that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2" w:name="page13"/>
    <w:bookmarkEnd w:id="12"/>
    <w:p>
      <w:pPr>
        <w:jc w:val="both"/>
        <w:spacing w:after="0" w:line="282" w:lineRule="auto"/>
        <w:rPr>
          <w:sz w:val="20"/>
          <w:szCs w:val="20"/>
          <w:color w:val="auto"/>
        </w:rPr>
      </w:pPr>
      <w:r>
        <w:rPr>
          <w:rFonts w:ascii="Times New Roman" w:cs="Times New Roman" w:eastAsia="Times New Roman" w:hAnsi="Times New Roman"/>
          <w:sz w:val="18"/>
          <w:szCs w:val="18"/>
          <w:color w:val="auto"/>
        </w:rPr>
        <w:t>could occur if securities or other contracts to issue common stock were exercised, resulting in the issuance of shares of common stock that would then share in the earnings of Vail Resorts.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below is basic and diluted EPS for the three months ended January 31, 2026 and 2025 (in thousands, except per share amounts):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60" w:type="dxa"/>
            <w:vAlign w:val="bottom"/>
            <w:gridSpan w:val="3"/>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5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5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20" w:type="dxa"/>
            <w:vAlign w:val="bottom"/>
            <w:tcBorders>
              <w:bottom w:val="single" w:sz="8" w:color="auto"/>
            </w:tcBorders>
          </w:tcPr>
          <w:p>
            <w:pPr>
              <w:spacing w:after="0"/>
              <w:rPr>
                <w:sz w:val="16"/>
                <w:szCs w:val="16"/>
                <w:color w:val="auto"/>
              </w:rPr>
            </w:pPr>
          </w:p>
        </w:tc>
      </w:tr>
      <w:tr>
        <w:trPr>
          <w:trHeight w:val="196"/>
        </w:trPr>
        <w:tc>
          <w:tcPr>
            <w:tcW w:w="53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Basic</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Basic</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Diluted</w:t>
            </w: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Vail Resorts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210,007</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210,007</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244,376</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244,376</w:t>
            </w: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35,753</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35,753</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37,382</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37,382</w:t>
            </w:r>
          </w:p>
        </w:tc>
      </w:tr>
      <w:tr>
        <w:trPr>
          <w:trHeight w:val="230"/>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30</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53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shares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35,753</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35,783</w:t>
            </w: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37,382</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37,425</w:t>
            </w:r>
          </w:p>
        </w:tc>
      </w:tr>
      <w:tr>
        <w:trPr>
          <w:trHeight w:val="223"/>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Vail Resorts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5.87</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5.87</w:t>
            </w:r>
          </w:p>
        </w:tc>
        <w:tc>
          <w:tcPr>
            <w:tcW w:w="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6.54</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w:t>
            </w: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computes the effect of dilutive securities using the treasury stock method and average market prices during the period. The number of shares issuable upon the exercise of share-based awards excluded from the calculation of diluted EPS because the effect of their inclusion would have been anti-dilutive totaled approximately 5,000 and 41,000 for the three months ended January 31, 2026 and 2025,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Presented below is basic and diluted EPS for the six months ended January 31, 2026 and 2025 (in thousands, except per share amounts):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40" w:type="dxa"/>
            <w:vAlign w:val="bottom"/>
            <w:gridSpan w:val="3"/>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Six Months Ended January 31,</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5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5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20" w:type="dxa"/>
            <w:vAlign w:val="bottom"/>
            <w:tcBorders>
              <w:bottom w:val="single" w:sz="8" w:color="auto"/>
            </w:tcBorders>
          </w:tcPr>
          <w:p>
            <w:pPr>
              <w:spacing w:after="0"/>
              <w:rPr>
                <w:sz w:val="16"/>
                <w:szCs w:val="16"/>
                <w:color w:val="auto"/>
              </w:rPr>
            </w:pPr>
          </w:p>
        </w:tc>
      </w:tr>
      <w:tr>
        <w:trPr>
          <w:trHeight w:val="196"/>
        </w:trPr>
        <w:tc>
          <w:tcPr>
            <w:tcW w:w="53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Basic</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Basic</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Diluted</w:t>
            </w: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Vail Resorts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23,255</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23,255</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71,121</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71,121</w:t>
            </w: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35,832</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35,832</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37,428</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37,428</w:t>
            </w:r>
          </w:p>
        </w:tc>
      </w:tr>
      <w:tr>
        <w:trPr>
          <w:trHeight w:val="230"/>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42</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3"/>
        </w:trPr>
        <w:tc>
          <w:tcPr>
            <w:tcW w:w="53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shares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35,832</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35,874</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37,428</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37,480</w:t>
            </w:r>
          </w:p>
        </w:tc>
      </w:tr>
      <w:tr>
        <w:trPr>
          <w:trHeight w:val="223"/>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Vail Resorts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0.65</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0.65</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1.90</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0"/>
        </w:trPr>
        <w:tc>
          <w:tcPr>
            <w:tcW w:w="5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number of shares issuable upon the exercise of share-based awards excluded from the calculation of diluted EPS because the effect of their inclusion would have been anti-dilutive totaled approximately 10,000 and 21,000 for the six months ended January 31, 2026 and 2025 respectively.</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December 2020, the Company completed an offering of $575.0 million in aggregate principal amount of 0.0% Convertible Notes (as defined in Note 5, Long-Term Debt). The Company was required to settle the principal amount of the 0.0% Convertible Notes in cash and had the option to settle the conversion spread in cash or shares. The Company used the if-converted method to calculate the impact of convertible instruments on diluted EPS when the instruments could be settled in cash or shares. If the conversion value of the 0.0% Convertible Notes exceeded their conversion price, then the Company would calculate its diluted EPS as if all the notes were converted into common stock at the beginning of the period. However, if reflecting the 0.0% Convertible Notes in diluted EPS in this manner was anti-dilutive, or if the conversion value of the notes did not exceed their conversion price for a reporting period, then the shares underlying the notes would not be reflected in the Company’s calculation of diluted EPS. On January 2, 2026, the maturity date of the 0.0% Convertible Notes, the Company settled the remaining principal amount in cash. For the three and six months ended January 31, 2026 and 2025, the price of Vail Resorts, Inc. common stock (“Vail Shares”) did not exceed the conversion price and therefore there was no impact to diluted EPS during those periods.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January 31, 2026, the Company paid cash dividends of $2.22 and $4.44 per share, respectively ($79.1 million and $158.9 million, respectively). During the three and six months ended January 31, 2025, the Company paid cash dividends of $2.22 and $4.44 per share, respectively ($82.8 million and $166.0 million, respectively). On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spacing w:after="0" w:line="282" w:lineRule="auto"/>
        <w:rPr>
          <w:sz w:val="20"/>
          <w:szCs w:val="20"/>
          <w:color w:val="auto"/>
        </w:rPr>
      </w:pPr>
      <w:r>
        <w:rPr>
          <w:rFonts w:ascii="Times New Roman" w:cs="Times New Roman" w:eastAsia="Times New Roman" w:hAnsi="Times New Roman"/>
          <w:sz w:val="18"/>
          <w:szCs w:val="18"/>
          <w:color w:val="auto"/>
        </w:rPr>
        <w:t>March 5, 2026, the Company’s Board of Directors approved a cash dividend of $2.22 per share payable on April 9, 2026 to stockholders of record as of March 26, 2026.</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Long-Term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net as of January 31, 2026, July 31, 2025 and January 31, 2025 is summarized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148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340" w:type="dxa"/>
            <w:vAlign w:val="bottom"/>
          </w:tcPr>
          <w:p>
            <w:pPr>
              <w:spacing w:after="0"/>
              <w:rPr>
                <w:sz w:val="16"/>
                <w:szCs w:val="16"/>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260" w:type="dxa"/>
            <w:vAlign w:val="bottom"/>
          </w:tcPr>
          <w:p>
            <w:pPr>
              <w:spacing w:after="0"/>
              <w:rPr>
                <w:sz w:val="16"/>
                <w:szCs w:val="16"/>
                <w:color w:val="auto"/>
              </w:rPr>
            </w:pPr>
          </w:p>
        </w:tc>
        <w:tc>
          <w:tcPr>
            <w:tcW w:w="126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200" w:type="dxa"/>
            <w:vAlign w:val="bottom"/>
          </w:tcPr>
          <w:p>
            <w:pPr>
              <w:spacing w:after="0"/>
              <w:rPr>
                <w:sz w:val="16"/>
                <w:szCs w:val="16"/>
                <w:color w:val="auto"/>
              </w:rPr>
            </w:pPr>
          </w:p>
        </w:tc>
        <w:tc>
          <w:tcPr>
            <w:tcW w:w="126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January 31, 2025</w:t>
            </w:r>
          </w:p>
        </w:tc>
      </w:tr>
      <w:tr>
        <w:trPr>
          <w:trHeight w:val="23"/>
        </w:trPr>
        <w:tc>
          <w:tcPr>
            <w:tcW w:w="5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51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Vail Holdings Credit Agreement term loan </w:t>
            </w:r>
            <w:r>
              <w:rPr>
                <w:rFonts w:ascii="Times New Roman" w:cs="Times New Roman" w:eastAsia="Times New Roman" w:hAnsi="Times New Roman"/>
                <w:sz w:val="23"/>
                <w:szCs w:val="23"/>
                <w:color w:val="auto"/>
                <w:vertAlign w:val="superscript"/>
              </w:rPr>
              <w:t>(a)</w:t>
            </w:r>
          </w:p>
        </w:tc>
        <w:tc>
          <w:tcPr>
            <w:tcW w:w="1480" w:type="dxa"/>
            <w:vAlign w:val="bottom"/>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9"/>
              </w:rPr>
              <w:t>2029</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1,160,937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910,547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935,156</w:t>
            </w:r>
          </w:p>
        </w:tc>
      </w:tr>
      <w:tr>
        <w:trPr>
          <w:trHeight w:val="229"/>
        </w:trPr>
        <w:tc>
          <w:tcPr>
            <w:tcW w:w="5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Vail Holdings Credit Agreement revolver </w:t>
            </w:r>
            <w:r>
              <w:rPr>
                <w:rFonts w:ascii="Times New Roman" w:cs="Times New Roman" w:eastAsia="Times New Roman" w:hAnsi="Times New Roman"/>
                <w:sz w:val="23"/>
                <w:szCs w:val="23"/>
                <w:color w:val="auto"/>
                <w:vertAlign w:val="superscript"/>
              </w:rPr>
              <w:t>(a)</w:t>
            </w:r>
          </w:p>
        </w:tc>
        <w:tc>
          <w:tcPr>
            <w:tcW w:w="148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2029</w:t>
            </w:r>
          </w:p>
        </w:tc>
        <w:tc>
          <w:tcPr>
            <w:tcW w:w="34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6.50% Notes</w:t>
            </w:r>
          </w:p>
        </w:tc>
        <w:tc>
          <w:tcPr>
            <w:tcW w:w="1480" w:type="dxa"/>
            <w:vAlign w:val="bottom"/>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9"/>
              </w:rPr>
              <w:t>2032</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600,000</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600,000</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5.625% Notes</w:t>
            </w:r>
          </w:p>
        </w:tc>
        <w:tc>
          <w:tcPr>
            <w:tcW w:w="148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2030</w:t>
            </w:r>
          </w:p>
        </w:tc>
        <w:tc>
          <w:tcPr>
            <w:tcW w:w="34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tcPr>
          <w:p>
            <w:pPr>
              <w:spacing w:after="0"/>
              <w:rPr>
                <w:sz w:val="19"/>
                <w:szCs w:val="19"/>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500,000</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0.0% Convertible Notes </w:t>
            </w:r>
            <w:r>
              <w:rPr>
                <w:rFonts w:ascii="Times New Roman" w:cs="Times New Roman" w:eastAsia="Times New Roman" w:hAnsi="Times New Roman"/>
                <w:sz w:val="23"/>
                <w:szCs w:val="23"/>
                <w:color w:val="auto"/>
                <w:vertAlign w:val="superscript"/>
              </w:rPr>
              <w:t>(b)</w:t>
            </w:r>
          </w:p>
        </w:tc>
        <w:tc>
          <w:tcPr>
            <w:tcW w:w="1480" w:type="dxa"/>
            <w:vAlign w:val="bottom"/>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9"/>
              </w:rPr>
              <w:t>2026</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525,000</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525,000</w:t>
            </w:r>
          </w:p>
        </w:tc>
      </w:tr>
      <w:tr>
        <w:trPr>
          <w:trHeight w:val="230"/>
        </w:trPr>
        <w:tc>
          <w:tcPr>
            <w:tcW w:w="5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Whistler Credit Agreement revolver </w:t>
            </w:r>
            <w:r>
              <w:rPr>
                <w:rFonts w:ascii="Times New Roman" w:cs="Times New Roman" w:eastAsia="Times New Roman" w:hAnsi="Times New Roman"/>
                <w:sz w:val="23"/>
                <w:szCs w:val="23"/>
                <w:color w:val="auto"/>
                <w:vertAlign w:val="superscript"/>
              </w:rPr>
              <w:t>(c)</w:t>
            </w:r>
          </w:p>
        </w:tc>
        <w:tc>
          <w:tcPr>
            <w:tcW w:w="148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2030</w:t>
            </w:r>
          </w:p>
        </w:tc>
        <w:tc>
          <w:tcPr>
            <w:tcW w:w="34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EPR Secured Notes </w:t>
            </w:r>
            <w:r>
              <w:rPr>
                <w:rFonts w:ascii="Times New Roman" w:cs="Times New Roman" w:eastAsia="Times New Roman" w:hAnsi="Times New Roman"/>
                <w:sz w:val="23"/>
                <w:szCs w:val="23"/>
                <w:color w:val="auto"/>
                <w:vertAlign w:val="superscript"/>
              </w:rPr>
              <w:t>(d)</w:t>
            </w:r>
          </w:p>
        </w:tc>
        <w:tc>
          <w:tcPr>
            <w:tcW w:w="1480" w:type="dxa"/>
            <w:vAlign w:val="bottom"/>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w w:val="99"/>
              </w:rPr>
              <w:t>2034-2036</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114,162</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114,162</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114,162</w:t>
            </w: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NRP Loan</w:t>
            </w:r>
          </w:p>
        </w:tc>
        <w:tc>
          <w:tcPr>
            <w:tcW w:w="148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2036</w:t>
            </w:r>
          </w:p>
        </w:tc>
        <w:tc>
          <w:tcPr>
            <w:tcW w:w="34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37,308</w:t>
            </w:r>
          </w:p>
        </w:tc>
        <w:tc>
          <w:tcPr>
            <w:tcW w:w="260" w:type="dxa"/>
            <w:vAlign w:val="bottom"/>
          </w:tcPr>
          <w:p>
            <w:pPr>
              <w:spacing w:after="0"/>
              <w:rPr>
                <w:sz w:val="19"/>
                <w:szCs w:val="19"/>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37,109</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34,260</w:t>
            </w: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housing bonds</w:t>
            </w:r>
          </w:p>
        </w:tc>
        <w:tc>
          <w:tcPr>
            <w:tcW w:w="1480" w:type="dxa"/>
            <w:vAlign w:val="bottom"/>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w w:val="99"/>
              </w:rPr>
              <w:t>2027-2039</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52,575</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52,575</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52,575</w:t>
            </w: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Canyons obligation</w:t>
            </w:r>
          </w:p>
        </w:tc>
        <w:tc>
          <w:tcPr>
            <w:tcW w:w="148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2063</w:t>
            </w:r>
          </w:p>
        </w:tc>
        <w:tc>
          <w:tcPr>
            <w:tcW w:w="34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377,698</w:t>
            </w:r>
          </w:p>
        </w:tc>
        <w:tc>
          <w:tcPr>
            <w:tcW w:w="260" w:type="dxa"/>
            <w:vAlign w:val="bottom"/>
          </w:tcPr>
          <w:p>
            <w:pPr>
              <w:spacing w:after="0"/>
              <w:rPr>
                <w:sz w:val="19"/>
                <w:szCs w:val="19"/>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374,864</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372,003</w:t>
            </w:r>
          </w:p>
        </w:tc>
      </w:tr>
      <w:tr>
        <w:trPr>
          <w:trHeight w:val="229"/>
        </w:trPr>
        <w:tc>
          <w:tcPr>
            <w:tcW w:w="51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Canyons Parking Garage </w:t>
            </w:r>
            <w:r>
              <w:rPr>
                <w:rFonts w:ascii="Times New Roman" w:cs="Times New Roman" w:eastAsia="Times New Roman" w:hAnsi="Times New Roman"/>
                <w:sz w:val="23"/>
                <w:szCs w:val="23"/>
                <w:color w:val="auto"/>
                <w:vertAlign w:val="superscript"/>
              </w:rPr>
              <w:t>(e)</w:t>
            </w:r>
          </w:p>
        </w:tc>
        <w:tc>
          <w:tcPr>
            <w:tcW w:w="1480" w:type="dxa"/>
            <w:vAlign w:val="bottom"/>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9"/>
              </w:rPr>
              <w:t>2063</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22,210</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Whistler Blackcomb employee housing leases</w:t>
            </w:r>
          </w:p>
        </w:tc>
        <w:tc>
          <w:tcPr>
            <w:tcW w:w="148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2042</w:t>
            </w:r>
          </w:p>
        </w:tc>
        <w:tc>
          <w:tcPr>
            <w:tcW w:w="34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27,693</w:t>
            </w:r>
          </w:p>
        </w:tc>
        <w:tc>
          <w:tcPr>
            <w:tcW w:w="260" w:type="dxa"/>
            <w:vAlign w:val="bottom"/>
          </w:tcPr>
          <w:p>
            <w:pPr>
              <w:spacing w:after="0"/>
              <w:rPr>
                <w:sz w:val="19"/>
                <w:szCs w:val="19"/>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27,416</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26,331</w:t>
            </w:r>
          </w:p>
        </w:tc>
      </w:tr>
      <w:tr>
        <w:trPr>
          <w:trHeight w:val="229"/>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80" w:type="dxa"/>
            <w:vAlign w:val="bottom"/>
            <w:tcBorders>
              <w:bottom w:val="single" w:sz="8" w:color="auto"/>
            </w:tcBorders>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w w:val="99"/>
              </w:rPr>
              <w:t>2026-2037</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35,157</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52,332</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49,752</w:t>
            </w:r>
          </w:p>
        </w:tc>
      </w:tr>
      <w:tr>
        <w:trPr>
          <w:trHeight w:val="223"/>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debt</w:t>
            </w: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2,927,740</w:t>
            </w:r>
          </w:p>
        </w:tc>
        <w:tc>
          <w:tcPr>
            <w:tcW w:w="260" w:type="dxa"/>
            <w:vAlign w:val="bottom"/>
          </w:tcPr>
          <w:p>
            <w:pPr>
              <w:spacing w:after="0"/>
              <w:rPr>
                <w:sz w:val="19"/>
                <w:szCs w:val="19"/>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3,194,005</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2,709,239</w:t>
            </w: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premiums, discounts and debt issuance costs</w:t>
            </w:r>
          </w:p>
        </w:tc>
        <w:tc>
          <w:tcPr>
            <w:tcW w:w="1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w:t>
            </w:r>
          </w:p>
        </w:tc>
      </w:tr>
      <w:tr>
        <w:trPr>
          <w:trHeight w:val="230"/>
        </w:trPr>
        <w:tc>
          <w:tcPr>
            <w:tcW w:w="514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Current maturities </w:t>
            </w:r>
            <w:r>
              <w:rPr>
                <w:rFonts w:ascii="Times New Roman" w:cs="Times New Roman" w:eastAsia="Times New Roman" w:hAnsi="Times New Roman"/>
                <w:sz w:val="23"/>
                <w:szCs w:val="23"/>
                <w:color w:val="auto"/>
                <w:vertAlign w:val="superscript"/>
              </w:rPr>
              <w:t>(f)</w:t>
            </w:r>
          </w:p>
        </w:tc>
        <w:tc>
          <w:tcPr>
            <w:tcW w:w="14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73,005</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599,509</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587,169</w:t>
            </w:r>
          </w:p>
        </w:tc>
      </w:tr>
      <w:tr>
        <w:trPr>
          <w:trHeight w:val="248"/>
        </w:trPr>
        <w:tc>
          <w:tcPr>
            <w:tcW w:w="51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debt, net</w:t>
            </w:r>
          </w:p>
        </w:tc>
        <w:tc>
          <w:tcPr>
            <w:tcW w:w="148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2,857,753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2,594,765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2,128,064</w:t>
            </w:r>
          </w:p>
        </w:tc>
      </w:tr>
      <w:tr>
        <w:trPr>
          <w:trHeight w:val="20"/>
        </w:trPr>
        <w:tc>
          <w:tcPr>
            <w:tcW w:w="5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580" w:hanging="329"/>
        <w:spacing w:after="0" w:line="252" w:lineRule="auto"/>
        <w:tabs>
          <w:tab w:leader="none" w:pos="57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Vail Holdings, Inc. (“VHI”), which is a wholly-owned subsidiary of the Company, along with other certain subsidiaries of VHI, and the Company, as guarantors, Bank of America, N.A., as administrative agent, and certain Lenders are party to the Ninth Amended and Restated Credit Agreement (the “Vail Holdings Credit Agreement”). The Vail Holdings Credit Agreement has a maturity date of April 24, 2029 for both the revolver facility, which was undrawn as of January 31, 2026, and the term loan facility, which had an outstanding balance of $1.2 billion as of January 31, 2026. The term loan is subject to quarterly amortization of principal, in equal installments, for a total of 5% of principal payable in each year and the final payment of all amounts outstanding, plus accrued and unpaid interest is due upon maturity in April 2029. The proceeds of the loans made under the Vail Holdings Credit Agreement may be used to fund the Company’s working capital needs, capital expenditures, acquisitions, investments and other general corporate purposes, including the issuance of letters of credit. Borrowings under the Vail Holdings Credit Agreement, including the term loan, bear interest annually at the Secured Overnight Financing Rate (“SOFR”) plus a spread of 1.60% as of January 31, 2026 (5.27% as of January 31, 2026). Interest rate margins may fluctuate based upon the ratio of the Company’s Net Funded Debt to Adjusted EBITDA (as defined in the Vail Holdings Credit Agreement) on a trailing four-quarter basis. The Vail Holdings Credit Agreement also includes a quarterly unused commitment fee, which is equal to a percentage determined by the Net Funded Debt to Adjusted EBITDA ratio, as each such term is defined in the Vail Holdings Credit Agreement, multiplied by the daily amount by which the Vail Holdings Credit Agreement commitment exceeds the total of outstanding loans and outstanding letters of credit (0.30% as of January 31, 2026).</w:t>
      </w:r>
    </w:p>
    <w:p>
      <w:pPr>
        <w:spacing w:after="0" w:line="197" w:lineRule="exact"/>
        <w:rPr>
          <w:rFonts w:ascii="Times New Roman" w:cs="Times New Roman" w:eastAsia="Times New Roman" w:hAnsi="Times New Roman"/>
          <w:sz w:val="18"/>
          <w:szCs w:val="18"/>
          <w:color w:val="auto"/>
        </w:rPr>
      </w:pPr>
    </w:p>
    <w:p>
      <w:pPr>
        <w:jc w:val="both"/>
        <w:ind w:left="58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27, 2025, VHI entered into the First Amendment to the Vail Holdings Credit Agreement (the “First Amendment”) to the Ninth Amended and Restated Credit Agreement. The First Amendment, among other things, increased the revolving credit facility by $100.0 million to an aggregate principal amount of $600.0 million and provided for an incremental term loan facility in aggregate principal amount of $450.0 million in the form of delayed draw term loans, which would become subject to the same interest and principal payment terms and same maturity date as the term loan facility once drawn. On July 2, 2025, the Company reduced the delayed draw term loan commitment by $175.0 million pursuant to the Ninth Amended and Restated Credit Agreement. No other material terms of the Vail Holdings Credit Agreement were amended. On December 26, 2025, the Company drew down the remaining $275.0 million outstanding balance of the delayed draw term loan increasing the total outstanding term loan facility. As of January 31, 2026, the term loan facility had an outstanding balance of $1.2 billion. The incremental term loan borrowings were used to fund the repayment of the 0.0% Convertible Notes.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 w:name="page15"/>
    <w:bookmarkEnd w:id="14"/>
    <w:p>
      <w:pPr>
        <w:jc w:val="both"/>
        <w:ind w:left="329"/>
        <w:spacing w:after="0" w:line="258" w:lineRule="auto"/>
        <w:rPr>
          <w:sz w:val="20"/>
          <w:szCs w:val="20"/>
          <w:color w:val="auto"/>
        </w:rPr>
      </w:pPr>
      <w:r>
        <w:rPr>
          <w:rFonts w:ascii="Times New Roman" w:cs="Times New Roman" w:eastAsia="Times New Roman" w:hAnsi="Times New Roman"/>
          <w:sz w:val="18"/>
          <w:szCs w:val="18"/>
          <w:color w:val="auto"/>
        </w:rPr>
        <w:t>On February 9, 2026, VHI entered into an amendment and restatement of the Ninth Amended and Restated Credit Agreement, dated as of April 24, 2024 (as amended the “Tenth A&amp;R Credit Agreement”). The Tenth A&amp;R Credit Agreement, among other things, (i) replaces the existing term loan facility, with a new $1,275.0 million senior term loan facility; (ii) extends the maturity date of the revolving credit facility and term loan facility; and (iii) reduces the interest rate applicable to borrowings under the Tenth A&amp;R Credit Agreement. Refer to Note 12, Subsequent Events, for additional information.</w:t>
      </w:r>
    </w:p>
    <w:p>
      <w:pPr>
        <w:spacing w:after="0" w:line="183" w:lineRule="exact"/>
        <w:rPr>
          <w:sz w:val="20"/>
          <w:szCs w:val="20"/>
          <w:color w:val="auto"/>
        </w:rPr>
      </w:pPr>
    </w:p>
    <w:p>
      <w:pPr>
        <w:ind w:left="329" w:right="20" w:hanging="329"/>
        <w:spacing w:after="0" w:line="282" w:lineRule="auto"/>
        <w:tabs>
          <w:tab w:leader="none" w:pos="32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 2026, the maturity date of the 0.0% Convertible Notes, the Company repaid the remaining $525.0 million aggregate principal amount. The repayment was funded with the net proceeds from the Company’s delayed draw term loan, in addition to cash on hand.</w:t>
      </w:r>
    </w:p>
    <w:p>
      <w:pPr>
        <w:spacing w:after="0" w:line="188" w:lineRule="exact"/>
        <w:rPr>
          <w:rFonts w:ascii="Times New Roman" w:cs="Times New Roman" w:eastAsia="Times New Roman" w:hAnsi="Times New Roman"/>
          <w:sz w:val="18"/>
          <w:szCs w:val="18"/>
          <w:color w:val="auto"/>
        </w:rPr>
      </w:pPr>
    </w:p>
    <w:p>
      <w:pPr>
        <w:jc w:val="both"/>
        <w:ind w:left="329" w:hanging="329"/>
        <w:spacing w:after="0" w:line="254" w:lineRule="auto"/>
        <w:tabs>
          <w:tab w:leader="none" w:pos="32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Whistler Mountain Resort Limited Partnership (“Whistler LP”) and Blackcomb Skiing Enterprises Limited Partnership (“Blackcomb LP” and together with Whistler LP, the “WB Partnerships”) are party to a credit agreement consisting of a credit facility by and among Whistler LP, Blackcomb LP, certain subsidiaries of Whistler LP and Blackcomb LP and their general partner party thereto as guarantors, the financial institutions party thereto as lenders and The Toronto-Dominion Bank, as administrative agent. On September 24, 2025, we amended the Whistler Credit Agreement primarily to extend the maturity date to September 24, 2030, and to reduce the total size of the credit facility from C$300.0 million to C$250.0 million. The Whistler Credit Agreement uses rates based on SOFR with regard to borrowings under the facility made in U.S. dollars. As of January 31, 2026, there were no borrowings under the Whistler Credit Agreement. The Whistler Credit Agreement also includes a quarterly unused commitment fee based on the Consolidated Total Leverage Ratio, which as of January 31, 2026 is equal to 0.39% per annum.</w:t>
      </w:r>
    </w:p>
    <w:p>
      <w:pPr>
        <w:spacing w:after="0" w:line="218" w:lineRule="exact"/>
        <w:rPr>
          <w:rFonts w:ascii="Times New Roman" w:cs="Times New Roman" w:eastAsia="Times New Roman" w:hAnsi="Times New Roman"/>
          <w:sz w:val="18"/>
          <w:szCs w:val="18"/>
          <w:color w:val="auto"/>
        </w:rPr>
      </w:pPr>
    </w:p>
    <w:p>
      <w:pPr>
        <w:jc w:val="both"/>
        <w:ind w:left="329" w:hanging="329"/>
        <w:spacing w:after="0" w:line="266" w:lineRule="auto"/>
        <w:tabs>
          <w:tab w:leader="none" w:pos="32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2019, in conjunction with the acquisition of Peak Resorts, Inc. (“Peak Resorts”), the Company assumed various secured borrowings (the “EPR Secured Notes”) under the master credit and security agreements and other related agreements, as amended, (collectively, the “EPR Agreements”) with EPT Ski Properties, Inc. and its affiliates (“EPR”). The EPR Secured Notes include the following:</w:t>
      </w:r>
    </w:p>
    <w:p>
      <w:pPr>
        <w:spacing w:after="0" w:line="65" w:lineRule="exact"/>
        <w:rPr>
          <w:rFonts w:ascii="Times New Roman" w:cs="Times New Roman" w:eastAsia="Times New Roman" w:hAnsi="Times New Roman"/>
          <w:sz w:val="18"/>
          <w:szCs w:val="18"/>
          <w:color w:val="auto"/>
        </w:rPr>
      </w:pPr>
    </w:p>
    <w:p>
      <w:pPr>
        <w:ind w:left="969" w:hanging="416"/>
        <w:spacing w:after="0" w:line="284" w:lineRule="auto"/>
        <w:tabs>
          <w:tab w:leader="none" w:pos="969"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Alpine Valley Secured Note. </w:t>
      </w:r>
      <w:r>
        <w:rPr>
          <w:rFonts w:ascii="Times New Roman" w:cs="Times New Roman" w:eastAsia="Times New Roman" w:hAnsi="Times New Roman"/>
          <w:sz w:val="18"/>
          <w:szCs w:val="18"/>
          <w:color w:val="auto"/>
        </w:rPr>
        <w:t>The $4.6 million Alpine Valley Secured Note provides for interest payments through its maturity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1, 2034. As of January 31, 2026, interest on this note accrued at a rate of 12.26%.</w:t>
      </w:r>
    </w:p>
    <w:p>
      <w:pPr>
        <w:spacing w:after="0" w:line="50" w:lineRule="exact"/>
        <w:rPr>
          <w:rFonts w:ascii="Times New Roman" w:cs="Times New Roman" w:eastAsia="Times New Roman" w:hAnsi="Times New Roman"/>
          <w:sz w:val="18"/>
          <w:szCs w:val="18"/>
          <w:color w:val="auto"/>
        </w:rPr>
      </w:pPr>
    </w:p>
    <w:p>
      <w:pPr>
        <w:ind w:left="969" w:hanging="466"/>
        <w:spacing w:after="0" w:line="284" w:lineRule="auto"/>
        <w:tabs>
          <w:tab w:leader="none" w:pos="969"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Boston Mills/Brandywine Secured Note. </w:t>
      </w:r>
      <w:r>
        <w:rPr>
          <w:rFonts w:ascii="Times New Roman" w:cs="Times New Roman" w:eastAsia="Times New Roman" w:hAnsi="Times New Roman"/>
          <w:sz w:val="18"/>
          <w:szCs w:val="18"/>
          <w:color w:val="auto"/>
        </w:rPr>
        <w:t>The $23.3 million Boston Mills/Brandywine Secured Note provides for interest payments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its maturity on December 1, 2034. As of January 31, 2026, interest on this note accrued at a rate of 11.75%.</w:t>
      </w:r>
    </w:p>
    <w:p>
      <w:pPr>
        <w:spacing w:after="0" w:line="50" w:lineRule="exact"/>
        <w:rPr>
          <w:rFonts w:ascii="Times New Roman" w:cs="Times New Roman" w:eastAsia="Times New Roman" w:hAnsi="Times New Roman"/>
          <w:sz w:val="18"/>
          <w:szCs w:val="18"/>
          <w:color w:val="auto"/>
        </w:rPr>
      </w:pPr>
    </w:p>
    <w:p>
      <w:pPr>
        <w:ind w:left="969" w:right="20" w:hanging="515"/>
        <w:spacing w:after="0" w:line="284" w:lineRule="auto"/>
        <w:tabs>
          <w:tab w:leader="none" w:pos="969"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Jack Frost/Big Boulder Secured Note. </w:t>
      </w:r>
      <w:r>
        <w:rPr>
          <w:rFonts w:ascii="Times New Roman" w:cs="Times New Roman" w:eastAsia="Times New Roman" w:hAnsi="Times New Roman"/>
          <w:sz w:val="18"/>
          <w:szCs w:val="18"/>
          <w:color w:val="auto"/>
        </w:rPr>
        <w:t>The $14.3 million Jack Frost/Big Boulder Secured Note provides for interest payments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maturity on December 1, 2034. As of January 31, 2026, interest on this note accrued at a rate of 11.75%.</w:t>
      </w:r>
    </w:p>
    <w:p>
      <w:pPr>
        <w:spacing w:after="0" w:line="50" w:lineRule="exact"/>
        <w:rPr>
          <w:rFonts w:ascii="Times New Roman" w:cs="Times New Roman" w:eastAsia="Times New Roman" w:hAnsi="Times New Roman"/>
          <w:sz w:val="18"/>
          <w:szCs w:val="18"/>
          <w:color w:val="auto"/>
        </w:rPr>
      </w:pPr>
    </w:p>
    <w:p>
      <w:pPr>
        <w:ind w:left="969" w:hanging="506"/>
        <w:spacing w:after="0" w:line="284" w:lineRule="auto"/>
        <w:tabs>
          <w:tab w:leader="none" w:pos="95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Mount Snow Secured Note. </w:t>
      </w:r>
      <w:r>
        <w:rPr>
          <w:rFonts w:ascii="Times New Roman" w:cs="Times New Roman" w:eastAsia="Times New Roman" w:hAnsi="Times New Roman"/>
          <w:sz w:val="18"/>
          <w:szCs w:val="18"/>
          <w:color w:val="auto"/>
        </w:rPr>
        <w:t>The $51.1 million Mount Snow Secured Note provides for interest payments through its maturity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1, 2034. As of January 31, 2026, interest on this note accrued at a rate of 12.69%.</w:t>
      </w:r>
    </w:p>
    <w:p>
      <w:pPr>
        <w:spacing w:after="0" w:line="50" w:lineRule="exact"/>
        <w:rPr>
          <w:rFonts w:ascii="Times New Roman" w:cs="Times New Roman" w:eastAsia="Times New Roman" w:hAnsi="Times New Roman"/>
          <w:sz w:val="18"/>
          <w:szCs w:val="18"/>
          <w:color w:val="auto"/>
        </w:rPr>
      </w:pPr>
    </w:p>
    <w:p>
      <w:pPr>
        <w:ind w:left="969" w:hanging="456"/>
        <w:spacing w:after="0" w:line="284" w:lineRule="auto"/>
        <w:tabs>
          <w:tab w:leader="none" w:pos="95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Hunter Mountain Secured Note. </w:t>
      </w:r>
      <w:r>
        <w:rPr>
          <w:rFonts w:ascii="Times New Roman" w:cs="Times New Roman" w:eastAsia="Times New Roman" w:hAnsi="Times New Roman"/>
          <w:sz w:val="18"/>
          <w:szCs w:val="18"/>
          <w:color w:val="auto"/>
        </w:rPr>
        <w:t>The $21.0 million Hunter Mountain Secured Note provides for interest payments through its maturity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January 5, 2036. As of January 31, 2026, interest on this note accrued at a rate of 9.35%.</w:t>
      </w:r>
    </w:p>
    <w:p>
      <w:pPr>
        <w:spacing w:after="0" w:line="52" w:lineRule="exact"/>
        <w:rPr>
          <w:rFonts w:ascii="Times New Roman" w:cs="Times New Roman" w:eastAsia="Times New Roman" w:hAnsi="Times New Roman"/>
          <w:sz w:val="18"/>
          <w:szCs w:val="18"/>
          <w:color w:val="auto"/>
        </w:rPr>
      </w:pPr>
    </w:p>
    <w:p>
      <w:pPr>
        <w:jc w:val="both"/>
        <w:ind w:left="329" w:hanging="329"/>
        <w:spacing w:after="0" w:line="256" w:lineRule="auto"/>
        <w:tabs>
          <w:tab w:leader="none" w:pos="32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ended January 31, 2026, the Company recognized a new finance lease agreement for the Canyons Parking Garage at Park City, resulting in an incremental finance lease liability on the commencement date of $22.2 million, which represents the minimum lease payments of $80.4 million, net of $58.2 million of amounts representing interest, for the initial 38 year term of the lease discounted at the estimated incremental borrowing rate. The Company recorded a $22.8 million finance lease right-of-use asset in connection with the lease, which has a net value of $22.7 million as of January 31, 2026, net of $0.1 million accumulated amortization, and is included within property, plant and equipment, net in the Company’s Consolidated Condensed Balance Sheet.</w:t>
      </w:r>
    </w:p>
    <w:p>
      <w:pPr>
        <w:spacing w:after="0" w:line="214" w:lineRule="exact"/>
        <w:rPr>
          <w:rFonts w:ascii="Times New Roman" w:cs="Times New Roman" w:eastAsia="Times New Roman" w:hAnsi="Times New Roman"/>
          <w:sz w:val="18"/>
          <w:szCs w:val="18"/>
          <w:color w:val="auto"/>
        </w:rPr>
      </w:pPr>
    </w:p>
    <w:p>
      <w:pPr>
        <w:ind w:left="309" w:hanging="309"/>
        <w:spacing w:after="0"/>
        <w:tabs>
          <w:tab w:leader="none" w:pos="30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maturities represent principal payments due in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31"/>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9"/>
          </w:cols>
          <w:pgMar w:left="571" w:top="89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Aggregate maturities of debt outstanding as of January 31, 2026 reflected by fiscal year (August 1 through July 31) are as follows (in thousands):</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26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24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(February 2026 through July 2026)</w:t>
            </w:r>
          </w:p>
        </w:tc>
        <w:tc>
          <w:tcPr>
            <w:tcW w:w="36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37,105</w:t>
            </w:r>
          </w:p>
        </w:tc>
      </w:tr>
      <w:tr>
        <w:trPr>
          <w:trHeight w:val="230"/>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6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82,092</w:t>
            </w:r>
          </w:p>
        </w:tc>
      </w:tr>
      <w:tr>
        <w:trPr>
          <w:trHeight w:val="229"/>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6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71,085</w:t>
            </w:r>
          </w:p>
        </w:tc>
      </w:tr>
      <w:tr>
        <w:trPr>
          <w:trHeight w:val="230"/>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6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1,011,417</w:t>
            </w:r>
          </w:p>
        </w:tc>
      </w:tr>
      <w:tr>
        <w:trPr>
          <w:trHeight w:val="229"/>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36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507,577</w:t>
            </w:r>
          </w:p>
        </w:tc>
      </w:tr>
      <w:tr>
        <w:trPr>
          <w:trHeight w:val="229"/>
        </w:trPr>
        <w:tc>
          <w:tcPr>
            <w:tcW w:w="6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36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1,218,464</w:t>
            </w:r>
          </w:p>
        </w:tc>
      </w:tr>
      <w:tr>
        <w:trPr>
          <w:trHeight w:val="248"/>
        </w:trPr>
        <w:tc>
          <w:tcPr>
            <w:tcW w:w="624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debt</w:t>
            </w:r>
          </w:p>
        </w:tc>
        <w:tc>
          <w:tcPr>
            <w:tcW w:w="36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2,927,740</w:t>
            </w:r>
          </w:p>
        </w:tc>
      </w:tr>
      <w:tr>
        <w:trPr>
          <w:trHeight w:val="20"/>
        </w:trPr>
        <w:tc>
          <w:tcPr>
            <w:tcW w:w="6240" w:type="dxa"/>
            <w:vAlign w:val="bottom"/>
            <w:tcBorders>
              <w:top w:val="single" w:sz="8" w:color="CCEEFF"/>
              <w:bottom w:val="single" w:sz="8" w:color="auto"/>
            </w:tcBorders>
          </w:tcPr>
          <w:p>
            <w:pPr>
              <w:spacing w:after="0" w:line="20" w:lineRule="exact"/>
              <w:rPr>
                <w:sz w:val="1"/>
                <w:szCs w:val="1"/>
                <w:color w:val="auto"/>
              </w:rPr>
            </w:pPr>
          </w:p>
        </w:tc>
        <w:tc>
          <w:tcPr>
            <w:tcW w:w="36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recorded interest expense, net of $49.5 million, and $42.7 million for the three months ended January 31, 2026 and 2025, respectively, of which $1.6 million and $1.0 million, respectively, was amortization of deferred financing costs. The Company recorded interest expense, net of $100.8 million and $85.5 million for the six months ended January 31, 2026 and 2025, respectively, of which $3.5 million and $2.3 million respectively, was amortization of deferred financing costs. The Company was in compliance with all of its financial and operating covenants required to be maintained under its debt instruments for all periods presented.</w:t>
      </w:r>
    </w:p>
    <w:p>
      <w:pPr>
        <w:spacing w:after="0" w:line="17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Supplementary Balance Sheet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composition of accounts receivables, net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8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320" w:type="dxa"/>
            <w:vAlign w:val="bottom"/>
          </w:tcPr>
          <w:p>
            <w:pPr>
              <w:spacing w:after="0"/>
              <w:rPr>
                <w:sz w:val="16"/>
                <w:szCs w:val="16"/>
                <w:color w:val="auto"/>
              </w:rPr>
            </w:pPr>
          </w:p>
        </w:tc>
        <w:tc>
          <w:tcPr>
            <w:tcW w:w="144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260" w:type="dxa"/>
            <w:vAlign w:val="bottom"/>
          </w:tcPr>
          <w:p>
            <w:pPr>
              <w:spacing w:after="0"/>
              <w:rPr>
                <w:sz w:val="16"/>
                <w:szCs w:val="16"/>
                <w:color w:val="auto"/>
              </w:rPr>
            </w:pPr>
          </w:p>
        </w:tc>
        <w:tc>
          <w:tcPr>
            <w:tcW w:w="14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January 31, 2025</w:t>
            </w:r>
          </w:p>
        </w:tc>
      </w:tr>
      <w:tr>
        <w:trPr>
          <w:trHeight w:val="23"/>
        </w:trPr>
        <w:tc>
          <w:tcPr>
            <w:tcW w:w="5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receivables</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162,723</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381,187</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122,828</w:t>
            </w:r>
          </w:p>
        </w:tc>
      </w:tr>
      <w:tr>
        <w:trPr>
          <w:trHeight w:val="229"/>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8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8,419</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7,690</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9,157</w:t>
            </w:r>
          </w:p>
        </w:tc>
      </w:tr>
      <w:tr>
        <w:trPr>
          <w:trHeight w:val="223"/>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accounts receivables</w:t>
            </w:r>
          </w:p>
        </w:tc>
        <w:tc>
          <w:tcPr>
            <w:tcW w:w="8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171,142</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388,877</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131,985</w:t>
            </w:r>
          </w:p>
        </w:tc>
      </w:tr>
      <w:tr>
        <w:trPr>
          <w:trHeight w:val="229"/>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8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(11,093)</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(6,507)</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(8,431)</w:t>
            </w:r>
          </w:p>
        </w:tc>
      </w:tr>
      <w:tr>
        <w:trPr>
          <w:trHeight w:val="248"/>
        </w:trPr>
        <w:tc>
          <w:tcPr>
            <w:tcW w:w="54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receivables, net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160,049</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382,370</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123,553</w:t>
            </w:r>
          </w:p>
        </w:tc>
      </w:tr>
      <w:tr>
        <w:trPr>
          <w:trHeight w:val="20"/>
        </w:trPr>
        <w:tc>
          <w:tcPr>
            <w:tcW w:w="5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501"/>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The composition of other current assets follows (in thousands):</w:t>
            </w:r>
          </w:p>
        </w:tc>
        <w:tc>
          <w:tcPr>
            <w:tcW w:w="8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87"/>
        </w:trPr>
        <w:tc>
          <w:tcPr>
            <w:tcW w:w="5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8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320" w:type="dxa"/>
            <w:vAlign w:val="bottom"/>
          </w:tcPr>
          <w:p>
            <w:pPr>
              <w:spacing w:after="0"/>
              <w:rPr>
                <w:sz w:val="24"/>
                <w:szCs w:val="24"/>
                <w:color w:val="auto"/>
              </w:rPr>
            </w:pPr>
          </w:p>
        </w:tc>
        <w:tc>
          <w:tcPr>
            <w:tcW w:w="144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260" w:type="dxa"/>
            <w:vAlign w:val="bottom"/>
          </w:tcPr>
          <w:p>
            <w:pPr>
              <w:spacing w:after="0"/>
              <w:rPr>
                <w:sz w:val="24"/>
                <w:szCs w:val="24"/>
                <w:color w:val="auto"/>
              </w:rPr>
            </w:pPr>
          </w:p>
        </w:tc>
        <w:tc>
          <w:tcPr>
            <w:tcW w:w="14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January 31, 2025</w:t>
            </w:r>
          </w:p>
        </w:tc>
      </w:tr>
      <w:tr>
        <w:trPr>
          <w:trHeight w:val="23"/>
        </w:trPr>
        <w:tc>
          <w:tcPr>
            <w:tcW w:w="5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60,138</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58,089</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56,989</w:t>
            </w:r>
          </w:p>
        </w:tc>
      </w:tr>
      <w:tr>
        <w:trPr>
          <w:trHeight w:val="230"/>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8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55,317</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35,734</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21,396</w:t>
            </w:r>
          </w:p>
        </w:tc>
      </w:tr>
      <w:tr>
        <w:trPr>
          <w:trHeight w:val="248"/>
        </w:trPr>
        <w:tc>
          <w:tcPr>
            <w:tcW w:w="54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115,455</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93,823</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78,385</w:t>
            </w:r>
          </w:p>
        </w:tc>
      </w:tr>
      <w:tr>
        <w:trPr>
          <w:trHeight w:val="20"/>
        </w:trPr>
        <w:tc>
          <w:tcPr>
            <w:tcW w:w="5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50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The composition of property, plant and equipment follows (in thousands):</w:t>
            </w:r>
          </w:p>
        </w:tc>
        <w:tc>
          <w:tcPr>
            <w:tcW w:w="8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00"/>
        </w:trPr>
        <w:tc>
          <w:tcPr>
            <w:tcW w:w="5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8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320" w:type="dxa"/>
            <w:vAlign w:val="bottom"/>
          </w:tcPr>
          <w:p>
            <w:pPr>
              <w:spacing w:after="0"/>
              <w:rPr>
                <w:sz w:val="24"/>
                <w:szCs w:val="24"/>
                <w:color w:val="auto"/>
              </w:rPr>
            </w:pPr>
          </w:p>
        </w:tc>
        <w:tc>
          <w:tcPr>
            <w:tcW w:w="144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260" w:type="dxa"/>
            <w:vAlign w:val="bottom"/>
          </w:tcPr>
          <w:p>
            <w:pPr>
              <w:spacing w:after="0"/>
              <w:rPr>
                <w:sz w:val="24"/>
                <w:szCs w:val="24"/>
                <w:color w:val="auto"/>
              </w:rPr>
            </w:pPr>
          </w:p>
        </w:tc>
        <w:tc>
          <w:tcPr>
            <w:tcW w:w="14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January 31, 2025</w:t>
            </w:r>
          </w:p>
        </w:tc>
      </w:tr>
      <w:tr>
        <w:trPr>
          <w:trHeight w:val="23"/>
        </w:trPr>
        <w:tc>
          <w:tcPr>
            <w:tcW w:w="5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808,690</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804,667</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794,142</w:t>
            </w: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880" w:type="dxa"/>
            <w:vAlign w:val="bottom"/>
          </w:tcPr>
          <w:p>
            <w:pPr>
              <w:spacing w:after="0"/>
              <w:rPr>
                <w:sz w:val="19"/>
                <w:szCs w:val="19"/>
                <w:color w:val="auto"/>
              </w:rPr>
            </w:pP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1,769,103</w:t>
            </w:r>
          </w:p>
        </w:tc>
        <w:tc>
          <w:tcPr>
            <w:tcW w:w="32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1,712,138</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1,688,529</w:t>
            </w: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8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2,264,198</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2,117,865</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2,051,404</w:t>
            </w: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880" w:type="dxa"/>
            <w:vAlign w:val="bottom"/>
          </w:tcPr>
          <w:p>
            <w:pPr>
              <w:spacing w:after="0"/>
              <w:rPr>
                <w:sz w:val="19"/>
                <w:szCs w:val="19"/>
                <w:color w:val="auto"/>
              </w:rPr>
            </w:pP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365,603</w:t>
            </w:r>
          </w:p>
        </w:tc>
        <w:tc>
          <w:tcPr>
            <w:tcW w:w="32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349,921</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344,525</w:t>
            </w: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8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208,134</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189,982</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188,877</w:t>
            </w: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880" w:type="dxa"/>
            <w:vAlign w:val="bottom"/>
          </w:tcPr>
          <w:p>
            <w:pPr>
              <w:spacing w:after="0"/>
              <w:rPr>
                <w:sz w:val="19"/>
                <w:szCs w:val="19"/>
                <w:color w:val="auto"/>
              </w:rPr>
            </w:pP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100,282</w:t>
            </w:r>
          </w:p>
        </w:tc>
        <w:tc>
          <w:tcPr>
            <w:tcW w:w="32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96,504</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95,568</w:t>
            </w:r>
          </w:p>
        </w:tc>
      </w:tr>
      <w:tr>
        <w:trPr>
          <w:trHeight w:val="230"/>
        </w:trPr>
        <w:tc>
          <w:tcPr>
            <w:tcW w:w="5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8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61,300</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114,357</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75,501</w:t>
            </w:r>
          </w:p>
        </w:tc>
      </w:tr>
      <w:tr>
        <w:trPr>
          <w:trHeight w:val="223"/>
        </w:trPr>
        <w:tc>
          <w:tcPr>
            <w:tcW w:w="5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property, plant and equipment</w:t>
            </w:r>
          </w:p>
        </w:tc>
        <w:tc>
          <w:tcPr>
            <w:tcW w:w="880" w:type="dxa"/>
            <w:vAlign w:val="bottom"/>
          </w:tcPr>
          <w:p>
            <w:pPr>
              <w:spacing w:after="0"/>
              <w:rPr>
                <w:sz w:val="19"/>
                <w:szCs w:val="19"/>
                <w:color w:val="auto"/>
              </w:rPr>
            </w:pPr>
          </w:p>
        </w:tc>
        <w:tc>
          <w:tcPr>
            <w:tcW w:w="14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5,577,310</w:t>
            </w:r>
          </w:p>
        </w:tc>
        <w:tc>
          <w:tcPr>
            <w:tcW w:w="32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5,385,434</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5,238,546</w:t>
            </w:r>
          </w:p>
        </w:tc>
      </w:tr>
      <w:tr>
        <w:trPr>
          <w:trHeight w:val="230"/>
        </w:trPr>
        <w:tc>
          <w:tcPr>
            <w:tcW w:w="5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8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(3,163,588)</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(3,010,780)</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(2,861,189)</w:t>
            </w:r>
          </w:p>
        </w:tc>
      </w:tr>
      <w:tr>
        <w:trPr>
          <w:trHeight w:val="223"/>
        </w:trPr>
        <w:tc>
          <w:tcPr>
            <w:tcW w:w="54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2,413,722</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2,374,654</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2,377,357</w:t>
            </w: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844"/>
        </w:trPr>
        <w:tc>
          <w:tcPr>
            <w:tcW w:w="5420" w:type="dxa"/>
            <w:vAlign w:val="bottom"/>
          </w:tcPr>
          <w:p>
            <w:pPr>
              <w:spacing w:after="0"/>
              <w:rPr>
                <w:sz w:val="24"/>
                <w:szCs w:val="24"/>
                <w:color w:val="auto"/>
              </w:rPr>
            </w:pPr>
          </w:p>
        </w:tc>
        <w:tc>
          <w:tcPr>
            <w:tcW w:w="8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15</w:t>
            </w: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15"/>
        </w:trPr>
        <w:tc>
          <w:tcPr>
            <w:tcW w:w="54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The composition of accounts payable and accrued liabilities follows (in thousands):</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340" w:type="dxa"/>
            <w:vAlign w:val="bottom"/>
          </w:tcPr>
          <w:p>
            <w:pPr>
              <w:spacing w:after="0"/>
              <w:rPr>
                <w:sz w:val="16"/>
                <w:szCs w:val="16"/>
                <w:color w:val="auto"/>
              </w:rPr>
            </w:pPr>
          </w:p>
        </w:tc>
        <w:tc>
          <w:tcPr>
            <w:tcW w:w="142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July 31, 2025</w:t>
            </w:r>
          </w:p>
        </w:tc>
        <w:tc>
          <w:tcPr>
            <w:tcW w:w="280" w:type="dxa"/>
            <w:vAlign w:val="bottom"/>
          </w:tcPr>
          <w:p>
            <w:pPr>
              <w:spacing w:after="0"/>
              <w:rPr>
                <w:sz w:val="16"/>
                <w:szCs w:val="16"/>
                <w:color w:val="auto"/>
              </w:rPr>
            </w:pPr>
          </w:p>
        </w:tc>
        <w:tc>
          <w:tcPr>
            <w:tcW w:w="14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January 31, 2025</w:t>
            </w:r>
          </w:p>
        </w:tc>
      </w:tr>
      <w:tr>
        <w:trPr>
          <w:trHeight w:val="23"/>
        </w:trPr>
        <w:tc>
          <w:tcPr>
            <w:tcW w:w="4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payables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142,180</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139,976</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138,188</w:t>
            </w: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340" w:type="dxa"/>
            <w:vAlign w:val="bottom"/>
          </w:tcPr>
          <w:p>
            <w:pPr>
              <w:spacing w:after="0"/>
              <w:rPr>
                <w:sz w:val="19"/>
                <w:szCs w:val="19"/>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717,521</w:t>
            </w:r>
          </w:p>
        </w:tc>
        <w:tc>
          <w:tcPr>
            <w:tcW w:w="340" w:type="dxa"/>
            <w:vAlign w:val="bottom"/>
          </w:tcPr>
          <w:p>
            <w:pPr>
              <w:spacing w:after="0"/>
              <w:rPr>
                <w:sz w:val="19"/>
                <w:szCs w:val="19"/>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602,117</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688,399</w:t>
            </w: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salaries, wages and deferred compensation</w:t>
            </w:r>
          </w:p>
        </w:tc>
        <w:tc>
          <w:tcPr>
            <w:tcW w:w="1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75,668</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59,779</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74,958</w:t>
            </w: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benefits</w:t>
            </w:r>
          </w:p>
        </w:tc>
        <w:tc>
          <w:tcPr>
            <w:tcW w:w="1340" w:type="dxa"/>
            <w:vAlign w:val="bottom"/>
          </w:tcPr>
          <w:p>
            <w:pPr>
              <w:spacing w:after="0"/>
              <w:rPr>
                <w:sz w:val="19"/>
                <w:szCs w:val="19"/>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70,821</w:t>
            </w:r>
          </w:p>
        </w:tc>
        <w:tc>
          <w:tcPr>
            <w:tcW w:w="340" w:type="dxa"/>
            <w:vAlign w:val="bottom"/>
          </w:tcPr>
          <w:p>
            <w:pPr>
              <w:spacing w:after="0"/>
              <w:rPr>
                <w:sz w:val="19"/>
                <w:szCs w:val="19"/>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64,869</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64,697</w:t>
            </w: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1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71,350</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42,284</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69,887</w:t>
            </w: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340" w:type="dxa"/>
            <w:vAlign w:val="bottom"/>
          </w:tcPr>
          <w:p>
            <w:pPr>
              <w:spacing w:after="0"/>
              <w:rPr>
                <w:sz w:val="19"/>
                <w:szCs w:val="19"/>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36,621</w:t>
            </w:r>
          </w:p>
        </w:tc>
        <w:tc>
          <w:tcPr>
            <w:tcW w:w="340" w:type="dxa"/>
            <w:vAlign w:val="bottom"/>
          </w:tcPr>
          <w:p>
            <w:pPr>
              <w:spacing w:after="0"/>
              <w:rPr>
                <w:sz w:val="19"/>
                <w:szCs w:val="19"/>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34,883</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34,037</w:t>
            </w: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Fees and assessments</w:t>
            </w:r>
          </w:p>
        </w:tc>
        <w:tc>
          <w:tcPr>
            <w:tcW w:w="1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73,436</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40,842</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68,964</w:t>
            </w:r>
          </w:p>
        </w:tc>
      </w:tr>
      <w:tr>
        <w:trPr>
          <w:trHeight w:val="229"/>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3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48,891</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71,915</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53,079</w:t>
            </w:r>
          </w:p>
        </w:tc>
      </w:tr>
      <w:tr>
        <w:trPr>
          <w:trHeight w:val="248"/>
        </w:trPr>
        <w:tc>
          <w:tcPr>
            <w:tcW w:w="49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accounts payable and accrued liabilities</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1,236,488</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1,056,665</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1,192,209</w:t>
            </w:r>
          </w:p>
        </w:tc>
      </w:tr>
      <w:tr>
        <w:trPr>
          <w:trHeight w:val="20"/>
        </w:trPr>
        <w:tc>
          <w:tcPr>
            <w:tcW w:w="49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net carrying amount of goodwill by segment for the six months ended January 31, 2026 are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Mountain</w:t>
            </w:r>
          </w:p>
        </w:tc>
        <w:tc>
          <w:tcPr>
            <w:tcW w:w="420" w:type="dxa"/>
            <w:vAlign w:val="bottom"/>
          </w:tcPr>
          <w:p>
            <w:pPr>
              <w:spacing w:after="0"/>
              <w:rPr>
                <w:sz w:val="16"/>
                <w:szCs w:val="16"/>
                <w:color w:val="auto"/>
              </w:rPr>
            </w:pPr>
          </w:p>
        </w:tc>
        <w:tc>
          <w:tcPr>
            <w:tcW w:w="13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Lodging</w:t>
            </w:r>
          </w:p>
        </w:tc>
        <w:tc>
          <w:tcPr>
            <w:tcW w:w="320" w:type="dxa"/>
            <w:vAlign w:val="bottom"/>
          </w:tcPr>
          <w:p>
            <w:pPr>
              <w:spacing w:after="0"/>
              <w:rPr>
                <w:sz w:val="16"/>
                <w:szCs w:val="16"/>
                <w:color w:val="auto"/>
              </w:rPr>
            </w:pPr>
          </w:p>
        </w:tc>
        <w:tc>
          <w:tcPr>
            <w:tcW w:w="14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Goodwill, net</w:t>
            </w:r>
          </w:p>
        </w:tc>
      </w:tr>
      <w:tr>
        <w:trPr>
          <w:trHeight w:val="23"/>
        </w:trPr>
        <w:tc>
          <w:tcPr>
            <w:tcW w:w="5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July 31, 2025</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1,630,209</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45,006</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1,675,215</w:t>
            </w:r>
          </w:p>
        </w:tc>
      </w:tr>
      <w:tr>
        <w:trPr>
          <w:trHeight w:val="230"/>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Effects of changes in foreign currency exchange rates</w:t>
            </w:r>
          </w:p>
        </w:tc>
        <w:tc>
          <w:tcPr>
            <w:tcW w:w="1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22,883</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22,883</w:t>
            </w:r>
          </w:p>
        </w:tc>
      </w:tr>
      <w:tr>
        <w:trPr>
          <w:trHeight w:val="248"/>
        </w:trPr>
        <w:tc>
          <w:tcPr>
            <w:tcW w:w="50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Balance at January 31, 2026</w:t>
            </w:r>
          </w:p>
        </w:tc>
        <w:tc>
          <w:tcPr>
            <w:tcW w:w="1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1,653,092</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45,006</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1,698,098</w:t>
            </w:r>
          </w:p>
        </w:tc>
      </w:tr>
      <w:tr>
        <w:trPr>
          <w:trHeight w:val="20"/>
        </w:trPr>
        <w:tc>
          <w:tcPr>
            <w:tcW w:w="50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uses valuation techniques which maximize the use of observable inputs and minimize the use of unobservable inputs when determining fair value. The three levels of the hierarchy are as follows: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Inputs that reflect unadjusted quoted prices in active markets that are accessible to the Company for identical assets or liabilities;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2: Inputs include quoted prices for similar assets and liabilities in active and inactive markets or that are observable for the asset or liability either directly or indirectly; and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Unobservable inputs which are supported by little or no market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7" w:name="page18"/>
    <w:bookmarkEnd w:id="1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table below summarizes the Company’s cash equivalents, restricted cash, other current assets and Contingent Consideration (defined below) measured at estimated fair value (all other assets and liabilities measured at fair value are immaterial)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540" w:type="dxa"/>
            <w:vAlign w:val="bottom"/>
            <w:gridSpan w:val="6"/>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Estimated Fair Value Measurement as of January 31, 2026</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Description</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34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Money Market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71,527</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71,527</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2,401</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2,401</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48,870</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48,870</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79,500</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79,500</w:t>
            </w:r>
          </w:p>
        </w:tc>
        <w:tc>
          <w:tcPr>
            <w:tcW w:w="0" w:type="dxa"/>
            <w:vAlign w:val="bottom"/>
          </w:tcPr>
          <w:p>
            <w:pPr>
              <w:spacing w:after="0"/>
              <w:rPr>
                <w:sz w:val="1"/>
                <w:szCs w:val="1"/>
                <w:color w:val="auto"/>
              </w:rPr>
            </w:pPr>
          </w:p>
        </w:tc>
      </w:tr>
      <w:tr>
        <w:trPr>
          <w:trHeight w:val="375"/>
        </w:trPr>
        <w:tc>
          <w:tcPr>
            <w:tcW w:w="5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40" w:type="dxa"/>
            <w:vAlign w:val="bottom"/>
            <w:gridSpan w:val="6"/>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Estimated Fair Value Measurement as of July 31, 2025</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Description</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34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Money Market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80,576</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80,576</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2,401</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2,401</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65,962</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65,962</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93,300</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93,300</w:t>
            </w:r>
          </w:p>
        </w:tc>
        <w:tc>
          <w:tcPr>
            <w:tcW w:w="0" w:type="dxa"/>
            <w:vAlign w:val="bottom"/>
          </w:tcPr>
          <w:p>
            <w:pPr>
              <w:spacing w:after="0"/>
              <w:rPr>
                <w:sz w:val="1"/>
                <w:szCs w:val="1"/>
                <w:color w:val="auto"/>
              </w:rPr>
            </w:pPr>
          </w:p>
        </w:tc>
      </w:tr>
      <w:tr>
        <w:trPr>
          <w:trHeight w:val="375"/>
        </w:trPr>
        <w:tc>
          <w:tcPr>
            <w:tcW w:w="5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40" w:type="dxa"/>
            <w:vAlign w:val="bottom"/>
            <w:gridSpan w:val="6"/>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Estimated Fair Value Measurement as of January 31, 2025</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Description</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34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Money Market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135,262</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135,262</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2,401</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2,401</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83,338</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83,338</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86,100</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86,100</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cash equivalents, restricted cash and other current assets are measured utilizing quoted market prices or pricing models whereby all significant inputs are either observable or corroborated by observable market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Contingent Consideration during the six months ended January 31, 2026 and 2025 were as follows (in thousands):</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5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July 31, 2025 and 2024, respectively</w:t>
            </w:r>
          </w:p>
        </w:tc>
        <w:tc>
          <w:tcPr>
            <w:tcW w:w="248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93,300</w:t>
            </w:r>
          </w:p>
        </w:tc>
        <w:tc>
          <w:tcPr>
            <w:tcW w:w="60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104,200</w:t>
            </w:r>
          </w:p>
        </w:tc>
      </w:tr>
      <w:tr>
        <w:trPr>
          <w:trHeight w:val="229"/>
        </w:trPr>
        <w:tc>
          <w:tcPr>
            <w:tcW w:w="5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w:t>
            </w:r>
          </w:p>
        </w:tc>
        <w:tc>
          <w:tcPr>
            <w:tcW w:w="24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(14,739)</w:t>
            </w:r>
          </w:p>
        </w:tc>
        <w:tc>
          <w:tcPr>
            <w:tcW w:w="6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(20,279)</w:t>
            </w:r>
          </w:p>
        </w:tc>
      </w:tr>
      <w:tr>
        <w:trPr>
          <w:trHeight w:val="230"/>
        </w:trPr>
        <w:tc>
          <w:tcPr>
            <w:tcW w:w="58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24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939</w:t>
            </w:r>
          </w:p>
        </w:tc>
        <w:tc>
          <w:tcPr>
            <w:tcW w:w="6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w:t>
            </w:r>
          </w:p>
        </w:tc>
      </w:tr>
      <w:tr>
        <w:trPr>
          <w:trHeight w:val="223"/>
        </w:trPr>
        <w:tc>
          <w:tcPr>
            <w:tcW w:w="5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as of January 31, 2026 and 2025, respectively</w:t>
            </w:r>
          </w:p>
        </w:tc>
        <w:tc>
          <w:tcPr>
            <w:tcW w:w="24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79,500</w:t>
            </w:r>
          </w:p>
        </w:tc>
        <w:tc>
          <w:tcPr>
            <w:tcW w:w="6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86,100</w:t>
            </w:r>
          </w:p>
        </w:tc>
      </w:tr>
      <w:tr>
        <w:trPr>
          <w:trHeight w:val="20"/>
        </w:trPr>
        <w:tc>
          <w:tcPr>
            <w:tcW w:w="588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lease for Park City provides for participating contingent payments (the “Contingent Consideration”) to the landlord of 42% of the amount by which EBITDA for the Park City resort operations, as calculated under the lease, exceeds an inflation linked threshold and an adjustment equal to 10% of any capital improvements or investments made under the lease by the Company. Contingent Consideration is classified as a liability, which is remeasured to fair value at each reporting date until the contingency is resolved.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estimated the fair value of the Contingent Consideration liability using an option pricing valuation model. The estimated fair value of the Contingent Consideration is determined on the basis of estimated future year performance of Park City EBITDA, on which participating contingent payments are made, which is increased by an assumed annual growth factor and discounted to present value. Other significant assumptions included a discount rate of 11.2% and volatility of 14.5%, which together with future period Park City EBITDA, are all unobservable inputs. The Company prepared a sensitivity analysis to</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 w:name="page19"/>
    <w:bookmarkEnd w:id="18"/>
    <w:p>
      <w:pPr>
        <w:jc w:val="both"/>
        <w:spacing w:after="0" w:line="266" w:lineRule="auto"/>
        <w:rPr>
          <w:sz w:val="20"/>
          <w:szCs w:val="20"/>
          <w:color w:val="auto"/>
        </w:rPr>
      </w:pPr>
      <w:r>
        <w:rPr>
          <w:rFonts w:ascii="Times New Roman" w:cs="Times New Roman" w:eastAsia="Times New Roman" w:hAnsi="Times New Roman"/>
          <w:sz w:val="18"/>
          <w:szCs w:val="18"/>
          <w:color w:val="auto"/>
        </w:rPr>
        <w:t>evaluate the effect that changes on certain key assumptions would have on the fair value of the Contingent Consideration. A change in the discount rate of 100 basis points or a 5% change in estimated subsequent year performance of the resort would result in a change in the fair value within the range of approximately $13.6 million to $18.6 million.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six months ended January 31, 2026, the Company made a payment to the landlord for Contingent Consideration of approximately $14.7 million and recorded an increase in the liability of approximately $0.9 million, primarily related to the estimated payment for the fiscal year ending July 31, 2026. These changes resulted in an estimated fair value of the Contingent Consideration of approximately $79.5 million, which is included in accounts payable and other long-term liabilities in the Company’s Consolidated Condensed Balance Sheet as of January 31, 2026.</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Commitments and Contingencies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Guarantees/Indemnifications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January 31, 2026, the Company had various letters of credit outstanding totaling $96.1 million, consisting of $53.4 million to support the Employee Housing Bonds; $6.4 million to support bonds issued by Holland Creek Metropolitan District; and $36.3 million of other standby letters of credit primarily related to insurance-related deductibles, a wind energy purchase agreement, and workers’ compensation. The Company also had surety bonds of $11.3 million as of January 31, 2026, primarily to provide collateral for its U.S. workers compensation self-insurance programs.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guarantees noted above, the Company entered into contracts in the normal course of business that include certain indemnifications under which it could be required to make payments to third parties upon the occurrence or non-occurrence of certain future events. These indemnities include indemnities related to licensees in connection with third-parties’ use of the Company’s trademarks and logos, liabilities associated with the infringement of other parties’ technology and software products, liabilities associated with the use of easements, liabilities associated with employment of contract workers and the Company’s use of trustees and liabilities associated with the Company’s use of public lands and environmental matters. The duration of these indemnities generally is indefinite and generally do not limit the future payments the Company could be obligated to make.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permitted under applicable law, the Company and certain of its subsidiaries have agreed to indemnify their directors and officers over their lifetimes for certain events or occurrences while the officer or director is, or was, serving the Company or its subsidiaries in such a capacity. The maximum potential amount of future payments the Company could be required to make under these indemnification agreements is unlimited; however, the Company has a director and officer insurance policy that should enable the Company to recover a portion of any amounts paid.</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Unless otherwise noted, the Company has not recorded any significant liabilities for the letters of credit, indemnities and other guarantees noted above in the accompanying Consolidated Condensed Financial Statements, either because the Company has recorded on its Consolidated Condensed Balance Sheets the underlying liability associated with the guarantee, the guarantee is with respect to the Company’s own performance and is therefore not subject to the measurement requirements as prescribed by GAAP, or because the Company has estimated the fair value of the indemnification or guarantee to be immaterial based on the current facts and circumstances that would trigger a payment under the indemnification clause. In addition, with respect to certain indemnifications, it is not possible to determine the maximum potential amount of liability under these potential obligations due to the unique set of facts and circumstances likely to be involved in each claim and indemnification provision. Historically, payments made by the Company under these obligations have not been material.</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noted above, the Company makes certain indemnifications to licensees for their use of the Company’s trademarks and logos. The Company does not record any liabilities with respect to these indemnifications.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the Company is party to strategic long-term season pass alliance agreements with third-party mountain resorts in which the Company has committed to pay minimum revenue guarantees over the remaining terms of these agreements. The Company records payments under these pass alliance agreements as operating expense which are typically recognized over the course of the North American and European ski season.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Self-Insurance</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self-insured for claims under its U.S. health benefit plans and for the majority of workers’ compensation claims in the U.S. Workers compensation claims in the U.S. are subject to stop loss policies. The self-insurance liability related to workers’ compensation is determined actuarially based on claims filed. The self-insurance liability related to claims under the Company’s U.S. health benefit plans is determined based on analysis of actual claims. The amounts related to these claims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are included as a component of accrued benefits in accounts payable and accrued liabilities (see Note 6, Supplementary Balance Sheet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Legal</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a party to various lawsuits arising in the ordinary course of business. The Company will assess the probability of an unfavorable outcome of any material litigation, claims or assessments to determine whether a liability had been incurred and whether it is probable that one or more future events will occur confirming the fact of the loss. In the event that an unfavorable outcome is determined to be probable and the amount of the loss can be reasonably estimated, the Company will establish an accrual for the litigation, claim or assessment. In addition, in the event an unfavorable outcome is determined to be less than probable, but reasonably possible, the Company will disclose an estimate of the possible loss or range of such loss; however, when a reasonable estimate cannot be made, the Company will provide disclosure to that effect. Litigation is inherently uncertain and may result in adverse rulings or decisions. Additionally, the Company may enter into settlements or be subject to judgments that may, individually or in the aggregate, have a material adverse effect on its results of operations. Accordingly, actual results could differ materially. Management believes the Company has adequate insurance coverage and/or has accrued for all loss contingencies for asserted and unasserted matters deemed to be probable and estimable losses. As of January 31, 2026, July 31, 2025 and January 31, 2025, the accruals for the above loss contingencies were not material individually or in the aggregate.</w:t>
      </w:r>
    </w:p>
    <w:p>
      <w:pPr>
        <w:spacing w:after="0" w:line="19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three reportable segments: Mountain, Lodging and Real Estate. The Company refers to “Resort” as the combination of the Mountain and Lodging segments. The Mountain segment includes the operations of the Company’s mountain resorts/ski areas and related ancillary activities. The Lodging segment includes the operations of the Company’s owned hotels, RockResorts, NPS concessioner properties, condominium management, Colorado resort ground transportation operations and mountain resort golf operations. The Real Estate segment owns, develops and sells real estate in and around the Company’s resort communities. The Company’s reportable segments, although integral to the success of the others, offer distinctly different products and services and require different types of management focus. As such, these segments are managed separately.</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reports its segment results using Reported EBITDA (defined as segment net revenue less segment operating expenses, plus segment equity investment income or loss, and for the Real Estate segment, plus gain or loss on sale of real property). The Company reports segment results in a manner consistent with management’s internal reporting of operating results to the chief operating decision maker (the “CODM”), who monitors Reported EBITDA compared to budget and prior comparable periods at the segment level to assess segment performance and make decisions regarding the investment of capital allocation of resources. The Company’s CODM is the Chief Executive Officer. We believe Reported EBITDA serves as a measure that assists our CODM and our investors in comparing our segments' performance on a consistent basis.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Mountain Reported EBITDA consists of Mountain net revenue less Mountain operating expense plus Mountain equity investment income or loss. Lodging Reported EBITDA consists of Lodging net revenue less Lodging operating expense. Real Estate Reported EBITDA consists of Real Estate net revenue less Real Estate operating expense plus gain or loss on sale of real property. All segment expenses include an allocation of corporate administrative expense. Assets are not used to evaluate performance, except as shown in the table below. The accounting policies specific to each segment are the same as those described in Note 2, Summary of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The following table presents key financial information by reportable segment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0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c>
          <w:tcPr>
            <w:tcW w:w="320" w:type="dxa"/>
            <w:vAlign w:val="bottom"/>
          </w:tcPr>
          <w:p>
            <w:pPr>
              <w:spacing w:after="0"/>
              <w:rPr>
                <w:sz w:val="16"/>
                <w:szCs w:val="16"/>
                <w:color w:val="auto"/>
              </w:rPr>
            </w:pPr>
          </w:p>
        </w:tc>
        <w:tc>
          <w:tcPr>
            <w:tcW w:w="2760" w:type="dxa"/>
            <w:vAlign w:val="bottom"/>
            <w:gridSpan w:val="3"/>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Six Months Ended January 31,</w:t>
            </w:r>
          </w:p>
        </w:tc>
      </w:tr>
      <w:tr>
        <w:trPr>
          <w:trHeight w:val="2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Mountain</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1,012,304</w:t>
            </w:r>
          </w:p>
        </w:tc>
        <w:tc>
          <w:tcPr>
            <w:tcW w:w="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1,063,094</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1,197,543</w:t>
            </w:r>
          </w:p>
        </w:tc>
        <w:tc>
          <w:tcPr>
            <w:tcW w:w="5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1,236,390</w:t>
            </w:r>
          </w:p>
        </w:tc>
      </w:tr>
      <w:tr>
        <w:trPr>
          <w:trHeight w:val="216"/>
        </w:trPr>
        <w:tc>
          <w:tcPr>
            <w:tcW w:w="51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Lodging</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71,586</w:t>
            </w: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73,960</w:t>
            </w: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157,296</w:t>
            </w:r>
          </w:p>
        </w:tc>
        <w:tc>
          <w:tcPr>
            <w:tcW w:w="5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160,876</w:t>
            </w:r>
          </w:p>
        </w:tc>
      </w:tr>
      <w:tr>
        <w:trPr>
          <w:trHeight w:val="209"/>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Resort net revenue</w:t>
            </w:r>
          </w:p>
        </w:tc>
        <w:tc>
          <w:tcPr>
            <w:tcW w:w="24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1,083,890</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1,137,054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1,354,839</w:t>
            </w: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1,397,266</w:t>
            </w:r>
          </w:p>
        </w:tc>
      </w:tr>
      <w:tr>
        <w:trPr>
          <w:trHeight w:val="216"/>
        </w:trPr>
        <w:tc>
          <w:tcPr>
            <w:tcW w:w="51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Real Estate</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w:t>
            </w: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122</w:t>
            </w:r>
          </w:p>
        </w:tc>
        <w:tc>
          <w:tcPr>
            <w:tcW w:w="5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r>
      <w:tr>
        <w:trPr>
          <w:trHeight w:val="210"/>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revenue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1,083,932</w:t>
            </w:r>
          </w:p>
        </w:tc>
        <w:tc>
          <w:tcPr>
            <w:tcW w:w="3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1,137,225</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1,354,961</w:t>
            </w:r>
          </w:p>
        </w:tc>
        <w:tc>
          <w:tcPr>
            <w:tcW w:w="5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1,397,500</w:t>
            </w: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operating expense:</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Mountain</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Labor and labor-related benefits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253,685</w:t>
            </w:r>
          </w:p>
        </w:tc>
        <w:tc>
          <w:tcPr>
            <w:tcW w:w="3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264,490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375,764</w:t>
            </w:r>
          </w:p>
        </w:tc>
        <w:tc>
          <w:tcPr>
            <w:tcW w:w="5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383,020</w:t>
            </w:r>
          </w:p>
        </w:tc>
      </w:tr>
      <w:tr>
        <w:trPr>
          <w:trHeight w:val="213"/>
        </w:trPr>
        <w:tc>
          <w:tcPr>
            <w:tcW w:w="51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Retail cost of sales</w:t>
            </w:r>
          </w:p>
        </w:tc>
        <w:tc>
          <w:tcPr>
            <w:tcW w:w="24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34,175</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40,473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49,107</w:t>
            </w: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55,504</w:t>
            </w:r>
          </w:p>
        </w:tc>
      </w:tr>
      <w:tr>
        <w:trPr>
          <w:trHeight w:val="219"/>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Resort related fees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46,793</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51,181</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51,603</w:t>
            </w:r>
          </w:p>
        </w:tc>
      </w:tr>
      <w:tr>
        <w:trPr>
          <w:trHeight w:val="213"/>
        </w:trPr>
        <w:tc>
          <w:tcPr>
            <w:tcW w:w="51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106,452</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98,342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202,943</w:t>
            </w: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190,910</w:t>
            </w:r>
          </w:p>
        </w:tc>
      </w:tr>
      <w:tr>
        <w:trPr>
          <w:trHeight w:val="219"/>
        </w:trPr>
        <w:tc>
          <w:tcPr>
            <w:tcW w:w="5160" w:type="dxa"/>
            <w:vAlign w:val="bottom"/>
            <w:tcBorders>
              <w:bottom w:val="single" w:sz="8" w:color="auto"/>
            </w:tcBorders>
            <w:shd w:val="clear" w:color="auto" w:fill="CCEEFF"/>
          </w:tcPr>
          <w:p>
            <w:pPr>
              <w:ind w:left="240"/>
              <w:spacing w:after="0" w:line="219"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147,866</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155,124</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238,896</w:t>
            </w: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244,695</w:t>
            </w:r>
          </w:p>
        </w:tc>
      </w:tr>
      <w:tr>
        <w:trPr>
          <w:trHeight w:val="207"/>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Mountain operating expense</w:t>
            </w:r>
          </w:p>
        </w:tc>
        <w:tc>
          <w:tcPr>
            <w:tcW w:w="24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588,971</w:t>
            </w: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606,223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917,891</w:t>
            </w:r>
          </w:p>
        </w:tc>
        <w:tc>
          <w:tcPr>
            <w:tcW w:w="5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925,732</w:t>
            </w:r>
          </w:p>
        </w:tc>
      </w:tr>
      <w:tr>
        <w:trPr>
          <w:trHeight w:val="21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Lodging</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51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Labor and labor-related benefits</w:t>
            </w:r>
          </w:p>
        </w:tc>
        <w:tc>
          <w:tcPr>
            <w:tcW w:w="24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31,051</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67,730</w:t>
            </w: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69,696</w:t>
            </w:r>
          </w:p>
        </w:tc>
      </w:tr>
      <w:tr>
        <w:trPr>
          <w:trHeight w:val="219"/>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15,166</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29,099</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30,487</w:t>
            </w:r>
          </w:p>
        </w:tc>
      </w:tr>
      <w:tr>
        <w:trPr>
          <w:trHeight w:val="213"/>
        </w:trPr>
        <w:tc>
          <w:tcPr>
            <w:tcW w:w="51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Reimbursed payroll costs</w:t>
            </w:r>
          </w:p>
        </w:tc>
        <w:tc>
          <w:tcPr>
            <w:tcW w:w="24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4,371</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8,207</w:t>
            </w: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6,904</w:t>
            </w:r>
          </w:p>
        </w:tc>
      </w:tr>
      <w:tr>
        <w:trPr>
          <w:trHeight w:val="219"/>
        </w:trPr>
        <w:tc>
          <w:tcPr>
            <w:tcW w:w="5160" w:type="dxa"/>
            <w:vAlign w:val="bottom"/>
            <w:tcBorders>
              <w:bottom w:val="single" w:sz="8" w:color="auto"/>
            </w:tcBorders>
            <w:shd w:val="clear" w:color="auto" w:fill="CCEEFF"/>
          </w:tcPr>
          <w:p>
            <w:pPr>
              <w:ind w:left="240"/>
              <w:spacing w:after="0" w:line="219"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21,872</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19,475</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50,231</w:t>
            </w: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47,385</w:t>
            </w:r>
          </w:p>
        </w:tc>
      </w:tr>
      <w:tr>
        <w:trPr>
          <w:trHeight w:val="207"/>
        </w:trPr>
        <w:tc>
          <w:tcPr>
            <w:tcW w:w="51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Total Lodging operating expense</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72,460</w:t>
            </w: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71,913</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155,267</w:t>
            </w: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154,472</w:t>
            </w:r>
          </w:p>
        </w:tc>
      </w:tr>
      <w:tr>
        <w:trPr>
          <w:trHeight w:val="212"/>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Resort operating expense</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661,431</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678,136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1,073,158</w:t>
            </w: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1,080,204</w:t>
            </w:r>
          </w:p>
        </w:tc>
      </w:tr>
      <w:tr>
        <w:trPr>
          <w:trHeight w:val="213"/>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Real Estate</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5160" w:type="dxa"/>
            <w:vAlign w:val="bottom"/>
            <w:tcBorders>
              <w:bottom w:val="single" w:sz="8" w:color="auto"/>
            </w:tcBorders>
            <w:shd w:val="clear" w:color="auto" w:fill="CCEEFF"/>
          </w:tcPr>
          <w:p>
            <w:pPr>
              <w:ind w:left="240"/>
              <w:spacing w:after="0" w:line="219"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1,669</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1,758</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3,293</w:t>
            </w: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3,249</w:t>
            </w:r>
          </w:p>
        </w:tc>
      </w:tr>
      <w:tr>
        <w:trPr>
          <w:trHeight w:val="207"/>
        </w:trPr>
        <w:tc>
          <w:tcPr>
            <w:tcW w:w="51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Total Real Estate operating expense</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1,669</w:t>
            </w: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1,758</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3,293</w:t>
            </w:r>
          </w:p>
        </w:tc>
        <w:tc>
          <w:tcPr>
            <w:tcW w:w="5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3,249</w:t>
            </w:r>
          </w:p>
        </w:tc>
      </w:tr>
      <w:tr>
        <w:trPr>
          <w:trHeight w:val="234"/>
        </w:trPr>
        <w:tc>
          <w:tcPr>
            <w:tcW w:w="5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segment operating expense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663,100</w:t>
            </w:r>
          </w:p>
        </w:tc>
        <w:tc>
          <w:tcPr>
            <w:tcW w:w="36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679,894</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1,076,451</w:t>
            </w:r>
          </w:p>
        </w:tc>
        <w:tc>
          <w:tcPr>
            <w:tcW w:w="5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1,083,453</w:t>
            </w:r>
          </w:p>
        </w:tc>
      </w:tr>
      <w:tr>
        <w:trPr>
          <w:trHeight w:val="20"/>
        </w:trPr>
        <w:tc>
          <w:tcPr>
            <w:tcW w:w="5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gain on sale of real property</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(1,962)</w:t>
            </w:r>
          </w:p>
        </w:tc>
        <w:tc>
          <w:tcPr>
            <w:tcW w:w="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11,058</w:t>
            </w:r>
          </w:p>
        </w:tc>
        <w:tc>
          <w:tcPr>
            <w:tcW w:w="5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16,506</w:t>
            </w: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Mountain equity investment (loss) income, net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(1,162)</w:t>
            </w:r>
          </w:p>
        </w:tc>
        <w:tc>
          <w:tcPr>
            <w:tcW w:w="3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(69)</w:t>
            </w:r>
          </w:p>
        </w:tc>
        <w:tc>
          <w:tcPr>
            <w:tcW w:w="5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2,896</w:t>
            </w: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Reported EBITDA:</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Mountain</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422,171</w:t>
            </w:r>
          </w:p>
        </w:tc>
        <w:tc>
          <w:tcPr>
            <w:tcW w:w="3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457,616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279,583</w:t>
            </w:r>
          </w:p>
        </w:tc>
        <w:tc>
          <w:tcPr>
            <w:tcW w:w="5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313,554</w:t>
            </w:r>
          </w:p>
        </w:tc>
      </w:tr>
      <w:tr>
        <w:trPr>
          <w:trHeight w:val="213"/>
        </w:trPr>
        <w:tc>
          <w:tcPr>
            <w:tcW w:w="51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Lodging</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2,047</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2,029</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6,404</w:t>
            </w:r>
          </w:p>
        </w:tc>
      </w:tr>
      <w:tr>
        <w:trPr>
          <w:trHeight w:val="212"/>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Resort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421,297</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459,663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281,612</w:t>
            </w: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319,958</w:t>
            </w:r>
          </w:p>
        </w:tc>
      </w:tr>
      <w:tr>
        <w:trPr>
          <w:trHeight w:val="213"/>
        </w:trPr>
        <w:tc>
          <w:tcPr>
            <w:tcW w:w="51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Real Estate</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(3,589)</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(1,587)</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7,887</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13,491</w:t>
            </w:r>
          </w:p>
        </w:tc>
      </w:tr>
      <w:tr>
        <w:trPr>
          <w:trHeight w:val="234"/>
        </w:trPr>
        <w:tc>
          <w:tcPr>
            <w:tcW w:w="5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Reported EBITDA</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417,708</w:t>
            </w:r>
          </w:p>
        </w:tc>
        <w:tc>
          <w:tcPr>
            <w:tcW w:w="36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458,076</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289,499</w:t>
            </w:r>
          </w:p>
        </w:tc>
        <w:tc>
          <w:tcPr>
            <w:tcW w:w="5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333,449</w:t>
            </w:r>
          </w:p>
        </w:tc>
      </w:tr>
      <w:tr>
        <w:trPr>
          <w:trHeight w:val="20"/>
        </w:trPr>
        <w:tc>
          <w:tcPr>
            <w:tcW w:w="5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Real estate held for sale or investment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76,317</w:t>
            </w:r>
          </w:p>
        </w:tc>
        <w:tc>
          <w:tcPr>
            <w:tcW w:w="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90,799</w:t>
            </w:r>
          </w:p>
        </w:tc>
        <w:tc>
          <w:tcPr>
            <w:tcW w:w="100" w:type="dxa"/>
            <w:vAlign w:val="bottom"/>
          </w:tcPr>
          <w:p>
            <w:pPr>
              <w:spacing w:after="0"/>
              <w:rPr>
                <w:sz w:val="16"/>
                <w:szCs w:val="16"/>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76,317</w:t>
            </w:r>
          </w:p>
        </w:tc>
        <w:tc>
          <w:tcPr>
            <w:tcW w:w="5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90,799</w:t>
            </w:r>
          </w:p>
        </w:tc>
      </w:tr>
      <w:tr>
        <w:trPr>
          <w:trHeight w:val="165"/>
        </w:trPr>
        <w:tc>
          <w:tcPr>
            <w:tcW w:w="51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Reconciliation from net income attributable to Vail Resorts, Inc. to Total</w:t>
            </w: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Reported EBITDA:</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attributable to Vail Resorts, Inc.</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210,007</w:t>
            </w:r>
          </w:p>
        </w:tc>
        <w:tc>
          <w:tcPr>
            <w:tcW w:w="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244,376</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23,255</w:t>
            </w:r>
          </w:p>
        </w:tc>
        <w:tc>
          <w:tcPr>
            <w:tcW w:w="5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71,121</w:t>
            </w:r>
          </w:p>
        </w:tc>
      </w:tr>
      <w:tr>
        <w:trPr>
          <w:trHeight w:val="216"/>
        </w:trPr>
        <w:tc>
          <w:tcPr>
            <w:tcW w:w="5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15,838</w:t>
            </w: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12,551</w:t>
            </w: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6,134</w:t>
            </w:r>
          </w:p>
        </w:tc>
        <w:tc>
          <w:tcPr>
            <w:tcW w:w="5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3,843</w:t>
            </w:r>
          </w:p>
        </w:tc>
      </w:tr>
      <w:tr>
        <w:trPr>
          <w:trHeight w:val="210"/>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225,845</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256,927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29,389</w:t>
            </w: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74,964</w:t>
            </w:r>
          </w:p>
        </w:tc>
      </w:tr>
      <w:tr>
        <w:trPr>
          <w:trHeight w:val="216"/>
        </w:trPr>
        <w:tc>
          <w:tcPr>
            <w:tcW w:w="5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72,287</w:t>
            </w: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85,956</w:t>
            </w: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11,672</w:t>
            </w:r>
          </w:p>
        </w:tc>
        <w:tc>
          <w:tcPr>
            <w:tcW w:w="5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27,572</w:t>
            </w:r>
          </w:p>
        </w:tc>
      </w:tr>
      <w:tr>
        <w:trPr>
          <w:trHeight w:val="210"/>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before provision for income taxes</w:t>
            </w:r>
          </w:p>
        </w:tc>
        <w:tc>
          <w:tcPr>
            <w:tcW w:w="24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298,132</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342,883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41,061</w:t>
            </w: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102,536</w:t>
            </w: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74,350</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147,467</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145,896</w:t>
            </w: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estimated fair value of contingent consideration</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(3,700)</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939</w:t>
            </w: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2,179</w:t>
            </w: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(gain) on disposal of fixed assets and other, net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3,172</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5,935</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w:t>
            </w: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income and other, net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(3,525)</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(6,548)</w:t>
            </w: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(5,514)</w:t>
            </w: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(gain) loss on intercompany loans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(118)</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w:t>
            </w:r>
          </w:p>
        </w:tc>
      </w:tr>
      <w:tr>
        <w:trPr>
          <w:trHeight w:val="21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49,476</w:t>
            </w: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42,670</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100,763</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85,467</w:t>
            </w:r>
          </w:p>
        </w:tc>
      </w:tr>
      <w:tr>
        <w:trPr>
          <w:trHeight w:val="235"/>
        </w:trPr>
        <w:tc>
          <w:tcPr>
            <w:tcW w:w="51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Reported EBITDA</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417,708</w:t>
            </w:r>
          </w:p>
        </w:tc>
        <w:tc>
          <w:tcPr>
            <w:tcW w:w="36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458,076</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289,499</w:t>
            </w:r>
          </w:p>
        </w:tc>
        <w:tc>
          <w:tcPr>
            <w:tcW w:w="50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333,449</w:t>
            </w:r>
          </w:p>
        </w:tc>
      </w:tr>
      <w:tr>
        <w:trPr>
          <w:trHeight w:val="20"/>
        </w:trPr>
        <w:tc>
          <w:tcPr>
            <w:tcW w:w="5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340" w:hanging="8"/>
        <w:spacing w:after="0" w:line="235" w:lineRule="auto"/>
        <w:tabs>
          <w:tab w:leader="none" w:pos="519"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segment operating expense primarily includes cost of sales, fuel, supplies, repairs and maintenance, professional services, rent, utilities and property taxes. The CODM uses consolidated expense information to manage operations and is not regularly provided disaggregated other segment items.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21" w:name="page22"/>
    <w:bookmarkEnd w:id="21"/>
    <w:p>
      <w:pPr>
        <w:ind w:left="460" w:hanging="452"/>
        <w:spacing w:after="0"/>
        <w:tabs>
          <w:tab w:leader="none" w:pos="4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Repurchase Program</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9, 2006, the Company’s Board of Directors approved a share repurchase program, authorizing the Company to repurchase up to 3,000,000 Vail Shares. On July 16, 2008, December 4, 2015, March 7, 2023, September 25, 2024 and June 4, 2025, the Company’s Board of Directors increased the authorization by an additional 3,000,000, 1,500,000, 2,500,000, 1,100,000 and 1,500,000 Vail Shares, respectively, for a total authorization to repurchase up to 12,600,000 Vail Shares. During the three months ended January 31, 2026 and 2025, the Company repurchased 322,709 and 102,268 Vail Shares, respectively (at a total cost of $45.0 million and $20.0 million, respectively, excluding accrued excise tax). During the six months ended January 31, 2026 and 2025, the Company repurchased 322,709 and 217,068 Vail Shares, respectively (at a total cost of $45.0 million and $40.0 million, respectively, excluding accrued excise tax). Since inception of this stock repurchase program through January 31, 2026, the Company has repurchased 11,382,892 Vail Shares at a cost of approximately $1,444.4 million. As of January 31, 2026, 1,217,108 Vail Shares remained available to repurchase under the existing share repurchase program. Vail Shares purchased pursuant to the repurchase program will be held as treasury shares and may be used for the issuance under the Company’s employee share award plan.</w:t>
      </w:r>
    </w:p>
    <w:p>
      <w:pPr>
        <w:spacing w:after="0" w:line="190" w:lineRule="exact"/>
        <w:rPr>
          <w:sz w:val="20"/>
          <w:szCs w:val="20"/>
          <w:color w:val="auto"/>
        </w:rPr>
      </w:pPr>
    </w:p>
    <w:p>
      <w:pPr>
        <w:ind w:left="400" w:hanging="392"/>
        <w:spacing w:after="0"/>
        <w:tabs>
          <w:tab w:leader="none" w:pos="4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Revision of Previously Issued Consolidated Condensed Financial Statements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disclosed in Note 2, Summary of Significant Accounting Policies, during the fourth quarter of the fiscal year ended July 31, 2025, the Company identified errors to the Consolidated Financial Statements as of and for the years ended July 31, 2024 and July 31, 2023, as well as its unaudited Consolidated Condensed Financial Statements as of and for the three and six months ended January 31, 2025 relating to the misapplication of the interest method in the accounting for the EPR Secured Notes and its accounting for certain completed capital projects. Although the Company concluded that these errors were not material, either individually or in the aggregate, to its current or previously issued Consolidated Financial Statements as of and for the years ended July 31, 2025, July 31, 2024 and July 31, 2023 and its unaudited Consolidated Condensed Financial Statements as of and for the three and six months ended January 31, 2025, the Company elected to revise its previously issued Consolidated Financial Statements and its unaudited Consolidated Condensed Financial Statements to correct the errors. In connection with the revision, the Company is also correcting for other previously identified immaterial errors that were originally corrected as out of period adjustments in the period of identification.</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certain errors originating prior to the year ended July 31, 2023, the opening retained earnings balance as of August 1, 2022 was understated by $12.0 million, primarily due to the impact of $6.9 million of non-cash interest expense that should have been recorded in prior periods.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revisions include corrections of previously identified errors to the Consolidated Condensed Balance Sheets for operating lease liabilities and right of use assets and adjustments to the income tax payable and income tax receivable for items identified during its reconciliation of completed income tax returns to its income tax provision that impacted jurisdictional netting. The accompanying Consolidated Condensed Statements of Cash Flows have been revised to correct a misclassification between operating and financing activities related to interest on finance lease obligations, and to reflect changes related to the items discussed above.</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There were no other changes to the Consolidated Condensed Statements of Stockholders’ Equity that have not otherwise been reflected in the Consolidated Condensed Balance Sheets, Consolidated Condensed Statements of Operations and Consolidated Condensed Statements of Comprehensive Income (Loss) described above. The following tables present the revisions to the Consolidated Condensed Balance Sheet as of January 31, 2025, the Consolidated Condensed Statement of Operations and Consolidated Condensed Statement of Comprehensive Income (Loss) for the three and six months ended January 31, 2025 and the Consolidated Condensed Statement of Cash Flows for the six months ended January 31, 2025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4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Consolidated Condensed Balance Sheet</w:t>
            </w:r>
          </w:p>
        </w:tc>
        <w:tc>
          <w:tcPr>
            <w:tcW w:w="1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8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84,410</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(6,025)</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78,385</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844,492</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(6,025)</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838,467</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 (Note 6)</w:t>
            </w: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2,382,618</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2,377,357</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5,531,193</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(11,286)</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5,519,907</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10,230</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(6,066)</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due within one year (Note 5)</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584,245</w:t>
            </w:r>
          </w:p>
        </w:tc>
        <w:tc>
          <w:tcPr>
            <w:tcW w:w="26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2,924</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587,169</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1,786,684</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1,783,542</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 (Note 5)</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2,117,986</w:t>
            </w:r>
          </w:p>
        </w:tc>
        <w:tc>
          <w:tcPr>
            <w:tcW w:w="26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10,078</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2,128,064</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278,415</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275,389</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4,715,131</w:t>
            </w:r>
          </w:p>
        </w:tc>
        <w:tc>
          <w:tcPr>
            <w:tcW w:w="26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3,910</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4,719,041</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687,169</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(15,196)</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671,973</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Vail Resorts, Inc. stockholders’ equity</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530,703</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(15,196)</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515,507</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816,062</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(15,196)</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800,866</w:t>
            </w:r>
          </w:p>
        </w:tc>
        <w:tc>
          <w:tcPr>
            <w:tcW w:w="0" w:type="dxa"/>
            <w:vAlign w:val="bottom"/>
          </w:tcPr>
          <w:p>
            <w:pPr>
              <w:spacing w:after="0"/>
              <w:rPr>
                <w:sz w:val="1"/>
                <w:szCs w:val="1"/>
                <w:color w:val="auto"/>
              </w:rPr>
            </w:pPr>
          </w:p>
        </w:tc>
      </w:tr>
      <w:tr>
        <w:trPr>
          <w:trHeight w:val="230"/>
        </w:trPr>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3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5,531,193</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(11,286)</w:t>
            </w:r>
          </w:p>
        </w:tc>
        <w:tc>
          <w:tcPr>
            <w:tcW w:w="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5,519,907</w:t>
            </w:r>
          </w:p>
        </w:tc>
        <w:tc>
          <w:tcPr>
            <w:tcW w:w="0" w:type="dxa"/>
            <w:vAlign w:val="bottom"/>
          </w:tcPr>
          <w:p>
            <w:pPr>
              <w:spacing w:after="0"/>
              <w:rPr>
                <w:sz w:val="1"/>
                <w:szCs w:val="1"/>
                <w:color w:val="auto"/>
              </w:rPr>
            </w:pPr>
          </w:p>
        </w:tc>
      </w:tr>
      <w:tr>
        <w:trPr>
          <w:trHeight w:val="402"/>
        </w:trPr>
        <w:tc>
          <w:tcPr>
            <w:tcW w:w="4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0" w:type="dxa"/>
            <w:vAlign w:val="bottom"/>
            <w:gridSpan w:val="4"/>
          </w:tcPr>
          <w:p>
            <w:pPr>
              <w:jc w:val="center"/>
              <w:ind w:left="913"/>
              <w:spacing w:after="0"/>
              <w:rPr>
                <w:sz w:val="20"/>
                <w:szCs w:val="20"/>
                <w:color w:val="auto"/>
              </w:rPr>
            </w:pPr>
            <w:r>
              <w:rPr>
                <w:rFonts w:ascii="Times New Roman" w:cs="Times New Roman" w:eastAsia="Times New Roman" w:hAnsi="Times New Roman"/>
                <w:sz w:val="14"/>
                <w:szCs w:val="14"/>
                <w:b w:val="1"/>
                <w:bCs w:val="1"/>
                <w:color w:val="auto"/>
              </w:rPr>
              <w:t>Three Months Ended January 31, 2025</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Consolidated Condensed Statement of Operations</w:t>
            </w:r>
          </w:p>
        </w:tc>
        <w:tc>
          <w:tcPr>
            <w:tcW w:w="1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8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(73,107)</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(74,352)</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384,417</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383,172</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(42,368)</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(42,670)</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344,430</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342,883</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(86,331)</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375</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(85,956)</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258,099</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256,927</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Vail Resorts, Inc.</w:t>
            </w: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245,548</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244,376</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 per share attributable to Vail Resorts, Inc.</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6.57</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30"/>
        </w:trPr>
        <w:tc>
          <w:tcPr>
            <w:tcW w:w="4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per share attributable to Vail Resorts, Inc.</w:t>
            </w:r>
          </w:p>
        </w:tc>
        <w:tc>
          <w:tcPr>
            <w:tcW w:w="13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6.56</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0" w:type="dxa"/>
            <w:vAlign w:val="bottom"/>
          </w:tcPr>
          <w:p>
            <w:pPr>
              <w:spacing w:after="0"/>
              <w:rPr>
                <w:sz w:val="1"/>
                <w:szCs w:val="1"/>
                <w:color w:val="auto"/>
              </w:rPr>
            </w:pPr>
          </w:p>
        </w:tc>
      </w:tr>
      <w:tr>
        <w:trPr>
          <w:trHeight w:val="389"/>
        </w:trPr>
        <w:tc>
          <w:tcPr>
            <w:tcW w:w="4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0" w:type="dxa"/>
            <w:vAlign w:val="bottom"/>
            <w:gridSpan w:val="4"/>
          </w:tcPr>
          <w:p>
            <w:pPr>
              <w:jc w:val="center"/>
              <w:ind w:left="913"/>
              <w:spacing w:after="0"/>
              <w:rPr>
                <w:sz w:val="20"/>
                <w:szCs w:val="20"/>
                <w:color w:val="auto"/>
              </w:rPr>
            </w:pPr>
            <w:r>
              <w:rPr>
                <w:rFonts w:ascii="Times New Roman" w:cs="Times New Roman" w:eastAsia="Times New Roman" w:hAnsi="Times New Roman"/>
                <w:sz w:val="14"/>
                <w:szCs w:val="14"/>
                <w:b w:val="1"/>
                <w:bCs w:val="1"/>
                <w:color w:val="auto"/>
              </w:rPr>
              <w:t>Six months ended January 31, 2025</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Consolidated Condensed Statement of Operations</w:t>
            </w:r>
          </w:p>
        </w:tc>
        <w:tc>
          <w:tcPr>
            <w:tcW w:w="1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8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(144,740)</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(145,896)</w:t>
            </w: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182,398</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181,242</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(84,522)</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(85,467)</w:t>
            </w: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104,637</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102,536</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(28,082)</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510</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(27,572)</w:t>
            </w: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76,555</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74,964</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Vail Resorts, Inc.</w:t>
            </w: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72,712</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71,121</w:t>
            </w: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 per share attributable to Vail Resorts, Inc.</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1.94</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29"/>
        </w:trPr>
        <w:tc>
          <w:tcPr>
            <w:tcW w:w="4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per share attributable to Vail Resorts, Inc.</w:t>
            </w:r>
          </w:p>
        </w:tc>
        <w:tc>
          <w:tcPr>
            <w:tcW w:w="13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1.94</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402"/>
        </w:trPr>
        <w:tc>
          <w:tcPr>
            <w:tcW w:w="4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0" w:type="dxa"/>
            <w:vAlign w:val="bottom"/>
            <w:gridSpan w:val="4"/>
          </w:tcPr>
          <w:p>
            <w:pPr>
              <w:jc w:val="center"/>
              <w:ind w:left="913"/>
              <w:spacing w:after="0"/>
              <w:rPr>
                <w:sz w:val="20"/>
                <w:szCs w:val="20"/>
                <w:color w:val="auto"/>
              </w:rPr>
            </w:pPr>
            <w:r>
              <w:rPr>
                <w:rFonts w:ascii="Times New Roman" w:cs="Times New Roman" w:eastAsia="Times New Roman" w:hAnsi="Times New Roman"/>
                <w:sz w:val="14"/>
                <w:szCs w:val="14"/>
                <w:b w:val="1"/>
                <w:bCs w:val="1"/>
                <w:color w:val="auto"/>
              </w:rPr>
              <w:t>Three Months Ended January 31, 2025</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Consolidated Condensed Statement of Comprehensive Income</w:t>
            </w:r>
          </w:p>
        </w:tc>
        <w:tc>
          <w:tcPr>
            <w:tcW w:w="1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8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258,099</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256,927</w:t>
            </w: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170,135</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168,963</w:t>
            </w:r>
          </w:p>
        </w:tc>
        <w:tc>
          <w:tcPr>
            <w:tcW w:w="0" w:type="dxa"/>
            <w:vAlign w:val="bottom"/>
          </w:tcPr>
          <w:p>
            <w:pPr>
              <w:spacing w:after="0"/>
              <w:rPr>
                <w:sz w:val="1"/>
                <w:szCs w:val="1"/>
                <w:color w:val="auto"/>
              </w:rPr>
            </w:pPr>
          </w:p>
        </w:tc>
      </w:tr>
      <w:tr>
        <w:trPr>
          <w:trHeight w:val="230"/>
        </w:trPr>
        <w:tc>
          <w:tcPr>
            <w:tcW w:w="4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Vail Resorts, Inc.</w:t>
            </w:r>
          </w:p>
        </w:tc>
        <w:tc>
          <w:tcPr>
            <w:tcW w:w="13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182,285</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181,113</w:t>
            </w:r>
          </w:p>
        </w:tc>
        <w:tc>
          <w:tcPr>
            <w:tcW w:w="0" w:type="dxa"/>
            <w:vAlign w:val="bottom"/>
          </w:tcPr>
          <w:p>
            <w:pPr>
              <w:spacing w:after="0"/>
              <w:rPr>
                <w:sz w:val="1"/>
                <w:szCs w:val="1"/>
                <w:color w:val="auto"/>
              </w:rPr>
            </w:pPr>
          </w:p>
        </w:tc>
      </w:tr>
      <w:tr>
        <w:trPr>
          <w:trHeight w:val="857"/>
        </w:trPr>
        <w:tc>
          <w:tcPr>
            <w:tcW w:w="4980" w:type="dxa"/>
            <w:vAlign w:val="bottom"/>
          </w:tcPr>
          <w:p>
            <w:pPr>
              <w:spacing w:after="0"/>
              <w:rPr>
                <w:sz w:val="24"/>
                <w:szCs w:val="24"/>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23" w:name="page24"/>
    <w:bookmarkEnd w:id="23"/>
    <w:tbl>
      <w:tblPr>
        <w:tblLayout w:type="fixed"/>
        <w:tblInd w:w="2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January 31, 2025</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Consolidated Condensed Statement of Comprehensive Income (Loss)</w:t>
            </w:r>
          </w:p>
        </w:tc>
        <w:tc>
          <w:tcPr>
            <w:tcW w:w="13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060" w:type="dxa"/>
            <w:vAlign w:val="bottom"/>
            <w:vMerge w:val="continue"/>
          </w:tcPr>
          <w:p>
            <w:pPr>
              <w:spacing w:after="0"/>
              <w:rPr>
                <w:sz w:val="15"/>
                <w:szCs w:val="15"/>
                <w:color w:val="auto"/>
              </w:rPr>
            </w:pPr>
          </w:p>
        </w:tc>
        <w:tc>
          <w:tcPr>
            <w:tcW w:w="136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3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76,555</w:t>
            </w:r>
          </w:p>
        </w:tc>
        <w:tc>
          <w:tcPr>
            <w:tcW w:w="34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3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74,964</w:t>
            </w:r>
          </w:p>
        </w:tc>
        <w:tc>
          <w:tcPr>
            <w:tcW w:w="0" w:type="dxa"/>
            <w:vAlign w:val="bottom"/>
          </w:tcPr>
          <w:p>
            <w:pPr>
              <w:spacing w:after="0"/>
              <w:rPr>
                <w:sz w:val="1"/>
                <w:szCs w:val="1"/>
                <w:color w:val="auto"/>
              </w:rPr>
            </w:pP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(17,018)</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(18,609)</w:t>
            </w:r>
          </w:p>
        </w:tc>
        <w:tc>
          <w:tcPr>
            <w:tcW w:w="0" w:type="dxa"/>
            <w:vAlign w:val="bottom"/>
          </w:tcPr>
          <w:p>
            <w:pPr>
              <w:spacing w:after="0"/>
              <w:rPr>
                <w:sz w:val="1"/>
                <w:szCs w:val="1"/>
                <w:color w:val="auto"/>
              </w:rPr>
            </w:pPr>
          </w:p>
        </w:tc>
      </w:tr>
      <w:tr>
        <w:trPr>
          <w:trHeight w:val="230"/>
        </w:trPr>
        <w:tc>
          <w:tcPr>
            <w:tcW w:w="6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Vail Resorts, Inc.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5,301</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0" w:type="dxa"/>
            <w:vAlign w:val="bottom"/>
          </w:tcPr>
          <w:p>
            <w:pPr>
              <w:spacing w:after="0"/>
              <w:rPr>
                <w:sz w:val="1"/>
                <w:szCs w:val="1"/>
                <w:color w:val="auto"/>
              </w:rPr>
            </w:pPr>
          </w:p>
        </w:tc>
      </w:tr>
      <w:tr>
        <w:trPr>
          <w:trHeight w:val="402"/>
        </w:trPr>
        <w:tc>
          <w:tcPr>
            <w:tcW w:w="6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60" w:type="dxa"/>
            <w:vAlign w:val="bottom"/>
            <w:gridSpan w:val="4"/>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Six months ended January 31, 2025</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Consolidated Condensed Statement of Cash Flows</w:t>
            </w: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0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76,555</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74,964</w:t>
            </w:r>
          </w:p>
        </w:tc>
        <w:tc>
          <w:tcPr>
            <w:tcW w:w="0" w:type="dxa"/>
            <w:vAlign w:val="bottom"/>
          </w:tcPr>
          <w:p>
            <w:pPr>
              <w:spacing w:after="0"/>
              <w:rPr>
                <w:sz w:val="1"/>
                <w:szCs w:val="1"/>
                <w:color w:val="auto"/>
              </w:rPr>
            </w:pP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144,740</w:t>
            </w:r>
          </w:p>
        </w:tc>
        <w:tc>
          <w:tcPr>
            <w:tcW w:w="340" w:type="dxa"/>
            <w:vAlign w:val="bottom"/>
          </w:tcPr>
          <w:p>
            <w:pPr>
              <w:spacing w:after="0"/>
              <w:rPr>
                <w:sz w:val="19"/>
                <w:szCs w:val="19"/>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1,156</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145,896</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28,082</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27,572</w:t>
            </w:r>
          </w:p>
        </w:tc>
        <w:tc>
          <w:tcPr>
            <w:tcW w:w="0" w:type="dxa"/>
            <w:vAlign w:val="bottom"/>
          </w:tcPr>
          <w:p>
            <w:pPr>
              <w:spacing w:after="0"/>
              <w:rPr>
                <w:sz w:val="1"/>
                <w:szCs w:val="1"/>
                <w:color w:val="auto"/>
              </w:rPr>
            </w:pP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non-cash income, net</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(13,384)</w:t>
            </w:r>
          </w:p>
        </w:tc>
        <w:tc>
          <w:tcPr>
            <w:tcW w:w="340" w:type="dxa"/>
            <w:vAlign w:val="bottom"/>
          </w:tcPr>
          <w:p>
            <w:pPr>
              <w:spacing w:after="0"/>
              <w:rPr>
                <w:sz w:val="19"/>
                <w:szCs w:val="19"/>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1,430</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(11,954)</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608,681</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485</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609,166</w:t>
            </w:r>
          </w:p>
        </w:tc>
        <w:tc>
          <w:tcPr>
            <w:tcW w:w="0" w:type="dxa"/>
            <w:vAlign w:val="bottom"/>
          </w:tcPr>
          <w:p>
            <w:pPr>
              <w:spacing w:after="0"/>
              <w:rPr>
                <w:sz w:val="1"/>
                <w:szCs w:val="1"/>
                <w:color w:val="auto"/>
              </w:rPr>
            </w:pP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(18,204)</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(18,689)</w:t>
            </w:r>
          </w:p>
        </w:tc>
        <w:tc>
          <w:tcPr>
            <w:tcW w:w="0" w:type="dxa"/>
            <w:vAlign w:val="bottom"/>
          </w:tcPr>
          <w:p>
            <w:pPr>
              <w:spacing w:after="0"/>
              <w:rPr>
                <w:sz w:val="1"/>
                <w:szCs w:val="1"/>
                <w:color w:val="auto"/>
              </w:rPr>
            </w:pPr>
          </w:p>
        </w:tc>
      </w:tr>
      <w:tr>
        <w:trPr>
          <w:trHeight w:val="229"/>
        </w:trPr>
        <w:tc>
          <w:tcPr>
            <w:tcW w:w="6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(302,746)</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(303,231)</w:t>
            </w: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9, 2026, VHI, a wholly-owned subsidiary of the Company, certain subsidiaries of VHI, and the Company, as guarantors, Bank of America, N.A., as administrative agent, and certain Lenders entered into the Tenth A&amp;R Credit Agreement.</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Tenth A&amp;R Credit Agreement, among other things, (i) replaces the existing term loan facility, of which $885.9 million was outstanding immediately prior to the effectiveness of the Tenth A&amp;R Credit Agreement, and the existing $275.0 million delayed draw term loan facility, with a new $1,275.0 million senior term loan facility; (ii) extends the maturity date of the revolver and term loan facilities to the earlier of five years from the closing date, or the date that is ninety days prior to the maturity of the Company’s 5.625% Notes so long as such notes remain outstanding; and (iii) reduces the interest rate applicable to borrowings under the Tenth A&amp;R Credit Agreement by modifying the existing leverage-based pricing grid and removing the 0.10% credit spread adjustment for Term Reference Rate Loans and Daily Secured Overnight Financing Rate Loans (each as defined in the Tenth A&amp;R Credit Agreement).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Vail Resorts, Inc., together with its subsidiaries, is referred to throughout this Quarterly Report on Form 10-Q for the period ended January 31, 2026 (“Form 10-Q”) as “we,” “us,” “our” or the “Company.”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(“MD&amp;A”) should be read in conjunction with our Annual Report on Form 10-K for the fiscal year ended July 31, 2025 (“Form 10-K”) and the Consolidated Condensed Financial Statements as of January 31, 2026 and 2025 and for the three and six months then ended, included in Part I, Item 1 of this Form 10-Q, which provide additional information regarding our financial position, results of operations and cash flows. To the extent that the following MD&amp;A contains statements which are not of a historical nature, such statements are forward-looking statements, which involve risks and uncertainties. See “Forward-Looking Statements” below. These risks include, but are not limited to, those discussed in our filings with the Securities and Exchange Commission (“SEC”), including the risks described in Item 1A. “Risk Factors” of Part I of our Form 10-K, which was filed on September 29, 2025.</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MD&amp;A includes discussion of financial performance within each of our three segments. We have chosen to specifically include segment Reported EBITDA (defined as segment net revenue less segment operating expense, plus segment equity investment income or loss, and for the Real Estate segment, plus gain or loss on sale of real property) in the following discussion because we consider this measurement to be a significant indication of our financial performance. We utilize segment Reported EBITDA in evaluating our performance and in allocating resources to our segments. Net Debt (defined as long-term debt, net plus long-term debt due within one year less cash and cash equivalents) is included in the following discussion because we consider this measurement to be a significant indication of our available capital resources. We also believe that Net Debt is an important measurement as it is an indicator of our ability to obtain additional capital resources for our future cash needs. Resort Reported EBITDA (defined as the combination of segment Reported EBITDA of our Mountain and Lodging segments), Total Reported EBITDA (which is Resort Reported EBITDA plus segment Reported EBITDA from our Real Estate segment) and Net Debt are not measures of financial performance or liquidity defined under accounting</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24" w:name="page25"/>
    <w:bookmarkEnd w:id="24"/>
    <w:p>
      <w:pPr>
        <w:jc w:val="both"/>
        <w:spacing w:after="0" w:line="282" w:lineRule="auto"/>
        <w:rPr>
          <w:sz w:val="20"/>
          <w:szCs w:val="20"/>
          <w:color w:val="auto"/>
        </w:rPr>
      </w:pPr>
      <w:r>
        <w:rPr>
          <w:rFonts w:ascii="Times New Roman" w:cs="Times New Roman" w:eastAsia="Times New Roman" w:hAnsi="Times New Roman"/>
          <w:sz w:val="18"/>
          <w:szCs w:val="18"/>
          <w:color w:val="auto"/>
        </w:rPr>
        <w:t>principles generally accepted in the United States (“GAAP”). Refer to the end of the Results of Operations section for a reconciliation of net income attributable to Vail Resorts, Inc. to Total Reported EBITDA and Resort Reported EBITDA, and long-term debt, net to Net Debt.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Items excluded from Resort Reported EBITDA, Total Reported EBITDA and Net Debt are significant components in understanding and assessing financial performance or liquidity. Resort Reported EBITDA, Total Reported EBITDA and Net Debt should not be considered in isolation or as an alternative to, or substitute for, net income, net change in cash and cash equivalents or other financial statement data presented in the Consolidated Condensed Financial Statements as indicators of financial performance or liquidity. Because Resort Reported EBITDA, Total Reported EBITDA and Net Debt are not measurements determined in accordance with GAAP and are thus susceptible to varying calculations, Resort Reported EBITDA, Total Reported EBITDA and Net Debt, as presented herein, may not be comparable to other similarly titled measures of other companies. In addition, our segment Reported EBITDA (i.e., Mountain, Lodging and Real Estate), the measure of segment profit or loss required to be disclosed in accordance with GAAP, may not be comparable to other similarly titled measures of other companies.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discussion has been adjusted to reflect our revision of previously issued Consolidated Condensed Financial Statements to correct for prior period misstatements, which we concluded did not, either individually or in the aggregate, result in a material misstatement of our previously issued Consolidated Condensed Financial Statements. Further information regarding the revision is included in Note 2, Summary of Significant Accounting Policies and Note 11, Revision of Previously Issued Consolidated Condensed Financial Statements of the Notes to the Consolidated Condensed Financial Statements contained in this Quarterly Report on Form 10-Q.</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operations are grouped into three integrated and interdependent segments: Mountain, Lodging and Real Estate. We refer to “Resort” as the combination of the Mountain and Lodging segments.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Mountain Segment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Mountain segment, the Company operates the following 42 destination mountain resorts and regional ski areas (collectively, “Resorts”).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5863590" cy="25800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6359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*Denotes a destination mountain resort, which generally receives a meaningful portion of skier visits from long-distance travelers, as opposed to our regional ski areas, which tend to generate skier visits predominantly from their respective local markets.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the Mountain segment includes ancillary services, primarily including ski school, dining and retail/rental operations, and for our Australian ski areas, including lodging and transportation operations. Mountain segment revenue is seasonal, with the majority of revenue earned from our North American and European ski operations occurring in our second and third fiscal quarters and the majority of revenue earned from our Australian ski operations occurring in our first and fourth fiscal quarters. Our North American and European Resorts typically experience their peak operating season for the Mountain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5" w:name="page26"/>
    <w:bookmarkEnd w:id="25"/>
    <w:p>
      <w:pPr>
        <w:jc w:val="both"/>
        <w:spacing w:after="0" w:line="255" w:lineRule="auto"/>
        <w:rPr>
          <w:sz w:val="20"/>
          <w:szCs w:val="20"/>
          <w:color w:val="auto"/>
        </w:rPr>
      </w:pPr>
      <w:r>
        <w:rPr>
          <w:rFonts w:ascii="Times New Roman" w:cs="Times New Roman" w:eastAsia="Times New Roman" w:hAnsi="Times New Roman"/>
          <w:sz w:val="18"/>
          <w:szCs w:val="18"/>
          <w:color w:val="auto"/>
        </w:rPr>
        <w:t>segment from mid-December through mid-April, and our Australian ski areas typically experience their peak operating season from June to early October. Consequently, our first and fourth fiscal quarters are seasonally low periods as most of our North American and European ski operations are generally not open for business, and the activity of our Australian ski areas’ peak season and our North American and European summer operating results are not sufficient to offset the losses incurred during these seasonally low periods. Revenue of the Mountain segment during the first and fourth fiscal quarters is primarily generated from summer and group related visitation at our North American and European destination mountain resorts, retail/rental operations and peak season Australian ski operations. Our largest source of Mountain segment revenue is the sale of lift tickets (including pass products), which represented approximately 62% and 61% of Mountain segment revenue for the three months ended January 31, 2026 and 2025, respectively.</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Lift revenue is driven by volume and pricing. Pricing is impacted by absolute pricing, as well as both the demographic and geographic mix of guests, which impacts the price points at which various products are purchased. The demographic mix of guests that visit our North American Resorts is divided into two primary categories: (i) out-of-state and international (“Destination”) guests; and (ii) in-state and local (“Local”) guests. The geographic mix depends on levels of visitation to our destination mountain resorts versus our regional ski areas. For the three months ended January 31, 2026, Destination guests comprised approximately 54% of our North American destination mountain resort skier visits (excluding complimentary access), while Local guests comprised approximately 46% of our North American destination mountain resort skier visits (excluding complimentary access), which compares to 52% and 48%, respectively, for the three months ended January 31, 2025. Skier visitation at our regional ski areas is largely comprised of Local guests. Destination guests generally purchase our higher-priced lift tickets (including pass products) and utilize more ancillary services such as ski school, dining and retail/rental, as well as lodging proximate to our mountain resorts. Additionally, Destination guest visitation is less likely to be impacted by changes in the weather during the current season, but may be more impacted by adverse economic conditions, the global geopolitical climate, travel disruptions or weather conditions in the immediately preceding ski season. Local guests tend to be more value-oriented and weather-sensitive.</w:t>
      </w:r>
    </w:p>
    <w:p>
      <w:pPr>
        <w:spacing w:after="0" w:line="2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offer a variety of pass products for all of our Resorts, marketed toward both Local and Destination guests. Our pass product offerings range from providing access to one or a combination of our Resorts for a certain number of days to our Epic Pass, which allows pass holders unlimited and unrestricted access to all of our Resorts. The Epic Day Pass is a customizable one to seven day pass product purchased in advance of the season, for those skiers and riders who expect to ski a certain number of days during the season, and which is available in three tiers of resort access offerings. Our pass products provide a compelling value proposition to our guests, which in turn assists us in developing a loyal base of customers who commit to ski at our Resorts generally in advance of the ski season and typically ski more days each season at our Resorts than those guests who do not buy pass products. Additionally, we enter into strategic long-term pass alliance agreements with third-party mountain resorts, which further increase the value proposition of our pass products. For the 2025/2026 ski season, our pass alliances include Telluride Ski Resort in Colorado, Hakuba Valley and Rusutsu Resort in Japan, Resorts of the Canadian Rockies in Canada, Les 3 Vallées in France, Disentis Ski Area and Verbier 4 Vallées in Switzerland, Skirama Dolomiti in Italy and Ski Arlberg, Sölden, Saalbach and Zell am See-Kaprun, Mayrhofen and Hintertux and Silvretta Montafon in Austria. Our pass program drives strong customer loyalty; mitigates exposure to more weather sensitive guests; generates additional ancillary spending; and provides cash flow in advance of winter season operations. In addition, our pass program attracts new guests to our Resorts. All of our pass products, including the Epic Pass and Epic Day Pass, are predominately sold prior to the start of the ski season. Pass product revenue, although primarily collected prior to the ski season, is recognized in the Consolidated Condensed Statements of Operations throughout the ski season on a straight-line basis using the number of skiable days of the season-to-date period relative to the total estimated number of skiable days of the season.</w:t>
      </w: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Lift revenue consists of pass product lift revenue (“pass revenue”) and non-pass product lift revenue (“non-pass revenue”). For the three months ended January 31, 2026 and 2025, approximately 74% and 72%, respectively, of our total lift revenue recognized was derived from pass revenue. Pass revenue recognized year to date, which is primarily recognized in our second fiscal quarter, represents approximately 48% and 49%, of our total North American pass product revenue for the 2025/2026 and 2024/2025 North American ski seasons, respectively, with the remaining North American pass revenue almost entirely recognized as lift revenue in our third fiscal quarter ending April 30. The decrease in the portion of pass product revenue recognized year to date compared to the prior year to date period is primarily the result of historically low snowfall across the western U.S., which resulted in limited natural snow and variable temperatures that resulted in delayed openings. This variability in Resort opening dates resulted in an approximately $8.8 million reduction of recognized pass revenue for the three months ended January 31, 2026 compared to what we would have recognized had our Resorts been able to open on the same schedule as they did in the prior year. This is a timing difference that will largely reverse during our third fiscal quarter.</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cost structure of our mountain resort operations has a significant fixed component with variable expenses including, but not limited to, land use permit or lease fees, credit card fees, retail/rental cost of sales and labor, ski school labor and dining operations; as such, profit margins can fluctuate greatly based on the level of revenues.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Lodging Segment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Operations within the Lodging segment include: (i) ownership/management of a group of luxury hotels through the RockResorts brand proximate to our Colorado and Utah mountain resorts; (ii) ownership/management of non-RockResorts branded hotels and condominiums proximate to our North American Resorts; (iii) National Park Service (“NPS”) concessioner properties, including the Grand Teton Lodge Company (“GTLC”); (iv) a Colorado resort ground transportation company; and (v) mountain resort golf courses.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performance of our lodging properties (including managed condominium rooms) proximate to our Resorts, and our Colorado resort ground transportation company, are closely aligned with the performance of the Mountain segment and generally experience similar seasonal trends, particularly with respect to visitation by Destination guests. Revenues from such properties represented approximately 94% of Lodging segment net revenue (excluding Lodging segment revenue associated with the reimbursement of payroll costs) for the three months ended January 31, 2026 and 2025. Management primarily focuses on Lodging net revenue excluding payroll cost reimbursements and Lodging operating expense excluding reimbursed payroll costs (which are not measures of financial performance under GAAP) as the reimbursements are made based upon the costs incurred with no added margin and as such, the revenue and corresponding expense do not affect our Lodging Reported EBITDA, which we use to evaluate Lodging segment performance. Revenue of the Lodging segment during our first and fourth fiscal quarters is generated primarily by the operations of our NPS concessioner properties (as their peak operating season generally occurs during the months of June to October), as well as golf operations and seasonally low operations from our other owned and managed properties and businesses.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Segment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principal activities of our Real Estate segment include the sale of land parcels to third-party developers and planning for future real estate development projects, including zoning and acquisition of applicable permits. We continue undertaking preliminary planning and design work on future projects and are pursuing opportunities with third-party developers rather than undertaking our own significant vertical development projects. Additionally, real estate development projects by third-party developers most often result in the creation of certain resort assets that provide additional benefit to the Mountain segment. We believe that, due to our low carrying cost of real estate land investments, we are well situated to promote future projects by third-party developers while limiting our financial risk. Our revenue from the Real Estate segment and associated expense can fluctuate significantly based upon the timing of closings and the type of real estate being sold, causing volatility in the Real Estate segment’s operating results from period to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Trends, Risks and Uncertainties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Together with those risk factors we have identified in our Form 10-K, we have identified the following important factors (as well as risks and uncertainties associated with such factors) that could impact our future financial performance or condition:</w:t>
      </w:r>
    </w:p>
    <w:p>
      <w:pPr>
        <w:spacing w:after="0" w:line="189" w:lineRule="exact"/>
        <w:rPr>
          <w:sz w:val="20"/>
          <w:szCs w:val="20"/>
          <w:color w:val="auto"/>
        </w:rPr>
      </w:pPr>
    </w:p>
    <w:p>
      <w:pPr>
        <w:jc w:val="both"/>
        <w:ind w:left="660" w:hanging="328"/>
        <w:spacing w:after="0" w:line="25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for the three months ended January 31, 2026 were negatively impacted by challenging conditions across the Rockies, which experienced the lowest snowfall levels in more than 30 years, and particularly impacted our Colorado and Utah resorts, combined with warmer temperatures, resulting in reduced terrain throughout the quarter. Despite the challenging conditions, our results reflect the strength and stability of our operating model, as we reported only modest declines in lift revenue. We remain focused on the initiatives within our control, including our advanced commitment strategy, continued investments in our resorts and our employees, and progressing key initiatives to optimize visitation, including enhanced marketing initiatives and new products.</w:t>
      </w:r>
    </w:p>
    <w:p>
      <w:pPr>
        <w:spacing w:after="0" w:line="214"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weather conditions, including the timing and amount of snowfall, can have an impact on Mountain and Lodging revenue, particularly with regard to skier visits and the duration and frequency of guest visitation. To help mitigate this impact, we sell a variety of pass products prior to the beginning of the ski season, which results in a more stabilized stream of lift revenue. Additionally, our pass products provide a compelling value proposition to our guests, which in turn create a guest commitment predominately prior to the start of the ski season. Pass product revenue increased approximately $4.0 million, or 0.9% for the three months ended January 31, 2026 compared to the same period in the prior year, primarily due to increased pass product sales for 2025/2026 North American ski season compared to the 2024/2025 North American ski season, partially offset by timing of revenue recognition from delayed resort opening dates, compared to the prior year. Deferred revenue related to North American pass product sales was approximately $502.9 million as of January 31, 2026 (compared to approximately $474.7 million as of January 31, 2025).</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7" w:name="page28"/>
    <w:bookmarkEnd w:id="27"/>
    <w:p>
      <w:pPr>
        <w:jc w:val="both"/>
        <w:ind w:left="660" w:hanging="328"/>
        <w:spacing w:after="0" w:line="255"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economies in the countries in which we operate and from which we attract our guests may be impacted by economic challenges associated with elevated inflation, tariffs and trade policies, prolonged elevated interest rates, geopolitical conflicts, political uncertainty, immigration policies, financial institution disruptions, and/or fluctuating commodity prices that could adversely impact our business, including decreased guest spending or visitation or increased costs of operations. Skiing, travel and tourism are discretionary recreational activities that can entail a relatively high cost of participation. As a result, economic downturns and other negative impacts to consumer discretionary spending may have a pronounced impact on visitation to our Resorts. We cannot predict the extent to which we may be impacted by such potential economic challenges, whether in North America or globally.</w:t>
      </w:r>
    </w:p>
    <w:p>
      <w:pPr>
        <w:spacing w:after="0" w:line="2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January 31, 2026, we had $384.7 million of cash and cash equivalents, as well as $507.7 million available under the revolver component of</w:t>
      </w:r>
    </w:p>
    <w:p>
      <w:pPr>
        <w:spacing w:after="0" w:line="27" w:lineRule="exact"/>
        <w:rPr>
          <w:sz w:val="20"/>
          <w:szCs w:val="20"/>
          <w:color w:val="auto"/>
        </w:rPr>
      </w:pPr>
    </w:p>
    <w:p>
      <w:pPr>
        <w:jc w:val="both"/>
        <w:ind w:left="660"/>
        <w:spacing w:after="0" w:line="251" w:lineRule="auto"/>
        <w:rPr>
          <w:sz w:val="20"/>
          <w:szCs w:val="20"/>
          <w:color w:val="auto"/>
        </w:rPr>
      </w:pPr>
      <w:r>
        <w:rPr>
          <w:rFonts w:ascii="Times New Roman" w:cs="Times New Roman" w:eastAsia="Times New Roman" w:hAnsi="Times New Roman"/>
          <w:sz w:val="18"/>
          <w:szCs w:val="18"/>
          <w:color w:val="auto"/>
        </w:rPr>
        <w:t>the Vail Holdings Credit Agreement, which represents the total commitment of $600.0 million less certain letters of credit outstanding of $92.3 million. On December 26, 2025, the Company drew the remaining $275.0 million outstanding balance of the delayed draw term loan of the Vail Holdings Credit Agreement to fund the repayment of our 0.0% Convertible Notes, increasing the total outstanding term loan facility to $1,160.9 million as of January 31, 2026. On February 9, 2026, Vail Holdings, Inc. (“VHI”) entered into an amendment and restatement of the Ninth Amended and Restated Credit Agreement, dated as of April 24, 2024 (as amended the “Tenth A&amp;R Credit Agreement”). The Tenth A&amp;R Credit Agreement, among other things, replaces the existing term loan facility and the existing $275.0 million delayed draw term loan facility with a new $1,275.0 million senior term loan facility. Additionally, we have a credit facility which supports the liquidity needs of Whistler Blackcomb (the “Whistler Credit Agreement”). As of January 31, 2026, we had C$246.6 million ($181.2 million) available under the revolver component of the Whistler Credit Agreement, which represents the total commitment of C$250.0 million ($183.7 million) less letters of credit outstanding of C$3.4 million ($2.5 million).</w:t>
      </w:r>
    </w:p>
    <w:p>
      <w:pPr>
        <w:spacing w:after="0" w:line="19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We believe that our existing cash and cash equivalents, availability under our credit agreements and the expected positive cash flow from operating activities of our Mountain and Lodging segments less resort capital expenditures will continue to provide us with sufficient liquidity to fund our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Shown below is a summary of operating results for the three and six months ended January 31, 2026, compared to the three and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31, 2025 (in thousands):</w:t>
      </w:r>
    </w:p>
    <w:p>
      <w:pPr>
        <w:sectPr>
          <w:pgSz w:w="11900" w:h="16838" w:orient="portrait"/>
          <w:cols w:equalWidth="0" w:num="1">
            <w:col w:w="11240"/>
          </w:cols>
          <w:pgMar w:left="320" w:top="891" w:right="339" w:bottom="1440" w:gutter="0" w:footer="0" w:header="0"/>
        </w:sectPr>
      </w:pPr>
    </w:p>
    <w:p>
      <w:pPr>
        <w:spacing w:after="0" w:line="133" w:lineRule="exact"/>
        <w:rPr>
          <w:sz w:val="20"/>
          <w:szCs w:val="20"/>
          <w:color w:val="auto"/>
        </w:rPr>
      </w:pPr>
    </w:p>
    <w:p>
      <w:pPr>
        <w:jc w:val="center"/>
        <w:ind w:left="5420"/>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33655</wp:posOffset>
            </wp:positionV>
            <wp:extent cx="18345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35" w:lineRule="exact"/>
        <w:rPr>
          <w:sz w:val="20"/>
          <w:szCs w:val="20"/>
          <w:color w:val="auto"/>
        </w:rPr>
      </w:pPr>
    </w:p>
    <w:p>
      <w:pPr>
        <w:ind w:left="5880"/>
        <w:spacing w:after="0"/>
        <w:tabs>
          <w:tab w:leader="none" w:pos="736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Six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wp:posOffset>
            </wp:positionH>
            <wp:positionV relativeFrom="paragraph">
              <wp:posOffset>33655</wp:posOffset>
            </wp:positionV>
            <wp:extent cx="18516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35" w:lineRule="exact"/>
        <w:rPr>
          <w:sz w:val="20"/>
          <w:szCs w:val="20"/>
          <w:color w:val="auto"/>
        </w:rPr>
      </w:pPr>
    </w:p>
    <w:p>
      <w:pPr>
        <w:ind w:left="40"/>
        <w:spacing w:after="0"/>
        <w:tabs>
          <w:tab w:leader="none" w:pos="154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33" w:lineRule="exact"/>
        <w:rPr>
          <w:sz w:val="20"/>
          <w:szCs w:val="20"/>
          <w:color w:val="auto"/>
        </w:rPr>
      </w:pPr>
    </w:p>
    <w:p>
      <w:pPr>
        <w:sectPr>
          <w:pgSz w:w="11900" w:h="16838" w:orient="portrait"/>
          <w:cols w:equalWidth="0" w:num="2">
            <w:col w:w="8120" w:space="720"/>
            <w:col w:w="2400"/>
          </w:cols>
          <w:pgMar w:left="320" w:top="891"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4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Vail Resorts, Inc.</w:t>
            </w:r>
          </w:p>
        </w:tc>
        <w:tc>
          <w:tcPr>
            <w:tcW w:w="148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210,007</w:t>
            </w:r>
          </w:p>
        </w:tc>
        <w:tc>
          <w:tcPr>
            <w:tcW w:w="48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244,376</w:t>
            </w:r>
          </w:p>
        </w:tc>
        <w:tc>
          <w:tcPr>
            <w:tcW w:w="10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23,255</w:t>
            </w:r>
          </w:p>
        </w:tc>
        <w:tc>
          <w:tcPr>
            <w:tcW w:w="50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71,121</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from income taxes</w:t>
            </w:r>
          </w:p>
        </w:tc>
        <w:tc>
          <w:tcPr>
            <w:tcW w:w="1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298,132</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342,883</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41,061</w:t>
            </w:r>
          </w:p>
        </w:tc>
        <w:tc>
          <w:tcPr>
            <w:tcW w:w="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102,536</w:t>
            </w: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Mountain Reported EBITDA</w:t>
            </w:r>
          </w:p>
        </w:tc>
        <w:tc>
          <w:tcPr>
            <w:tcW w:w="1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422,171</w:t>
            </w:r>
          </w:p>
        </w:tc>
        <w:tc>
          <w:tcPr>
            <w:tcW w:w="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457,616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279,583</w:t>
            </w:r>
          </w:p>
        </w:tc>
        <w:tc>
          <w:tcPr>
            <w:tcW w:w="5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313,554</w:t>
            </w:r>
          </w:p>
        </w:tc>
      </w:tr>
      <w:tr>
        <w:trPr>
          <w:trHeight w:val="229"/>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Lodging Reported EBITDA</w:t>
            </w:r>
          </w:p>
        </w:tc>
        <w:tc>
          <w:tcPr>
            <w:tcW w:w="1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2,029</w:t>
            </w: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6,404</w:t>
            </w:r>
          </w:p>
        </w:tc>
      </w:tr>
      <w:tr>
        <w:trPr>
          <w:trHeight w:val="223"/>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Resort Reported EBITDA</w:t>
            </w:r>
          </w:p>
        </w:tc>
        <w:tc>
          <w:tcPr>
            <w:tcW w:w="1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421,297</w:t>
            </w:r>
          </w:p>
        </w:tc>
        <w:tc>
          <w:tcPr>
            <w:tcW w:w="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459,663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281,612</w:t>
            </w:r>
          </w:p>
        </w:tc>
        <w:tc>
          <w:tcPr>
            <w:tcW w:w="5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319,958</w:t>
            </w:r>
          </w:p>
        </w:tc>
      </w:tr>
      <w:tr>
        <w:trPr>
          <w:trHeight w:val="230"/>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Real Estate Reported EBITDA</w:t>
            </w:r>
          </w:p>
        </w:tc>
        <w:tc>
          <w:tcPr>
            <w:tcW w:w="1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7,887</w:t>
            </w: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13,491</w:t>
            </w:r>
          </w:p>
        </w:tc>
      </w:tr>
      <w:tr>
        <w:trPr>
          <w:trHeight w:val="248"/>
        </w:trPr>
        <w:tc>
          <w:tcPr>
            <w:tcW w:w="426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Reported EBITDA</w:t>
            </w:r>
          </w:p>
        </w:tc>
        <w:tc>
          <w:tcPr>
            <w:tcW w:w="14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417,708</w:t>
            </w:r>
          </w:p>
        </w:tc>
        <w:tc>
          <w:tcPr>
            <w:tcW w:w="4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458,076</w:t>
            </w:r>
          </w:p>
        </w:tc>
        <w:tc>
          <w:tcPr>
            <w:tcW w:w="10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289,499</w:t>
            </w:r>
          </w:p>
        </w:tc>
        <w:tc>
          <w:tcPr>
            <w:tcW w:w="5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333,449</w:t>
            </w:r>
          </w:p>
        </w:tc>
      </w:tr>
      <w:tr>
        <w:trPr>
          <w:trHeight w:val="20"/>
        </w:trPr>
        <w:tc>
          <w:tcPr>
            <w:tcW w:w="4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discussion of segment results, including reconciliations of net income attributable to Vail Resorts, Inc. to Total Reported EBITDA, and other items can be found below.</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Mountain Segment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January 31, 2026 compared to the three months ended January 31, 2025</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Mountain segment operating results for the three months ended January 31, 2026 and 2025 are presented by category as follows (in thousands, except effective ticket price (“ETP”)). ETP is calculated as lift revenue divided by total skier visits for each applicable period presented.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980" w:type="dxa"/>
            <w:vAlign w:val="bottom"/>
            <w:gridSpan w:val="3"/>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c>
          <w:tcPr>
            <w:tcW w:w="1880" w:type="dxa"/>
            <w:vAlign w:val="bottom"/>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8"/>
        </w:trPr>
        <w:tc>
          <w:tcPr>
            <w:tcW w:w="600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880" w:type="dxa"/>
            <w:vAlign w:val="bottom"/>
            <w:vMerge w:val="restart"/>
          </w:tcPr>
          <w:p>
            <w:pPr>
              <w:jc w:val="center"/>
              <w:ind w:left="33"/>
              <w:spacing w:after="0" w:line="124"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36"/>
        </w:trPr>
        <w:tc>
          <w:tcPr>
            <w:tcW w:w="60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Pr>
          <w:p>
            <w:pPr>
              <w:spacing w:after="0"/>
              <w:rPr>
                <w:sz w:val="3"/>
                <w:szCs w:val="3"/>
                <w:color w:val="auto"/>
              </w:rPr>
            </w:pPr>
          </w:p>
        </w:tc>
        <w:tc>
          <w:tcPr>
            <w:tcW w:w="1240" w:type="dxa"/>
            <w:vAlign w:val="bottom"/>
            <w:vMerge w:val="restart"/>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6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880" w:type="dxa"/>
            <w:vAlign w:val="bottom"/>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3"/>
        </w:trPr>
        <w:tc>
          <w:tcPr>
            <w:tcW w:w="6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Mountain net revenue: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Lift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625,927</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644,918</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Ski school</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120,625</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133,009</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30"/>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Dining</w:t>
            </w:r>
          </w:p>
        </w:tc>
        <w:tc>
          <w:tcPr>
            <w:tcW w:w="38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84,625</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90,907</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Retail/rental</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126,012</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135,159</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9"/>
        </w:trPr>
        <w:tc>
          <w:tcPr>
            <w:tcW w:w="60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55,115</w:t>
            </w: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59,101</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Mountain net revenue</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1,012,304</w:t>
            </w:r>
          </w:p>
        </w:tc>
        <w:tc>
          <w:tcPr>
            <w:tcW w:w="4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1,063,094</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Mountain operating expense:</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Labor and labor-related benefits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253,685</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264,490</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9"/>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Retail cost of sales</w:t>
            </w:r>
          </w:p>
        </w:tc>
        <w:tc>
          <w:tcPr>
            <w:tcW w:w="38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34,175</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40,473</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Resort related fees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46,793</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47,794</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106,452</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98,342</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229"/>
        </w:trPr>
        <w:tc>
          <w:tcPr>
            <w:tcW w:w="60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147,866</w:t>
            </w:r>
          </w:p>
        </w:tc>
        <w:tc>
          <w:tcPr>
            <w:tcW w:w="4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155,124</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Mountain operating expense</w:t>
            </w:r>
          </w:p>
        </w:tc>
        <w:tc>
          <w:tcPr>
            <w:tcW w:w="38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588,971</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606,223</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6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Mountain equity investment (loss) income, net</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4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Mountain Reported EBITDA</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422,171</w:t>
            </w:r>
          </w:p>
        </w:tc>
        <w:tc>
          <w:tcPr>
            <w:tcW w:w="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457,616</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6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skier visits</w:t>
            </w:r>
          </w:p>
        </w:tc>
        <w:tc>
          <w:tcPr>
            <w:tcW w:w="38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6,782</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7,755</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ETP</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92.29</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83.16</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Mountain Reported EBITDA includes $6.1 million and $6.6 million of stock-based compensation expense for the three months ended January 31, 2026 and 2025, respectively.</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Mountain Reported EBITDA decreased $35.4 million, or 7.7%, primarily due to a decrease in both Local and Destination skier visitation as a result of historically low snowfall across the western U.S., which limited our ability to open terrain and particularly impacted our resorts in the Rockies and Tahoe regions. The decreased skier visitation resulted in decreased non-pass revenue and other ancillary revenues. These decreases were partially offset by (i) decreased labor and labor-related benefits and other variable expenses; and (ii) an increase in North American pass product revenue ($4.0 million), driven by an increase in pass product sales for the 2025/2026 North American ski season compared to the prior year, partially offset by the timing of revenue recognition due to delayed resort openings ($8.8 million, that will largely reverse during our third fiscal quarter). Mountain Reported EBITDA also includes one-time operating expenses attributable to our resource efficiency transformation plan of $1.1 million and $2.6 million for the three months ended January 31, 2026 and 2025, respectively.</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Lift revenue decreased $19.0 million, or 2.9%, primarily due to a decrease in non-pass revenue of 12.6%, driven by a decrease in both Local and Destination skier visitation, which was impacted by historically low snowfall totals across the western U.S., which limited our ability to open terrain, as well as a decrease in skier visitation at Stevens Pass due to flooding which resulted in a delayed opening. Additionally, non-pass ETP decreased 6.8%, compared to the prior year, driven by an overall shift in the mix of visitation to lower-ETP regions, including the impact of stronger visitation across our eastern U.S. resorts, as compared to our Destination resorts in the western U.S.; and (ii) an overall shift in the mix of lift ticket products. These decreases were partially offset by a $4 million increase in pass product revenue from an increase in sales for the 2025/2026 North American ski season, partially offset by the timing of revenue recognition due to delayed openings.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Ski school revenue decreased $12.4 million, or 9.3%, dining revenue decreased $6.3 million, or 6.9%, retail/rental revenue decreased $9.1 million, or 6.8%, each primarily driven by decreased visitation at our North American resorts as a result of historically low snowfall totals across the western U.S., which negatively impacted demand for ancillary products.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9" w:name="page30"/>
    <w:bookmarkEnd w:id="29"/>
    <w:p>
      <w:pPr>
        <w:jc w:val="both"/>
        <w:spacing w:after="0" w:line="261" w:lineRule="auto"/>
        <w:rPr>
          <w:sz w:val="20"/>
          <w:szCs w:val="20"/>
          <w:color w:val="auto"/>
        </w:rPr>
      </w:pPr>
      <w:r>
        <w:rPr>
          <w:rFonts w:ascii="Times New Roman" w:cs="Times New Roman" w:eastAsia="Times New Roman" w:hAnsi="Times New Roman"/>
          <w:sz w:val="18"/>
          <w:szCs w:val="18"/>
          <w:color w:val="auto"/>
        </w:rPr>
        <w:t>Other revenue mainly consists of other mountain activities revenue, employee housing revenue, guest services revenue, commercial leasing revenue, marketing revenue, private club revenue (which includes both club dues and amortization of initiation fees), municipal services revenue and other recreation activity revenue. Other revenue decreased $4.0 million, or 6.7%, primarily driven by decreased skier visitation which drove decreased demand for ancillary services.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expense decreased $17.3 million, or 2.8%, which was primarily attributable to reduced labor hours at our North American Resorts as a result of challenging weather conditions from historically low snowfall across the western U.S., which limited our ability to open terrain and impacted our ability to operate at full capacity, as compared to the prior year, as well as lower variable expenses associated with decreased revenue, and disciplined cost management. Operating expense also includes one-time expenses attributable to our resource efficiency transformation plan of $1.1 million and $2.6 million for the three months ended January 31, 2026 and 2025, respectively.</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Labor and labor-related benefits decreased $10.8 million, or 4.1%, primarily due to a decrease in labor expense to support decreased North American operations due to challenging weather conditions compared to the prior year. Retail cost of sales decreased $6.3 million, or 15.6%, compared to a decrease in retail sales of 11.2%, reflecting increased margins driven by the mix of retail merchandise purchased by customers, in addition to supply chain compliance and efficiency programs. Resort related fees decreased $1.0 million, or 2.1%, primarily as a result of a decrease in revenues on which those fees are based. General and administrative expense increased $8.1 million, or 8.2%, due to an increase in corporate overhead costs, primarily driven by an increase in marketing and sales expenses from investments in media spending to drive incremental pass product sales and visitation. Other expense decreased $7.3 million, or 4.7%, primarily driven by decreased variable costs associated with the decreased revenue.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Mountain equity investment loss, net primarily includes our share of loss from the operations of a real estate brokerage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January 31, 2026 compared to the six months ended January 31,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Mountain segment operating results for the six months ended January 31, 2026 and 2025 are presented by category as follows (in thousands, except ETP):</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120" w:type="dxa"/>
            <w:vAlign w:val="bottom"/>
            <w:gridSpan w:val="3"/>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Six Months Ended January 31,</w:t>
            </w:r>
          </w:p>
        </w:tc>
        <w:tc>
          <w:tcPr>
            <w:tcW w:w="1820" w:type="dxa"/>
            <w:vAlign w:val="bottom"/>
          </w:tcPr>
          <w:p>
            <w:pPr>
              <w:jc w:val="center"/>
              <w:ind w:left="13"/>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8"/>
        </w:trPr>
        <w:tc>
          <w:tcPr>
            <w:tcW w:w="592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820" w:type="dxa"/>
            <w:vAlign w:val="bottom"/>
            <w:vMerge w:val="restart"/>
          </w:tcPr>
          <w:p>
            <w:pPr>
              <w:jc w:val="center"/>
              <w:ind w:left="13"/>
              <w:spacing w:after="0" w:line="135"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48"/>
        </w:trPr>
        <w:tc>
          <w:tcPr>
            <w:tcW w:w="59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60" w:type="dxa"/>
            <w:vAlign w:val="bottom"/>
            <w:vMerge w:val="restart"/>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Pr>
          <w:p>
            <w:pPr>
              <w:spacing w:after="0"/>
              <w:rPr>
                <w:sz w:val="4"/>
                <w:szCs w:val="4"/>
                <w:color w:val="auto"/>
              </w:rPr>
            </w:pPr>
          </w:p>
        </w:tc>
        <w:tc>
          <w:tcPr>
            <w:tcW w:w="1200" w:type="dxa"/>
            <w:vAlign w:val="bottom"/>
            <w:vMerge w:val="restart"/>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59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820" w:type="dxa"/>
            <w:vAlign w:val="bottom"/>
            <w:tcBorders>
              <w:bottom w:val="single" w:sz="8" w:color="auto"/>
            </w:tcBorders>
          </w:tcPr>
          <w:p>
            <w:pPr>
              <w:jc w:val="center"/>
              <w:ind w:left="13"/>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Mountain net revenue:</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Lift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675,570</w:t>
            </w:r>
          </w:p>
        </w:tc>
        <w:tc>
          <w:tcPr>
            <w:tcW w:w="5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685,341</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Ski school</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128,511</w:t>
            </w: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139,848</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0"/>
        </w:trPr>
        <w:tc>
          <w:tcPr>
            <w:tcW w:w="5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Dining</w:t>
            </w:r>
          </w:p>
        </w:tc>
        <w:tc>
          <w:tcPr>
            <w:tcW w:w="380" w:type="dxa"/>
            <w:vAlign w:val="bottom"/>
          </w:tcPr>
          <w:p>
            <w:pPr>
              <w:spacing w:after="0"/>
              <w:rPr>
                <w:sz w:val="19"/>
                <w:szCs w:val="19"/>
                <w:color w:val="auto"/>
              </w:rPr>
            </w:pPr>
          </w:p>
        </w:tc>
        <w:tc>
          <w:tcPr>
            <w:tcW w:w="1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104,412</w:t>
            </w: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111,535</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Retail/rental</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156,803</w:t>
            </w: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164,685</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9"/>
        </w:trPr>
        <w:tc>
          <w:tcPr>
            <w:tcW w:w="59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132,247</w:t>
            </w:r>
          </w:p>
        </w:tc>
        <w:tc>
          <w:tcPr>
            <w:tcW w:w="5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134,981</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Mountain net revenue</w:t>
            </w:r>
          </w:p>
        </w:tc>
        <w:tc>
          <w:tcPr>
            <w:tcW w:w="3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1,197,543</w:t>
            </w: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1,236,390</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Mountain operating expense:</w:t>
            </w: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Labor and labor-related benefits</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375,764</w:t>
            </w: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383,020</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5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Retail cost of sales</w:t>
            </w:r>
          </w:p>
        </w:tc>
        <w:tc>
          <w:tcPr>
            <w:tcW w:w="380" w:type="dxa"/>
            <w:vAlign w:val="bottom"/>
          </w:tcPr>
          <w:p>
            <w:pPr>
              <w:spacing w:after="0"/>
              <w:rPr>
                <w:sz w:val="19"/>
                <w:szCs w:val="19"/>
                <w:color w:val="auto"/>
              </w:rPr>
            </w:pPr>
          </w:p>
        </w:tc>
        <w:tc>
          <w:tcPr>
            <w:tcW w:w="1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49,107</w:t>
            </w: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55,504</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Resort related fees</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51,181</w:t>
            </w: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51,603</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30"/>
        </w:trPr>
        <w:tc>
          <w:tcPr>
            <w:tcW w:w="5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Pr>
          <w:p>
            <w:pPr>
              <w:spacing w:after="0"/>
              <w:rPr>
                <w:sz w:val="19"/>
                <w:szCs w:val="19"/>
                <w:color w:val="auto"/>
              </w:rPr>
            </w:pPr>
          </w:p>
        </w:tc>
        <w:tc>
          <w:tcPr>
            <w:tcW w:w="1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202,943</w:t>
            </w: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190,910</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29"/>
        </w:trPr>
        <w:tc>
          <w:tcPr>
            <w:tcW w:w="59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238,896</w:t>
            </w: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244,695</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Mountain operating expense</w:t>
            </w:r>
          </w:p>
        </w:tc>
        <w:tc>
          <w:tcPr>
            <w:tcW w:w="380" w:type="dxa"/>
            <w:vAlign w:val="bottom"/>
          </w:tcPr>
          <w:p>
            <w:pPr>
              <w:spacing w:after="0"/>
              <w:rPr>
                <w:sz w:val="19"/>
                <w:szCs w:val="19"/>
                <w:color w:val="auto"/>
              </w:rPr>
            </w:pPr>
          </w:p>
        </w:tc>
        <w:tc>
          <w:tcPr>
            <w:tcW w:w="1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917,891</w:t>
            </w: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925,732</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9"/>
        </w:trPr>
        <w:tc>
          <w:tcPr>
            <w:tcW w:w="5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Mountain equity investment (loss) income, net</w:t>
            </w:r>
          </w:p>
        </w:tc>
        <w:tc>
          <w:tcPr>
            <w:tcW w:w="3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(69)</w:t>
            </w: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Mountain Reported EBITDA</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279,583</w:t>
            </w:r>
          </w:p>
        </w:tc>
        <w:tc>
          <w:tcPr>
            <w:tcW w:w="5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313,554</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
        </w:trPr>
        <w:tc>
          <w:tcPr>
            <w:tcW w:w="5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9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skier visits</w:t>
            </w:r>
          </w:p>
        </w:tc>
        <w:tc>
          <w:tcPr>
            <w:tcW w:w="380" w:type="dxa"/>
            <w:vAlign w:val="bottom"/>
          </w:tcPr>
          <w:p>
            <w:pPr>
              <w:spacing w:after="0"/>
              <w:rPr>
                <w:sz w:val="19"/>
                <w:szCs w:val="19"/>
                <w:color w:val="auto"/>
              </w:rPr>
            </w:pPr>
          </w:p>
        </w:tc>
        <w:tc>
          <w:tcPr>
            <w:tcW w:w="1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7,521</w:t>
            </w:r>
          </w:p>
        </w:tc>
        <w:tc>
          <w:tcPr>
            <w:tcW w:w="5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8,303</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ETP</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89.82</w:t>
            </w:r>
          </w:p>
        </w:tc>
        <w:tc>
          <w:tcPr>
            <w:tcW w:w="5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82.54</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Mountain Reported EBITDA includes $11.5 million and $12.4 million of stock-based compensation expense for the six months ended January 31,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0" w:name="page31"/>
    <w:bookmarkEnd w:id="30"/>
    <w:p>
      <w:pPr>
        <w:jc w:val="both"/>
        <w:spacing w:after="0" w:line="254" w:lineRule="auto"/>
        <w:rPr>
          <w:sz w:val="20"/>
          <w:szCs w:val="20"/>
          <w:color w:val="auto"/>
        </w:rPr>
      </w:pPr>
      <w:r>
        <w:rPr>
          <w:rFonts w:ascii="Times New Roman" w:cs="Times New Roman" w:eastAsia="Times New Roman" w:hAnsi="Times New Roman"/>
          <w:sz w:val="18"/>
          <w:szCs w:val="18"/>
          <w:color w:val="auto"/>
        </w:rPr>
        <w:t>Mountain Reported EBITDA decreased $34.0 million, or 10.8%, due to a decrease in both Local and Destination skier visitation driven by historically low snowfall totals across the western U.S., which particularly impacted our resorts in the Rockies and Tahoe regions, and limited our ability to open terrain. The decreased skier visitation resulted in decreased non-pass revenue and other ancillary revenues. These decreases were partially offset by (i) decreased labor and labor-related benefits and other variable expenses; (ii) an increase in pass product revenue ($8.9 million) from an increase in pass product sales, partially offset by the timing of revenue recognition due to delayed resort openings ($8.8 million, that will largely reverse during our third fiscal quarter); and (iii) an increase from our Australian operations compared to the prior year, which experienced improved visitation, driven by improved weather conditions. Mountain segment results also include the impact of one-time operating expenses attributable to our resource efficiency transformation plan of $4.7 million and $4.6 million for the six months ended January 31, 2026 and 2025, respectively, as well as acquisition and integration related expenses of $0.1 million and $1.0 million for the six months ended January 31, 2026 and 2025, respectively.</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our North American Resorts primarily opened for ski season operations during our second fiscal quarter, certain components of Mountain segment net revenue, such as North American lift revenue, ski school revenue, dining revenue and retail/rental revenue for the six months ended January 31, 2026 and 2025 are materially unchanged as compared to those same components for the three months ended January 31, 2026 and 2025. Accordingly, the primary basis for the changes to these components of our North American Resorts for the six months ended January 31, 2026 as compared to the prior period are discussed above under the section heading “</w:t>
      </w:r>
      <w:r>
        <w:rPr>
          <w:rFonts w:ascii="Times New Roman" w:cs="Times New Roman" w:eastAsia="Times New Roman" w:hAnsi="Times New Roman"/>
          <w:sz w:val="18"/>
          <w:szCs w:val="18"/>
          <w:i w:val="1"/>
          <w:iCs w:val="1"/>
          <w:color w:val="auto"/>
        </w:rPr>
        <w:t>Three months ended January 31, 2026 compared to the three months ended January 31, 2025.</w:t>
      </w:r>
      <w:r>
        <w:rPr>
          <w:rFonts w:ascii="Times New Roman" w:cs="Times New Roman" w:eastAsia="Times New Roman" w:hAnsi="Times New Roman"/>
          <w:sz w:val="18"/>
          <w:szCs w:val="18"/>
          <w:color w:val="auto"/>
        </w:rPr>
        <w:t>” Additionally, with regard to the six months ended January 31, 2026 compared to the six months ended January 31, 2025, lift revenue increased at our Australian ski areas primarily due to an increase in pass product revenue for the 2025 Australian winter season, driven by growth in Australian pass product sales, as well as improved visitation at our Australian ski resorts, compared to the prior year, which was supported by improved weather conditions and resulted in an increase in non-pass revenue. Ski school revenue and retail/rental revenue also increased due to increased visitation at our Australian resorts.</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revenue mainly consists of revenues stemming from summer visitation, other mountain activities revenue, employee housing revenue, guest services revenue, commercial leasing revenue, marketing and internet advertising revenue, private club revenue (which includes both club dues and amortization of initiation fees), municipal services revenue and other recreation activity revenue. Other revenue also includes Australian resort lodging and transportation revenue. Other revenue decreased $2.7 million, or 2.0%, primarily driven by decreased skier visitation at our North American resorts, which resulted in decreased demand for ancillary services, partially offset by a $1.9 million increase in other on-mountain summer activities and sightseeing revenue from the impact of increased pricing at our North American resorts.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expense decreased $7.8 million, or 0.8%, which was primarily attributable to reduced labor hours at our North American Resorts as a result of challenging weather conditions from historically low snowfall across the western U.S., which limited our ability to open terrain and impacted our ability to operate at full capacity, as compared to the prior year, as well as lower variable expenses associated with decreased revenue. Operating expense also includes one-time expenses attributable to our resource efficiency transformation plan of $4.7 million and $4.6 million for the six months ended January 31, 2026 and 2025, respectively, as well as acquisition and integration related expenses of $0.1 million and $1.0 million for the six months ended January 31, 2026 and 2025, respectively.</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Labor and labor-related benefits decreased $7.3 million, or 1.9%, primarily due to a decrease in labor expense to support decreased North American operations as a result of challenging weather conditions compared to the prior year, partially offset by an increase in labor expense to support increased Australian operations as a result of improved weather conditions compared to the prior year ($3.4 million). Retail cost of sales decreased $6.4 million, or 11.5%, compared to a decrease in retail sales of 7.9%, reflecting increased margins driven by the mix of retail merchandise purchased by customers, in addition to supply chain compliance and efficiency programs. General and administrative expenses increased $12.0 million, or 6.3%, primarily due to an increase in corporate overhead costs, primarily driven by an increase in marketing and sales expenses from investments in media spending to drive incremental pass product sales and visitation. Other expenses decreased $5.8 million, or 2.4%, primarily due to decreased variable expenses associated with decreased revenues, including dining cost of sales ($2.9 million), supplies ($1.4 million), repairs and maintenance ($1.1 million) and fuel ($0.9 million).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Mountain equity investment income, net primarily includes our share of income from the operations of a real estate brokerage company.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Lodging Segment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January 31, 2026 compared to the three months ended January 31, 2025</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Lodging segment operating results for the three months ended January 31, 2026 and 2025 are presented by category as follows (in thousands, except average daily rates (“ADR”) and revenue per available room (“RevPAR”)):</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980" w:type="dxa"/>
            <w:vAlign w:val="bottom"/>
            <w:gridSpan w:val="3"/>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c>
          <w:tcPr>
            <w:tcW w:w="188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8"/>
        </w:trPr>
        <w:tc>
          <w:tcPr>
            <w:tcW w:w="60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880" w:type="dxa"/>
            <w:vAlign w:val="bottom"/>
            <w:vMerge w:val="restart"/>
          </w:tcPr>
          <w:p>
            <w:pPr>
              <w:jc w:val="center"/>
              <w:ind w:left="32"/>
              <w:spacing w:after="0" w:line="124"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36"/>
        </w:trPr>
        <w:tc>
          <w:tcPr>
            <w:tcW w:w="60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Pr>
          <w:p>
            <w:pPr>
              <w:spacing w:after="0"/>
              <w:rPr>
                <w:sz w:val="3"/>
                <w:szCs w:val="3"/>
                <w:color w:val="auto"/>
              </w:rPr>
            </w:pPr>
          </w:p>
        </w:tc>
        <w:tc>
          <w:tcPr>
            <w:tcW w:w="1220" w:type="dxa"/>
            <w:vAlign w:val="bottom"/>
            <w:vMerge w:val="restart"/>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6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88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3"/>
        </w:trPr>
        <w:tc>
          <w:tcPr>
            <w:tcW w:w="6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Lodging net revenue:</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Owned hotel rooms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12,741</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13,439</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Managed condominium rooms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26,089</w:t>
            </w: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27,074</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Dining</w:t>
            </w:r>
          </w:p>
        </w:tc>
        <w:tc>
          <w:tcPr>
            <w:tcW w:w="3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13,379</w:t>
            </w: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13,754</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Transportation</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4,804</w:t>
            </w: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5,507</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10,202</w:t>
            </w: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10,415</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67,215</w:t>
            </w: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70,189</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Payroll cost reimbursements</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4,371</w:t>
            </w: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Lodging net revenue</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71,586</w:t>
            </w:r>
          </w:p>
        </w:tc>
        <w:tc>
          <w:tcPr>
            <w:tcW w:w="4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73,960</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Lodging operating expense:</w:t>
            </w: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Labor and labor-related benefits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31,051</w:t>
            </w: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32,469</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15,166</w:t>
            </w: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16,198</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21,872</w:t>
            </w:r>
          </w:p>
        </w:tc>
        <w:tc>
          <w:tcPr>
            <w:tcW w:w="4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19,475</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0" w:type="dxa"/>
            <w:vAlign w:val="bottom"/>
          </w:tcPr>
          <w:p>
            <w:pPr>
              <w:spacing w:after="0"/>
              <w:rPr>
                <w:sz w:val="1"/>
                <w:szCs w:val="1"/>
                <w:color w:val="auto"/>
              </w:rPr>
            </w:pPr>
          </w:p>
        </w:tc>
      </w:tr>
      <w:tr>
        <w:trPr>
          <w:trHeight w:val="223"/>
        </w:trPr>
        <w:tc>
          <w:tcPr>
            <w:tcW w:w="6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68,089</w:t>
            </w: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68,142</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Reimbursed payroll costs</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4,371</w:t>
            </w:r>
          </w:p>
        </w:tc>
        <w:tc>
          <w:tcPr>
            <w:tcW w:w="4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Lodging operating expense</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72,460</w:t>
            </w: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71,913</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Lodging Reported EBITDA</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Owned hotel statistics:</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ADR</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300.75</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311.52</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RevPAR</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130.60</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140.06</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Managed condominium statistics:</w:t>
            </w: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ADR</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487.03</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504.70</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RevPAR</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152.98</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159.72</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Owned hotel and managed condominium statistics (combined):</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ADR</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431.75</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447.54</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RevPAR</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147.75</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155.23</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Lodging Reported EBITDA includes $0.8 million and $0.9 million of stock-based compensation expense for the three months ended January 31, 2026 and 2025,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Lodging Reported EBITDA decreased $2.9 million, or 142.7%, primarily due to decreased demand, including the impact of decreased skier visitation driven by challenging weather conditions, which drove a decrease in ADR and negatively impacted ancillary revenues, as well as a reduction in our inventory of available managed condominium rooms proximate to our mountain resorts.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managed condominium rooms decreased $1.0 million, or 3.6%, primarily due to a decrease in skier visitation which decreased demand for lodging and drove a decrease in ADR, as well as a net reduction in our inventory of available managed condominium rooms proximate to our North American mountain resort properties.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Labor and labor related benefits decreased $1.4 million, or 4.4%, primarily due to strong cost control in response to decreased revenue. General and administrative expenses decreased $1.0 million, or 6.4%, primarily due to a decrease in overhead costs, including reservation booking services. Other expenses increased $2.4 million, or 12.3%, primarily due to a reduction in property tax refunds received in the prior year, as well as increases in professional services and repairs and maintenance.</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32" w:name="page33"/>
    <w:bookmarkEnd w:id="32"/>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payroll cost reimbursement and the corresponding reimbursed payroll costs relate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January 31, 2026 compared to the six months ended January 31, 2025</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Lodging segment operating results for the six months ended January 31, 2026 and 2025 are presented by category as follows (in thousands, except ADR and RevPAR):</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80" w:type="dxa"/>
            <w:vAlign w:val="bottom"/>
            <w:gridSpan w:val="3"/>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Six Months Ended January 31,</w:t>
            </w:r>
          </w:p>
        </w:tc>
        <w:tc>
          <w:tcPr>
            <w:tcW w:w="184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8"/>
        </w:trPr>
        <w:tc>
          <w:tcPr>
            <w:tcW w:w="594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840" w:type="dxa"/>
            <w:vAlign w:val="bottom"/>
            <w:vMerge w:val="restart"/>
          </w:tcPr>
          <w:p>
            <w:pPr>
              <w:jc w:val="center"/>
              <w:ind w:left="32"/>
              <w:spacing w:after="0" w:line="135"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48"/>
        </w:trPr>
        <w:tc>
          <w:tcPr>
            <w:tcW w:w="59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20" w:type="dxa"/>
            <w:vAlign w:val="bottom"/>
            <w:vMerge w:val="restart"/>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4"/>
                <w:szCs w:val="4"/>
                <w:color w:val="auto"/>
              </w:rPr>
            </w:pPr>
          </w:p>
        </w:tc>
        <w:tc>
          <w:tcPr>
            <w:tcW w:w="1180" w:type="dxa"/>
            <w:vAlign w:val="bottom"/>
            <w:vMerge w:val="restart"/>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59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840" w:type="dxa"/>
            <w:vAlign w:val="bottom"/>
            <w:tcBorders>
              <w:bottom w:val="single" w:sz="8" w:color="auto"/>
            </w:tcBorders>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Lodging net revenue:</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Owned hotel rooms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41,188</w:t>
            </w:r>
          </w:p>
        </w:tc>
        <w:tc>
          <w:tcPr>
            <w:tcW w:w="5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41,514</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Managed condominium rooms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35,779</w:t>
            </w: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38,779</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9"/>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Dining</w:t>
            </w:r>
          </w:p>
        </w:tc>
        <w:tc>
          <w:tcPr>
            <w:tcW w:w="380" w:type="dxa"/>
            <w:vAlign w:val="bottom"/>
          </w:tcPr>
          <w:p>
            <w:pPr>
              <w:spacing w:after="0"/>
              <w:rPr>
                <w:sz w:val="19"/>
                <w:szCs w:val="19"/>
                <w:color w:val="auto"/>
              </w:rPr>
            </w:pP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32,761</w:t>
            </w: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33,706</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Transportation</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6,213</w:t>
            </w: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7,041</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9"/>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Golf</w:t>
            </w:r>
          </w:p>
        </w:tc>
        <w:tc>
          <w:tcPr>
            <w:tcW w:w="380" w:type="dxa"/>
            <w:vAlign w:val="bottom"/>
          </w:tcPr>
          <w:p>
            <w:pPr>
              <w:spacing w:after="0"/>
              <w:rPr>
                <w:sz w:val="19"/>
                <w:szCs w:val="19"/>
                <w:color w:val="auto"/>
              </w:rPr>
            </w:pP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8,054</w:t>
            </w: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7,801</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29"/>
        </w:trPr>
        <w:tc>
          <w:tcPr>
            <w:tcW w:w="59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25,094</w:t>
            </w:r>
          </w:p>
        </w:tc>
        <w:tc>
          <w:tcPr>
            <w:tcW w:w="5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25,131</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5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149,089</w:t>
            </w: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153,972</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9"/>
        </w:trPr>
        <w:tc>
          <w:tcPr>
            <w:tcW w:w="59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Payroll cost reimbursements</w:t>
            </w: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8,207</w:t>
            </w:r>
          </w:p>
        </w:tc>
        <w:tc>
          <w:tcPr>
            <w:tcW w:w="5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6,904</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Lodging net revenue</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157,296</w:t>
            </w: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160,876</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Lodging operating expense:</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Labor and labor-related benefits</w:t>
            </w:r>
          </w:p>
        </w:tc>
        <w:tc>
          <w:tcPr>
            <w:tcW w:w="380" w:type="dxa"/>
            <w:vAlign w:val="bottom"/>
          </w:tcPr>
          <w:p>
            <w:pPr>
              <w:spacing w:after="0"/>
              <w:rPr>
                <w:sz w:val="19"/>
                <w:szCs w:val="19"/>
                <w:color w:val="auto"/>
              </w:rPr>
            </w:pP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67,730</w:t>
            </w: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69,696</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29,099</w:t>
            </w: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30,487</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5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50,231</w:t>
            </w: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47,385</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23"/>
        </w:trPr>
        <w:tc>
          <w:tcPr>
            <w:tcW w:w="5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147,060</w:t>
            </w: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147,568</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0"/>
        </w:trPr>
        <w:tc>
          <w:tcPr>
            <w:tcW w:w="5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Reimbursed payroll costs</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8,207</w:t>
            </w:r>
          </w:p>
        </w:tc>
        <w:tc>
          <w:tcPr>
            <w:tcW w:w="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6,904</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Lodging operating expense</w:t>
            </w: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155,267</w:t>
            </w:r>
          </w:p>
        </w:tc>
        <w:tc>
          <w:tcPr>
            <w:tcW w:w="5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154,472</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Lodging Reported EBITDA</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2,029</w:t>
            </w:r>
          </w:p>
        </w:tc>
        <w:tc>
          <w:tcPr>
            <w:tcW w:w="5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6,404</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20"/>
        </w:trPr>
        <w:tc>
          <w:tcPr>
            <w:tcW w:w="5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Owned hotel statistics:</w:t>
            </w: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ADR</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317.03</w:t>
            </w:r>
          </w:p>
        </w:tc>
        <w:tc>
          <w:tcPr>
            <w:tcW w:w="5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314.44</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30"/>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RevPAR</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160.88</w:t>
            </w:r>
          </w:p>
        </w:tc>
        <w:tc>
          <w:tcPr>
            <w:tcW w:w="5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163.44</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Managed condominium statistics: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ADR</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380.50</w:t>
            </w:r>
          </w:p>
        </w:tc>
        <w:tc>
          <w:tcPr>
            <w:tcW w:w="5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390.48</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RevPAR</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100.64</w:t>
            </w:r>
          </w:p>
        </w:tc>
        <w:tc>
          <w:tcPr>
            <w:tcW w:w="5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106.47</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Owned hotel and managed condominium statistics (combined):</w:t>
            </w: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ADR</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353.66</w:t>
            </w:r>
          </w:p>
        </w:tc>
        <w:tc>
          <w:tcPr>
            <w:tcW w:w="5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358.90</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4"/>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RevPAR</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117.29</w:t>
            </w:r>
          </w:p>
        </w:tc>
        <w:tc>
          <w:tcPr>
            <w:tcW w:w="5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121.94</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Lodging Reported EBITDA includes $1.6 million and $1.7 million of stock-based compensation expense for the six months ended January 31, 2026 and 2025,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Lodging Reported EBITDA decreased $4.4 million, or 68.3%, primarily driven by a decrease in revenue from our managed condominium rooms, as well as a decrease in dining and transportation revenue, partially offset by increased demand for lodging and park visitation at GTLC driven by favorable weather conditions.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from managed condominium rooms decreased $3.0 million, or 7.7%, primarily due decreased demand at our lodging properties proximate to our North American mountain resorts, including the impact of decreased demand for summer group lodging, as well as decreased skier visitation driven by challenging weather conditions across the western U.S., which drove a decrease in ADR, as well as a net reduction in our inventory of available managed condominium room nights compared to the prior year.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3" w:name="page34"/>
    <w:bookmarkEnd w:id="33"/>
    <w:p>
      <w:pPr>
        <w:jc w:val="both"/>
        <w:spacing w:after="0" w:line="266" w:lineRule="auto"/>
        <w:rPr>
          <w:sz w:val="20"/>
          <w:szCs w:val="20"/>
          <w:color w:val="auto"/>
        </w:rPr>
      </w:pPr>
      <w:r>
        <w:rPr>
          <w:rFonts w:ascii="Times New Roman" w:cs="Times New Roman" w:eastAsia="Times New Roman" w:hAnsi="Times New Roman"/>
          <w:sz w:val="18"/>
          <w:szCs w:val="18"/>
          <w:color w:val="auto"/>
        </w:rPr>
        <w:t>Labor and labor related benefits decreased $2.0 million, or 2.8%, primarily due to strong cost control in response to decreased revenue. General and administrative expense decreased $1.4 million, or 4.6%, primarily due to a decrease in overhead costs, including reservation booking services. Other expense increased $2.8 million, or 6.0%, primarily due to a reduction in property tax refunds received during the six months ended January 31, 2026.</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payroll cost reimbursement and the corresponding reimbursed payroll costs relate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Segment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Real Estate net revenue is primarily determined by the timing of closings and the mix of real estate sold in any given period. Different types of projects have different revenue and profit margins; therefore, as the real estate inventory mix changes, it can greatly impact Real Estate segment net revenue, operating expense, gain or loss on sale of real property and Real Estate Reported EBITDA.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January 31, 2026 compared to the three months ended January 31,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 Estate segment operating results for the three months ended January 31, 2026 and 2025 are presented by category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2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c>
          <w:tcPr>
            <w:tcW w:w="600" w:type="dxa"/>
            <w:vAlign w:val="bottom"/>
          </w:tcPr>
          <w:p>
            <w:pPr>
              <w:spacing w:after="0"/>
              <w:rPr>
                <w:sz w:val="13"/>
                <w:szCs w:val="13"/>
                <w:color w:val="auto"/>
              </w:rPr>
            </w:pPr>
          </w:p>
        </w:tc>
        <w:tc>
          <w:tcPr>
            <w:tcW w:w="1880" w:type="dxa"/>
            <w:vAlign w:val="bottom"/>
          </w:tcPr>
          <w:p>
            <w:pPr>
              <w:jc w:val="center"/>
              <w:ind w:left="37"/>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8"/>
        </w:trPr>
        <w:tc>
          <w:tcPr>
            <w:tcW w:w="6020" w:type="dxa"/>
            <w:vAlign w:val="bottom"/>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880" w:type="dxa"/>
            <w:vAlign w:val="bottom"/>
            <w:vMerge w:val="restart"/>
          </w:tcPr>
          <w:p>
            <w:pPr>
              <w:jc w:val="center"/>
              <w:ind w:left="37"/>
              <w:spacing w:after="0" w:line="135"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48"/>
        </w:trPr>
        <w:tc>
          <w:tcPr>
            <w:tcW w:w="6020" w:type="dxa"/>
            <w:vAlign w:val="bottom"/>
          </w:tcPr>
          <w:p>
            <w:pPr>
              <w:spacing w:after="0"/>
              <w:rPr>
                <w:sz w:val="4"/>
                <w:szCs w:val="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Pr>
          <w:p>
            <w:pPr>
              <w:spacing w:after="0"/>
              <w:rPr>
                <w:sz w:val="4"/>
                <w:szCs w:val="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4"/>
                <w:szCs w:val="4"/>
                <w:color w:val="auto"/>
              </w:rPr>
            </w:pPr>
          </w:p>
        </w:tc>
        <w:tc>
          <w:tcPr>
            <w:tcW w:w="1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60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center"/>
              <w:ind w:left="37"/>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Real Estate net revenue</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08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operating expense:</w:t>
            </w: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1,669</w:t>
            </w:r>
          </w:p>
        </w:tc>
        <w:tc>
          <w:tcPr>
            <w:tcW w:w="10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Real Estate operating expense</w:t>
            </w:r>
          </w:p>
        </w:tc>
        <w:tc>
          <w:tcPr>
            <w:tcW w:w="100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1,669</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on sale of real property</w:t>
            </w: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0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Real Estate Reported EBITDA</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108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0" w:type="dxa"/>
            <w:vAlign w:val="bottom"/>
          </w:tcPr>
          <w:p>
            <w:pPr>
              <w:spacing w:after="0"/>
              <w:rPr>
                <w:sz w:val="1"/>
                <w:szCs w:val="1"/>
                <w:color w:val="auto"/>
              </w:rPr>
            </w:pPr>
          </w:p>
        </w:tc>
      </w:tr>
      <w:tr>
        <w:trPr>
          <w:trHeight w:val="21"/>
        </w:trPr>
        <w:tc>
          <w:tcPr>
            <w:tcW w:w="60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January 31, 2026, we recorded a loss on the sale of real property for $1.8 million related to the transfer of a land parcel in Keystone, Colorado. The proceeds were received in prior periods, but the terms of the agreement prevented a transfer of control to the buyer at the time of sale; therefore, recognition of the loss was deferred until control was transferred, which occurred during the three months ended January 31, 2026. During the three months ended January 31, 2025, we did not close on any significant real estate transactions.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operating expense for both the three months ended January 31, 2026 and 2025 was primarily comprised of general and administrative costs, such as labor and labor-related benefits, professional services and allocated corporate overhead costs.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January 31, 2026 compared to the six months ended January 31,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 Estate segment operating results for the six months ended January 31, 2026 and 2025 are presented by category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2860" w:type="dxa"/>
            <w:vAlign w:val="bottom"/>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Six Months Ended January 31,</w:t>
            </w:r>
          </w:p>
        </w:tc>
        <w:tc>
          <w:tcPr>
            <w:tcW w:w="600" w:type="dxa"/>
            <w:vAlign w:val="bottom"/>
          </w:tcPr>
          <w:p>
            <w:pPr>
              <w:spacing w:after="0"/>
              <w:rPr>
                <w:sz w:val="13"/>
                <w:szCs w:val="13"/>
                <w:color w:val="auto"/>
              </w:rPr>
            </w:pPr>
          </w:p>
        </w:tc>
        <w:tc>
          <w:tcPr>
            <w:tcW w:w="1840" w:type="dxa"/>
            <w:vAlign w:val="bottom"/>
          </w:tcPr>
          <w:p>
            <w:pPr>
              <w:jc w:val="center"/>
              <w:ind w:left="37"/>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8"/>
        </w:trPr>
        <w:tc>
          <w:tcPr>
            <w:tcW w:w="5940" w:type="dxa"/>
            <w:vAlign w:val="bottom"/>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840" w:type="dxa"/>
            <w:vAlign w:val="bottom"/>
            <w:vMerge w:val="restart"/>
          </w:tcPr>
          <w:p>
            <w:pPr>
              <w:jc w:val="center"/>
              <w:ind w:left="37"/>
              <w:spacing w:after="0" w:line="135"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48"/>
        </w:trPr>
        <w:tc>
          <w:tcPr>
            <w:tcW w:w="5940" w:type="dxa"/>
            <w:vAlign w:val="bottom"/>
          </w:tcPr>
          <w:p>
            <w:pPr>
              <w:spacing w:after="0"/>
              <w:rPr>
                <w:sz w:val="4"/>
                <w:szCs w:val="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40" w:type="dxa"/>
            <w:vAlign w:val="bottom"/>
          </w:tcPr>
          <w:p>
            <w:pPr>
              <w:spacing w:after="0"/>
              <w:rPr>
                <w:sz w:val="4"/>
                <w:szCs w:val="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4"/>
                <w:szCs w:val="4"/>
                <w:color w:val="auto"/>
              </w:rPr>
            </w:pPr>
          </w:p>
        </w:tc>
        <w:tc>
          <w:tcPr>
            <w:tcW w:w="1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59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center"/>
              <w:ind w:left="37"/>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Real Estate net revenue</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122</w:t>
            </w:r>
          </w:p>
        </w:tc>
        <w:tc>
          <w:tcPr>
            <w:tcW w:w="11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operating expense:</w:t>
            </w: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3,293</w:t>
            </w:r>
          </w:p>
        </w:tc>
        <w:tc>
          <w:tcPr>
            <w:tcW w:w="1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Real Estate operating expense</w:t>
            </w:r>
          </w:p>
        </w:tc>
        <w:tc>
          <w:tcPr>
            <w:tcW w:w="960" w:type="dxa"/>
            <w:vAlign w:val="bottom"/>
          </w:tcPr>
          <w:p>
            <w:pPr>
              <w:spacing w:after="0"/>
              <w:rPr>
                <w:sz w:val="19"/>
                <w:szCs w:val="19"/>
                <w:color w:val="auto"/>
              </w:rPr>
            </w:pP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3,293</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0"/>
        </w:trPr>
        <w:tc>
          <w:tcPr>
            <w:tcW w:w="5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real property</w:t>
            </w:r>
          </w:p>
        </w:tc>
        <w:tc>
          <w:tcPr>
            <w:tcW w:w="9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11,058</w:t>
            </w:r>
          </w:p>
        </w:tc>
        <w:tc>
          <w:tcPr>
            <w:tcW w:w="1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16,506</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Real Estate Reported EBITDA</w:t>
            </w: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7,887</w:t>
            </w:r>
          </w:p>
        </w:tc>
        <w:tc>
          <w:tcPr>
            <w:tcW w:w="11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13,491</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1"/>
        </w:trPr>
        <w:tc>
          <w:tcPr>
            <w:tcW w:w="59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six months ended January 31, 2026, we recorded a gain on sale of real property for $13.0 million related to the sale of a real estate parcel in Breckenridge, Colorado for proceeds of $15.4 million. The proceeds were received in prior periods, but the terms of the agreement prevented transfer of control to the buyer at the time of sale; therefore, recognition of the gain was deferred until control was transferred during the six months ended January 31, 2026. We also recorded a loss on the sale of real property of $1.8 million related to the transfer of a land parcel in Keystone, Colorado. The proceeds were received in prior periods, but the terms of the agreement prevented transfer of control to the buyer at the time of sale; therefore, recognition of the loss was deferred for recognition until control was transferred, which occurred during the six months ended January 31, 2026. During the six months ended January 31, 2025, we received proceeds of $17.6 million and recorded a gain on sale of real property of $16.5 million related to the resolution of the October 2023 Eagle County District Court final ruling and valuation regarding the Town of Vail’s condemnation of our East Vail property.</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operating expense for both the six months ended January 31, 2026 and 2025 was primarily comprised of general and administrative costs, such as labor and labor-related benefits, professional services and allocated corporate overhead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Items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segment operating results, fluctuations in the following items contributed to our overall financial results for the three and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31, 2026 and 2025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3"/>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c>
          <w:tcPr>
            <w:tcW w:w="1380" w:type="dxa"/>
            <w:vAlign w:val="bottom"/>
            <w:vMerge w:val="restart"/>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280" w:type="dxa"/>
            <w:vAlign w:val="bottom"/>
          </w:tcPr>
          <w:p>
            <w:pPr>
              <w:spacing w:after="0"/>
              <w:rPr>
                <w:sz w:val="16"/>
                <w:szCs w:val="16"/>
                <w:color w:val="auto"/>
              </w:rPr>
            </w:pPr>
          </w:p>
        </w:tc>
        <w:tc>
          <w:tcPr>
            <w:tcW w:w="2520" w:type="dxa"/>
            <w:vAlign w:val="bottom"/>
            <w:gridSpan w:val="3"/>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Six Months Ended January 31,</w:t>
            </w:r>
          </w:p>
        </w:tc>
        <w:tc>
          <w:tcPr>
            <w:tcW w:w="1300" w:type="dxa"/>
            <w:vAlign w:val="bottom"/>
            <w:vMerge w:val="restart"/>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23"/>
        </w:trPr>
        <w:tc>
          <w:tcPr>
            <w:tcW w:w="2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380" w:type="dxa"/>
            <w:vAlign w:val="bottom"/>
            <w:vMerge w:val="continue"/>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9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0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8"/>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(49,476)</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(42,670)</w:t>
            </w:r>
          </w:p>
        </w:tc>
        <w:tc>
          <w:tcPr>
            <w:tcW w:w="13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16.0 %</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(100,763)</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(85,467)</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0" w:type="dxa"/>
            <w:vAlign w:val="bottom"/>
          </w:tcPr>
          <w:p>
            <w:pPr>
              <w:spacing w:after="0"/>
              <w:rPr>
                <w:sz w:val="1"/>
                <w:szCs w:val="1"/>
                <w:color w:val="auto"/>
              </w:rPr>
            </w:pPr>
          </w:p>
        </w:tc>
      </w:tr>
      <w:tr>
        <w:trPr>
          <w:trHeight w:val="230"/>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(72,287)</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(85,956)</w:t>
            </w:r>
          </w:p>
        </w:tc>
        <w:tc>
          <w:tcPr>
            <w:tcW w:w="13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(15.9)%</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(11,672)</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(27,572)</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30"/>
        </w:trPr>
        <w:tc>
          <w:tcPr>
            <w:tcW w:w="2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24.2 %</w:t>
            </w: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25.1 %</w:t>
            </w:r>
          </w:p>
        </w:tc>
        <w:tc>
          <w:tcPr>
            <w:tcW w:w="13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(0.9) pts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28.4 %</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26.8 %</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pts</w:t>
            </w:r>
          </w:p>
        </w:tc>
        <w:tc>
          <w:tcPr>
            <w:tcW w:w="0" w:type="dxa"/>
            <w:vAlign w:val="bottom"/>
          </w:tcPr>
          <w:p>
            <w:pPr>
              <w:spacing w:after="0"/>
              <w:rPr>
                <w:sz w:val="1"/>
                <w:szCs w:val="1"/>
                <w:color w:val="auto"/>
              </w:rPr>
            </w:pPr>
          </w:p>
        </w:tc>
      </w:tr>
    </w:tbl>
    <w:p>
      <w:pPr>
        <w:spacing w:after="0" w:line="169" w:lineRule="exact"/>
        <w:rPr>
          <w:sz w:val="20"/>
          <w:szCs w:val="20"/>
          <w:color w:val="auto"/>
        </w:rPr>
      </w:pPr>
    </w:p>
    <w:p>
      <w:pPr>
        <w:jc w:val="both"/>
        <w:ind w:right="4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Interest expense, net for the three and six months ended January 31, 2026 increased $6.8 million and $15.3 million,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periods in the prior year, primarily due to the offering of $500.0 million aggregate principal amount of 5.265% senior notes due 2030, issued under an indenture dated July 2, 2025.</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The effective tax rate for the three and six months ended January 31, 2026 was 24.2% and 28.4%, respectively,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25.1% and 26.8% for the three and six months ended January 31, 2025, respectively.</w:t>
      </w:r>
    </w:p>
    <w:p>
      <w:pPr>
        <w:spacing w:after="0" w:line="17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Effective tax rate. </w:t>
      </w:r>
      <w:r>
        <w:rPr>
          <w:rFonts w:ascii="Times New Roman" w:cs="Times New Roman" w:eastAsia="Times New Roman" w:hAnsi="Times New Roman"/>
          <w:sz w:val="18"/>
          <w:szCs w:val="18"/>
          <w:color w:val="auto"/>
        </w:rPr>
        <w:t>For the six months ended January 31, 2026, the higher effective tax rate was primarily due to a decrease in pretax book income and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favorable discrete items impacting the tax provision in the current year. For the three months ended January 31, 2026, the lower effective tax rate was driven by income in foreign jurisdictions in which the Company does not receive a tax benefit.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Segment Earnings and Net Debt</w:t>
      </w:r>
    </w:p>
    <w:p>
      <w:pPr>
        <w:spacing w:after="0" w:line="1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following table reconciles net income attributable to Vail Resorts, Inc. to Total Reported EBITDA for the three and six months ended January 31, 2026 and 2025 (in thousands):</w:t>
      </w: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c>
          <w:tcPr>
            <w:tcW w:w="160" w:type="dxa"/>
            <w:vAlign w:val="bottom"/>
          </w:tcPr>
          <w:p>
            <w:pPr>
              <w:spacing w:after="0"/>
              <w:rPr>
                <w:sz w:val="16"/>
                <w:szCs w:val="16"/>
                <w:color w:val="auto"/>
              </w:rPr>
            </w:pPr>
          </w:p>
        </w:tc>
        <w:tc>
          <w:tcPr>
            <w:tcW w:w="2740" w:type="dxa"/>
            <w:vAlign w:val="bottom"/>
            <w:gridSpan w:val="4"/>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Six Months Ended January 31,</w:t>
            </w:r>
          </w:p>
        </w:tc>
        <w:tc>
          <w:tcPr>
            <w:tcW w:w="40" w:type="dxa"/>
            <w:vAlign w:val="bottom"/>
          </w:tcPr>
          <w:p>
            <w:pPr>
              <w:spacing w:after="0"/>
              <w:rPr>
                <w:sz w:val="16"/>
                <w:szCs w:val="16"/>
                <w:color w:val="auto"/>
              </w:rPr>
            </w:pPr>
          </w:p>
        </w:tc>
      </w:tr>
      <w:tr>
        <w:trPr>
          <w:trHeight w:val="23"/>
        </w:trPr>
        <w:tc>
          <w:tcPr>
            <w:tcW w:w="5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90"/>
        </w:trPr>
        <w:tc>
          <w:tcPr>
            <w:tcW w:w="53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6"/>
                <w:szCs w:val="16"/>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Vail Resorts, Inc.</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210,007</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244,376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23,255</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71,121</w:t>
            </w:r>
          </w:p>
        </w:tc>
        <w:tc>
          <w:tcPr>
            <w:tcW w:w="40" w:type="dxa"/>
            <w:vAlign w:val="bottom"/>
          </w:tcPr>
          <w:p>
            <w:pPr>
              <w:spacing w:after="0"/>
              <w:rPr>
                <w:sz w:val="19"/>
                <w:szCs w:val="19"/>
                <w:color w:val="auto"/>
              </w:rPr>
            </w:pPr>
          </w:p>
        </w:tc>
      </w:tr>
      <w:tr>
        <w:trPr>
          <w:trHeight w:val="229"/>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15,838</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12,551</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6,134</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3,843</w:t>
            </w:r>
          </w:p>
        </w:tc>
        <w:tc>
          <w:tcPr>
            <w:tcW w:w="40" w:type="dxa"/>
            <w:vAlign w:val="bottom"/>
          </w:tcPr>
          <w:p>
            <w:pPr>
              <w:spacing w:after="0"/>
              <w:rPr>
                <w:sz w:val="19"/>
                <w:szCs w:val="19"/>
                <w:color w:val="auto"/>
              </w:rPr>
            </w:pPr>
          </w:p>
        </w:tc>
      </w:tr>
      <w:tr>
        <w:trPr>
          <w:trHeight w:val="223"/>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225,845</w:t>
            </w: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256,927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29,389</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74,964</w:t>
            </w:r>
          </w:p>
        </w:tc>
        <w:tc>
          <w:tcPr>
            <w:tcW w:w="40" w:type="dxa"/>
            <w:vAlign w:val="bottom"/>
          </w:tcPr>
          <w:p>
            <w:pPr>
              <w:spacing w:after="0"/>
              <w:rPr>
                <w:sz w:val="19"/>
                <w:szCs w:val="19"/>
                <w:color w:val="auto"/>
              </w:rPr>
            </w:pPr>
          </w:p>
        </w:tc>
      </w:tr>
      <w:tr>
        <w:trPr>
          <w:trHeight w:val="229"/>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72,287</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85,956</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11,672</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27,572</w:t>
            </w:r>
          </w:p>
        </w:tc>
        <w:tc>
          <w:tcPr>
            <w:tcW w:w="40" w:type="dxa"/>
            <w:vAlign w:val="bottom"/>
          </w:tcPr>
          <w:p>
            <w:pPr>
              <w:spacing w:after="0"/>
              <w:rPr>
                <w:sz w:val="19"/>
                <w:szCs w:val="19"/>
                <w:color w:val="auto"/>
              </w:rPr>
            </w:pPr>
          </w:p>
        </w:tc>
      </w:tr>
      <w:tr>
        <w:trPr>
          <w:trHeight w:val="223"/>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298,132</w:t>
            </w: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342,883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41,061</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102,536</w:t>
            </w:r>
          </w:p>
        </w:tc>
        <w:tc>
          <w:tcPr>
            <w:tcW w:w="40" w:type="dxa"/>
            <w:vAlign w:val="bottom"/>
          </w:tcPr>
          <w:p>
            <w:pPr>
              <w:spacing w:after="0"/>
              <w:rPr>
                <w:sz w:val="19"/>
                <w:szCs w:val="19"/>
                <w:color w:val="auto"/>
              </w:rPr>
            </w:pP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74,350</w:t>
            </w:r>
          </w:p>
        </w:tc>
        <w:tc>
          <w:tcPr>
            <w:tcW w:w="3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74,352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147,467</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145,896</w:t>
            </w:r>
          </w:p>
        </w:tc>
        <w:tc>
          <w:tcPr>
            <w:tcW w:w="40" w:type="dxa"/>
            <w:vAlign w:val="bottom"/>
          </w:tcPr>
          <w:p>
            <w:pPr>
              <w:spacing w:after="0"/>
              <w:rPr>
                <w:sz w:val="19"/>
                <w:szCs w:val="19"/>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disposal of fixed assets and other, net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3,172</w:t>
            </w: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5,935</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40" w:type="dxa"/>
            <w:vAlign w:val="bottom"/>
          </w:tcPr>
          <w:p>
            <w:pPr>
              <w:spacing w:after="0"/>
              <w:rPr>
                <w:sz w:val="19"/>
                <w:szCs w:val="19"/>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estimated fair value of contingent consideration</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3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939</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40" w:type="dxa"/>
            <w:vAlign w:val="bottom"/>
          </w:tcPr>
          <w:p>
            <w:pPr>
              <w:spacing w:after="0"/>
              <w:rPr>
                <w:sz w:val="19"/>
                <w:szCs w:val="19"/>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 and other, net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(6,548)</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(5,514)</w:t>
            </w:r>
          </w:p>
        </w:tc>
        <w:tc>
          <w:tcPr>
            <w:tcW w:w="40" w:type="dxa"/>
            <w:vAlign w:val="bottom"/>
          </w:tcPr>
          <w:p>
            <w:pPr>
              <w:spacing w:after="0"/>
              <w:rPr>
                <w:sz w:val="19"/>
                <w:szCs w:val="19"/>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(gain) loss on intercompany loans</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3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40" w:type="dxa"/>
            <w:vAlign w:val="bottom"/>
          </w:tcPr>
          <w:p>
            <w:pPr>
              <w:spacing w:after="0"/>
              <w:rPr>
                <w:sz w:val="19"/>
                <w:szCs w:val="19"/>
                <w:color w:val="auto"/>
              </w:rPr>
            </w:pPr>
          </w:p>
        </w:tc>
      </w:tr>
      <w:tr>
        <w:trPr>
          <w:trHeight w:val="229"/>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49,476</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42,670</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100,763</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85,467</w:t>
            </w:r>
          </w:p>
        </w:tc>
        <w:tc>
          <w:tcPr>
            <w:tcW w:w="40" w:type="dxa"/>
            <w:vAlign w:val="bottom"/>
          </w:tcPr>
          <w:p>
            <w:pPr>
              <w:spacing w:after="0"/>
              <w:rPr>
                <w:sz w:val="19"/>
                <w:szCs w:val="19"/>
                <w:color w:val="auto"/>
              </w:rPr>
            </w:pPr>
          </w:p>
        </w:tc>
      </w:tr>
      <w:tr>
        <w:trPr>
          <w:trHeight w:val="223"/>
        </w:trPr>
        <w:tc>
          <w:tcPr>
            <w:tcW w:w="53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Reported EBITDA</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417,708</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458,076</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289,499</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333,449</w:t>
            </w:r>
          </w:p>
        </w:tc>
        <w:tc>
          <w:tcPr>
            <w:tcW w:w="40" w:type="dxa"/>
            <w:vAlign w:val="bottom"/>
          </w:tcPr>
          <w:p>
            <w:pPr>
              <w:spacing w:after="0"/>
              <w:rPr>
                <w:sz w:val="19"/>
                <w:szCs w:val="19"/>
                <w:color w:val="auto"/>
              </w:rPr>
            </w:pP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5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Mountain Reported EBITDA</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422,171</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457,616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279,583</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313,554</w:t>
            </w:r>
          </w:p>
        </w:tc>
        <w:tc>
          <w:tcPr>
            <w:tcW w:w="40" w:type="dxa"/>
            <w:vAlign w:val="bottom"/>
          </w:tcPr>
          <w:p>
            <w:pPr>
              <w:spacing w:after="0"/>
              <w:rPr>
                <w:sz w:val="19"/>
                <w:szCs w:val="19"/>
                <w:color w:val="auto"/>
              </w:rPr>
            </w:pPr>
          </w:p>
        </w:tc>
      </w:tr>
      <w:tr>
        <w:trPr>
          <w:trHeight w:val="230"/>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Lodging Reported EBITDA</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2,047</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w:t>
            </w:r>
          </w:p>
        </w:tc>
        <w:tc>
          <w:tcPr>
            <w:tcW w:w="40" w:type="dxa"/>
            <w:vAlign w:val="bottom"/>
          </w:tcPr>
          <w:p>
            <w:pPr>
              <w:spacing w:after="0"/>
              <w:rPr>
                <w:sz w:val="19"/>
                <w:szCs w:val="19"/>
                <w:color w:val="auto"/>
              </w:rPr>
            </w:pPr>
          </w:p>
        </w:tc>
      </w:tr>
      <w:tr>
        <w:trPr>
          <w:trHeight w:val="223"/>
        </w:trPr>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Resort Reported EBITDA</w:t>
            </w:r>
          </w:p>
        </w:tc>
        <w:tc>
          <w:tcPr>
            <w:tcW w:w="360" w:type="dxa"/>
            <w:vAlign w:val="bottom"/>
          </w:tcPr>
          <w:p>
            <w:pPr>
              <w:spacing w:after="0"/>
              <w:rPr>
                <w:sz w:val="19"/>
                <w:szCs w:val="19"/>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421,297</w:t>
            </w:r>
          </w:p>
        </w:tc>
        <w:tc>
          <w:tcPr>
            <w:tcW w:w="3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459,663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281,612</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319,958</w:t>
            </w:r>
          </w:p>
        </w:tc>
        <w:tc>
          <w:tcPr>
            <w:tcW w:w="40" w:type="dxa"/>
            <w:vAlign w:val="bottom"/>
          </w:tcPr>
          <w:p>
            <w:pPr>
              <w:spacing w:after="0"/>
              <w:rPr>
                <w:sz w:val="19"/>
                <w:szCs w:val="19"/>
                <w:color w:val="auto"/>
              </w:rPr>
            </w:pPr>
          </w:p>
        </w:tc>
      </w:tr>
      <w:tr>
        <w:trPr>
          <w:trHeight w:val="229"/>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Reported EBITDA</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7,887</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13,491</w:t>
            </w:r>
          </w:p>
        </w:tc>
        <w:tc>
          <w:tcPr>
            <w:tcW w:w="40" w:type="dxa"/>
            <w:vAlign w:val="bottom"/>
          </w:tcPr>
          <w:p>
            <w:pPr>
              <w:spacing w:after="0"/>
              <w:rPr>
                <w:sz w:val="19"/>
                <w:szCs w:val="19"/>
                <w:color w:val="auto"/>
              </w:rPr>
            </w:pPr>
          </w:p>
        </w:tc>
      </w:tr>
      <w:tr>
        <w:trPr>
          <w:trHeight w:val="223"/>
        </w:trPr>
        <w:tc>
          <w:tcPr>
            <w:tcW w:w="53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Reported EBITDA</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417,708</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458,076</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289,499</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333,449</w:t>
            </w:r>
          </w:p>
        </w:tc>
        <w:tc>
          <w:tcPr>
            <w:tcW w:w="40" w:type="dxa"/>
            <w:vAlign w:val="bottom"/>
          </w:tcPr>
          <w:p>
            <w:pPr>
              <w:spacing w:after="0"/>
              <w:rPr>
                <w:sz w:val="19"/>
                <w:szCs w:val="19"/>
                <w:color w:val="auto"/>
              </w:rPr>
            </w:pPr>
          </w:p>
        </w:tc>
      </w:tr>
      <w:tr>
        <w:trPr>
          <w:trHeight w:val="21"/>
        </w:trPr>
        <w:tc>
          <w:tcPr>
            <w:tcW w:w="568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20"/>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reconciles long-term debt, net to Net Debt (in thousands):</w:t>
            </w: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6"/>
        </w:trPr>
        <w:tc>
          <w:tcPr>
            <w:tcW w:w="5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
        </w:trPr>
        <w:tc>
          <w:tcPr>
            <w:tcW w:w="5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0"/>
        </w:trPr>
        <w:tc>
          <w:tcPr>
            <w:tcW w:w="53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6"/>
                <w:szCs w:val="16"/>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2,857,753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2,128,064</w:t>
            </w:r>
          </w:p>
        </w:tc>
        <w:tc>
          <w:tcPr>
            <w:tcW w:w="40" w:type="dxa"/>
            <w:vAlign w:val="bottom"/>
            <w:shd w:val="clear" w:color="auto" w:fill="CCEEFF"/>
          </w:tcPr>
          <w:p>
            <w:pPr>
              <w:spacing w:after="0"/>
              <w:rPr>
                <w:sz w:val="19"/>
                <w:szCs w:val="19"/>
                <w:color w:val="auto"/>
              </w:rPr>
            </w:pPr>
          </w:p>
        </w:tc>
      </w:tr>
      <w:tr>
        <w:trPr>
          <w:trHeight w:val="230"/>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 due within one year</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73,005</w:t>
            </w:r>
          </w:p>
        </w:tc>
        <w:tc>
          <w:tcPr>
            <w:tcW w:w="2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587,169</w:t>
            </w:r>
          </w:p>
        </w:tc>
        <w:tc>
          <w:tcPr>
            <w:tcW w:w="40" w:type="dxa"/>
            <w:vAlign w:val="bottom"/>
            <w:tcBorders>
              <w:bottom w:val="single" w:sz="8" w:color="auto"/>
            </w:tcBorders>
          </w:tcPr>
          <w:p>
            <w:pPr>
              <w:spacing w:after="0"/>
              <w:rPr>
                <w:sz w:val="19"/>
                <w:szCs w:val="19"/>
                <w:color w:val="auto"/>
              </w:rPr>
            </w:pPr>
          </w:p>
        </w:tc>
      </w:tr>
      <w:tr>
        <w:trPr>
          <w:trHeight w:val="223"/>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debt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2,930,758</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2,715,233</w:t>
            </w:r>
          </w:p>
        </w:tc>
        <w:tc>
          <w:tcPr>
            <w:tcW w:w="40" w:type="dxa"/>
            <w:vAlign w:val="bottom"/>
            <w:shd w:val="clear" w:color="auto" w:fill="CCEEFF"/>
          </w:tcPr>
          <w:p>
            <w:pPr>
              <w:spacing w:after="0"/>
              <w:rPr>
                <w:sz w:val="19"/>
                <w:szCs w:val="19"/>
                <w:color w:val="auto"/>
              </w:rPr>
            </w:pPr>
          </w:p>
        </w:tc>
      </w:tr>
      <w:tr>
        <w:trPr>
          <w:trHeight w:val="230"/>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384,737</w:t>
            </w:r>
          </w:p>
        </w:tc>
        <w:tc>
          <w:tcPr>
            <w:tcW w:w="2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488,211</w:t>
            </w:r>
          </w:p>
        </w:tc>
        <w:tc>
          <w:tcPr>
            <w:tcW w:w="40" w:type="dxa"/>
            <w:vAlign w:val="bottom"/>
            <w:tcBorders>
              <w:bottom w:val="single" w:sz="8" w:color="auto"/>
            </w:tcBorders>
          </w:tcPr>
          <w:p>
            <w:pPr>
              <w:spacing w:after="0"/>
              <w:rPr>
                <w:sz w:val="19"/>
                <w:szCs w:val="19"/>
                <w:color w:val="auto"/>
              </w:rPr>
            </w:pPr>
          </w:p>
        </w:tc>
      </w:tr>
      <w:tr>
        <w:trPr>
          <w:trHeight w:val="248"/>
        </w:trPr>
        <w:tc>
          <w:tcPr>
            <w:tcW w:w="53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Debt</w:t>
            </w: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2,546,021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2,227,022</w:t>
            </w:r>
          </w:p>
        </w:tc>
        <w:tc>
          <w:tcPr>
            <w:tcW w:w="40" w:type="dxa"/>
            <w:vAlign w:val="bottom"/>
            <w:tcBorders>
              <w:bottom w:val="single" w:sz="8" w:color="auto"/>
            </w:tcBorders>
            <w:shd w:val="clear" w:color="auto" w:fill="CCEEFF"/>
          </w:tcPr>
          <w:p>
            <w:pPr>
              <w:spacing w:after="0"/>
              <w:rPr>
                <w:sz w:val="21"/>
                <w:szCs w:val="21"/>
                <w:color w:val="auto"/>
              </w:rPr>
            </w:pPr>
          </w:p>
        </w:tc>
      </w:tr>
      <w:tr>
        <w:trPr>
          <w:trHeight w:val="20"/>
        </w:trPr>
        <w:tc>
          <w:tcPr>
            <w:tcW w:w="53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significant sources of cash for the six months ended January 31, 2026 and 2025 are presented by category as follows (in thousands):</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3"/>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Six Months Ended January 31,</w:t>
            </w:r>
          </w:p>
        </w:tc>
      </w:tr>
      <w:tr>
        <w:trPr>
          <w:trHeight w:val="23"/>
        </w:trPr>
        <w:tc>
          <w:tcPr>
            <w:tcW w:w="78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78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center"/>
              <w:ind w:left="377"/>
              <w:spacing w:after="0"/>
              <w:rPr>
                <w:sz w:val="20"/>
                <w:szCs w:val="20"/>
                <w:color w:val="auto"/>
              </w:rPr>
            </w:pPr>
            <w:r>
              <w:rPr>
                <w:rFonts w:ascii="Times New Roman" w:cs="Times New Roman" w:eastAsia="Times New Roman" w:hAnsi="Times New Roman"/>
                <w:sz w:val="18"/>
                <w:szCs w:val="18"/>
                <w:color w:val="auto"/>
                <w:w w:val="99"/>
              </w:rPr>
              <w:t>575,850</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center"/>
              <w:ind w:left="415"/>
              <w:spacing w:after="0"/>
              <w:rPr>
                <w:sz w:val="20"/>
                <w:szCs w:val="20"/>
                <w:color w:val="auto"/>
              </w:rPr>
            </w:pPr>
            <w:r>
              <w:rPr>
                <w:rFonts w:ascii="Times New Roman" w:cs="Times New Roman" w:eastAsia="Times New Roman" w:hAnsi="Times New Roman"/>
                <w:sz w:val="18"/>
                <w:szCs w:val="18"/>
                <w:color w:val="auto"/>
                <w:w w:val="99"/>
              </w:rPr>
              <w:t>609,166</w:t>
            </w:r>
          </w:p>
        </w:tc>
      </w:tr>
      <w:tr>
        <w:trPr>
          <w:trHeight w:val="229"/>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center"/>
              <w:ind w:left="357"/>
              <w:spacing w:after="0"/>
              <w:rPr>
                <w:sz w:val="20"/>
                <w:szCs w:val="20"/>
                <w:color w:val="auto"/>
              </w:rPr>
            </w:pPr>
            <w:r>
              <w:rPr>
                <w:rFonts w:ascii="Times New Roman" w:cs="Times New Roman" w:eastAsia="Times New Roman" w:hAnsi="Times New Roman"/>
                <w:sz w:val="18"/>
                <w:szCs w:val="18"/>
                <w:color w:val="auto"/>
              </w:rPr>
              <w:t>(146,001)</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center"/>
              <w:ind w:left="395"/>
              <w:spacing w:after="0"/>
              <w:rPr>
                <w:sz w:val="20"/>
                <w:szCs w:val="20"/>
                <w:color w:val="auto"/>
              </w:rPr>
            </w:pPr>
            <w:r>
              <w:rPr>
                <w:rFonts w:ascii="Times New Roman" w:cs="Times New Roman" w:eastAsia="Times New Roman" w:hAnsi="Times New Roman"/>
                <w:sz w:val="18"/>
                <w:szCs w:val="18"/>
                <w:color w:val="auto"/>
              </w:rPr>
              <w:t>(128,020)</w:t>
            </w:r>
          </w:p>
        </w:tc>
      </w:tr>
      <w:tr>
        <w:trPr>
          <w:trHeight w:val="230"/>
        </w:trPr>
        <w:tc>
          <w:tcPr>
            <w:tcW w:w="7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center"/>
              <w:ind w:left="357"/>
              <w:spacing w:after="0"/>
              <w:rPr>
                <w:sz w:val="20"/>
                <w:szCs w:val="20"/>
                <w:color w:val="auto"/>
              </w:rPr>
            </w:pPr>
            <w:r>
              <w:rPr>
                <w:rFonts w:ascii="Times New Roman" w:cs="Times New Roman" w:eastAsia="Times New Roman" w:hAnsi="Times New Roman"/>
                <w:sz w:val="18"/>
                <w:szCs w:val="18"/>
                <w:color w:val="auto"/>
              </w:rPr>
              <w:t>(493,156)</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rPr>
              <w:t>(303,231)</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January 31, 2026 compared to the six months ended January 31, 2025</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generated $575.9 million of net cash from operating activities during the six months ended January 31, 2026, a decrease of $33.3 million compared to $609.2 million generated during the six months ended January 31, 2025. The decrease in net operating cash flows was primarily a result of decreased Mountain and Lodging segment operating results for the six months ended January 31, 2026, primarily driven by decreased Local and Destination skier visitation as a result of historically low snowfall totals across the western U.S., which limited our ability to open terrain. These decreases were partially offset by a decrease in income tax payments of approximately $53.1 million for six months ended January 31, 2026 as compared to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6" w:name="page37"/>
    <w:bookmarkEnd w:id="36"/>
    <w:p>
      <w:pPr>
        <w:jc w:val="both"/>
        <w:spacing w:after="0" w:line="282" w:lineRule="auto"/>
        <w:rPr>
          <w:sz w:val="20"/>
          <w:szCs w:val="20"/>
          <w:color w:val="auto"/>
        </w:rPr>
      </w:pPr>
      <w:r>
        <w:rPr>
          <w:rFonts w:ascii="Times New Roman" w:cs="Times New Roman" w:eastAsia="Times New Roman" w:hAnsi="Times New Roman"/>
          <w:sz w:val="18"/>
          <w:szCs w:val="18"/>
          <w:color w:val="auto"/>
        </w:rPr>
        <w:t>prior year, primarily due to a difference in the timing of our estimated tax payments, which now will generally occur in higher proportions during the second half of our fiscal year, as a result of a recent change in tax year-end.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net cash used in investing activities for the six months ended January 31, 2026 of $18.0 million was primarily due to a one-time settlement of $17.6 million of cash received during the six months ended January 31, 2025 related to the resolution of the October 2023 Eagle County District Court final ruling and valuation regarding the Town of Vail’s condemnation of our East Vail property.</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Net cash used in financing activities increased by $189.9 million during the six months ended January 31, 2026 compared to the six months ended January 31, 2025, primarily driven by the repayment upon maturity of the remaining $525.0 million aggregate principal amount of the 0.0% Convertible Notes, partially offset by the proceeds received from borrowings under the Vail Holdings Credit Agreement of $275.0 million.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Sources of Cash</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had $384.7 million of cash and cash equivalents as of January 31, 2026, compared to $488.2 million as of January 31, 2025. The decrease was primarily attributable to (i) $275.0 million of share repurchases completed during the last twelve months; and (ii) a decrease in operating cash flows from a decrease in Mountain and Lodging segment operating results from the impact of decreased skier visitation. We currently anticipate that our Mountain and Lodging segment operating results will continue to provide a significant source of future operating cash flows for at least the next 12 months and thereafter for the foreseeable future.</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our $384.7 million of cash and cash equivalents at January 31, 2026, we had $507.7 million available under the revolver component of our Vail Holdings Credit Agreement as of January 31, 2026 (which represents the total commitment of $600.0 million less outstanding letters of credit of $92.3 million). On December 26, 2025, the Company drew the remaining $275.0 million outstanding balance of the delayed draw term loan increasing the total outstanding term loan facility to $1.2 billion as of January 31, 2026. The incremental term loan borrowings were used to fund the repayment upon maturity of the 0.0% Convertible Notes. On February 9, 2026, VHI entered into the Tenth A&amp;R Credit Agreement. The Tenth A&amp;R Credit Agreement, among other things, (i) replaces the existing term loan facility, with a new $1,275.0 million senior term loan facility; (ii) extends the maturity date of the revolver and term loan facilities; and (iii) reduces the interest rate applicable to borrowings under the Tenth A&amp;R Credit Agreement. Additionally, we had C$246.6 million ($181.2 million) available under the revolver component of our Whistler Credit Agreement (which represents the total commitment of C$250.0 million ($183.7 million) less certain outstanding letters of credit of C$3.4 million ($2.5 million)). We expect that our liquidity needs in the near term will be met by continued use of our existing cash and cash equivalents, operating cash flows and borrowings under both the Vail Holdings Credit Agreement and Whistler Credit Agreement, if needed. The Tenth A&amp;R Credit Agreement and the Whistler Credit Agreement provide adequate flexibility and are priced favorably with any new borrowings currently priced at the Secured Overnight Financing Rate plus 1.50% and Canadian Overnight Repo Rate Average plus 1.75%,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Uses of Cash</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Capital Expenditures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historically invested significant amounts of cash in capital expenditures for our resort operations, and we expect to continue to do so, subject to operating performance particularly as it relates to discretionary projects. Currently planned capital expenditures primarily include investments that will allow us to maintain our high-quality standards for the guest experience, as well as certain incremental discretionary improvements at our Resorts, throughout our owned hotels and in technology that can impact the full network. We evaluate additional discretionary capital improvements based on an expected level of return on investment.</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our capital plan for calendar year 2026 will be approximately $215.0 million to $220.0 million, excluding $12.0 million of growth capital investments at our European resorts, $5.0 million of Resource Efficiency Transformation projects and $2.0 million in real estate planning capital. Including these investments, our total capital plan for calendar year 2026 is expected to be approximately $234.0 million to $239.0 million. Our 2026 capital plan is focused on resort-specific investments across our destination and regional resorts, technology investments and investments that enhance sustainability, efficiency and the overall guest experience. Key resort investments include lift replacements and capacity enhancements at Park City Mountain, Whistler Blackcomb and Seven Springs, significant guest experience upgrades including dining and lodging renovations across multiple resorts, and continued planning investments to support the development of the West Lionshead area into a fourth base village at Vail Mountain. Technology investments are focused on expanding digital capabilities through the My Epic app, modernizing e-commerce and marketing platforms, and enhancing Ski &amp; Ride School and rental operations to improve guest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7" w:name="page38"/>
    <w:bookmarkEnd w:id="37"/>
    <w:p>
      <w:pPr>
        <w:jc w:val="both"/>
        <w:spacing w:after="0" w:line="261" w:lineRule="auto"/>
        <w:rPr>
          <w:sz w:val="20"/>
          <w:szCs w:val="20"/>
          <w:color w:val="auto"/>
        </w:rPr>
      </w:pPr>
      <w:r>
        <w:rPr>
          <w:rFonts w:ascii="Times New Roman" w:cs="Times New Roman" w:eastAsia="Times New Roman" w:hAnsi="Times New Roman"/>
          <w:sz w:val="18"/>
          <w:szCs w:val="18"/>
          <w:color w:val="auto"/>
        </w:rPr>
        <w:t>engagement and operational efficiency. Efficiency and sustainability investments include expanded implementation of remote avalanche control systems and targeted snowmaking and system upgrades to support the Company’s Resource Efficiency Transformation Plan and Commitment to Zero goals. We currently plan to utilize cash on hand, borrowings available under our credit agreements and/or cash flow generated from future operations to provide the cash necessary to complete our capital plans.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January 31, 2026, principal payments on the majority of our long-term debt ($1.7 billion of the total $2.9 billion debt outstanding as of January 31, 2026) are not due until fiscal year 2030 and beyond. As of January 31, 2026 and 2025, total long-term debt, net (including long-term debt due within one year) was $2.9 billion and $2.7 billion, respectively. Net Debt (defined as long-term debt, net plus long-term debt due within one year less cash and cash equivalents) increased from $2.2 billion as of January 31, 2025 to $2.5 billion as of January 31, 2026.</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January 27, 2025, we entered into the First Amendment to the Vail Holdings Credit Agreement (the “First Amendment”) to the Ninth Amended and Restated Credit Agreement. The First Amendment, among other things, increased the revolving credit facility by $100.0 million to an aggregate principal amount of $600.0 million, which was undrawn as of January 31, 2026, and provided for an incremental term loan facility in an aggregate principal amount of $450.0 million in the form of delayed draw term loans, which would become subject to the same interest and principal payment terms and same maturity date as the term loan facility once drawn. On July 2, 2025 the Company reduced the delayed draw term loan by $175.0 million pursuant to the Ninth Amended and Restated Credit Agreement. No other material terms of the Vail Holdings Credit Agreement were amended. On December 26, 2025, the Company drew the remaining $275.0 million outstanding balance of the delayed term loan increasing the total outstanding term loan facility to $1.2 billion as of January 31, 2026. The incremental term loan borrowings and cash on hand were used to fund the repayment of the remaining $525.0 million aggregate principal amount of the 0.0% Convertible Notes as the notes were not in the money on the maturity date and had to be settled in cash. On February 9, 2026, VHI entered into the Tenth A&amp;R Credit Agreement. The Tenth A&amp;R Credit Agreement, among other things, (i) replaces the existing term loan facility and the existing $275.0 million delayed draw term loan facility, with a new $1,275.0 million senior term loan facility; (ii) extends the maturity date of the revolving credit facility and term loan facility; and (iii) reduces the interest rate applicable to borrowings under the Tenth A&amp;R Credit Agreement. On September 24, 2025, we amended the Whistler Credit Agreement primarily to extend the maturity date to September 24, 2030, and to reduce the total size of the credit facility from C$300.0 million to C$250.0 million. We expect that our liquidity needs in the near term will be met by continued use of our existing cash and cash equivalents, operating cash flows and borrowings under both the Vail Holdings Credit Agreement and Whistler Credit Agreement, if needed.</w:t>
      </w:r>
    </w:p>
    <w:p>
      <w:pPr>
        <w:spacing w:after="0" w:line="1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debt service requirements can be impacted by changing interest rates as we had approximately $1.2 billion of variable-rate debt outstanding as of January 31, 2026. A 100-basis point change in our borrowing rates would cause our annual interest payments to change by approximately $12.1 million. Additionally, the annual payments associated with the financing of the Canyons Resort transaction increase by the greater of CPI less 1%, or 2%. The fluctuation in our debt service requirements, in addition to interest rate and inflation changes, may be impacted by future borrowings under our credit agreements or other alternative financing arrangements we may enter into. Our long-term liquidity needs depend upon operating results that impact the borrowing capacity under our credit agreements. We can respond to liquidity impacts of changes in the business and economic environment by managing our capital expenditures, variable operating expenses, the timing of new real estate development activity and the payment of cash dividends on our common stock.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Dividend Payments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5, 2026, the Company’s Board of Directors approved a cash dividend of $2.22 per share payable on April 9, 2026 to stockholders of record as of March 26, 2026. During the six months ended January 31, 2026 and January 31, 2025, we paid cash dividends of $4.44 per share, which amounted to $158.9 million and $166.0 million, respectively. We funded these dividends with available cash on hand. The amount, if any, of dividends to be paid in the future will depend on our available cash on hand, anticipated cash needs, overall financial condition, restrictions contained in our Vail Holdings Credit Agreement, future prospects for earnings and cash flows, as well as other factors considered relevant by our Board of Directors.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Share Repurchase Program</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9, 2006, the Company’s Board of Directors approved a share repurchase program, authorizing the Company to repurchase up to 3,000,000 Vail Shares. On July 16, 2008, December 4, 2015, March 7, 2023, September 25, 2024 and June 4, 2025, the Company’s Board of Directors increased the authorization by an additional 3,000,000, 1,500,000, 2,500,000, 1,100,000 and 1,500,000 Vail Shares, respectively, for a total authorization to repurchase up to 12,600,000 Vail Shares. During the six months ended January 31, 2026 and 2025, the Company repurchased 322,709 and 217,068 Vail Shares, respectively (at a total cost of $45.0 million and $40.0 million, respectively, excluding accrued excise tax). We funded the share repurchases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8" w:name="page39"/>
    <w:bookmarkEnd w:id="38"/>
    <w:p>
      <w:pPr>
        <w:jc w:val="both"/>
        <w:spacing w:after="0" w:line="254" w:lineRule="auto"/>
        <w:rPr>
          <w:sz w:val="20"/>
          <w:szCs w:val="20"/>
          <w:color w:val="auto"/>
        </w:rPr>
      </w:pPr>
      <w:r>
        <w:rPr>
          <w:rFonts w:ascii="Times New Roman" w:cs="Times New Roman" w:eastAsia="Times New Roman" w:hAnsi="Times New Roman"/>
          <w:sz w:val="18"/>
          <w:szCs w:val="18"/>
          <w:color w:val="auto"/>
        </w:rPr>
        <w:t>with available cash on hand. Since inception of this stock repurchase program through January 31, 2026, we have repurchased 11,382,892 Vail Shares at a cost of approximately $1,444.4 million. As of January 31, 2026, 1,217,108 Vail Shares remained available to repurchase under the existing repurchase authorization. Vail Shares purchased pursuant to the repurchase program will be held as treasury shares and may be used for the issuance of shares under our share award plan. Repurchases under the program may be made from time to time at prevailing prices as permitted by applicable laws, and subject to market conditions and other factors. The timing as well as the number of Vail Shares that may be repurchased under the program will depend on several factors, including our future financial performance, our available cash resources and competing uses for cash that may arise in the future, the restrictions in our Vail Holdings Credit Agreement, prevailing prices of Vail Shares and the number of Vail Shares that become available for repurchase at prices that we believe are attractive. The share repurchase program has no expiration date.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and Limitations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must abide by certain restrictive financial covenants under our credit agreements. The most restrictive of those covenants include the following covenants: for the Vail Holdings Credit Agreement, Net Funded Debt to Adjusted EBITDA ratio, Secured Net Funded Debt to Adjusted EBITDA ratio and the Interest Coverage ratio (each as defined in the Vail Holdings Credit Agreement); for the Whistler Credit Agreement, Consolidated Total Leverage Ratio and Consolidated Interest Coverage Ratio (each as defined in the Whistler Credit Agreement); and for the EPR Secured Notes, Maximum Leverage Ratio and Consolidated Fixed Charge Ratio (each as defined in the EPR Agreements). Additionally, the New Regional Policy loan between Andermatt-Sedrun and the Canton of Uri and Canton of Graubünden dated June 24, 2016 includes restrictive covenants requiring certain minimum financial results (as defined in the agreement). In addition, our financing arrangements limit our ability to make certain restricted payments, pay dividends on or redeem or repurchase stock, make certain investments and make certain affiliate transfers, and may limit our ability to enter into certain mergers, consolidations or sales of assets and incur certain indebtedness. Our borrowing availability under the Vail Holdings Credit Agreement is primarily determined by the Net Funded Debt to Adjusted EBITDA ratio, which is based on our segment operating performance, as defined in the Vail Holdings Credit Agreement. Our borrowing availability under the Whistler Credit Agreement is primarily determined based on the commitment size of the credit facility and our compliance with the terms of the Whistler Credit Agreement.</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were in compliance with all restrictive financial covenants in our debt instruments as of January 31, 2026. We expect that we will meet all applicable financial maintenance covenants in effect in our credit agreements through the next twelve months. However, there can be no assurance we will meet such financial covenants. If such covenants are not met, we would be required to seek a waiver or amendment from the banks participating in the credit agreements. There can be no assurance that such waivers or amendments would be granted, which could have a material adverse impact on our liquidity.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have off balance sheet transactions that are expected to have a material effect on our financial condition, revenue, expenses, results of operations, liquidity, capital expenditures or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Preparation of the Company’s financial statements in accordance with GAAP requires management to make estimates and assumptions that affect reported amounts and related disclosures. The Company disclosed those policies and estimates that are critical and require the use of complex judgment in their application in our Annual Report filed on Form 10-K for the fiscal year ended July 31, 2025. There have been no significant changes to those policies or the methods, assumptions and estimates during the interim period.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for any historical information contained herein, the matters discussed or incorporated by reference in this Form 10-Q contain certain forward-looking statements within the meaning of the federal securities laws. These statements relate to analyses and other information available as of the date hereof, which are based on forecasts of future results and estimates of amounts not yet determinable. These statements also relate to our contemplated future prospects, developments and business strategies.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identified by their use of terms and phrases such as “anticipate,” “believe,” “could,” “estimate,” “expect,” “intend,” “may,” “plan,” “predict,” “project,” “will” and similar terms and phrases, including references to assumptions. Although we believe that our plans, intentions and expectations reflected in or suggested by such forward-looking statements are reasonable, we cannot assure you that such plans, intentions or expectations will be achieved. Important factors that could cause actual results to differ materially from our forward-looking statements include, but are not limited to:</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9" w:name="page40"/>
    <w:bookmarkEnd w:id="39"/>
    <w:p>
      <w:pPr>
        <w:ind w:left="820" w:hanging="650"/>
        <w:spacing w:after="0" w:line="262" w:lineRule="auto"/>
        <w:tabs>
          <w:tab w:leader="none" w:pos="815"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prolonged weakness in general economic conditions, including adverse effects on the overall travel and leisure related industries and our business and results of operations, including a result of changes in trade and tariff policy;</w:t>
      </w:r>
    </w:p>
    <w:p>
      <w:pPr>
        <w:ind w:left="820" w:hanging="650"/>
        <w:spacing w:after="0"/>
        <w:tabs>
          <w:tab w:leader="none" w:pos="8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associated with the effects of high or prolonged inflation, elevated interest rates and financial institution disruptions;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unfavorable weather conditions or the impact of climate change, natural disasters or other events;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line="250" w:lineRule="auto"/>
        <w:tabs>
          <w:tab w:leader="none" w:pos="815"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ultimate amount of refunds that we could be required to refund to our pass product holders for qualifying circumstances under our Epic Coverage program;</w:t>
      </w:r>
    </w:p>
    <w:p>
      <w:pPr>
        <w:ind w:left="820" w:hanging="650"/>
        <w:spacing w:after="0" w:line="250" w:lineRule="auto"/>
        <w:tabs>
          <w:tab w:leader="none" w:pos="815"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willingness or ability of our guests to travel due to terrorism, the uncertainty of geopolitical conflicts or public health emergencies, and the cost and availability of travel options and changing consumer preferences or discretionary spending habits;</w:t>
      </w:r>
    </w:p>
    <w:p>
      <w:pPr>
        <w:ind w:left="820" w:hanging="650"/>
        <w:spacing w:after="0"/>
        <w:tabs>
          <w:tab w:leader="none" w:pos="8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travel and airline disruptions, and other adverse impacts on the ability of our guests to travel;</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interruptions or disruptions of our information technology systems, data security or cyberattacks;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line="250" w:lineRule="auto"/>
        <w:tabs>
          <w:tab w:leader="none" w:pos="8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related to our reliance on information technology, including our failure to maintain the integrity of our customer or employee data and our ability to adapt to technological developments or industry trends;</w:t>
      </w:r>
    </w:p>
    <w:p>
      <w:pPr>
        <w:ind w:left="820" w:hanging="650"/>
        <w:spacing w:after="0"/>
        <w:tabs>
          <w:tab w:leader="none" w:pos="8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acquire, develop and implement relevant technology offerings for customers and partners;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seasonality of our business combined with adverse events that may occur during our peak operating periods;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competition in our mountain and lodging businesses or with other recreational and leisure activities;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the high fixed cost structure of our business;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fund resort capital expenditures, or accurately identify the need for, or anticipate the timing of certain capital expenditures;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a disruption in our water supply that would impact our snowmaking capabilities and operations;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reliance on government permits or approvals for our use of public land or to make operational and capital improvements;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resource efficiency transformation initiatives;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line="250" w:lineRule="auto"/>
        <w:tabs>
          <w:tab w:leader="none" w:pos="815"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federal, state, local and foreign government laws, rules and regulations, including environmental and health and safety laws and regulations;</w:t>
      </w:r>
    </w:p>
    <w:p>
      <w:pPr>
        <w:ind w:left="820" w:hanging="650"/>
        <w:spacing w:after="0" w:line="250" w:lineRule="auto"/>
        <w:tabs>
          <w:tab w:leader="none" w:pos="815"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changes in security and privacy laws and regulations which could increase our operating costs and adversely affect our ability to market our products, properties and services effectively;</w:t>
      </w:r>
    </w:p>
    <w:p>
      <w:pPr>
        <w:ind w:left="820" w:hanging="650"/>
        <w:spacing w:after="0"/>
        <w:tabs>
          <w:tab w:leader="none" w:pos="8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potential failure to adapt to technological developments or industry trends regarding information technology;</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successfully launch and promote adoption of new products, technology, services and programs;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line="250" w:lineRule="auto"/>
        <w:tabs>
          <w:tab w:leader="none" w:pos="815"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our workforce, including increased labor costs, loss of key personnel and our ability to maintain adequate staffing, including hiring and retaining a sufficient seasonal workforce;</w:t>
      </w:r>
    </w:p>
    <w:p>
      <w:pPr>
        <w:ind w:left="820" w:hanging="650"/>
        <w:spacing w:after="0"/>
        <w:tabs>
          <w:tab w:leader="none" w:pos="8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labor disruptions or strikes from labor unions representing certain employees;</w:t>
      </w:r>
    </w:p>
    <w:p>
      <w:pPr>
        <w:spacing w:after="0" w:line="9" w:lineRule="exact"/>
        <w:rPr>
          <w:rFonts w:ascii="Times New Roman" w:cs="Times New Roman" w:eastAsia="Times New Roman" w:hAnsi="Times New Roman"/>
          <w:sz w:val="18"/>
          <w:szCs w:val="18"/>
          <w:i w:val="1"/>
          <w:iCs w:val="1"/>
          <w:color w:val="auto"/>
        </w:rPr>
      </w:pPr>
    </w:p>
    <w:p>
      <w:pPr>
        <w:ind w:left="820" w:right="20" w:hanging="650"/>
        <w:spacing w:after="0" w:line="250" w:lineRule="auto"/>
        <w:tabs>
          <w:tab w:leader="none" w:pos="815"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successfully integrate acquired businesses, including their integration into our internal controls and infrastructure; our ability to successfully navigate new markets, including Europe; or that acquired businesses may fail to perform in accordance with expectations;</w:t>
      </w:r>
    </w:p>
    <w:p>
      <w:pPr>
        <w:ind w:left="820" w:hanging="650"/>
        <w:spacing w:after="0" w:line="250" w:lineRule="auto"/>
        <w:tabs>
          <w:tab w:leader="none" w:pos="815"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 deterioration in the quality or reputation of our brands, including our ability to protect our intellectual property and the risk of accidents at our mountain resorts;</w:t>
      </w:r>
    </w:p>
    <w:p>
      <w:pPr>
        <w:ind w:left="820" w:hanging="650"/>
        <w:spacing w:after="0"/>
        <w:tabs>
          <w:tab w:leader="none" w:pos="8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scrutiny and changing expectations regarding our sustainability practices and reporting;</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line="250" w:lineRule="auto"/>
        <w:tabs>
          <w:tab w:leader="none" w:pos="815"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associated with international operations, including fluctuations in foreign currency exchange rates where the Company has foreign currency exposure, primarily the Canadian and Australian dollars and the Swiss franc, as compared to the U.S. dollar;</w:t>
      </w:r>
    </w:p>
    <w:p>
      <w:pPr>
        <w:ind w:left="820" w:hanging="650"/>
        <w:spacing w:after="0"/>
        <w:tabs>
          <w:tab w:leader="none" w:pos="8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tax laws, regulations or interpretations, or adverse determinations by taxing authorities;</w:t>
      </w:r>
    </w:p>
    <w:p>
      <w:pPr>
        <w:spacing w:after="0" w:line="9" w:lineRule="exact"/>
        <w:rPr>
          <w:rFonts w:ascii="Times New Roman" w:cs="Times New Roman" w:eastAsia="Times New Roman" w:hAnsi="Times New Roman"/>
          <w:sz w:val="18"/>
          <w:szCs w:val="18"/>
          <w:i w:val="1"/>
          <w:iCs w:val="1"/>
          <w:color w:val="auto"/>
        </w:rPr>
      </w:pPr>
    </w:p>
    <w:p>
      <w:pPr>
        <w:jc w:val="both"/>
        <w:ind w:left="820" w:hanging="650"/>
        <w:spacing w:after="0" w:line="250" w:lineRule="auto"/>
        <w:tabs>
          <w:tab w:leader="none" w:pos="815"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our indebtedness and our ability to satisfy our debt service requirements under our outstanding debt including our unsecured senior notes, which could reduce our ability to use our cash flow to fund our operations, capital expenditures, future business opportunities and other purposes;</w:t>
      </w:r>
    </w:p>
    <w:p>
      <w:pPr>
        <w:spacing w:after="0" w:line="1"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 materially adverse change in our financial condition;</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adverse consequences of current or future litigation and legal claims;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accounting judgments and estimates, accounting principles, policies or guidelines; and</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line="260" w:lineRule="auto"/>
        <w:tabs>
          <w:tab w:leader="none" w:pos="815"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risks and uncertainties included under Part 1. Item 1A. “Risk Factors” of our Annual Report on Form 10-K for the fiscal year ended July 31,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forward-looking statements attributable to us or any persons acting on our behalf are expressly qualified in their entirety by these cautionary statements.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one or more of these risks or uncertainties materialize, or if underlying assumptions prove incorrect, our actual results may vary materially from those expected, estimated or projected. Given these uncertainties, users of the information included or incorporated by reference in this Form 10-Q, including investors and prospective investors, are cautioned not to place undue reliance on such forward-looking statements. Actual results may differ materially from those suggested by the forward-looking</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40" w:name="page41"/>
    <w:bookmarkEnd w:id="40"/>
    <w:p>
      <w:pPr>
        <w:jc w:val="both"/>
        <w:spacing w:after="0" w:line="266" w:lineRule="auto"/>
        <w:rPr>
          <w:sz w:val="20"/>
          <w:szCs w:val="20"/>
          <w:color w:val="auto"/>
        </w:rPr>
      </w:pPr>
      <w:r>
        <w:rPr>
          <w:rFonts w:ascii="Times New Roman" w:cs="Times New Roman" w:eastAsia="Times New Roman" w:hAnsi="Times New Roman"/>
          <w:sz w:val="18"/>
          <w:szCs w:val="18"/>
          <w:color w:val="auto"/>
        </w:rPr>
        <w:t>statements that we make for a number of reasons including those described above and in Part I, Item 1A. “Risk Factors” of our Form 10-K for the fiscal year ended July 31, 2025. All forward-looking statements are made only as of the date hereof. Except as may be required by law, we do not intend to update these forward-looking statements, even if new information, future events or other circumstances have made them incorrect or misleading.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Our exposure to market risk is limited primarily to the fluctuating interest rates associated with variable rate indebtedness.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January 31, 2026, we had approximately $1.2 billion of variable rate indebtedness, representing approximately 41.4% of our total debt outstanding, at an average interest rate during the six months ended January 31, 2026 of approximately 6.0%. Based on variable-rate borrowings outstanding as of January 31, 2026, a 100-basis point (or 1.0%) change in our borrowing rates would result in our annual interest payments changing by approximately $12.1 million. Our market risk exposure fluctuates based on changes in underlying interest rates.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Foreign Currency Exchange Rate Risk. </w:t>
      </w:r>
      <w:r>
        <w:rPr>
          <w:rFonts w:ascii="Times New Roman" w:cs="Times New Roman" w:eastAsia="Times New Roman" w:hAnsi="Times New Roman"/>
          <w:sz w:val="18"/>
          <w:szCs w:val="18"/>
          <w:color w:val="auto"/>
        </w:rPr>
        <w:t>We are exposed to currency translation risk because the results of our international entities are reported in local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which we then translate to U.S. dollars for inclusion in our Consolidated Condensed Financial Statements. As a result, changes between the foreign exchange rates, in particular the Canadian dollar, Australian dollar and Swiss franc compared to the U.S. dollar, affect the amounts we record for our foreign assets, liabilities, revenues and expenses, and could have a negative effect on our financial results. Additionally, we also have foreign currency transaction exposure from an intercompany loan to Whistler Blackcomb that is not deemed to be permanently invested, which has and could materially change due to fluctuations in the Canadian dollar exchange rate. The results of Whistler Blackcomb are reported in Canadian dollars, the results of our Australian resorts are reported in Australian dollars and the results of our Swiss resorts are reported in Swiss francs, each of which we then translate to U.S. dollars for inclusion in our Consolidated Condensed Financial Statements. We do not currently enter into hedging arrangements to minimize the impact of foreign currency fluctuations on our operations.</w:t>
      </w:r>
    </w:p>
    <w:p>
      <w:pPr>
        <w:spacing w:after="0" w:line="2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following table summarizes the amounts of foreign currency translation adjustments, representing gains (losses), and foreign currency gain (loss) on intercompany loans recognized in comprehensive income (loss) (in thousands).</w:t>
      </w: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740" w:type="dxa"/>
            <w:vAlign w:val="bottom"/>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Six Months Ended January 31,</w:t>
            </w:r>
          </w:p>
        </w:tc>
        <w:tc>
          <w:tcPr>
            <w:tcW w:w="66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0"/>
        </w:trPr>
        <w:tc>
          <w:tcPr>
            <w:tcW w:w="78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6"/>
                <w:szCs w:val="16"/>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64,580</w:t>
            </w:r>
          </w:p>
        </w:tc>
        <w:tc>
          <w:tcPr>
            <w:tcW w:w="106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(91,818)</w:t>
            </w:r>
          </w:p>
        </w:tc>
      </w:tr>
      <w:tr>
        <w:trPr>
          <w:trHeight w:val="229"/>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Foreign currency gain (loss) on intercompany loans</w:t>
            </w: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118</w:t>
            </w:r>
          </w:p>
        </w:tc>
        <w:tc>
          <w:tcPr>
            <w:tcW w:w="106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Management of the Company, under the supervision and with participation of the Chief Executive Officer (the “CEO”) and Chief Financial Officer (the “CFO”), evaluated the effectiveness of the Company’s “disclosure controls and procedures” as such term is defined in Rule 13a-15(e) and 15d-15(e) under the Securities Exchange Act of 1934, as amended (the “Act”), as of the end of the period covered by this Quarterly Report on Form 10-Q.</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upon their evaluation of the Company’s disclosure controls and procedures, the CEO and the CFO concluded that, as of the end of the period covered by this Quarterly Report on Form 10-Q, the disclosure controls and procedures are effective to provide reasonable assurance that information required to be disclosed by the Company in the reports that it files or submits under the Act is accumulated and communicated to management, including the CEO and the CFO, as appropriate, to allow timely decisions regarding required disclosure and are effective to provide reasonable assurance that such information is recorded, processed, summarized and reported within the time periods specified by the SEC’s rules and forms.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including its CEO and CFO, does not expect that the Company’s controls and procedures will prevent or detect all error and all fraud. A control system, no matter how well conceived or operated, can provide only reasonable, not absolute, assurance that the objectives of the control system are met.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that occurred during the three months ended January 31, 2026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party to various lawsuits arising in the ordinary course of business. We believe that we have adequate insurance coverage and/or have accrued for all loss contingencies for asserted and unasserted matters and that, although the ultimate outcome of such claims cannot be ascertained, current pending and threatened claims are not expected, individually or in the aggregate, to have a material adverse impact on our financial position, results of operations and 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we previously disclosed in our Form 10-K, which was filed on September 29, 2025 as of and for the fiscal year ended July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purchases of Vail Shares during the second quarter of fiscal 2026:</w:t>
      </w: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2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640" w:type="dxa"/>
            <w:vAlign w:val="bottom"/>
            <w:gridSpan w:val="2"/>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6"/>
        </w:trPr>
        <w:tc>
          <w:tcPr>
            <w:tcW w:w="3860" w:type="dxa"/>
            <w:vAlign w:val="bottom"/>
            <w:vMerge w:val="restart"/>
          </w:tcPr>
          <w:p>
            <w:pPr>
              <w:ind w:left="21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460" w:type="dxa"/>
            <w:vAlign w:val="bottom"/>
            <w:vMerge w:val="continue"/>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15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98"/>
        </w:trPr>
        <w:tc>
          <w:tcPr>
            <w:tcW w:w="3860" w:type="dxa"/>
            <w:vAlign w:val="bottom"/>
            <w:tcBorders>
              <w:bottom w:val="single" w:sz="8" w:color="auto"/>
            </w:tcBorders>
            <w:vMerge w:val="continue"/>
          </w:tcPr>
          <w:p>
            <w:pPr>
              <w:spacing w:after="0"/>
              <w:rPr>
                <w:sz w:val="17"/>
                <w:szCs w:val="17"/>
                <w:color w:val="auto"/>
              </w:rPr>
            </w:pPr>
          </w:p>
        </w:tc>
        <w:tc>
          <w:tcPr>
            <w:tcW w:w="24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4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 (1)</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 (1)</w:t>
            </w:r>
          </w:p>
        </w:tc>
        <w:tc>
          <w:tcPr>
            <w:tcW w:w="0" w:type="dxa"/>
            <w:vAlign w:val="bottom"/>
          </w:tcPr>
          <w:p>
            <w:pPr>
              <w:spacing w:after="0"/>
              <w:rPr>
                <w:sz w:val="1"/>
                <w:szCs w:val="1"/>
                <w:color w:val="auto"/>
              </w:rPr>
            </w:pPr>
          </w:p>
        </w:tc>
      </w:tr>
      <w:tr>
        <w:trPr>
          <w:trHeight w:val="228"/>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1, 2025 - November 30, 2025</w:t>
            </w:r>
          </w:p>
        </w:tc>
        <w:tc>
          <w:tcPr>
            <w:tcW w:w="24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178,870</w:t>
            </w:r>
          </w:p>
        </w:tc>
        <w:tc>
          <w:tcPr>
            <w:tcW w:w="4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139.77</w:t>
            </w:r>
          </w:p>
        </w:tc>
        <w:tc>
          <w:tcPr>
            <w:tcW w:w="16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178,870</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1,360,947</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1, 2025 - December 31, 2025</w:t>
            </w:r>
          </w:p>
        </w:tc>
        <w:tc>
          <w:tcPr>
            <w:tcW w:w="24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143,839</w:t>
            </w:r>
          </w:p>
        </w:tc>
        <w:tc>
          <w:tcPr>
            <w:tcW w:w="42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139.04</w:t>
            </w:r>
          </w:p>
        </w:tc>
        <w:tc>
          <w:tcPr>
            <w:tcW w:w="166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143,839</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1,217,108</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2026 - January 31, 2026</w:t>
            </w:r>
          </w:p>
        </w:tc>
        <w:tc>
          <w:tcPr>
            <w:tcW w:w="24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1,217,108</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4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322,709</w:t>
            </w:r>
          </w:p>
        </w:tc>
        <w:tc>
          <w:tcPr>
            <w:tcW w:w="4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139.44</w:t>
            </w:r>
          </w:p>
        </w:tc>
        <w:tc>
          <w:tcPr>
            <w:tcW w:w="16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322,709</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1,217,108</w:t>
            </w:r>
          </w:p>
        </w:tc>
        <w:tc>
          <w:tcPr>
            <w:tcW w:w="0" w:type="dxa"/>
            <w:vAlign w:val="bottom"/>
          </w:tcPr>
          <w:p>
            <w:pPr>
              <w:spacing w:after="0"/>
              <w:rPr>
                <w:sz w:val="1"/>
                <w:szCs w:val="1"/>
                <w:color w:val="auto"/>
              </w:rPr>
            </w:pPr>
          </w:p>
        </w:tc>
      </w:tr>
      <w:tr>
        <w:trPr>
          <w:trHeight w:val="21"/>
        </w:trPr>
        <w:tc>
          <w:tcPr>
            <w:tcW w:w="386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left="520" w:right="100" w:hanging="406"/>
        <w:spacing w:after="0" w:line="230" w:lineRule="auto"/>
        <w:tabs>
          <w:tab w:leader="none" w:pos="5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 repurchase program is conducted under authorizations made from time to time by our Board of Directors. The Board of Directors initially authorized the repurchase of up to 3,000,000 Vail Shares (March 9, 2006), and later authorized additional repurchases of up to 3,000,000 Vail Shares (July 16, 2008), 1,500,000 Vail Shares (December 4, 2015), 2,500,000 Vail Shares (March 7, 2023), 1,100,000 Vail Shares (September 25, 2024) and 1,500,000 Vail Shares (June 4, 2025), for a total authorization to repurchase up to 12,600,000 Vail Shares. As of January 31, 2026, 1,217,108 Vail Shares remained available to repurchase under the existing repurchase authorization. Repurchases under these authorizations may be made from time to time at prevailing prices as permitted by applicable laws, including under plans complying with Rule 10b5-1 under the Securities Exchange Act of 1934, as amended, and subject to market conditions and other factors. These authorizations have no expiration date.</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Officer Rule 10b5-1 Trading Arrangements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January 31, 2026, none of the Company’s directors or “officers” (as defined in Rule 16a-1(f) under the Exchange Act) adopted, modified or terminated “Rule 10b5-1 trading arrangements” or “non-Rule 10b5-1 trading arrangements” (each as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exhibits are either filed or furnished herewith or, if so indicated, incorporated by reference to the documents indicated in parentheses, which have previously been filed or furnished with the Securities and Exchange Commission.</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520" w:type="dxa"/>
            <w:vAlign w:val="bottom"/>
            <w:gridSpan w:val="5"/>
            <w:vMerge w:val="restart"/>
          </w:tcPr>
          <w:p>
            <w:pPr>
              <w:ind w:left="45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52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520" w:type="dxa"/>
            <w:vAlign w:val="bottom"/>
            <w:gridSpan w:val="5"/>
          </w:tcPr>
          <w:p>
            <w:pPr>
              <w:spacing w:after="0"/>
              <w:rPr>
                <w:rFonts w:ascii="Times New Roman" w:cs="Times New Roman" w:eastAsia="Times New Roman" w:hAnsi="Times New Roman"/>
                <w:sz w:val="18"/>
                <w:szCs w:val="18"/>
                <w:color w:val="0000FF"/>
                <w:w w:val="99"/>
              </w:rPr>
            </w:pPr>
            <w:hyperlink r:id="rId58">
              <w:r>
                <w:rPr>
                  <w:rFonts w:ascii="Times New Roman" w:cs="Times New Roman" w:eastAsia="Times New Roman" w:hAnsi="Times New Roman"/>
                  <w:sz w:val="18"/>
                  <w:szCs w:val="18"/>
                  <w:color w:val="0000FF"/>
                  <w:w w:val="99"/>
                </w:rPr>
                <w:t>Executive Employment Agreement, between the Company and Celeste Burgoyne, dated as of November 17, 2025. (Incorporated by</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9500" w:type="dxa"/>
            <w:vAlign w:val="bottom"/>
            <w:tcBorders>
              <w:top w:val="single" w:sz="8" w:color="0000FF"/>
            </w:tcBorders>
            <w:gridSpan w:val="4"/>
          </w:tcPr>
          <w:p>
            <w:pPr>
              <w:spacing w:after="0" w:line="156"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reference to Exhibit 10.1 of the report on Form 8-K of Vail Resorts, Inc. filed on November 21, 2025) (File No. 001-09614).</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89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c>
          <w:tcPr>
            <w:tcW w:w="5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1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302 of the Sarbanes-Oxley Act of 2002.</w:t>
            </w:r>
          </w:p>
        </w:tc>
        <w:tc>
          <w:tcPr>
            <w:tcW w:w="40" w:type="dxa"/>
            <w:vAlign w:val="bottom"/>
            <w:tcBorders>
              <w:top w:val="single" w:sz="8" w:color="0000FF"/>
            </w:tcBorders>
          </w:tcPr>
          <w:p>
            <w:pPr>
              <w:spacing w:after="0"/>
              <w:rPr>
                <w:sz w:val="22"/>
                <w:szCs w:val="22"/>
                <w:color w:val="auto"/>
              </w:rPr>
            </w:pPr>
          </w:p>
        </w:tc>
        <w:tc>
          <w:tcPr>
            <w:tcW w:w="230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340" w:hanging="1314"/>
        <w:spacing w:after="0" w:line="237" w:lineRule="auto"/>
        <w:tabs>
          <w:tab w:leader="none" w:pos="1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Certifications of Chief Executive Officer and Chief Financial Officer pursuant to 18 U.S.C. Section 1350 as adopted pursuant to Section 906 of the Sarbanes-Oxley Act of 2002.</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as its XBRL tags are embedded within the</w:t>
            </w:r>
          </w:p>
        </w:tc>
      </w:tr>
      <w:tr>
        <w:trPr>
          <w:trHeight w:val="234"/>
        </w:trPr>
        <w:tc>
          <w:tcPr>
            <w:tcW w:w="1000" w:type="dxa"/>
            <w:vAlign w:val="bottom"/>
          </w:tcPr>
          <w:p>
            <w:pPr>
              <w:spacing w:after="0"/>
              <w:rPr>
                <w:sz w:val="20"/>
                <w:szCs w:val="20"/>
                <w:color w:val="auto"/>
              </w:rPr>
            </w:pPr>
          </w:p>
        </w:tc>
        <w:tc>
          <w:tcPr>
            <w:tcW w:w="10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inline XBRL document.</w:t>
            </w:r>
          </w:p>
        </w:tc>
      </w:tr>
      <w:tr>
        <w:trPr>
          <w:trHeight w:val="29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XBRL Schema Document.</w:t>
            </w:r>
          </w:p>
        </w:tc>
      </w:tr>
      <w:tr>
        <w:trPr>
          <w:trHeight w:val="28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XBRL Calculation Linkbase Document.</w:t>
            </w:r>
          </w:p>
        </w:tc>
      </w:tr>
      <w:tr>
        <w:trPr>
          <w:trHeight w:val="28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XBRL Definition Linkbase Document.</w:t>
            </w:r>
          </w:p>
        </w:tc>
      </w:tr>
      <w:tr>
        <w:trPr>
          <w:trHeight w:val="28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XBRL Label Linkbase Document.</w:t>
            </w:r>
          </w:p>
        </w:tc>
      </w:tr>
      <w:tr>
        <w:trPr>
          <w:trHeight w:val="28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49" w:lineRule="exact"/>
        <w:rPr>
          <w:sz w:val="20"/>
          <w:szCs w:val="20"/>
          <w:color w:val="auto"/>
        </w:rPr>
      </w:pPr>
    </w:p>
    <w:p>
      <w:pPr>
        <w:ind w:right="3740" w:firstLine="26"/>
        <w:spacing w:after="0" w:line="485" w:lineRule="auto"/>
        <w:tabs>
          <w:tab w:leader="none" w:pos="132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this Quarterly Report on Form 10-Q, formatted in inline XBRL. *Management contracts and compensatory plans and arrangements.</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43" w:name="page44"/>
    <w:bookmarkEnd w:id="4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Vail Resorts, Inc.</w:t>
            </w:r>
          </w:p>
        </w:tc>
      </w:tr>
      <w:tr>
        <w:trPr>
          <w:trHeight w:val="50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March 9, 2026</w:t>
            </w:r>
          </w:p>
        </w:tc>
        <w:tc>
          <w:tcPr>
            <w:tcW w:w="25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Angela A. Korch</w:t>
            </w:r>
          </w:p>
        </w:tc>
      </w:tr>
      <w:tr>
        <w:trPr>
          <w:trHeight w:val="218"/>
        </w:trPr>
        <w:tc>
          <w:tcPr>
            <w:tcW w:w="35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Angela A. Korch</w:t>
            </w:r>
          </w:p>
        </w:tc>
      </w:tr>
      <w:tr>
        <w:trPr>
          <w:trHeight w:val="230"/>
        </w:trPr>
        <w:tc>
          <w:tcPr>
            <w:tcW w:w="35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r>
        <w:trPr>
          <w:trHeight w:val="234"/>
        </w:trPr>
        <w:tc>
          <w:tcPr>
            <w:tcW w:w="35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r>
        <w:trPr>
          <w:trHeight w:val="49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March 9, 2026</w:t>
            </w:r>
          </w:p>
        </w:tc>
        <w:tc>
          <w:tcPr>
            <w:tcW w:w="25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Nathan Gronberg</w:t>
            </w:r>
          </w:p>
        </w:tc>
      </w:tr>
      <w:tr>
        <w:trPr>
          <w:trHeight w:val="218"/>
        </w:trPr>
        <w:tc>
          <w:tcPr>
            <w:tcW w:w="35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Nathan Gronberg</w:t>
            </w:r>
          </w:p>
        </w:tc>
      </w:tr>
      <w:tr>
        <w:trPr>
          <w:trHeight w:val="180"/>
        </w:trPr>
        <w:tc>
          <w:tcPr>
            <w:tcW w:w="35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48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Vice President, Controller and</w:t>
            </w:r>
          </w:p>
        </w:tc>
      </w:tr>
      <w:tr>
        <w:trPr>
          <w:trHeight w:val="234"/>
        </w:trPr>
        <w:tc>
          <w:tcPr>
            <w:tcW w:w="35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Accounting Officer</w:t>
            </w:r>
          </w:p>
        </w:tc>
      </w:tr>
      <w:tr>
        <w:trPr>
          <w:trHeight w:val="238"/>
        </w:trPr>
        <w:tc>
          <w:tcPr>
            <w:tcW w:w="35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00"/>
          </w:cols>
          <w:pgMar w:left="320" w:top="887" w:right="37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A. Katz, certify that:</w:t>
      </w:r>
    </w:p>
    <w:p>
      <w:pPr>
        <w:spacing w:after="0" w:line="387" w:lineRule="exact"/>
        <w:rPr>
          <w:sz w:val="20"/>
          <w:szCs w:val="20"/>
          <w:color w:val="auto"/>
        </w:rPr>
      </w:pPr>
    </w:p>
    <w:p>
      <w:pPr>
        <w:ind w:left="520" w:hanging="17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Vail Resorts, Inc.;</w:t>
      </w:r>
    </w:p>
    <w:p>
      <w:pPr>
        <w:spacing w:after="0" w:line="27" w:lineRule="exact"/>
        <w:rPr>
          <w:rFonts w:ascii="Times New Roman" w:cs="Times New Roman" w:eastAsia="Times New Roman" w:hAnsi="Times New Roman"/>
          <w:sz w:val="18"/>
          <w:szCs w:val="18"/>
          <w:color w:val="auto"/>
        </w:rPr>
      </w:pPr>
    </w:p>
    <w:p>
      <w:pPr>
        <w:jc w:val="both"/>
        <w:ind w:left="520" w:right="40" w:hanging="172"/>
        <w:spacing w:after="0" w:line="224"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 w:lineRule="exact"/>
        <w:rPr>
          <w:rFonts w:ascii="Times New Roman" w:cs="Times New Roman" w:eastAsia="Times New Roman" w:hAnsi="Times New Roman"/>
          <w:sz w:val="18"/>
          <w:szCs w:val="18"/>
          <w:color w:val="auto"/>
        </w:rPr>
      </w:pPr>
    </w:p>
    <w:p>
      <w:pPr>
        <w:ind w:left="520" w:right="40" w:hanging="172"/>
        <w:spacing w:after="0" w:line="237"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 w:lineRule="exact"/>
        <w:rPr>
          <w:rFonts w:ascii="Times New Roman" w:cs="Times New Roman" w:eastAsia="Times New Roman" w:hAnsi="Times New Roman"/>
          <w:sz w:val="18"/>
          <w:szCs w:val="18"/>
          <w:color w:val="auto"/>
        </w:rPr>
      </w:pPr>
    </w:p>
    <w:p>
      <w:pPr>
        <w:jc w:val="both"/>
        <w:ind w:left="520" w:right="40" w:hanging="172"/>
        <w:spacing w:after="0" w:line="226"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 w:lineRule="exact"/>
        <w:rPr>
          <w:rFonts w:ascii="Times New Roman" w:cs="Times New Roman" w:eastAsia="Times New Roman" w:hAnsi="Times New Roman"/>
          <w:sz w:val="18"/>
          <w:szCs w:val="18"/>
          <w:color w:val="auto"/>
        </w:rPr>
      </w:pPr>
    </w:p>
    <w:p>
      <w:pPr>
        <w:jc w:val="both"/>
        <w:ind w:left="1200" w:right="40" w:hanging="681"/>
        <w:spacing w:after="0" w:line="226" w:lineRule="auto"/>
        <w:tabs>
          <w:tab w:leader="none" w:pos="12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 w:lineRule="exact"/>
        <w:rPr>
          <w:rFonts w:ascii="Times New Roman" w:cs="Times New Roman" w:eastAsia="Times New Roman" w:hAnsi="Times New Roman"/>
          <w:sz w:val="18"/>
          <w:szCs w:val="18"/>
          <w:color w:val="auto"/>
        </w:rPr>
      </w:pPr>
    </w:p>
    <w:p>
      <w:pPr>
        <w:jc w:val="both"/>
        <w:ind w:left="1200" w:right="40" w:hanging="681"/>
        <w:spacing w:after="0" w:line="226" w:lineRule="auto"/>
        <w:tabs>
          <w:tab w:leader="none" w:pos="12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 w:lineRule="exact"/>
        <w:rPr>
          <w:rFonts w:ascii="Times New Roman" w:cs="Times New Roman" w:eastAsia="Times New Roman" w:hAnsi="Times New Roman"/>
          <w:sz w:val="18"/>
          <w:szCs w:val="18"/>
          <w:color w:val="auto"/>
        </w:rPr>
      </w:pPr>
    </w:p>
    <w:p>
      <w:pPr>
        <w:ind w:left="1200" w:right="40" w:hanging="681"/>
        <w:spacing w:after="0" w:line="237" w:lineRule="auto"/>
        <w:tabs>
          <w:tab w:leader="none" w:pos="12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 w:lineRule="exact"/>
        <w:rPr>
          <w:rFonts w:ascii="Times New Roman" w:cs="Times New Roman" w:eastAsia="Times New Roman" w:hAnsi="Times New Roman"/>
          <w:sz w:val="18"/>
          <w:szCs w:val="18"/>
          <w:color w:val="auto"/>
        </w:rPr>
      </w:pPr>
    </w:p>
    <w:p>
      <w:pPr>
        <w:jc w:val="both"/>
        <w:ind w:left="1200" w:right="40" w:hanging="681"/>
        <w:spacing w:after="0" w:line="226" w:lineRule="auto"/>
        <w:tabs>
          <w:tab w:leader="none" w:pos="12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 w:lineRule="exact"/>
        <w:rPr>
          <w:rFonts w:ascii="Times New Roman" w:cs="Times New Roman" w:eastAsia="Times New Roman" w:hAnsi="Times New Roman"/>
          <w:sz w:val="18"/>
          <w:szCs w:val="18"/>
          <w:color w:val="auto"/>
        </w:rPr>
      </w:pPr>
    </w:p>
    <w:p>
      <w:pPr>
        <w:ind w:left="520" w:right="40" w:hanging="172"/>
        <w:spacing w:after="0" w:line="237"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 w:lineRule="exact"/>
        <w:rPr>
          <w:rFonts w:ascii="Times New Roman" w:cs="Times New Roman" w:eastAsia="Times New Roman" w:hAnsi="Times New Roman"/>
          <w:sz w:val="18"/>
          <w:szCs w:val="18"/>
          <w:color w:val="auto"/>
        </w:rPr>
      </w:pPr>
    </w:p>
    <w:p>
      <w:pPr>
        <w:ind w:left="1200" w:right="60" w:hanging="681"/>
        <w:spacing w:after="0" w:line="237" w:lineRule="auto"/>
        <w:tabs>
          <w:tab w:leader="none" w:pos="12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Times New Roman" w:cs="Times New Roman" w:eastAsia="Times New Roman" w:hAnsi="Times New Roman"/>
          <w:sz w:val="18"/>
          <w:szCs w:val="18"/>
          <w:color w:val="auto"/>
        </w:rPr>
      </w:pPr>
    </w:p>
    <w:p>
      <w:pPr>
        <w:ind w:left="1200" w:right="60" w:hanging="681"/>
        <w:spacing w:after="0" w:line="237" w:lineRule="auto"/>
        <w:tabs>
          <w:tab w:leader="none" w:pos="12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9, 2026</w:t>
      </w:r>
    </w:p>
    <w:p>
      <w:pPr>
        <w:spacing w:after="0" w:line="2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/s/ ROBERT A.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00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1"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Robert A. Katz</w:t>
      </w:r>
    </w:p>
    <w:p>
      <w:pPr>
        <w:spacing w:after="0" w:line="27"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Angela A. Korch, certify that:</w:t>
      </w:r>
    </w:p>
    <w:p>
      <w:pPr>
        <w:spacing w:after="0" w:line="387" w:lineRule="exact"/>
        <w:rPr>
          <w:sz w:val="20"/>
          <w:szCs w:val="20"/>
          <w:color w:val="auto"/>
        </w:rPr>
      </w:pPr>
    </w:p>
    <w:p>
      <w:pPr>
        <w:ind w:left="520" w:hanging="17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Vail Resorts, Inc.;</w:t>
      </w:r>
    </w:p>
    <w:p>
      <w:pPr>
        <w:spacing w:after="0" w:line="27" w:lineRule="exact"/>
        <w:rPr>
          <w:rFonts w:ascii="Times New Roman" w:cs="Times New Roman" w:eastAsia="Times New Roman" w:hAnsi="Times New Roman"/>
          <w:sz w:val="18"/>
          <w:szCs w:val="18"/>
          <w:color w:val="auto"/>
        </w:rPr>
      </w:pPr>
    </w:p>
    <w:p>
      <w:pPr>
        <w:jc w:val="both"/>
        <w:ind w:left="520" w:right="40" w:hanging="172"/>
        <w:spacing w:after="0" w:line="229"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520" w:right="40" w:hanging="172"/>
        <w:spacing w:after="0" w:line="234"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Times New Roman" w:cs="Times New Roman" w:eastAsia="Times New Roman" w:hAnsi="Times New Roman"/>
          <w:sz w:val="18"/>
          <w:szCs w:val="18"/>
          <w:color w:val="auto"/>
        </w:rPr>
      </w:pPr>
    </w:p>
    <w:p>
      <w:pPr>
        <w:jc w:val="both"/>
        <w:ind w:left="520" w:right="40" w:hanging="172"/>
        <w:spacing w:after="0" w:line="231"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jc w:val="both"/>
        <w:ind w:left="1200" w:right="40" w:hanging="681"/>
        <w:spacing w:after="0" w:line="229" w:lineRule="auto"/>
        <w:tabs>
          <w:tab w:leader="none" w:pos="12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200" w:right="40" w:hanging="681"/>
        <w:spacing w:after="0" w:line="229" w:lineRule="auto"/>
        <w:tabs>
          <w:tab w:leader="none" w:pos="12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200" w:right="40" w:hanging="681"/>
        <w:spacing w:after="0" w:line="234" w:lineRule="auto"/>
        <w:tabs>
          <w:tab w:leader="none" w:pos="12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 w:lineRule="exact"/>
        <w:rPr>
          <w:rFonts w:ascii="Times New Roman" w:cs="Times New Roman" w:eastAsia="Times New Roman" w:hAnsi="Times New Roman"/>
          <w:sz w:val="18"/>
          <w:szCs w:val="18"/>
          <w:color w:val="auto"/>
        </w:rPr>
      </w:pPr>
    </w:p>
    <w:p>
      <w:pPr>
        <w:jc w:val="both"/>
        <w:ind w:left="1200" w:right="40" w:hanging="681"/>
        <w:spacing w:after="0" w:line="231" w:lineRule="auto"/>
        <w:tabs>
          <w:tab w:leader="none" w:pos="12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520" w:right="40" w:hanging="172"/>
        <w:spacing w:after="0" w:line="234"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 w:lineRule="exact"/>
        <w:rPr>
          <w:rFonts w:ascii="Times New Roman" w:cs="Times New Roman" w:eastAsia="Times New Roman" w:hAnsi="Times New Roman"/>
          <w:sz w:val="18"/>
          <w:szCs w:val="18"/>
          <w:color w:val="auto"/>
        </w:rPr>
      </w:pPr>
    </w:p>
    <w:p>
      <w:pPr>
        <w:ind w:left="1200" w:right="60" w:hanging="681"/>
        <w:spacing w:after="0" w:line="237" w:lineRule="auto"/>
        <w:tabs>
          <w:tab w:leader="none" w:pos="12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Times New Roman" w:cs="Times New Roman" w:eastAsia="Times New Roman" w:hAnsi="Times New Roman"/>
          <w:sz w:val="18"/>
          <w:szCs w:val="18"/>
          <w:color w:val="auto"/>
        </w:rPr>
      </w:pPr>
    </w:p>
    <w:p>
      <w:pPr>
        <w:ind w:left="1200" w:right="60" w:hanging="681"/>
        <w:spacing w:after="0" w:line="237" w:lineRule="auto"/>
        <w:tabs>
          <w:tab w:leader="none" w:pos="12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9, 2026</w:t>
      </w:r>
    </w:p>
    <w:p>
      <w:pPr>
        <w:spacing w:after="0" w:line="27"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/s/ ANGELA A. KORCH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00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1"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Angela A. Korch</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954"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THE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SECTION 906 OF THE SARBANES-OXLEY ACT OF 2002</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Section 906 of the Sarbanes-Oxley Act of 2002, each of the undersigned hereby certifies in their capacity as an officer of Vail Resorts, Inc. (the “Company”) that the Company's Quarterly Report on Form 10-Q for the quarter ended January 31, 2026 (the “Report”) fully complies with the requirements of Section 13(a) or 15(d) of the Securities Exchange Act of 1934 and that the information contained in such Report fairly presents, in all material respects, the financial condition and the results of operations of the Company at the end of and for the periods covered by such Report.</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9, 2026</w:t>
      </w:r>
    </w:p>
    <w:p>
      <w:pPr>
        <w:spacing w:after="0" w:line="2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/s/ ROBERT A.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00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1"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Robert A. Katz</w:t>
      </w:r>
    </w:p>
    <w:p>
      <w:pPr>
        <w:spacing w:after="0" w:line="27"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9, 2026</w:t>
      </w:r>
    </w:p>
    <w:p>
      <w:pPr>
        <w:spacing w:after="0" w:line="27"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/s/ ANGELA A. KORCH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00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1"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Angela A. Korch</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3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certification is being furnished solely pursuant to Section 906 of the Sarbanes-Oxley Act of 2002, is not a part of the Form 10-Q to which it refers, and is, to the extent permitted by law, provided by each of the above signatories to the extent of his respective knowledge. This certification is not deemed filed with the Securities and Exchange Commission and is not to be incorporated by reference into any filing of Vail Resorts, Inc. under the Securities Act of 1933, as amended, or the Securities Exchange Act of 1934, as amended (whether made before or after the date of the Form 10-Q), irrespective of any general incorporation language contained in such filing. A signed original of this written statement required by Section 906 has been provided to Vail Resorts, Inc. and will be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2"/>
    </w:lvl>
  </w:abstractNum>
  <w:abstractNum w:abstractNumId="4">
    <w:nsid w:val="1190CDE7"/>
    <w:multiLevelType w:val="hybridMultilevel"/>
    <w:lvl w:ilvl="0">
      <w:lvlJc w:val="left"/>
      <w:lvlText w:val="(%1)"/>
      <w:numFmt w:val="lowerLetter"/>
      <w:start w:val="1"/>
    </w:lvl>
  </w:abstractNum>
  <w:abstractNum w:abstractNumId="5">
    <w:nsid w:val="66EF438D"/>
    <w:multiLevelType w:val="hybridMultilevel"/>
    <w:lvl w:ilvl="0">
      <w:lvlJc w:val="left"/>
      <w:lvlText w:val="(%1)"/>
      <w:numFmt w:val="lowerLetter"/>
      <w:start w:val="2"/>
    </w:lvl>
    <w:lvl w:ilvl="1">
      <w:lvlJc w:val="left"/>
      <w:lvlText w:val="%2."/>
      <w:numFmt w:val="lowerRoman"/>
      <w:start w:val="3"/>
    </w:lvl>
    <w:lvl w:ilvl="2">
      <w:lvlJc w:val="left"/>
      <w:lvlText w:val="%3."/>
      <w:numFmt w:val="lowerRoman"/>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0"/>
    </w:lvl>
  </w:abstractNum>
  <w:abstractNum w:abstractNumId="8">
    <w:nsid w:val="109CF92E"/>
    <w:multiLevelType w:val="hybridMultilevel"/>
    <w:lvl w:ilvl="0">
      <w:lvlJc w:val="left"/>
      <w:lvlText w:val="%1."/>
      <w:numFmt w:val="decimal"/>
      <w:start w:val="11"/>
    </w:lvl>
  </w:abstractNum>
  <w:abstractNum w:abstractNumId="9">
    <w:nsid w:val="DED7263"/>
    <w:multiLevelType w:val="hybridMultilevel"/>
    <w:lvl w:ilvl="0">
      <w:lvlJc w:val="left"/>
      <w:lvlText w:val="%1."/>
      <w:numFmt w:val="decimal"/>
      <w:start w:val="12"/>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32"/>
    </w:lvl>
  </w:abstractNum>
  <w:abstractNum w:abstractNumId="15">
    <w:nsid w:val="25E45D32"/>
    <w:multiLevelType w:val="hybridMultilevel"/>
    <w:lvl w:ilvl="0">
      <w:lvlJc w:val="left"/>
      <w:lvlText w:val="%1"/>
      <w:numFmt w:val="decimal"/>
      <w:start w:val="104"/>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58" Type="http://schemas.openxmlformats.org/officeDocument/2006/relationships/hyperlink" Target="https://www.sec.gov/Archives/edgar/data/812011/000081201125000230/exhibit101202511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2026-03-09T15:32:08Z</dcterms:created>
  <dcterms:modified xsi:type="dcterms:W3CDTF">2026-03-09T15:32:08Z</dcterms:modified>
</cp:coreProperties>
</file>