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ectPr>
          <w:pgSz w:w="11900" w:h="16838" w:orient="portrait"/>
          <w:cols w:equalWidth="0" w:num="1">
            <w:col w:w="11220"/>
          </w:cols>
          <w:pgMar w:left="320" w:top="1340" w:right="359" w:bottom="1440" w:gutter="0" w:footer="0" w:header="0"/>
        </w:sectPr>
      </w:pPr>
    </w:p>
    <w:p>
      <w:pPr>
        <w:spacing w:after="0" w:line="53" w:lineRule="exact"/>
        <w:rPr>
          <w:sz w:val="24"/>
          <w:szCs w:val="24"/>
          <w:color w:val="auto"/>
        </w:rPr>
      </w:pPr>
    </w:p>
    <w:p>
      <w:pPr>
        <w:ind w:left="60"/>
        <w:spacing w:after="0" w:line="321" w:lineRule="exact"/>
        <w:rPr>
          <w:sz w:val="20"/>
          <w:szCs w:val="20"/>
          <w:color w:val="auto"/>
        </w:rPr>
      </w:pPr>
      <w:r>
        <w:rPr>
          <w:rFonts w:ascii="MS PGothic" w:cs="MS PGothic" w:eastAsia="MS PGothic" w:hAnsi="MS PGothic"/>
          <w:sz w:val="32"/>
          <w:szCs w:val="32"/>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0"/>
        <w:spacing w:after="0" w:line="321" w:lineRule="exact"/>
        <w:rPr>
          <w:sz w:val="20"/>
          <w:szCs w:val="20"/>
          <w:color w:val="auto"/>
        </w:rPr>
      </w:pPr>
      <w:r>
        <w:rPr>
          <w:rFonts w:ascii="MS PGothic" w:cs="MS PGothic" w:eastAsia="MS PGothic" w:hAnsi="MS PGothic"/>
          <w:sz w:val="32"/>
          <w:szCs w:val="32"/>
          <w:color w:val="auto"/>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1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For the fiscal year ended July 31, 2021</w:t>
      </w:r>
    </w:p>
    <w:p>
      <w:pPr>
        <w:spacing w:after="0" w:line="117"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4"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For the transition period from to</w:t>
      </w:r>
    </w:p>
    <w:p>
      <w:pPr>
        <w:spacing w:after="0" w:line="171"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1266190</wp:posOffset>
            </wp:positionH>
            <wp:positionV relativeFrom="paragraph">
              <wp:posOffset>151765</wp:posOffset>
            </wp:positionV>
            <wp:extent cx="372046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20465" cy="6515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80" w:space="320"/>
            <w:col w:w="10520"/>
          </w:cols>
          <w:pgMar w:left="320" w:top="1340"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5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Delaware</w:t>
            </w:r>
          </w:p>
        </w:tc>
        <w:tc>
          <w:tcPr>
            <w:tcW w:w="4900" w:type="dxa"/>
            <w:vAlign w:val="bottom"/>
          </w:tcPr>
          <w:p>
            <w:pPr>
              <w:jc w:val="right"/>
              <w:ind w:right="1919"/>
              <w:spacing w:after="0"/>
              <w:rPr>
                <w:sz w:val="20"/>
                <w:szCs w:val="20"/>
                <w:color w:val="auto"/>
              </w:rPr>
            </w:pPr>
            <w:r>
              <w:rPr>
                <w:rFonts w:ascii="Arial" w:cs="Arial" w:eastAsia="Arial" w:hAnsi="Arial"/>
                <w:sz w:val="18"/>
                <w:szCs w:val="18"/>
                <w:b w:val="1"/>
                <w:bCs w:val="1"/>
                <w:color w:val="auto"/>
              </w:rPr>
              <w:t>51-0291762</w:t>
            </w:r>
          </w:p>
        </w:tc>
      </w:tr>
      <w:tr>
        <w:trPr>
          <w:trHeight w:val="176"/>
        </w:trPr>
        <w:tc>
          <w:tcPr>
            <w:tcW w:w="5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60" w:type="dxa"/>
            <w:vAlign w:val="bottom"/>
          </w:tcPr>
          <w:p>
            <w:pPr>
              <w:spacing w:after="0"/>
              <w:rPr>
                <w:sz w:val="15"/>
                <w:szCs w:val="15"/>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(I.R.S. Employer Identification No.)</w:t>
            </w:r>
          </w:p>
        </w:tc>
      </w:tr>
      <w:tr>
        <w:trPr>
          <w:trHeight w:val="501"/>
        </w:trPr>
        <w:tc>
          <w:tcPr>
            <w:tcW w:w="5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390 Interlocken Crescent</w:t>
            </w:r>
          </w:p>
        </w:tc>
        <w:tc>
          <w:tcPr>
            <w:tcW w:w="4900" w:type="dxa"/>
            <w:vAlign w:val="bottom"/>
          </w:tcPr>
          <w:p>
            <w:pPr>
              <w:spacing w:after="0"/>
              <w:rPr>
                <w:sz w:val="24"/>
                <w:szCs w:val="24"/>
                <w:color w:val="auto"/>
              </w:rPr>
            </w:pPr>
          </w:p>
        </w:tc>
      </w:tr>
      <w:tr>
        <w:trPr>
          <w:trHeight w:val="234"/>
        </w:trPr>
        <w:tc>
          <w:tcPr>
            <w:tcW w:w="5460" w:type="dxa"/>
            <w:vAlign w:val="bottom"/>
            <w:gridSpan w:val="2"/>
          </w:tcPr>
          <w:p>
            <w:pPr>
              <w:ind w:left="1660"/>
              <w:spacing w:after="0"/>
              <w:rPr>
                <w:sz w:val="20"/>
                <w:szCs w:val="20"/>
                <w:color w:val="auto"/>
              </w:rPr>
            </w:pPr>
            <w:r>
              <w:rPr>
                <w:rFonts w:ascii="Arial" w:cs="Arial" w:eastAsia="Arial" w:hAnsi="Arial"/>
                <w:sz w:val="18"/>
                <w:szCs w:val="18"/>
                <w:b w:val="1"/>
                <w:bCs w:val="1"/>
                <w:color w:val="auto"/>
              </w:rPr>
              <w:t>Broomfield, Colorado</w:t>
            </w:r>
          </w:p>
        </w:tc>
        <w:tc>
          <w:tcPr>
            <w:tcW w:w="4900" w:type="dxa"/>
            <w:vAlign w:val="bottom"/>
          </w:tcPr>
          <w:p>
            <w:pPr>
              <w:jc w:val="right"/>
              <w:ind w:right="2139"/>
              <w:spacing w:after="0"/>
              <w:rPr>
                <w:sz w:val="20"/>
                <w:szCs w:val="20"/>
                <w:color w:val="auto"/>
              </w:rPr>
            </w:pPr>
            <w:r>
              <w:rPr>
                <w:rFonts w:ascii="Arial" w:cs="Arial" w:eastAsia="Arial" w:hAnsi="Arial"/>
                <w:sz w:val="18"/>
                <w:szCs w:val="18"/>
                <w:b w:val="1"/>
                <w:bCs w:val="1"/>
                <w:color w:val="auto"/>
              </w:rPr>
              <w:t>80021</w:t>
            </w:r>
          </w:p>
        </w:tc>
      </w:tr>
      <w:tr>
        <w:trPr>
          <w:trHeight w:val="176"/>
        </w:trPr>
        <w:tc>
          <w:tcPr>
            <w:tcW w:w="5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60" w:type="dxa"/>
            <w:vAlign w:val="bottom"/>
          </w:tcPr>
          <w:p>
            <w:pPr>
              <w:spacing w:after="0"/>
              <w:rPr>
                <w:sz w:val="15"/>
                <w:szCs w:val="15"/>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15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14605</wp:posOffset>
            </wp:positionV>
            <wp:extent cx="2811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$0.01 par value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MTN</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70" w:lineRule="exact"/>
        <w:rPr>
          <w:sz w:val="24"/>
          <w:szCs w:val="24"/>
          <w:color w:val="auto"/>
        </w:rPr>
      </w:pPr>
    </w:p>
    <w:p>
      <w:pPr>
        <w:ind w:right="1440"/>
        <w:spacing w:after="0" w:line="37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type w:val="continuous"/>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0"/>
          <w:szCs w:val="20"/>
          <w:color w:val="auto"/>
        </w:rPr>
      </w:pPr>
    </w:p>
    <w:p>
      <w:pPr>
        <w:ind w:left="280" w:hanging="272"/>
        <w:spacing w:after="0" w:line="242" w:lineRule="exact"/>
        <w:tabs>
          <w:tab w:leader="none" w:pos="2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w:t>
      </w:r>
      <w:r>
        <w:rPr>
          <w:rFonts w:ascii="Arial" w:cs="Arial" w:eastAsia="Arial" w:hAnsi="Arial"/>
          <w:sz w:val="14"/>
          <w:szCs w:val="14"/>
          <w:color w:val="auto"/>
        </w:rPr>
        <w:t>(§ 232.405 of this chapter)</w:t>
      </w:r>
      <w:r>
        <w:rPr>
          <w:rFonts w:ascii="Arial" w:cs="Arial" w:eastAsia="Arial" w:hAnsi="Arial"/>
          <w:sz w:val="16"/>
          <w:szCs w:val="16"/>
          <w:color w:val="auto"/>
        </w:rPr>
        <w:t xml:space="preserve"> during the preceding 12 months (or for such shorter period that the registrant was required to submit such files).</w:t>
      </w:r>
    </w:p>
    <w:p>
      <w:pPr>
        <w:ind w:left="280" w:hanging="272"/>
        <w:spacing w:after="0" w:line="228" w:lineRule="exact"/>
        <w:tabs>
          <w:tab w:leader="none" w:pos="2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100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28"/>
        </w:trPr>
        <w:tc>
          <w:tcPr>
            <w:tcW w:w="202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43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560"/>
              <w:spacing w:after="0"/>
              <w:rPr>
                <w:sz w:val="20"/>
                <w:szCs w:val="20"/>
                <w:color w:val="auto"/>
              </w:rPr>
            </w:pPr>
            <w:r>
              <w:rPr>
                <w:rFonts w:ascii="Arial" w:cs="Arial" w:eastAsia="Arial" w:hAnsi="Arial"/>
                <w:sz w:val="18"/>
                <w:szCs w:val="18"/>
                <w:color w:val="auto"/>
              </w:rPr>
              <w:t>Smaller reporting company</w:t>
            </w:r>
          </w:p>
        </w:tc>
        <w:tc>
          <w:tcPr>
            <w:tcW w:w="100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28"/>
        </w:trPr>
        <w:tc>
          <w:tcPr>
            <w:tcW w:w="202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43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tcPr>
          <w:p>
            <w:pPr>
              <w:ind w:left="1560"/>
              <w:spacing w:after="0"/>
              <w:rPr>
                <w:sz w:val="20"/>
                <w:szCs w:val="20"/>
                <w:color w:val="auto"/>
              </w:rPr>
            </w:pPr>
            <w:r>
              <w:rPr>
                <w:rFonts w:ascii="Arial" w:cs="Arial" w:eastAsia="Arial" w:hAnsi="Arial"/>
                <w:sz w:val="18"/>
                <w:szCs w:val="18"/>
                <w:color w:val="auto"/>
              </w:rPr>
              <w:t>Emerging growth company</w:t>
            </w:r>
          </w:p>
        </w:tc>
        <w:tc>
          <w:tcPr>
            <w:tcW w:w="100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29"/>
        </w:trPr>
        <w:tc>
          <w:tcPr>
            <w:tcW w:w="20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96"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0"/>
          <w:szCs w:val="20"/>
          <w:color w:val="auto"/>
        </w:rPr>
      </w:pPr>
    </w:p>
    <w:p>
      <w:pPr>
        <w:ind w:left="280" w:hanging="272"/>
        <w:spacing w:after="0" w:line="242" w:lineRule="exact"/>
        <w:tabs>
          <w:tab w:leader="none" w:pos="28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$265.96 per share as reported on the New York Stock Exchange Composite Tape on January 29, 2021 (the last business day of the registrant’s most recently completed second fiscal quarter) was $10,590,723,478.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20, 2021, 40,391,129 shares of the registrant’s common stock were outstanding.</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Portions of the registrant’s definitive Proxy Statement for its 2021 Annual Meeting of Stockholders to be filed with the Securities and Exchange Commission within 120 days of July 31, 2021 are incorporated by reference herein into Part III, Items 10 through 14,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gridSpan w:val="17"/>
          </w:tcPr>
          <w:p>
            <w:pPr>
              <w:jc w:val="center"/>
              <w:ind w:right="3240"/>
              <w:spacing w:after="0"/>
              <w:rPr>
                <w:sz w:val="20"/>
                <w:szCs w:val="20"/>
                <w:color w:val="auto"/>
              </w:rPr>
            </w:pPr>
            <w:r>
              <w:rPr>
                <w:rFonts w:ascii="Arial" w:cs="Arial" w:eastAsia="Arial" w:hAnsi="Arial"/>
                <w:sz w:val="18"/>
                <w:szCs w:val="18"/>
                <w:b w:val="1"/>
                <w:bCs w:val="1"/>
                <w:color w:val="auto"/>
                <w:w w:val="89"/>
              </w:rPr>
              <w:t>Table of Contents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20" w:type="dxa"/>
            <w:vAlign w:val="bottom"/>
            <w:gridSpan w:val="12"/>
            <w:shd w:val="clear" w:color="auto" w:fill="CCEEFF"/>
          </w:tcPr>
          <w:p>
            <w:pPr>
              <w:jc w:val="center"/>
              <w:ind w:right="4040"/>
              <w:spacing w:after="0" w:line="189" w:lineRule="exact"/>
              <w:rPr>
                <w:rFonts w:ascii="Arial" w:cs="Arial" w:eastAsia="Arial" w:hAnsi="Arial"/>
                <w:sz w:val="18"/>
                <w:szCs w:val="18"/>
                <w:b w:val="1"/>
                <w:bCs w:val="1"/>
                <w:color w:val="0000FF"/>
                <w:w w:val="98"/>
              </w:rPr>
            </w:pPr>
            <w:hyperlink w:anchor="page5">
              <w:r>
                <w:rPr>
                  <w:rFonts w:ascii="Arial" w:cs="Arial" w:eastAsia="Arial" w:hAnsi="Arial"/>
                  <w:sz w:val="18"/>
                  <w:szCs w:val="18"/>
                  <w:b w:val="1"/>
                  <w:bCs w:val="1"/>
                  <w:color w:val="0000FF"/>
                  <w:w w:val="98"/>
                </w:rPr>
                <w:t>PART I</w:t>
              </w:r>
            </w:hyperlink>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Item 1.</w:t>
            </w:r>
          </w:p>
        </w:tc>
        <w:tc>
          <w:tcPr>
            <w:tcW w:w="3680" w:type="dxa"/>
            <w:vAlign w:val="bottom"/>
            <w:tcBorders>
              <w:top w:val="single" w:sz="8" w:color="CCEEFF"/>
            </w:tcBorders>
            <w:gridSpan w:val="18"/>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16"/>
                <w:szCs w:val="16"/>
                <w:color w:val="auto"/>
              </w:rPr>
            </w:pPr>
          </w:p>
        </w:tc>
        <w:tc>
          <w:tcPr>
            <w:tcW w:w="4040" w:type="dxa"/>
            <w:vAlign w:val="bottom"/>
            <w:tcBorders>
              <w:top w:val="single" w:sz="8" w:color="CCEEFF"/>
            </w:tcBorders>
            <w:gridSpan w:val="10"/>
          </w:tcPr>
          <w:p>
            <w:pPr>
              <w:spacing w:after="0"/>
              <w:rPr>
                <w:sz w:val="16"/>
                <w:szCs w:val="16"/>
                <w:color w:val="auto"/>
              </w:rPr>
            </w:pPr>
          </w:p>
        </w:tc>
        <w:tc>
          <w:tcPr>
            <w:tcW w:w="1280" w:type="dxa"/>
            <w:vAlign w:val="bottom"/>
            <w:tcBorders>
              <w:top w:val="single" w:sz="8" w:color="CCEEFF"/>
            </w:tcBorders>
            <w:gridSpan w:val="5"/>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20" w:type="dxa"/>
            <w:vAlign w:val="bottom"/>
            <w:gridSpan w:val="4"/>
            <w:shd w:val="clear" w:color="auto" w:fill="CCEEFF"/>
          </w:tcPr>
          <w:p>
            <w:pPr>
              <w:spacing w:after="0" w:line="189"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Risk Factors</w:t>
              </w:r>
            </w:hyperlink>
          </w:p>
        </w:tc>
        <w:tc>
          <w:tcPr>
            <w:tcW w:w="7380" w:type="dxa"/>
            <w:vAlign w:val="bottom"/>
            <w:gridSpan w:val="26"/>
            <w:shd w:val="clear" w:color="auto" w:fill="CCEEFF"/>
          </w:tcPr>
          <w:p>
            <w:pPr>
              <w:spacing w:after="0"/>
              <w:rPr>
                <w:sz w:val="16"/>
                <w:szCs w:val="16"/>
                <w:color w:val="auto"/>
              </w:rPr>
            </w:pPr>
          </w:p>
        </w:tc>
        <w:tc>
          <w:tcPr>
            <w:tcW w:w="1260" w:type="dxa"/>
            <w:vAlign w:val="bottom"/>
            <w:gridSpan w:val="4"/>
            <w:shd w:val="clear" w:color="auto" w:fill="CCEEFF"/>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1B.</w:t>
            </w:r>
          </w:p>
        </w:tc>
        <w:tc>
          <w:tcPr>
            <w:tcW w:w="8300" w:type="dxa"/>
            <w:vAlign w:val="bottom"/>
            <w:gridSpan w:val="30"/>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Unresolved Staff Comments</w:t>
              </w:r>
            </w:hyperlink>
          </w:p>
        </w:tc>
        <w:tc>
          <w:tcPr>
            <w:tcW w:w="1260" w:type="dxa"/>
            <w:vAlign w:val="bottom"/>
            <w:gridSpan w:val="4"/>
          </w:tcPr>
          <w:p>
            <w:pPr>
              <w:jc w:val="right"/>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740" w:type="dxa"/>
            <w:vAlign w:val="bottom"/>
            <w:gridSpan w:val="3"/>
            <w:shd w:val="clear" w:color="auto" w:fill="CCEEFF"/>
          </w:tcPr>
          <w:p>
            <w:pPr>
              <w:spacing w:after="0" w:line="189" w:lineRule="exact"/>
              <w:rPr>
                <w:rFonts w:ascii="Arial" w:cs="Arial" w:eastAsia="Arial" w:hAnsi="Arial"/>
                <w:sz w:val="18"/>
                <w:szCs w:val="18"/>
                <w:color w:val="0000FF"/>
                <w:w w:val="87"/>
              </w:rPr>
            </w:pPr>
            <w:hyperlink w:anchor="page35">
              <w:r>
                <w:rPr>
                  <w:rFonts w:ascii="Arial" w:cs="Arial" w:eastAsia="Arial" w:hAnsi="Arial"/>
                  <w:sz w:val="18"/>
                  <w:szCs w:val="18"/>
                  <w:color w:val="0000FF"/>
                  <w:w w:val="87"/>
                </w:rPr>
                <w:t>Properties</w:t>
              </w:r>
            </w:hyperlink>
          </w:p>
        </w:tc>
        <w:tc>
          <w:tcPr>
            <w:tcW w:w="7560" w:type="dxa"/>
            <w:vAlign w:val="bottom"/>
            <w:gridSpan w:val="27"/>
            <w:shd w:val="clear" w:color="auto" w:fill="CCEEFF"/>
          </w:tcPr>
          <w:p>
            <w:pPr>
              <w:spacing w:after="0"/>
              <w:rPr>
                <w:sz w:val="16"/>
                <w:szCs w:val="16"/>
                <w:color w:val="auto"/>
              </w:rPr>
            </w:pPr>
          </w:p>
        </w:tc>
        <w:tc>
          <w:tcPr>
            <w:tcW w:w="1260" w:type="dxa"/>
            <w:vAlign w:val="bottom"/>
            <w:gridSpan w:val="4"/>
            <w:shd w:val="clear" w:color="auto" w:fill="CCEEFF"/>
          </w:tcPr>
          <w:p>
            <w:pPr>
              <w:jc w:val="right"/>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8300" w:type="dxa"/>
            <w:vAlign w:val="bottom"/>
            <w:gridSpan w:val="30"/>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1260" w:type="dxa"/>
            <w:vAlign w:val="bottom"/>
            <w:gridSpan w:val="4"/>
          </w:tcPr>
          <w:p>
            <w:pPr>
              <w:jc w:val="right"/>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8300" w:type="dxa"/>
            <w:vAlign w:val="bottom"/>
            <w:gridSpan w:val="30"/>
            <w:shd w:val="clear" w:color="auto" w:fill="CCEEFF"/>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1260" w:type="dxa"/>
            <w:vAlign w:val="bottom"/>
            <w:gridSpan w:val="4"/>
            <w:shd w:val="clear" w:color="auto" w:fill="CCEEFF"/>
          </w:tcPr>
          <w:p>
            <w:pPr>
              <w:jc w:val="right"/>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660" w:type="dxa"/>
            <w:vAlign w:val="bottom"/>
            <w:tcBorders>
              <w:top w:val="single" w:sz="8" w:color="CCEEFF"/>
            </w:tcBorders>
            <w:gridSpan w:val="13"/>
          </w:tcPr>
          <w:p>
            <w:pPr>
              <w:jc w:val="center"/>
              <w:ind w:right="4000"/>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w:t>
              </w:r>
            </w:hyperlink>
          </w:p>
        </w:tc>
        <w:tc>
          <w:tcPr>
            <w:tcW w:w="1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8300" w:type="dxa"/>
            <w:vAlign w:val="bottom"/>
            <w:gridSpan w:val="3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Market for Registrant’s Common Equity, Related Stockholder Matters and Issuer Purchases of Equity</w:t>
              </w:r>
            </w:hyperlink>
          </w:p>
        </w:tc>
        <w:tc>
          <w:tcPr>
            <w:tcW w:w="1260" w:type="dxa"/>
            <w:vAlign w:val="bottom"/>
            <w:gridSpan w:val="4"/>
            <w:vMerge w:val="restart"/>
            <w:shd w:val="clear" w:color="auto" w:fill="CCEEFF"/>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40" w:type="dxa"/>
            <w:vAlign w:val="bottom"/>
            <w:tcBorders>
              <w:top w:val="single" w:sz="8" w:color="CCEEFF"/>
            </w:tcBorders>
            <w:vMerge w:val="continue"/>
            <w:shd w:val="clear" w:color="auto" w:fill="CCEEFF"/>
          </w:tcPr>
          <w:p>
            <w:pPr>
              <w:spacing w:after="0"/>
              <w:rPr>
                <w:sz w:val="13"/>
                <w:szCs w:val="13"/>
                <w:color w:val="auto"/>
              </w:rPr>
            </w:pPr>
          </w:p>
        </w:tc>
        <w:tc>
          <w:tcPr>
            <w:tcW w:w="72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w w:val="88"/>
              </w:rPr>
            </w:pPr>
            <w:hyperlink w:anchor="page39">
              <w:r>
                <w:rPr>
                  <w:rFonts w:ascii="Arial" w:cs="Arial" w:eastAsia="Arial" w:hAnsi="Arial"/>
                  <w:sz w:val="18"/>
                  <w:szCs w:val="18"/>
                  <w:color w:val="0000FF"/>
                  <w:w w:val="88"/>
                </w:rPr>
                <w:t>Securities</w:t>
              </w:r>
            </w:hyperlink>
          </w:p>
        </w:tc>
        <w:tc>
          <w:tcPr>
            <w:tcW w:w="6600" w:type="dxa"/>
            <w:vAlign w:val="bottom"/>
            <w:tcBorders>
              <w:top w:val="single" w:sz="8" w:color="0000FF"/>
            </w:tcBorders>
            <w:gridSpan w:val="27"/>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gridSpan w:val="4"/>
            <w:vMerge w:val="continue"/>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8300" w:type="dxa"/>
            <w:vAlign w:val="bottom"/>
            <w:gridSpan w:val="30"/>
          </w:tcPr>
          <w:p>
            <w:pPr>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Selected Financial Data</w:t>
              </w:r>
            </w:hyperlink>
          </w:p>
        </w:tc>
        <w:tc>
          <w:tcPr>
            <w:tcW w:w="1260" w:type="dxa"/>
            <w:vAlign w:val="bottom"/>
            <w:gridSpan w:val="4"/>
          </w:tcPr>
          <w:p>
            <w:pPr>
              <w:jc w:val="right"/>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7.</w:t>
            </w:r>
          </w:p>
        </w:tc>
        <w:tc>
          <w:tcPr>
            <w:tcW w:w="8300" w:type="dxa"/>
            <w:vAlign w:val="bottom"/>
            <w:gridSpan w:val="30"/>
            <w:shd w:val="clear" w:color="auto" w:fill="CCEEFF"/>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Management’s Discussion and Analysis of Financial Condition and Results of Operations</w:t>
              </w:r>
            </w:hyperlink>
          </w:p>
        </w:tc>
        <w:tc>
          <w:tcPr>
            <w:tcW w:w="1260" w:type="dxa"/>
            <w:vAlign w:val="bottom"/>
            <w:gridSpan w:val="4"/>
            <w:shd w:val="clear" w:color="auto" w:fill="CCEEFF"/>
          </w:tcPr>
          <w:p>
            <w:pPr>
              <w:jc w:val="right"/>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7A.</w:t>
            </w:r>
          </w:p>
        </w:tc>
        <w:tc>
          <w:tcPr>
            <w:tcW w:w="6460" w:type="dxa"/>
            <w:vAlign w:val="bottom"/>
            <w:gridSpan w:val="26"/>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Quantitative and Qualitative Disclosures About Market Risk</w:t>
              </w:r>
            </w:hyperlink>
          </w:p>
        </w:tc>
        <w:tc>
          <w:tcPr>
            <w:tcW w:w="1840" w:type="dxa"/>
            <w:vAlign w:val="bottom"/>
            <w:gridSpan w:val="4"/>
          </w:tcPr>
          <w:p>
            <w:pPr>
              <w:spacing w:after="0"/>
              <w:rPr>
                <w:sz w:val="16"/>
                <w:szCs w:val="16"/>
                <w:color w:val="auto"/>
              </w:rPr>
            </w:pPr>
          </w:p>
        </w:tc>
        <w:tc>
          <w:tcPr>
            <w:tcW w:w="1260" w:type="dxa"/>
            <w:vAlign w:val="bottom"/>
            <w:gridSpan w:val="4"/>
          </w:tcPr>
          <w:p>
            <w:pPr>
              <w:jc w:val="right"/>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8.</w:t>
            </w:r>
          </w:p>
        </w:tc>
        <w:tc>
          <w:tcPr>
            <w:tcW w:w="3340" w:type="dxa"/>
            <w:vAlign w:val="bottom"/>
            <w:gridSpan w:val="14"/>
            <w:shd w:val="clear" w:color="auto" w:fill="CCEEFF"/>
          </w:tcPr>
          <w:p>
            <w:pPr>
              <w:spacing w:after="0" w:line="189"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Financial Statements and Supplementary Data</w:t>
              </w:r>
            </w:hyperlink>
          </w:p>
        </w:tc>
        <w:tc>
          <w:tcPr>
            <w:tcW w:w="4960" w:type="dxa"/>
            <w:vAlign w:val="bottom"/>
            <w:gridSpan w:val="16"/>
            <w:shd w:val="clear" w:color="auto" w:fill="CCEEFF"/>
          </w:tcPr>
          <w:p>
            <w:pPr>
              <w:spacing w:after="0"/>
              <w:rPr>
                <w:sz w:val="16"/>
                <w:szCs w:val="16"/>
                <w:color w:val="auto"/>
              </w:rPr>
            </w:pPr>
          </w:p>
        </w:tc>
        <w:tc>
          <w:tcPr>
            <w:tcW w:w="1260" w:type="dxa"/>
            <w:vAlign w:val="bottom"/>
            <w:gridSpan w:val="4"/>
            <w:shd w:val="clear" w:color="auto" w:fill="CCEEFF"/>
          </w:tcPr>
          <w:p>
            <w:pPr>
              <w:jc w:val="right"/>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9.</w:t>
            </w:r>
          </w:p>
        </w:tc>
        <w:tc>
          <w:tcPr>
            <w:tcW w:w="8300" w:type="dxa"/>
            <w:vAlign w:val="bottom"/>
            <w:gridSpan w:val="30"/>
          </w:tcPr>
          <w:p>
            <w:pPr>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Changes in and Disagreements With Accountants on Accounting and Financial Disclosure</w:t>
              </w:r>
            </w:hyperlink>
          </w:p>
        </w:tc>
        <w:tc>
          <w:tcPr>
            <w:tcW w:w="1280" w:type="dxa"/>
            <w:vAlign w:val="bottom"/>
            <w:gridSpan w:val="5"/>
          </w:tcPr>
          <w:p>
            <w:pPr>
              <w:jc w:val="right"/>
              <w:ind w:right="20"/>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111</w:t>
              </w:r>
            </w:hyperlink>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9A.</w:t>
            </w:r>
          </w:p>
        </w:tc>
        <w:tc>
          <w:tcPr>
            <w:tcW w:w="1780" w:type="dxa"/>
            <w:vAlign w:val="bottom"/>
            <w:gridSpan w:val="9"/>
            <w:shd w:val="clear" w:color="auto" w:fill="CCEEFF"/>
          </w:tcPr>
          <w:p>
            <w:pPr>
              <w:spacing w:after="0" w:line="189" w:lineRule="exact"/>
              <w:rPr>
                <w:rFonts w:ascii="Arial" w:cs="Arial" w:eastAsia="Arial" w:hAnsi="Arial"/>
                <w:sz w:val="18"/>
                <w:szCs w:val="18"/>
                <w:color w:val="0000FF"/>
                <w:w w:val="88"/>
              </w:rPr>
            </w:pPr>
            <w:hyperlink w:anchor="page113">
              <w:r>
                <w:rPr>
                  <w:rFonts w:ascii="Arial" w:cs="Arial" w:eastAsia="Arial" w:hAnsi="Arial"/>
                  <w:sz w:val="18"/>
                  <w:szCs w:val="18"/>
                  <w:color w:val="0000FF"/>
                  <w:w w:val="88"/>
                </w:rPr>
                <w:t>Controls and Procedures</w:t>
              </w:r>
            </w:hyperlink>
          </w:p>
        </w:tc>
        <w:tc>
          <w:tcPr>
            <w:tcW w:w="6520" w:type="dxa"/>
            <w:vAlign w:val="bottom"/>
            <w:gridSpan w:val="21"/>
            <w:shd w:val="clear" w:color="auto" w:fill="CCEEFF"/>
          </w:tcPr>
          <w:p>
            <w:pPr>
              <w:spacing w:after="0"/>
              <w:rPr>
                <w:sz w:val="16"/>
                <w:szCs w:val="16"/>
                <w:color w:val="auto"/>
              </w:rPr>
            </w:pPr>
          </w:p>
        </w:tc>
        <w:tc>
          <w:tcPr>
            <w:tcW w:w="1280" w:type="dxa"/>
            <w:vAlign w:val="bottom"/>
            <w:gridSpan w:val="5"/>
            <w:shd w:val="clear" w:color="auto" w:fill="CCEEFF"/>
          </w:tcPr>
          <w:p>
            <w:pPr>
              <w:jc w:val="right"/>
              <w:ind w:right="20"/>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111</w:t>
              </w:r>
            </w:hyperlink>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9B.</w:t>
            </w:r>
          </w:p>
        </w:tc>
        <w:tc>
          <w:tcPr>
            <w:tcW w:w="1780" w:type="dxa"/>
            <w:vAlign w:val="bottom"/>
            <w:gridSpan w:val="9"/>
          </w:tcPr>
          <w:p>
            <w:pPr>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Other Information</w:t>
              </w:r>
            </w:hyperlink>
          </w:p>
        </w:tc>
        <w:tc>
          <w:tcPr>
            <w:tcW w:w="6520" w:type="dxa"/>
            <w:vAlign w:val="bottom"/>
            <w:gridSpan w:val="21"/>
          </w:tcPr>
          <w:p>
            <w:pPr>
              <w:spacing w:after="0"/>
              <w:rPr>
                <w:sz w:val="16"/>
                <w:szCs w:val="16"/>
                <w:color w:val="auto"/>
              </w:rPr>
            </w:pPr>
          </w:p>
        </w:tc>
        <w:tc>
          <w:tcPr>
            <w:tcW w:w="1280" w:type="dxa"/>
            <w:vAlign w:val="bottom"/>
            <w:gridSpan w:val="5"/>
          </w:tcPr>
          <w:p>
            <w:pPr>
              <w:jc w:val="right"/>
              <w:ind w:right="20"/>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8"/>
            <w:shd w:val="clear" w:color="auto" w:fill="CCEEFF"/>
          </w:tcPr>
          <w:p>
            <w:pPr>
              <w:jc w:val="center"/>
              <w:spacing w:after="0" w:line="189" w:lineRule="exact"/>
              <w:rPr>
                <w:rFonts w:ascii="Arial" w:cs="Arial" w:eastAsia="Arial" w:hAnsi="Arial"/>
                <w:sz w:val="18"/>
                <w:szCs w:val="18"/>
                <w:b w:val="1"/>
                <w:bCs w:val="1"/>
                <w:color w:val="0000FF"/>
              </w:rPr>
            </w:pPr>
            <w:hyperlink w:anchor="page114">
              <w:r>
                <w:rPr>
                  <w:rFonts w:ascii="Arial" w:cs="Arial" w:eastAsia="Arial" w:hAnsi="Arial"/>
                  <w:sz w:val="18"/>
                  <w:szCs w:val="18"/>
                  <w:b w:val="1"/>
                  <w:bCs w:val="1"/>
                  <w:color w:val="0000FF"/>
                </w:rPr>
                <w:t>PART III</w:t>
              </w:r>
            </w:hyperlink>
          </w:p>
        </w:tc>
        <w:tc>
          <w:tcPr>
            <w:tcW w:w="3960" w:type="dxa"/>
            <w:vAlign w:val="bottom"/>
            <w:tcBorders>
              <w:bottom w:val="single" w:sz="8" w:color="CCEEFF"/>
            </w:tcBorders>
            <w:gridSpan w:val="7"/>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10.</w:t>
            </w:r>
          </w:p>
        </w:tc>
        <w:tc>
          <w:tcPr>
            <w:tcW w:w="8300" w:type="dxa"/>
            <w:vAlign w:val="bottom"/>
            <w:gridSpan w:val="30"/>
          </w:tcPr>
          <w:p>
            <w:pPr>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Directors, Executive Officers and Corporate Governance</w:t>
              </w:r>
            </w:hyperlink>
          </w:p>
        </w:tc>
        <w:tc>
          <w:tcPr>
            <w:tcW w:w="1280" w:type="dxa"/>
            <w:vAlign w:val="bottom"/>
            <w:gridSpan w:val="5"/>
          </w:tcPr>
          <w:p>
            <w:pPr>
              <w:jc w:val="right"/>
              <w:ind w:right="20"/>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11.</w:t>
            </w:r>
          </w:p>
        </w:tc>
        <w:tc>
          <w:tcPr>
            <w:tcW w:w="8300" w:type="dxa"/>
            <w:vAlign w:val="bottom"/>
            <w:gridSpan w:val="30"/>
            <w:shd w:val="clear" w:color="auto" w:fill="CCEEFF"/>
          </w:tcPr>
          <w:p>
            <w:pPr>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Executive Compensation</w:t>
              </w:r>
            </w:hyperlink>
          </w:p>
        </w:tc>
        <w:tc>
          <w:tcPr>
            <w:tcW w:w="1280" w:type="dxa"/>
            <w:vAlign w:val="bottom"/>
            <w:gridSpan w:val="5"/>
            <w:shd w:val="clear" w:color="auto" w:fill="CCEEFF"/>
          </w:tcPr>
          <w:p>
            <w:pPr>
              <w:jc w:val="right"/>
              <w:ind w:right="20"/>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12.</w:t>
            </w:r>
          </w:p>
        </w:tc>
        <w:tc>
          <w:tcPr>
            <w:tcW w:w="8300" w:type="dxa"/>
            <w:vAlign w:val="bottom"/>
            <w:gridSpan w:val="30"/>
          </w:tcPr>
          <w:p>
            <w:pPr>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Security Ownership of Certain Beneficial Owners and Management and Related Stockholder Matters</w:t>
              </w:r>
            </w:hyperlink>
          </w:p>
        </w:tc>
        <w:tc>
          <w:tcPr>
            <w:tcW w:w="1280" w:type="dxa"/>
            <w:vAlign w:val="bottom"/>
            <w:gridSpan w:val="5"/>
          </w:tcPr>
          <w:p>
            <w:pPr>
              <w:jc w:val="right"/>
              <w:ind w:right="20"/>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13.</w:t>
            </w:r>
          </w:p>
        </w:tc>
        <w:tc>
          <w:tcPr>
            <w:tcW w:w="5460" w:type="dxa"/>
            <w:vAlign w:val="bottom"/>
            <w:gridSpan w:val="25"/>
            <w:shd w:val="clear" w:color="auto" w:fill="CCEEFF"/>
          </w:tcPr>
          <w:p>
            <w:pPr>
              <w:spacing w:after="0" w:line="189" w:lineRule="exact"/>
              <w:rPr>
                <w:rFonts w:ascii="Arial" w:cs="Arial" w:eastAsia="Arial" w:hAnsi="Arial"/>
                <w:sz w:val="18"/>
                <w:szCs w:val="18"/>
                <w:color w:val="0000FF"/>
                <w:w w:val="89"/>
              </w:rPr>
            </w:pPr>
            <w:hyperlink w:anchor="page114">
              <w:r>
                <w:rPr>
                  <w:rFonts w:ascii="Arial" w:cs="Arial" w:eastAsia="Arial" w:hAnsi="Arial"/>
                  <w:sz w:val="18"/>
                  <w:szCs w:val="18"/>
                  <w:color w:val="0000FF"/>
                  <w:w w:val="89"/>
                </w:rPr>
                <w:t>Certain Relationships and Related Transactions, and Director Independence</w:t>
              </w:r>
            </w:hyperlink>
          </w:p>
        </w:tc>
        <w:tc>
          <w:tcPr>
            <w:tcW w:w="2840" w:type="dxa"/>
            <w:vAlign w:val="bottom"/>
            <w:gridSpan w:val="5"/>
            <w:shd w:val="clear" w:color="auto" w:fill="CCEEFF"/>
          </w:tcPr>
          <w:p>
            <w:pPr>
              <w:spacing w:after="0"/>
              <w:rPr>
                <w:sz w:val="16"/>
                <w:szCs w:val="16"/>
                <w:color w:val="auto"/>
              </w:rPr>
            </w:pPr>
          </w:p>
        </w:tc>
        <w:tc>
          <w:tcPr>
            <w:tcW w:w="1280" w:type="dxa"/>
            <w:vAlign w:val="bottom"/>
            <w:gridSpan w:val="5"/>
            <w:shd w:val="clear" w:color="auto" w:fill="CCEEFF"/>
          </w:tcPr>
          <w:p>
            <w:pPr>
              <w:jc w:val="right"/>
              <w:ind w:right="20"/>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14.</w:t>
            </w:r>
          </w:p>
        </w:tc>
        <w:tc>
          <w:tcPr>
            <w:tcW w:w="5460" w:type="dxa"/>
            <w:vAlign w:val="bottom"/>
            <w:gridSpan w:val="25"/>
          </w:tcPr>
          <w:p>
            <w:pPr>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Principal Accounting Fees and Services</w:t>
              </w:r>
            </w:hyperlink>
          </w:p>
        </w:tc>
        <w:tc>
          <w:tcPr>
            <w:tcW w:w="2840" w:type="dxa"/>
            <w:vAlign w:val="bottom"/>
            <w:gridSpan w:val="5"/>
          </w:tcPr>
          <w:p>
            <w:pPr>
              <w:spacing w:after="0"/>
              <w:rPr>
                <w:sz w:val="16"/>
                <w:szCs w:val="16"/>
                <w:color w:val="auto"/>
              </w:rPr>
            </w:pPr>
          </w:p>
        </w:tc>
        <w:tc>
          <w:tcPr>
            <w:tcW w:w="1280" w:type="dxa"/>
            <w:vAlign w:val="bottom"/>
            <w:gridSpan w:val="5"/>
          </w:tcPr>
          <w:p>
            <w:pPr>
              <w:jc w:val="right"/>
              <w:ind w:right="20"/>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80" w:type="dxa"/>
            <w:vAlign w:val="bottom"/>
            <w:gridSpan w:val="14"/>
            <w:shd w:val="clear" w:color="auto" w:fill="CCEEFF"/>
          </w:tcPr>
          <w:p>
            <w:pPr>
              <w:jc w:val="center"/>
              <w:ind w:right="3980"/>
              <w:spacing w:after="0" w:line="189" w:lineRule="exact"/>
              <w:rPr>
                <w:rFonts w:ascii="Arial" w:cs="Arial" w:eastAsia="Arial" w:hAnsi="Arial"/>
                <w:sz w:val="18"/>
                <w:szCs w:val="18"/>
                <w:b w:val="1"/>
                <w:bCs w:val="1"/>
                <w:color w:val="0000FF"/>
                <w:w w:val="98"/>
              </w:rPr>
            </w:pPr>
            <w:hyperlink w:anchor="page115">
              <w:r>
                <w:rPr>
                  <w:rFonts w:ascii="Arial" w:cs="Arial" w:eastAsia="Arial" w:hAnsi="Arial"/>
                  <w:sz w:val="18"/>
                  <w:szCs w:val="18"/>
                  <w:b w:val="1"/>
                  <w:bCs w:val="1"/>
                  <w:color w:val="0000FF"/>
                  <w:w w:val="98"/>
                </w:rPr>
                <w:t>PART IV</w:t>
              </w:r>
            </w:hyperlink>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Item 15.</w:t>
            </w:r>
          </w:p>
        </w:tc>
        <w:tc>
          <w:tcPr>
            <w:tcW w:w="3620" w:type="dxa"/>
            <w:vAlign w:val="bottom"/>
            <w:tcBorders>
              <w:top w:val="single" w:sz="8" w:color="CCEEFF"/>
            </w:tcBorders>
            <w:gridSpan w:val="16"/>
          </w:tcPr>
          <w:p>
            <w:pPr>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Exhibits, Financial Statement Schedules</w:t>
              </w:r>
            </w:hyperlink>
          </w:p>
        </w:tc>
        <w:tc>
          <w:tcPr>
            <w:tcW w:w="700" w:type="dxa"/>
            <w:vAlign w:val="bottom"/>
            <w:tcBorders>
              <w:top w:val="single" w:sz="8" w:color="0000FF"/>
            </w:tcBorders>
            <w:gridSpan w:val="6"/>
          </w:tcPr>
          <w:p>
            <w:pPr>
              <w:spacing w:after="0"/>
              <w:rPr>
                <w:sz w:val="16"/>
                <w:szCs w:val="16"/>
                <w:color w:val="auto"/>
              </w:rPr>
            </w:pPr>
          </w:p>
        </w:tc>
        <w:tc>
          <w:tcPr>
            <w:tcW w:w="3980" w:type="dxa"/>
            <w:vAlign w:val="bottom"/>
            <w:tcBorders>
              <w:top w:val="single" w:sz="8" w:color="CCEEFF"/>
            </w:tcBorders>
            <w:gridSpan w:val="8"/>
          </w:tcPr>
          <w:p>
            <w:pPr>
              <w:spacing w:after="0"/>
              <w:rPr>
                <w:sz w:val="16"/>
                <w:szCs w:val="16"/>
                <w:color w:val="auto"/>
              </w:rPr>
            </w:pPr>
          </w:p>
        </w:tc>
        <w:tc>
          <w:tcPr>
            <w:tcW w:w="1280" w:type="dxa"/>
            <w:vAlign w:val="bottom"/>
            <w:tcBorders>
              <w:top w:val="single" w:sz="8" w:color="CCEEFF"/>
            </w:tcBorders>
            <w:gridSpan w:val="5"/>
          </w:tcPr>
          <w:p>
            <w:pPr>
              <w:jc w:val="right"/>
              <w:ind w:right="20"/>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16.</w:t>
            </w:r>
          </w:p>
        </w:tc>
        <w:tc>
          <w:tcPr>
            <w:tcW w:w="8300" w:type="dxa"/>
            <w:vAlign w:val="bottom"/>
            <w:gridSpan w:val="30"/>
            <w:shd w:val="clear" w:color="auto" w:fill="CCEEFF"/>
          </w:tcPr>
          <w:p>
            <w:pPr>
              <w:spacing w:after="0" w:line="189" w:lineRule="exact"/>
              <w:rPr>
                <w:rFonts w:ascii="Arial" w:cs="Arial" w:eastAsia="Arial" w:hAnsi="Arial"/>
                <w:sz w:val="18"/>
                <w:szCs w:val="18"/>
                <w:color w:val="0000FF"/>
              </w:rPr>
            </w:pPr>
            <w:hyperlink w:anchor="page118">
              <w:r>
                <w:rPr>
                  <w:rFonts w:ascii="Arial" w:cs="Arial" w:eastAsia="Arial" w:hAnsi="Arial"/>
                  <w:sz w:val="18"/>
                  <w:szCs w:val="18"/>
                  <w:color w:val="0000FF"/>
                </w:rPr>
                <w:t>Form 10-K Summary</w:t>
              </w:r>
            </w:hyperlink>
          </w:p>
        </w:tc>
        <w:tc>
          <w:tcPr>
            <w:tcW w:w="1280" w:type="dxa"/>
            <w:vAlign w:val="bottom"/>
            <w:gridSpan w:val="5"/>
            <w:shd w:val="clear" w:color="auto" w:fill="CCEEFF"/>
          </w:tcPr>
          <w:p>
            <w:pPr>
              <w:jc w:val="right"/>
              <w:ind w:right="20"/>
              <w:spacing w:after="0" w:line="189" w:lineRule="exact"/>
              <w:rPr>
                <w:rFonts w:ascii="Arial" w:cs="Arial" w:eastAsia="Arial" w:hAnsi="Arial"/>
                <w:sz w:val="18"/>
                <w:szCs w:val="18"/>
                <w:color w:val="0000FF"/>
              </w:rPr>
            </w:pPr>
            <w:hyperlink w:anchor="page118">
              <w:r>
                <w:rPr>
                  <w:rFonts w:ascii="Arial" w:cs="Arial" w:eastAsia="Arial" w:hAnsi="Arial"/>
                  <w:sz w:val="18"/>
                  <w:szCs w:val="18"/>
                  <w:color w:val="0000FF"/>
                </w:rPr>
                <w:t>116</w:t>
              </w:r>
            </w:hyperlink>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Annual Report on Form 10-K (this “Form 10-K”)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15" w:lineRule="exact"/>
        <w:rPr>
          <w:sz w:val="20"/>
          <w:szCs w:val="20"/>
          <w:color w:val="auto"/>
        </w:rPr>
      </w:pPr>
    </w:p>
    <w:p>
      <w:pPr>
        <w:jc w:val="both"/>
        <w:ind w:left="820" w:hanging="650"/>
        <w:spacing w:after="0" w:line="255" w:lineRule="auto"/>
        <w:tabs>
          <w:tab w:leader="none" w:pos="8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ultimate duration of COVID-19 and its short-term and long-term impacts on consumer behaviors, the economy generally, and our business and results of operations, including the ultimate amount of refunds that we would be required to refund to our pass product holders for qualifying circumstances under our Epic Coverage program;</w:t>
      </w:r>
    </w:p>
    <w:p>
      <w:pPr>
        <w:spacing w:after="0" w:line="2" w:lineRule="exact"/>
        <w:rPr>
          <w:rFonts w:ascii="Arial" w:cs="Arial" w:eastAsia="Arial" w:hAnsi="Arial"/>
          <w:sz w:val="18"/>
          <w:szCs w:val="18"/>
          <w:i w:val="1"/>
          <w:iCs w:val="1"/>
          <w:color w:val="auto"/>
        </w:rPr>
      </w:pPr>
    </w:p>
    <w:p>
      <w:pPr>
        <w:ind w:left="820" w:hanging="650"/>
        <w:spacing w:after="0" w:line="265" w:lineRule="auto"/>
        <w:tabs>
          <w:tab w:leader="none" w:pos="81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willingness of our guests to travel due to terrorism, the uncertainty of military conflicts or outbreaks of contagious diseases (such as the ongoing COVID-19 pandemic), and the cost and availability of travel options and changing consumer preferences or willingness to travel;</w:t>
      </w: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interruptions or disruptions of our information technology systems, data security or cyberattacks;</w:t>
      </w:r>
    </w:p>
    <w:p>
      <w:pPr>
        <w:spacing w:after="0" w:line="9" w:lineRule="exact"/>
        <w:rPr>
          <w:rFonts w:ascii="Arial" w:cs="Arial" w:eastAsia="Arial" w:hAnsi="Arial"/>
          <w:sz w:val="18"/>
          <w:szCs w:val="18"/>
          <w:color w:val="auto"/>
        </w:rPr>
      </w:pPr>
    </w:p>
    <w:p>
      <w:pPr>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may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competition in our mountain and lodging businesses or with other recreational and leisure activities;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color w:val="auto"/>
        </w:rPr>
      </w:pPr>
    </w:p>
    <w:p>
      <w:pPr>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line="250" w:lineRule="auto"/>
        <w:tabs>
          <w:tab w:leader="none" w:pos="8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ability to successfully integrate acquired businesses, or that acquired businesses may fail to perform in accordance with expectations;</w:t>
      </w:r>
    </w:p>
    <w:p>
      <w:pPr>
        <w:spacing w:after="0" w:line="20" w:lineRule="exact"/>
        <w:rPr>
          <w:rFonts w:ascii="Arial" w:cs="Arial" w:eastAsia="Arial" w:hAnsi="Arial"/>
          <w:sz w:val="17"/>
          <w:szCs w:val="17"/>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color w:val="auto"/>
        </w:rPr>
      </w:pPr>
    </w:p>
    <w:p>
      <w:pPr>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 as compared to the U.S. dollar;</w:t>
      </w: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tax laws, regulations or interpretations, or adverse determinations by taxing authorities;</w:t>
      </w:r>
    </w:p>
    <w:p>
      <w:pPr>
        <w:spacing w:after="0" w:line="9" w:lineRule="exact"/>
        <w:rPr>
          <w:rFonts w:ascii="Arial" w:cs="Arial" w:eastAsia="Arial" w:hAnsi="Arial"/>
          <w:sz w:val="18"/>
          <w:szCs w:val="18"/>
          <w:color w:val="auto"/>
        </w:rPr>
      </w:pPr>
    </w:p>
    <w:p>
      <w:pPr>
        <w:jc w:val="both"/>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included under Part I, Item 1A. “Risk Factors” in this document.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both"/>
        <w:spacing w:after="0" w:line="293" w:lineRule="auto"/>
        <w:rPr>
          <w:sz w:val="20"/>
          <w:szCs w:val="20"/>
          <w:color w:val="auto"/>
        </w:rPr>
      </w:pPr>
      <w:r>
        <w:rPr>
          <w:rFonts w:ascii="Arial" w:cs="Arial" w:eastAsia="Arial" w:hAnsi="Arial"/>
          <w:sz w:val="16"/>
          <w:szCs w:val="16"/>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10-K,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w:t>
      </w:r>
    </w:p>
    <w:p>
      <w:pPr>
        <w:spacing w:after="0" w:line="618" w:lineRule="exact"/>
        <w:rPr>
          <w:sz w:val="20"/>
          <w:szCs w:val="20"/>
          <w:color w:val="auto"/>
        </w:rPr>
      </w:pPr>
    </w:p>
    <w:p>
      <w:pPr>
        <w:sectPr>
          <w:pgSz w:w="11900" w:h="16838" w:orient="portrait"/>
          <w:cols w:equalWidth="0" w:num="2">
            <w:col w:w="660" w:space="680"/>
            <w:col w:w="9900"/>
          </w:cols>
          <w:pgMar w:left="320" w:top="1215" w:right="339" w:bottom="1440" w:gutter="0" w:footer="0" w:header="0"/>
          <w:type w:val="continuous"/>
        </w:sectPr>
      </w:pPr>
    </w:p>
    <w:p>
      <w:pPr>
        <w:spacing w:after="0"/>
        <w:rPr>
          <w:sz w:val="20"/>
          <w:szCs w:val="20"/>
          <w:color w:val="auto"/>
        </w:rPr>
      </w:pPr>
      <w:r>
        <w:rPr>
          <w:rFonts w:ascii="Arial" w:cs="Arial" w:eastAsia="Arial" w:hAnsi="Arial"/>
          <w:sz w:val="18"/>
          <w:szCs w:val="18"/>
          <w:color w:val="auto"/>
        </w:rPr>
        <w:t>Vail Resorts, Inc., together with its subsidiaries, is referred to throughout this document as “we,” “us,” “our” or the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Vail Resorts, Inc., a Delaware corporation, was organized as a holding company in 1997 and operates through various subsidiaries. Our operations are grouped into three business segments: Mountain, Lodging and Real Estate, which represented approximately 89%, 11% and 0%, respectively, of our net revenue for our fiscal year ended July 31, 2021 (“Fiscal 2021”).</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July 31, 2021, our Mountain segment operates thirty-seven world-class destination mountain resorts and regional ski areas (collectively, our “Resorts”). Additionally, the Mountain segment includes ancillary services, primarily including ski school, dining and retail/rental operations.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we own and/or manage a collection of luxury hotels and condominiums under our RockResorts brand; other strategic lodging properties and a large number of condominiums located in proximity to our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2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refer to “Resort” as the combination of the Mountain and Lodging segments. Our Real Estate segment owns, develops and sells real estate in and around our resort communities.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financial information and other information about the Company’s segments and geographic areas, see Item 7. “Management’s Discussion and Analysis of Financial Condition and Results of Operations” and Item 8.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Impact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ongoing impacts of COVID-19 resulted in reduced visitation and decreased spending for the 2020/2021 North American ski season compared to the prior year through March 14, 2021, the date that we closed our Resorts early for the 2019/2020 North American ski season due to the outbreak of COVID-</w:t>
      </w:r>
    </w:p>
    <w:p>
      <w:pPr>
        <w:ind w:left="280" w:hanging="272"/>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These declines were primarily driven by reduced demand for out-of-state and international (“Destination”) visitation at our western resorts and COVID-</w:t>
      </w:r>
    </w:p>
    <w:p>
      <w:pPr>
        <w:spacing w:after="0" w:line="32" w:lineRule="exact"/>
        <w:rPr>
          <w:rFonts w:ascii="Arial" w:cs="Arial" w:eastAsia="Arial" w:hAnsi="Arial"/>
          <w:sz w:val="16"/>
          <w:szCs w:val="16"/>
          <w:color w:val="auto"/>
        </w:rPr>
      </w:pPr>
    </w:p>
    <w:p>
      <w:pPr>
        <w:jc w:val="both"/>
        <w:ind w:firstLine="8"/>
        <w:spacing w:after="0" w:line="287" w:lineRule="auto"/>
        <w:tabs>
          <w:tab w:leader="none" w:pos="24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related capacity limitations. However, Destination visitation improved as the season progressed. Whistler Blackcomb’s performance was negatively impacted due to the continued closure of the Canadian border to international guests, including guests from the U.S., and was further impacted by the resort closing earlier than expected on March 30, 2021 following a provincial health order issued by the government of British Columbia. Two of our Australian ski areas, Mount Hotham and Falls Creek, opened for their 2020 winter season on July 6, 2020, but we decided to close them four days later due to a “stay at home” order put in place by the Victorian government and specifically for the Melbourne metropolitan area, which represents the majority of visitors for Mount Hotham and Falls Creek, as a result of a reemergence of COVID-19 in the region. Our Australian ski areas were also impacted by “stay at home” orders and periodic resort closures during their 2021 ski seasons. The COVID-19 pandemic had a significant adverse impact on our results of operations for Fiscal 2021, and may continue to have a material, negative impact on our resorts for the fiscal year ending July 31, 2022 (“Fiscal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Mountain Segment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Mountain segment, the Company operates the following 37 destination mountain resorts and regional ski areas, including five resorts within the top ten most visited resorts in the United States for the 2020/2021 North American ski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846445" cy="3857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Mountain segment derives revenue through the sale of lift tickets, including pass products,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of our destination mountain resorts are year-round mountain resorts that provide a comprehensive resort experience to a diverse clientele with an attractive demographic profile. We offer a broad complement of winter and summer recreational activities, including skiing, snowboarding, snowshoeing, snowtubing, sightseeing, mountain biking, guided hiking, zip lines, challenge ropes courses, alpine slides, mountain coasters, children’s activities and other recreational activities. Collectively, our Resorts are located in close proximity to population centers totaling over 100 million people.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Destination Mountain Resorts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Rocky Mountains (Colorado and Utah Resorts)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Breckenridge Ski Resort (“Breckenridge”) - the most visited mountain resort in the United States (“U.S.”) for the 2020/2021 ski season with five interconnected peaks offering an expansive variety of terrain for every skill level, including access to above tree line intermediate and expert terrain, and progressive and award-winning terrain parks.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Vail Mountain Resort (“Vail Mountain”) - the second most visited mountain resort in the U.S. for the 2020/2021 ski season. Vail Mountain offers some of the most expansive and varied terrain in North America with approximately 5,300 skiable acres including seven world renowned back bowls and the resort’s rustic Blue Sky Basin.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7" w:name="page8"/>
    <w:bookmarkEnd w:id="7"/>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Park City Resort (“Park City”) - the third most visited mountain resort in the U.S. for the 2020/2021 ski season and the largest by acreage in the U.S. Park City offers 7,300 acres of skiable terrain for every type of skier and snowboarder and offers guests an outstanding ski experience with fine dining, ski school, retail and lodging.</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Keystone Resort (“Keystone”) - the fourth most visited mountain resort in the U.S. for the 2020/2021 ski season and home to the highly renowned A51 Terrain Park, as well as the largest area of night skiing in Colorado. Keystone also offers guests a unique skiing opportunity through guided snow cat ski tours accessing five bowls. Keystone is a premier destination for families with its “Kidtopia” program focused on providing activities for kids on and off the mountain.</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Beaver Creek Resort (“Beaver Creek”) - the tenth most visited mountain resort in the U.S. for the 2020/2021 ski season. Beaver Creek is a European-style resort with multiple villages and also includes a world renowned children’s ski school program focused on providing a first-class experience with unique amenities such as a dedicated children’s gondola.</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Crested Butte Mountain Resort (“Crested Butte”) - located in southwest Colorado and includes over 1,500 skiable acres and over 3,000 feet of vertical drop. Crested Butte is known for its historic town, iconic mountain peaks and legendary skiing and riding terrain.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Pacific Northwest (British Columbia, Canada)</w:t>
      </w:r>
    </w:p>
    <w:p>
      <w:pPr>
        <w:spacing w:after="0" w:line="117" w:lineRule="exact"/>
        <w:rPr>
          <w:sz w:val="20"/>
          <w:szCs w:val="20"/>
          <w:color w:val="auto"/>
        </w:rPr>
      </w:pPr>
    </w:p>
    <w:p>
      <w:pPr>
        <w:jc w:val="both"/>
        <w:ind w:left="660" w:hanging="328"/>
        <w:spacing w:after="0" w:line="29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Whistler Blackcomb (“Whistler Blackcomb”) - located in the Coast Mountains of British Columbia, Canada, approximately 85 miles from the Vancouver International Airport, Whistler Blackcomb is the largest year-round mountain resort in North America, with two mountains connected by the PEAK 2 PEAK gondola, which combined offer over 200 marked runs, over 8,000 acres of terrain, 14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Lake Tahoe Resorts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Heavenly Mountain Resort (“Heavenly”) - located near the South Shore of Lake Tahoe with over 4,800 skiable acres, Heavenly straddles the border of California and Nevada and offers unique and spectacular views of Lake Tahoe. Heavenly offers great nightlife, including its proximity to several casinos.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Northstar Resort (“Northstar”) - located near the North Shore of Lake Tahoe, Northstar is the premier luxury mountain resort destination near Lake Tahoe which offers premium lodging, a vibrant base area and over 3,000 skiable acres. Northstar’s village features high-end shops and restaurants, a conference center and a 9,000 square-foot skating rink.</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Kirkwood Mountain Resort (“Kirkwood”) - located about 35 miles southwest of South Lake Tahoe, offering a unique location atop the Sierra Crest, Kirkwood is recognized for offering some of the best high alpine advanced terrain in North America with 2,000 feet of vertical drop and over 2,300 acres of terrain.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Ski Areas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ski resort network allows us to connect guests with drive-to access and destination resort access on a single pass product. Building a presence near major metropolitan areas with large populations enables us to drive advance commitment pass product sales among a broad array of guests.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Northeast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and operate eight regional ski areas in the Northeast that we believe provide a compelling regional and local connection to guests within driving distance from the New York, Boston and the greater New England markets. Stowe is the premier, high-end regional ski area in the Northeast offering outstanding skiing and an exceptional base area experience. Okemo and Mount Snow are compelling regional destinations serving guests in the New York metropolitan area and throughout New England. Hunter Mountain is a day-trip ski area primarily serving the New York metropolitan area. Additionally, we own four ski areas in New Hampshire serving guests throughout New England.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Mid-Atlantic (Pennsylvania)</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and operate five ski areas in the Mid-Atlantic region serving guests in Philadelphia, Southern New Jersey, Baltimore and Washington D.C. Our presence in the region allows us to offer compelling local options and easy overnight weekend and holiday trips to our premium Northeast regional ski areas, which are within driving distance from these markets.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Midwest</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own and operate ten ski areas in the Midwest that draw guests from Chicago, Detroit, Minneapolis, St. Louis, Indianapolis, Cleveland, Columbus, Kansas City and Louisville. Located within close proximity to major metropolitan markets, these ski areas provide beginners with easy access to beginner ski programs and offer night skiing for young adults and families. Additionally, the proximity of these ski areas allows for regular usage by avid skiers.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Pacific Northwest (U.S.)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Stevens Pass Resort (“Stevens Pass’’) - acquired in August 2018, Stevens Pass is located less than 85 miles from Seattle and sits on the crest of Washington State’s Cascade Range. Stevens Pass offers terrain for all levels across 1,125 acres of skiable terrain.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Australia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Australia is an important market for both domestic skiing during the Australian winter and as a source of international visitation to the Northern Hemisphere in the Australian off-season, with typically over one million estimated Australian skier visits annually to North America, Europe and Japan. We own three of the five largest ski areas in Australia, which we serve with the Epic Australia Pass, an Australian dollar denominated pass product marketed specifically to Australian guests. Perisher, located in New South Wales, is the largest ski resort in Australia and targets guests in the Sydney metropolitan area and the broader New South Wales market, while Falls Creek and Mount Hotham are two of the largest ski areas in Victoria and target guests in the Melbourne metropolitan area and the broader Victoria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Ski Industry/Competition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approximately 745 ski areas in North America with approximately 460 in the U.S., ranging from small ski area operations that service day skiers to large resorts that attract both day skiers and destination resort guests looking for a comprehensive vacation experience. During the 2020/2021 North American ski season, combined skier visits for all ski areas in North America were approximately 74.5 million, which was lower than historical levels due to the ongoing impacts of COVID-19, particularly with regard to Destination visitation. During the 2018/2019 North American ski season (the ski season immediately prior to the outbreak of COVID-19), combined skier visits for all ski areas in North America were approximately 79.7 million. Our North American Resorts had approximately 13.9 million skier visits during the 2020/2021 ski season, representing approximately 18.7% of North American skier visits.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in North America for over 40 years, which has allowed and should continue to allow the best-positioned destination resorts to benefit from future industry growth. Our resorts compete with other major destination mountain resorts, including, among others, Aspen Snowmass, Copper Mountain, Mammoth, Deer Valley, Snowbird, Squaw Valley USA, Killington, Sierra at Tahoe, Steamboat, Jackson Hole and Winter Park, as well as other ski areas in Colorado, California, Nevada, Utah, the Pacific Northwest, the Northeast, Southwest and British Columbia, Canada, and other destination ski areas worldwide as well as non-ski related vacation options and destinations. Additionally, our pass products compete with other multi-resort frequency and pass products in North America, including the IKON Pass, the Mountain Collective Pass and various regional and local pass products.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ski industry statistics stated in this section have been derived primarily from data published by Colorado Ski Country USA, Canadian Ski Council, Kottke National End of Season Surveys as well as other industry publications.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Competitive Strengths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premier resorts and business model differentiate our Company from the rest of the ski industry. We own and operate some of the most iconic, branded destination mountain resorts in geographically diverse and important ski destinations in Colorado, Utah, Lake Tahoe and the Pacific Northwest, including British Columbia, Canada. These resorts are complemented by regional ski areas in the Northeast, Pacific Northwest, Midwest and Mid-Atlantic regions, which are strategically positioned near key U.S. population centers, as well as three ski areas in Australia. Through our data-driven marketing analytics and personalized marketing capabilities, we target increased penetration of ski pass products, providing our guests with a strong value proposition in return for guests committing to ski at our resorts prior to, or very early into the ski season, which we believe attracts more guests to our resorts. We believe we invest in more capital improvements than our competitors and we create synergies by operating multiple resorts, which enhances our profitability by enabling customers to access our network of resorts with our pass products. Many of our destination mountain resorts located in the U.S. typically rank in the most visited ski</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 w:name="page10"/>
    <w:bookmarkEnd w:id="9"/>
    <w:p>
      <w:pPr>
        <w:spacing w:after="0" w:line="308" w:lineRule="auto"/>
        <w:rPr>
          <w:sz w:val="20"/>
          <w:szCs w:val="20"/>
          <w:color w:val="auto"/>
        </w:rPr>
      </w:pPr>
      <w:r>
        <w:rPr>
          <w:rFonts w:ascii="Arial" w:cs="Arial" w:eastAsia="Arial" w:hAnsi="Arial"/>
          <w:sz w:val="17"/>
          <w:szCs w:val="17"/>
          <w:color w:val="auto"/>
        </w:rPr>
        <w:t>resorts in the U.S. (five of the top ten for the 2020/2021 U.S. ski season), and most of our destination mountain resorts consistently rank in the top ranked ski resorts in North America according to industry surveys, which we attribute to our ability to provide a high-quality experience.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factors contribute directly to each Resort’s success: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Exceptional Mountain Experience</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World-Class Mountain Resorts and Integrated Base Resort Areas</w:t>
      </w:r>
    </w:p>
    <w:p>
      <w:pPr>
        <w:spacing w:after="0" w:line="117" w:lineRule="exact"/>
        <w:rPr>
          <w:rFonts w:ascii="Arial" w:cs="Arial" w:eastAsia="Arial" w:hAnsi="Arial"/>
          <w:sz w:val="18"/>
          <w:szCs w:val="18"/>
          <w:color w:val="auto"/>
        </w:rPr>
      </w:pPr>
    </w:p>
    <w:p>
      <w:pPr>
        <w:jc w:val="both"/>
        <w:ind w:left="660" w:right="20"/>
        <w:spacing w:after="0" w:line="263" w:lineRule="auto"/>
        <w:rPr>
          <w:rFonts w:ascii="Arial" w:cs="Arial" w:eastAsia="Arial" w:hAnsi="Arial"/>
          <w:sz w:val="18"/>
          <w:szCs w:val="18"/>
          <w:color w:val="auto"/>
        </w:rPr>
      </w:pPr>
      <w:r>
        <w:rPr>
          <w:rFonts w:ascii="Arial" w:cs="Arial" w:eastAsia="Arial" w:hAnsi="Arial"/>
          <w:sz w:val="18"/>
          <w:szCs w:val="18"/>
          <w:color w:val="auto"/>
        </w:rPr>
        <w:t>Our mountain resorts offer a multitude of skiing and snowboarding experiences for the beginner, intermediate, advanced and expert levels. Each mountain resort is fully integrated into expansive resort base areas offering a broad array of lodging, dining, retail, nightlife and other amenities, some of which we own or manage, to our guests.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Snow Conditions</w:t>
      </w:r>
    </w:p>
    <w:p>
      <w:pPr>
        <w:spacing w:after="0" w:line="117" w:lineRule="exact"/>
        <w:rPr>
          <w:rFonts w:ascii="Arial" w:cs="Arial" w:eastAsia="Arial" w:hAnsi="Arial"/>
          <w:sz w:val="18"/>
          <w:szCs w:val="18"/>
          <w:color w:val="auto"/>
        </w:rPr>
      </w:pPr>
    </w:p>
    <w:p>
      <w:pPr>
        <w:jc w:val="both"/>
        <w:ind w:left="660"/>
        <w:spacing w:after="0" w:line="291" w:lineRule="auto"/>
        <w:rPr>
          <w:rFonts w:ascii="Arial" w:cs="Arial" w:eastAsia="Arial" w:hAnsi="Arial"/>
          <w:sz w:val="18"/>
          <w:szCs w:val="18"/>
          <w:color w:val="auto"/>
        </w:rPr>
      </w:pPr>
      <w:r>
        <w:rPr>
          <w:rFonts w:ascii="Arial" w:cs="Arial" w:eastAsia="Arial" w:hAnsi="Arial"/>
          <w:sz w:val="16"/>
          <w:szCs w:val="16"/>
          <w:color w:val="auto"/>
        </w:rPr>
        <w:t>Our Resorts in the Rocky Mountain region of Colorado and Utah, the Sierra Nevada Mountains in Lake Tahoe and the Coast Mountains in British Columbia, Canada receive average annual snowfall between 20 and 39 feet. Even in these areas which receive abundant snowfall, we have invested in significant snowmaking systems that help provide a more consistent experience, especially in the early season. During Fiscal 2020, we completed significant investments in our snowmaking systems in Colorado that transformed the early-season terrain experience at Vail, Keystone and Beaver Creek. Our other ski areas receive less snowfall than our western North American mountain resorts, but we have invested in snowmaking operations at these resorts in order to provide a consistent experience for our guests. Additionally, we provide several hundred acres of groomed terrain at each of our mountain resorts with extensive fleets of snow grooming equipment.</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Lift Service</w:t>
      </w:r>
    </w:p>
    <w:p>
      <w:pPr>
        <w:spacing w:after="0" w:line="117"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We systematically upgrade our lifts and put in new lifts to increase uphill capacity and streamline skier traffic to maximize the guest experience. Discretionary expenditures expected for calendar year 2021 include, among other projects, several investments which were previously deferred from calendar year 2020 as a result of COVID-19, including:</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250-acre lift-served terrain expansion in the McCoy Park area of Beaver Creek;</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new four-person high speed lift to serve Peak 7 at Breckenridge;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replacing the four-person Peru lift at Keystone with a six-person high speed chairlift;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replacing the Peachtree lift at Crested Butte with a new three-person fixed-grip lift; and</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upgrade of the four-person Quantum lift at Okemo with a six-person high speed chairlift, relocating the existing four-person Quantum lift to replace the Green Ridge three-person fixed-grip chairlift.</w:t>
      </w:r>
    </w:p>
    <w:p>
      <w:pPr>
        <w:spacing w:after="0" w:line="6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the past several years, we have installed or upgraded several high speed chairlifts and gondolas across our mountain resorts, including:</w:t>
      </w:r>
    </w:p>
    <w:p>
      <w:pPr>
        <w:spacing w:after="0" w:line="63" w:lineRule="exact"/>
        <w:rPr>
          <w:sz w:val="20"/>
          <w:szCs w:val="20"/>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upgrading the Daisy and Brooks fixed-grip lifts at Stevens Pass to four-person high-speed lifts;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upgrading the Teocalli fixed-grip lift at Crested Butte to a four-person high-speed lift;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installing a new four-person lift at Park City, Over and Out;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replacing the Leichardt T-bar lift at Perisher with a new four-person lift;</w:t>
      </w:r>
    </w:p>
    <w:p>
      <w:pPr>
        <w:spacing w:after="0" w:line="63" w:lineRule="exact"/>
        <w:rPr>
          <w:rFonts w:ascii="Arial" w:cs="Arial" w:eastAsia="Arial" w:hAnsi="Arial"/>
          <w:sz w:val="18"/>
          <w:szCs w:val="18"/>
          <w:color w:val="auto"/>
        </w:rPr>
      </w:pPr>
    </w:p>
    <w:p>
      <w:pPr>
        <w:ind w:left="1300" w:right="20" w:hanging="320"/>
        <w:spacing w:after="0" w:line="277"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installing a new 10-person gondola running from the base to the top of Blackcomb Mountain, replacing the Wizard and Solar four person chairs with a single state-of-the-art gondola;</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upgrading the four-person Emerald express lift to a high speed six-person lift on Whistler Mountain;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upgrading the three-person fixed grip Catskinner lift to a four-person high speed lift at Blackcomb Mountain;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upgrading the fixed-grip High Meadow lift to a four-person high speed lift at the Canyons area of Park City;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replacing the Galaxy two-person lift with a three-person lift at Heavenly.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Terrain Parks</w:t>
      </w:r>
    </w:p>
    <w:p>
      <w:pPr>
        <w:spacing w:after="0" w:line="11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are committed to leading the industry in terrain park design, education and events for the growing segment of freestyle skiers and snowboarders. Each of our destination mountain resorts has multiple terrain parks that include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ind w:left="328"/>
        <w:spacing w:after="0" w:line="277" w:lineRule="auto"/>
        <w:rPr>
          <w:sz w:val="20"/>
          <w:szCs w:val="20"/>
          <w:color w:val="auto"/>
        </w:rPr>
      </w:pPr>
      <w:r>
        <w:rPr>
          <w:rFonts w:ascii="Arial" w:cs="Arial" w:eastAsia="Arial" w:hAnsi="Arial"/>
          <w:sz w:val="18"/>
          <w:szCs w:val="18"/>
          <w:color w:val="auto"/>
        </w:rPr>
        <w:t>progressively-challenging features. These park structures, coupled with freestyle ski school programs, promote systematic learning from basic to professional skills.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Extraordinary Service and Amenities</w:t>
      </w:r>
    </w:p>
    <w:p>
      <w:pPr>
        <w:spacing w:after="0" w:line="252"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to the Guest Experience</w:t>
      </w:r>
    </w:p>
    <w:p>
      <w:pPr>
        <w:spacing w:after="0" w:line="117" w:lineRule="exact"/>
        <w:rPr>
          <w:rFonts w:ascii="Arial" w:cs="Arial" w:eastAsia="Arial" w:hAnsi="Arial"/>
          <w:sz w:val="18"/>
          <w:szCs w:val="18"/>
          <w:color w:val="auto"/>
        </w:rPr>
      </w:pPr>
    </w:p>
    <w:p>
      <w:pPr>
        <w:jc w:val="both"/>
        <w:ind w:left="328"/>
        <w:spacing w:after="0" w:line="287" w:lineRule="auto"/>
        <w:rPr>
          <w:rFonts w:ascii="Arial" w:cs="Arial" w:eastAsia="Arial" w:hAnsi="Arial"/>
          <w:sz w:val="18"/>
          <w:szCs w:val="18"/>
          <w:color w:val="auto"/>
        </w:rPr>
      </w:pPr>
      <w:r>
        <w:rPr>
          <w:rFonts w:ascii="Arial" w:cs="Arial" w:eastAsia="Arial" w:hAnsi="Arial"/>
          <w:sz w:val="16"/>
          <w:szCs w:val="16"/>
          <w:color w:val="auto"/>
        </w:rPr>
        <w:t>Our focus is to provide quality service at every touch point of the guest journey. Prior to arrival at our mountain resorts, guests can receive personal assistance through our full-service, central reservations group and through our comprehensive websites to book desired lodging accommodations, lift tickets and pass products, ski school lessons, equipment rentals, activities and other resort services. Upon arrival, our resort staff serve as ambassadors to engage guests, answer questions and create a customer-focused environment. We offer EpicMix, an online and mobile application that, through radio frequency technology, captures a guest’s activity on the mountain (e.g. number of ski days, vertical feet skied and chairlift activity); allows a guest to share his or her experience, photos and accomplishments with family and friends on social networks; allows guests to access real time lift line wait times; and allows our ski school instructors to certify the attainment of certain skills and ski levels. We also offer the world’s first digital mountain assistant (“EMMA”), which uses artificial intelligence and natural language processing to offer information on everything from grooming, lift line wait times and parking, in addition to recommendations on rentals, lessons and dining options. We have also invested in lift ticket express fulfillment through new mobile technology by allowing lift ticket purchasers that buy online to bypass the ticket window. Additionally, we are focused on improving the guest ski/snowboard rental experience by eliminating the need for a guest to wait in several lines with the recent introduction of a new “pod” concept in several of our high-volume locations.</w:t>
      </w:r>
    </w:p>
    <w:p>
      <w:pPr>
        <w:spacing w:after="0" w:line="59" w:lineRule="exact"/>
        <w:rPr>
          <w:rFonts w:ascii="Arial" w:cs="Arial" w:eastAsia="Arial" w:hAnsi="Arial"/>
          <w:sz w:val="18"/>
          <w:szCs w:val="18"/>
          <w:color w:val="auto"/>
        </w:rPr>
      </w:pPr>
    </w:p>
    <w:p>
      <w:pPr>
        <w:jc w:val="both"/>
        <w:ind w:left="328"/>
        <w:spacing w:after="0" w:line="263" w:lineRule="auto"/>
        <w:rPr>
          <w:rFonts w:ascii="Arial" w:cs="Arial" w:eastAsia="Arial" w:hAnsi="Arial"/>
          <w:sz w:val="18"/>
          <w:szCs w:val="18"/>
          <w:color w:val="auto"/>
        </w:rPr>
      </w:pPr>
      <w:r>
        <w:rPr>
          <w:rFonts w:ascii="Arial" w:cs="Arial" w:eastAsia="Arial" w:hAnsi="Arial"/>
          <w:sz w:val="18"/>
          <w:szCs w:val="18"/>
          <w:color w:val="auto"/>
        </w:rPr>
        <w:t>We also solicit guest feedback through a variety of surveys and results, which are used to ensure high levels of customer satisfaction, understand trends and develop future resort programs and amenities. We then utilize this guest feedback to help us focus our capital spending and operational efforts to the areas of the greatest need.</w:t>
      </w:r>
    </w:p>
    <w:p>
      <w:pPr>
        <w:spacing w:after="0" w:line="210"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 Pass &amp; Epic Day Pass Products</w:t>
      </w:r>
    </w:p>
    <w:p>
      <w:pPr>
        <w:spacing w:after="0" w:line="117" w:lineRule="exact"/>
        <w:rPr>
          <w:rFonts w:ascii="Arial" w:cs="Arial" w:eastAsia="Arial" w:hAnsi="Arial"/>
          <w:sz w:val="18"/>
          <w:szCs w:val="18"/>
          <w:color w:val="auto"/>
        </w:rPr>
      </w:pPr>
    </w:p>
    <w:p>
      <w:pPr>
        <w:jc w:val="both"/>
        <w:ind w:left="328"/>
        <w:spacing w:after="0" w:line="286" w:lineRule="auto"/>
        <w:rPr>
          <w:rFonts w:ascii="Arial" w:cs="Arial" w:eastAsia="Arial" w:hAnsi="Arial"/>
          <w:sz w:val="18"/>
          <w:szCs w:val="18"/>
          <w:color w:val="auto"/>
        </w:rPr>
      </w:pPr>
      <w:r>
        <w:rPr>
          <w:rFonts w:ascii="Arial" w:cs="Arial" w:eastAsia="Arial" w:hAnsi="Arial"/>
          <w:sz w:val="16"/>
          <w:szCs w:val="16"/>
          <w:color w:val="auto"/>
        </w:rPr>
        <w:t>We offer a variety of pass products, primarily season pass and Epic Day Pass products, for all of our Resorts that are marketed towards both Destination guests as well as in-state and local (“Local”) guests. These pass products are available for purchase prior to the start of the ski season, offering our guests a better value in exchange for their commitment to ski at our Resorts before the season begins. For the 2020/2021 North American ski season, we reduced the prices of our entire portfolio of pass products by 20%. Our pass program drives strong customer loyalty and mitigates exposure to more weather sensitive guests, leading to greater revenue stability and allowing us to capture valuable guest data. Additionally, our pass product customers typically ski more days each season than those guests who do not buy pass products, which leads to additional ancillary spending. In addition, our pass products attract new guests to our Resorts. Our pass products generated approximately 61% of our total lift revenue for Fiscal 2021, which includes the impact of approximately $120.9 million of pass product revenue which was deferred from Fiscal 2020 and recognized primarily in Fiscal 2021 as a result of pass credits that we offered to 2019/2020 pass holders who renewed for the 2020/2021 ski season. Sales of pass products are a key component of our overall Mountain segment revenue and help create strong synergies among our Resorts. Our pass products range from providing access for a certain number of days to one or a combination of our Resorts to our Epic Pass, which provides unrestricted and unlimited access to all of our Resorts. The Epic Day Pass is a customizable one to seven day pass product purchased in advance of the season, for those skiers and riders who expect to ski a certain number of days during the season, and which is available in two tiers of resort offerings. All of our various pass product options can be found on our consumer website www.snow.com. Information on our websites does not constitute part of this document.</w:t>
      </w:r>
    </w:p>
    <w:p>
      <w:pPr>
        <w:spacing w:after="0" w:line="194" w:lineRule="exact"/>
        <w:rPr>
          <w:rFonts w:ascii="Arial" w:cs="Arial" w:eastAsia="Arial" w:hAnsi="Arial"/>
          <w:sz w:val="18"/>
          <w:szCs w:val="18"/>
          <w:color w:val="auto"/>
        </w:rPr>
      </w:pPr>
    </w:p>
    <w:p>
      <w:pPr>
        <w:jc w:val="both"/>
        <w:ind w:left="328"/>
        <w:spacing w:after="0" w:line="288" w:lineRule="auto"/>
        <w:rPr>
          <w:rFonts w:ascii="Arial" w:cs="Arial" w:eastAsia="Arial" w:hAnsi="Arial"/>
          <w:sz w:val="18"/>
          <w:szCs w:val="18"/>
          <w:color w:val="auto"/>
        </w:rPr>
      </w:pPr>
      <w:r>
        <w:rPr>
          <w:rFonts w:ascii="Arial" w:cs="Arial" w:eastAsia="Arial" w:hAnsi="Arial"/>
          <w:sz w:val="16"/>
          <w:szCs w:val="16"/>
          <w:color w:val="auto"/>
        </w:rPr>
        <w:t>As part of our continued strategy to drive pass product sales and create a stronger connection between key skier markets and our iconic destination mountain resorts, we have continued to expand our portfolio of properties in recent years. In September 2019, we acquired Peak Resorts, Inc., which added 17 regional ski areas strategically located near key U.S. population centers in the Northeast, Mid-Atlantic and Midwest regions. In April 2019, we acquired Falls Creek and Hotham, located in Victoria, Australia, expanding our portfolio of Australian ski resorts to complement Perisher, which we acquired in June 2015. Stevens Pass in Washington State (acquired in August 2018) is located 85 miles from Seattle and 250 miles from Whistler Blackcomb, a world-renowned international skiing destination which typically receives more than two million skier visits each year. We have also made strategic acquisitions of mountain resorts located in the Northeast U.S. recently, including Okemo in Vermont (acquired in September 2018) and Mount Sunapee in New Hampshire (both acquired in September 2018). These ski areas are premier, high-end ski destinations for skiers and snowboarders on the East Coast, which draw visitors from New York City, Boston and the broader Northeast skier population. Additionally, we enter into strategic long-term season pass alliance agreements with third-</w:t>
      </w:r>
    </w:p>
    <w:p>
      <w:pPr>
        <w:spacing w:after="0" w:line="200" w:lineRule="exact"/>
        <w:rPr>
          <w:sz w:val="20"/>
          <w:szCs w:val="20"/>
          <w:color w:val="auto"/>
        </w:rPr>
      </w:pPr>
    </w:p>
    <w:p>
      <w:pPr>
        <w:spacing w:after="0" w:line="30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03" w:right="339" w:bottom="1440" w:gutter="0" w:footer="0" w:header="0"/>
        </w:sectPr>
      </w:pPr>
    </w:p>
    <w:bookmarkStart w:id="11" w:name="page12"/>
    <w:bookmarkEnd w:id="11"/>
    <w:p>
      <w:pPr>
        <w:jc w:val="both"/>
        <w:ind w:left="328"/>
        <w:spacing w:after="0" w:line="263" w:lineRule="auto"/>
        <w:rPr>
          <w:sz w:val="20"/>
          <w:szCs w:val="20"/>
          <w:color w:val="auto"/>
        </w:rPr>
      </w:pPr>
      <w:r>
        <w:rPr>
          <w:rFonts w:ascii="Arial" w:cs="Arial" w:eastAsia="Arial" w:hAnsi="Arial"/>
          <w:sz w:val="18"/>
          <w:szCs w:val="18"/>
          <w:color w:val="auto"/>
        </w:rPr>
        <w:t>party mountain resorts including Telluride Ski Resort in Colorado, Sun Valley Resort in Idaho, Snowbasin Resort in Utah, Hakuba Valley and Rusutsu Resort in Japan, Resorts of the Canadian Rockies in Canada, Les 3 Vallées in France, 4 Vallées in Switzerland, Skirama Dolomiti in Italy and Ski Arlberg in Austria, which further increases the value proposition of our pass products.</w:t>
      </w:r>
    </w:p>
    <w:p>
      <w:pPr>
        <w:spacing w:after="0" w:line="211" w:lineRule="exact"/>
        <w:rPr>
          <w:sz w:val="20"/>
          <w:szCs w:val="20"/>
          <w:color w:val="auto"/>
        </w:rPr>
      </w:pPr>
    </w:p>
    <w:p>
      <w:pPr>
        <w:jc w:val="both"/>
        <w:ind w:left="328"/>
        <w:spacing w:after="0" w:line="290" w:lineRule="auto"/>
        <w:rPr>
          <w:sz w:val="20"/>
          <w:szCs w:val="20"/>
          <w:color w:val="auto"/>
        </w:rPr>
      </w:pPr>
      <w:r>
        <w:rPr>
          <w:rFonts w:ascii="Arial" w:cs="Arial" w:eastAsia="Arial" w:hAnsi="Arial"/>
          <w:sz w:val="16"/>
          <w:szCs w:val="16"/>
          <w:color w:val="auto"/>
        </w:rPr>
        <w:t>For the 2020/2021 North American ski season, we introduced Epic Mountain Rewards, a program which provides pass product holders a discount of 20% off on-mountain food and beverage, lodging, group ski school lessons, equipment rentals and more at our North American owned and operated Resorts. Epic Mountain Rewards is available for everyone who purchases an Epic Pass, Epic Local Pass, Epic Day Pass, Epic Military Pass and most of our other pass products, regardless of whether guests plan to ski one day or every day of the season. Additionally, in April 2020 we introduced Epic Coverage, which is included with the purchase of all pass products for no additional charge. Epic Coverage provides refunds in the event of certain resort closures and certain travel restrictions (e.g. for COVID-19), giving pass holders a refund for any portion of the season that is lost due to qualifying circumstances. Additionally, Epic Coverage provides a refund for qualifying personal circumstances that were historically covered by our legacy pass insurance program, including eligible injuries, job losses and many other personal events.</w:t>
      </w:r>
    </w:p>
    <w:p>
      <w:pPr>
        <w:spacing w:after="0" w:line="192" w:lineRule="exact"/>
        <w:rPr>
          <w:sz w:val="20"/>
          <w:szCs w:val="20"/>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Premier Ski Schools</w:t>
      </w:r>
    </w:p>
    <w:p>
      <w:pPr>
        <w:spacing w:after="0" w:line="117"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Our mountain resorts are home to some of the highest quality and most widely recognized ski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spacing w:after="0" w:line="214"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Dining</w:t>
      </w:r>
    </w:p>
    <w:p>
      <w:pPr>
        <w:spacing w:after="0" w:line="117"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Our Resorts provide a variety of quality on-mountain and base village dining venues, ranging from top-rated fine dining restaurants to trailside express food service outlets. For the 2020/2021 ski season, we operated approximately 260 dining venues at our Resorts, which were impacted by restrictions and limitations as a result of the impacts of COVID-19 and to ensure the safety of our guests and employees, including limited food options at quick-service restaurants, spacing of tables in seating areas to allow for physical distancing, and maintaining as much outdoor seating as possible.</w:t>
      </w:r>
    </w:p>
    <w:p>
      <w:pPr>
        <w:spacing w:after="0" w:line="214"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Retail/Rental</w:t>
      </w:r>
    </w:p>
    <w:p>
      <w:pPr>
        <w:spacing w:after="0" w:line="117"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We have approximately 325 retail/rental locations specializing in sporting goods including ski, snowboard and cycling equipment. In addition to providing a major retail/rental presence at each of our Resorts, we also have retail/rental locations throughout the Colorado Front Range, the San Francisco Bay Area, Salt Lake City and Minneapolis. Many of our retail/rental locations near key population centers also offer prime venues for selling our pass products.</w:t>
      </w:r>
    </w:p>
    <w:p>
      <w:pPr>
        <w:spacing w:after="0" w:line="213"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On-Mountain Activities</w:t>
      </w:r>
    </w:p>
    <w:p>
      <w:pPr>
        <w:spacing w:after="0" w:line="117" w:lineRule="exact"/>
        <w:rPr>
          <w:rFonts w:ascii="Arial" w:cs="Arial" w:eastAsia="Arial" w:hAnsi="Arial"/>
          <w:sz w:val="18"/>
          <w:szCs w:val="18"/>
          <w:color w:val="auto"/>
        </w:rPr>
      </w:pPr>
    </w:p>
    <w:p>
      <w:pPr>
        <w:jc w:val="both"/>
        <w:ind w:left="328"/>
        <w:spacing w:after="0" w:line="269" w:lineRule="auto"/>
        <w:rPr>
          <w:rFonts w:ascii="Arial" w:cs="Arial" w:eastAsia="Arial" w:hAnsi="Arial"/>
          <w:sz w:val="18"/>
          <w:szCs w:val="18"/>
          <w:color w:val="auto"/>
        </w:rPr>
      </w:pPr>
      <w:r>
        <w:rPr>
          <w:rFonts w:ascii="Arial" w:cs="Arial" w:eastAsia="Arial" w:hAnsi="Arial"/>
          <w:sz w:val="17"/>
          <w:szCs w:val="17"/>
          <w:color w:val="auto"/>
        </w:rPr>
        <w:t>We are a ski industry leader in providing comprehensive destination vacation experiences, including on-mountain activities designed to appeal to a broad range of interests. During a normal winter season, in addition to our exceptional ski experiences, guests can choose from a variety of non-ski related activities such as snowtubing, snowshoeing, guided snowmobile and scenic snow cat tours, backcountry expeditions, horse-drawn sleigh rides and high altitude dining, although some of these activities were restricted or limited for the most recent winter season to ensure the safety of our guests and employees as a result of COVID-19. During a normal summer season, our mountain resorts offer non-ski related recreational activities and provide guests with a wide array of options including scenic chairlift and gondola rides, mountain biking, horseback riding, guided hiking, 4x4 Jeep tours, and our Epic Discovery program at Vail Mountain, Heavenly and Breckenridge, although some of these activities were restricted or limited for both the 2020 and 2021 summer seasons to ensure the safety of our guests and employees as a result of COVID-19. The Epic Discovery program encourages “learn through play” by featuring extensive environmental educational elements interspersed between numerous activities, consisting of zip lines, children’s activities, challenge ropes courses, tubing, mountain excursions, an alpine slide and alpine coasters.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12" w:name="page13"/>
    <w:bookmarkEnd w:id="12"/>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Lodging and Real Estate</w:t>
      </w:r>
    </w:p>
    <w:p>
      <w:pPr>
        <w:spacing w:after="0" w:line="11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High quality lodging options are an integral part of providing a complete resort experience. Our owned and managed hotels and resorts proximate to our mountain resorts, including six RockResorts branded properties and a significant inventory of managed condominium units, provide numerous accommodation options for our mountain resort guests. Our recent real estate efforts have primarily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Lodging Segment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Lodging segment includes owned and managed lodging properties, including those under our luxury hotel management company, RockResorts; managed condominium units which are in and around our mountain resorts in Colorado, Lake Tahoe, Utah, Vermont, New York and British Columbia, Canada; two NPS concessionaire properties in and near Grand Teton National Park in Wyoming; a resort ground transportation company in Colorado; and company-owned and operated mountain resort golf courses, including five in Colorado; one in Wyoming; one in Lake Tahoe, California; and one in Park City, Utah. For additional property details, see Item 2. “Properties”.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Lodging segment currently includes approximately 5,500 owned and managed hotel rooms and condominium units. Our lodging strategy seeks to complement and enhance our mountain resort operations through our ownership or management of lodging properties and condominiums proximate to our mountain resorts and selective management of luxury resorts in premier destination locations.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portfolio of owned and managed luxury resort hotels and other hotels and properties, our lodging business also features a Colorado ground transportation company, which represents the first point of contact with many of our guests when they arrive by air to Colorado. We offer year-round ground transportation from Denver International Airport and Eagle County Airport to the Vail Valley (locations in and around Vail, Beaver Creek, Avon and Edwards), Aspen (locations in and around Aspen and Snowmass) and Summit County (which includes Keystone, Breckenridge, Copper Mountain, Frisco and Silverthorne).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Industry/Market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Hotels are categorized by Smith Travel Research, a leading lodging industry research firm, as luxury, upper upscale, upscale, mid-price and economy. The service quality and level of accommodations of our RockResorts’ hotels place them in the luxury segment, which represents hotels achieving the highest average daily rates (“ADR”) in the industry, and includes such brands as the Four Seasons, Ritz-Carlton and Marriott’s Luxury Collection hotels. Our other hotels are categorized in the upper upscale and upscale segments of the hotel market. The luxury and upper upscale segments consist of approximately 763,000 rooms at approximately 2,400 properties in the U.S. as of July 31, 2021. For Fiscal 2021, our owned hotels, which include a combination of certain RockResort hotels as well as other hotels in proximity to our Resorts, had an overall ADR of $264.83, a paid occupancy rate of 46.2% and revenue per available room (“RevPAR”) of $122.45, as compared to the upper upscale segment’s ADR of $155.53, a paid occupancy rate of 37.8% and RevPAR of $58.85. We believe that this comparison to the upper upscale segment is appropriate as our mix of owned hotels include those in the luxury and upper upscale segments, as well as certain of our hotels that fall in the upscale segment. The highly seasonal nature of our lodging properties typically results in lower average occupancy as compared to the upper upscale segment of the lodging industry as a whole, although this was not the case during Fiscal 2021 as a result of the significant impacts of COVID-19 on the broader lodging industry.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and Westin. Our properties also compete for convention and conference business across the national market. We believe we are highly competitive in the resort hotel niche for the following reasons:</w:t>
      </w:r>
    </w:p>
    <w:p>
      <w:pPr>
        <w:spacing w:after="0" w:line="2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hotels are located in unique, highly desirable resort destinations;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hotel portfolio has achieved some of the most prestigious hotel designations in the world, including two properties in our portfolio that are currently rated as AAA 4-Diamond;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ind w:left="980" w:right="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many of our hotels (both owned and managed) are designed to provide a look that feels indigenous to their surroundings, enhancing the guest’s vacation experience;</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w:t>
      </w:r>
    </w:p>
    <w:p>
      <w:pPr>
        <w:spacing w:after="0" w:line="21" w:lineRule="exact"/>
        <w:rPr>
          <w:rFonts w:ascii="Arial" w:cs="Arial" w:eastAsia="Arial" w:hAnsi="Arial"/>
          <w:sz w:val="18"/>
          <w:szCs w:val="18"/>
          <w:color w:val="auto"/>
        </w:rPr>
      </w:pPr>
    </w:p>
    <w:p>
      <w:pPr>
        <w:ind w:left="980" w:right="20" w:hanging="324"/>
        <w:spacing w:after="0" w:line="298" w:lineRule="auto"/>
        <w:tabs>
          <w:tab w:leader="none" w:pos="9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jc w:val="both"/>
        <w:ind w:left="98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central reservations system that leverages off of our mountain resort reservations system and has an online planning and booking platform, offering our guests a seamless and useful way to make reservations at our resorts; and</w:t>
      </w:r>
    </w:p>
    <w:p>
      <w:pPr>
        <w:spacing w:after="0" w:line="8"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National Park Concessionaire Properties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own GTLC, which is based in the Jackson Hole area in Wyoming and operates within Grand Teton National Park under a concessionaire agreement with the NPS with an initial term that would have expired on December 31, 2021. In June 2021, we agreed to an amendment to the agreement extending the term an additional two years, with an expiration date of December 31, 2023. We also own Flagg Ranch, located in Moran, Wyoming and centrally located between Yellowstone National Park and Grand Teton National Park on the John D. Rockefeller, Jr. Memorial Parkway (the “Parkway”). Flagg Ranch operates under a concessionaire agreement with the NPS that expires October 31, 2028. GTLC also owns Jackson Hole Golf &amp; Tennis Club (“JHG&amp;TC”), located outside Grand Teton National Park near Jackson, Wyoming. GTLC’s operations within Grand Teton National Park and JHG&amp;TC have operating seasons that generally run from June through the end of September.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primarily compete with such companies as Aramark Parks &amp; Resorts, Delaware North Companies Parks &amp; Resorts, Forever Resorts and Xanterra Parks</w:t>
      </w:r>
    </w:p>
    <w:p>
      <w:pPr>
        <w:spacing w:after="0" w:line="46" w:lineRule="exact"/>
        <w:rPr>
          <w:sz w:val="20"/>
          <w:szCs w:val="20"/>
          <w:color w:val="auto"/>
        </w:rPr>
      </w:pPr>
    </w:p>
    <w:p>
      <w:pPr>
        <w:jc w:val="both"/>
        <w:ind w:firstLine="8"/>
        <w:spacing w:after="0" w:line="268" w:lineRule="auto"/>
        <w:tabs>
          <w:tab w:leader="none" w:pos="2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Resorts in retaining and obtaining NPS concessionaire agreements. Four full-service concessionaires provide accommodations within Grand Teton National Park, including GTLC. In a normal operating season, GTLC offers three lodging options within Grand Teton National Park: Jackson Lake Lodge, a full-service, 385-room resort with 17,000 square feet of conference facilities; Jenny Lake Lodge, a small, rustically elegant retreat with 37 cabins; and Colter Bay Village, a facility with 166 log cabins, 66 tent cabins, 337 campsites and a 112-space recreational vehicle park. GTLC offers dining options as extensive as its lodging options, with cafeterias, casual eateries and fine dining establishments. GTLC’s resorts provide a wide range of activities for guests to enjoy, including cruises on Jackson Lake, boat rentals, horseback riding, guided fishing, float trips, golf and guided Grand Teton National Park tours. As a result of the extensive amenities offered, as well as the tremendous popularity of the National Park System, GTLC’s accommodations within Grand Teton National Park operate near full capacity during their operating season.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Segment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extensive holdings of real property at our mountain resorts primarily throughout Summit and Eagle Counties in Colorado. Our real estate operations, through Vail Resorts Development Company (“VRDC”), a wholly-owned subsidiary, include planning, oversight, infrastructure improvement, development, marketing and sale of our real property holdings.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undertaking our own significant vertical development projects. We believe that, due to the low carrying cost of our real estate land investments, we are well situated to promote future projects with third-party developers while limiting our financial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Mountain segment’s marketing and sales efforts are focused on leveraging marketing analytics to drive targeted and personalized marketing to our existing and prospective guests. We capture guest data on the vast majority of guest transactions through sales of our pass products, our e-commerce platforms including mobile lift ticket sales, the EpicMix application and our lift ticket windows. We promote our Resorts using guest-centric omni-channel marketing campaigns leveraging email, direct mail, promotional programs, digital marketing (including social, search and display) and traditional media advertising where appropriate (e.g. targeted print, TV and radio). We also have marketing programs directed at attracting groups, corporate meetings and convention business. Most of our marketing efforts drive traffic to our websites, where we provide our guests with information regarding each of our Resorts, including services and amenities, reservations information, virtual tours and the opportunity to book/purchase our full suite of products (e.g. lift access, lodging, ski school, rentals, etc.) for their visits. We also enter into strategic alliances with companies to enhance the guest experience at our Resorts, as well as to create opportunities for cross-marketing.</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Lodging segment, we promote our hotels and lodging properties through marketing and sales programs, which include marketing directly to many of our guests through our digital channels (search, social and display), promotional programs, and print media advertising, all of which are designed to drive traffic to our websites and central reservations call center. We also promote comprehensive vacation experiences through various package offerings and promotions (combining lodging, lift tickets, ski school lessons, ski rental equipment, transportation and dining). In addition, our hotels have active sales forces to generate conference and group business. We market our resort properties in conjunction with our mountain resort marketing efforts where appropriate, given the strong synergies across the two businesses.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Across both the Mountain and Lodging segments, sales made through our websites and call center allow us to transact directly with our guests, which further expands our customer base and enables analytics to deliver an increasingly guest-centric marketing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Ski resort operations are highly seasonal in nature, with a typical ski season in North America generally beginning in mid-November and running through mid-April. In an effort to partially mitigate the concentration of our revenue in the winter months in North America, we offer several non-ski related activities in the summer months such as sightseeing, mountain biking, guided hiking, 4x4 Jeep tours, golf (included in the operations of the Lodging segment) and our Epic Discovery program. These activities also help attract destination conference and group business to our Resorts in our off-season. In addition, the operating results of our Australian Resorts, for which the ski season generally occurs from June through early October, partially counterbalances the concentration of our revenues during this seasonally lower period in North America.</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several golf courses proximate to our Resorts, as described above.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&amp; Social Responsibility</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Sustainability remains a core philosophy for us. As a company rooted in the great outdoors, we have a unique responsibility to protect and preserve the incredible environments in which we operate. Through our corporate sustainability and social responsibility program, EpicPromise, we focus on climate change mitigation, resource conservation, and building stronger local communities through contributions to local non-profit organizations. Our sustainability efforts are diverse and touch nearly every area of our operations. In 2017, we launched Commitment to Zero, our pledge to have a zero net operating footprint by 2030. This commitment includes (i) achieving zero net emissions by finding operational energy efficiencies, investing in renewable energy and investing in offsets and other emissions reduction projects, (ii) zero waste to landfill by diverting 100% of waste from our operations, and (iii) zero net operating impact to forests and habitat by restoring an acre of forest for every acre displaced by our operations.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this commitment, Vail Resorts was accepted as the first travel and tourism company into RE100, a collaborative initiative uniting more than 300 global and influential businesses committed to 100% renewable electricity. During Fiscal 2021, we continued to make progress toward our Commitment to Zero goals, despite operational adjustments made in response to COVID-19. Specifically, we focused on maintaining our robust composting and recycling diversion programs as much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possible and started new composting programs at seven resorts. In Colorado and Utah, we drove a pilot project to recycle snack wrappers and worked with strategic partners to create picnic tables, Adirondack chairs and a terrain park feature made from recycled wrappers and bottles for participating resorts. The 82-turbine Plum Creek Wind project we enabled came online in June 2020, and in Fiscal 2021 we purchased approximately 281,000 megawatt hours (MWh) of wind energy, addressing an estimated 85% of the Company’s current electricity use across its 34 North American destination mountain resorts and regional ski areas.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over two years, Vail Resorts has worked with leaders from other ski companies to develop an industry-driven climate commitment. In June 2021 we, alongside Alterra Mountain Company, Boyne Resorts, and POWDR, announced the Climate Collaborative Charter - the ski industry’s first unified effort to combat climate change. This partnership leverages our leadership in sustainability and is expected to accelerate our collective progress, leading the industry toward long-term transformational change.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during Fiscal 2021, we sponsored the reforestation of acreage in the White River National Forest in Colorado that was devastated in a 2017 wildfire, which addressed 100% of the forests impacted by our operations over the year. Through direct Epic Promise grants and contributions from our $1 guest donation program, we partner with several local environmental organizations to fund restoration projects, including the National Forest Foundation, The Tahoe Fund, Grand Teton National Park Foundation, Mountain Trails Foundation in Park City and the EnviroFund at Whistler Blackcomb. We also encourage our employees to help protect the environment and support their local community by volunteering with various organizations.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Fiscal 2021, our focus for the EpicPromise community impact grant program was on COVID-19 response in our resort communities, including housing assistance, food security, equal access to education and other basic needs and services. In addition, we hosted more than 3,000 youth across our resorts through multi-day programs focused on mentorship, leadership and the impact of outdoor time on mental health in this unprecedented time. Finally, our EpicPromise Employee Foundation (the “Foundation”), which was established in 2015, is a charitable foundation funded by annual contributions from the Company, its employees and its guests. The Foundation supports Vail Resorts’ employees and their families via grants for emergency relief and scholarships. Annually more than $1 million in grants and scholarships are provided to help employees in times of need or to pursue educational opportunities. For more information on both the Foundation and our environmental stewardship, visit www.EpicPromise.com. Information on our websites does not constitute part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Vail Resorts, our Talent Philosophy focuses on fully achieving our mission and vision by ensuring we have the talent in place to deliver on our future growth plans. We are truly passionate about our people, and we are focused on hiring and developing the best talent and building the best teams around them. At fiscal year end, we employed approximately 6,100 year-round employees. Over the course of our Resorts’ various winter and summer operating seasons in Fiscal 2021, we employed approximately 40,200 seasonal employees. In addition, we employed approximately 100 year-round employees and 100 seasonal employees on behalf of the owners of our managed hotel properties. We consider our employee relations to be positive.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talent philosophy recognizes that people are our most important asset in driving our business growth, and outlines the role that leaders play in attracting, developing, engaging and rewarding high performing, high potential talent, including supporting them to achieve their future career growth. Our talent management system enables leaders with programs and tools to effectively assess, develop and reward talent and includes regular Leadership Talent Review and Assessment processes to ensure that the caliber and capability of our talent aligns with the sophistication of our business strategies and processes. Our executive team reviews talent strategy and succession planning frequently, including with our Board of Directors, to assess current and future talent needs. We have a strong track record of hiring, developing and preparing high performing, high potential talent for internal mobility and succession and since 2018, we have nearly doubled our percentage of high performing, high potential talent through performance management and talent upgrades. As a result, succession for our senior leadership roles, is primarily sourced through internal talent development and promotion, rather than external hires (72% internal fill rate). Over the past twelve months, we announced internal successors for some of the most senior roles in our Company, including Chief Executive Officer, Chief Marketing Officer, President of the Mountain Division, and Chief Operating Officer of Hospitality and Retail. All of our recent appointments of General Manager and Chief Operating Officers of our Resorts for the past three years came from internal succession.</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ensure we are building high performing teams, we encourage every employee at every level within the Company to continuously grow their leadership by participating in on-going leadership events that build leadership capability and drive aligned leadership expectations to enable business outcomes. We host an annual Leadership Summit that brings together our leaders at manager level and above to build understanding and alignment to business priorities, explore emerging leadership</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topics and build connections across our growing global business and organization. We offer ongoing digital leadership series discussions led by our CEO for this same population throughout the year and equip leaders to share learnings and insights from these sessions in dialogue with their teams for the benefit of the entire organization. Our leadership philosophy has a very strong emphasis on emotional intelligence and a leader’s ability to understand their own impact on others, and shape that impact to unlock the potential of their teams.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offer a broad range of professionally designed leadership development programs for entry level seasonal employees to the most senior executives, with differentiated development for our highest performing, highest potential employees who make up our long-term leadership succession pipeline. We provide tools and resources for employees of all levels to learn and grow as leaders and reward this as part of our performance management process. The Lift, our learning management system, gives employees access to a library of online learning resources to help them succeed. We also provide access to development tools, like the Insights Discovery platform, a behavioral assessment that offers a framework for self-understanding and development. Finally, to help employees navigate unique challenges presented by COVID-19, we intentionally invested in building new scalable digital programs to provide leaders across the company real-time capability to drive a successful business recovery, including programs focusing on resilience, agility, change leadership, sustainable energy and mental health.</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Early on in the COVID crisis, we implemented a continuous listening survey to measure and understand the impact of COVID and our response actions on employees, in order to make timely adjustments to maintain strong alignment and focus, and to care for the needs of our employees through a challenging and uncertain period. As the winter season progressed and we achieved a level of business and organization stability, we broadened our continuous listening survey objectives and approach to focus on the drivers of sustainable engagement.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Vail Resorts Culture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Core to our human capital management strategy is our mission – to create an </w:t>
      </w:r>
      <w:r>
        <w:rPr>
          <w:rFonts w:ascii="Arial" w:cs="Arial" w:eastAsia="Arial" w:hAnsi="Arial"/>
          <w:sz w:val="18"/>
          <w:szCs w:val="18"/>
          <w:i w:val="1"/>
          <w:iCs w:val="1"/>
          <w:color w:val="auto"/>
        </w:rPr>
        <w:t>Experience of a Lifetime</w:t>
      </w:r>
      <w:r>
        <w:rPr>
          <w:rFonts w:ascii="Arial" w:cs="Arial" w:eastAsia="Arial" w:hAnsi="Arial"/>
          <w:sz w:val="18"/>
          <w:szCs w:val="18"/>
          <w:color w:val="auto"/>
        </w:rPr>
        <w:t xml:space="preserve"> for our employees so they can in turn create an </w:t>
      </w:r>
      <w:r>
        <w:rPr>
          <w:rFonts w:ascii="Arial" w:cs="Arial" w:eastAsia="Arial" w:hAnsi="Arial"/>
          <w:sz w:val="18"/>
          <w:szCs w:val="18"/>
          <w:i w:val="1"/>
          <w:iCs w:val="1"/>
          <w:color w:val="auto"/>
        </w:rPr>
        <w:t xml:space="preserve">Experience of a Lifetime </w:t>
      </w:r>
      <w:r>
        <w:rPr>
          <w:rFonts w:ascii="Arial" w:cs="Arial" w:eastAsia="Arial" w:hAnsi="Arial"/>
          <w:sz w:val="18"/>
          <w:szCs w:val="18"/>
          <w:color w:val="auto"/>
        </w:rPr>
        <w:t>for our guests. We have a values-based leadership culture that places a premium on leader transparency, vulnerability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authenticity. We look for people to join Vail Resorts who are brave, passionate and ambitious. As Vail Resorts employees, we hold ourselves accountable for living these seven foundational values every day in everything we do: Serve Others, Do Right, Do Good, Be Safe, Have Fun, Be Inclusive and Drive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Diversity, Equity and Inclusion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diversity, equity and inclusion (“DEI”) is core to both our company success and the future growth of our industry. At Vail Resorts, one of our core values is “Be Inclusive”, which means that we expect everyone at our Company to be welcoming to others, including all races, gender identities, sexual orientations, abilities and other differences.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long history of building gender diversity throughout the Company. Women represent 48% of our corporate senior leaders at the director level and above and over 50% of our corporate roles generally. Ten resorts in our portfolio are led by women, including three of our five largest resorts (Vail, Beaver Creek and Breckenridge). As of November 1, 2021, five of our ten directors will be women and two of our nine executive committee members are women, and our Chief Executive Officer, Kirsten Lynch, will be the only woman to head a Fortune 1000 company in travel and leisure. While women currently represent only approximately 20% of mountain operations senior leadership roles, we continue to strive to bring more gender diversity to these roles, which have historically been male-dominated. We have also developed Women in Leadership programs to foster an inclusive culture, and Forbes named us one of America’s Best Employers for Women in both 2019 and 2020.</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focused on improving racial diversity at Vail Resorts, as well as in our communities and our industry. To that end, we are working towards addressing barriers to attracting the best talent from BIPOC communities in order to fuel innovation and growth within our Company and industry. We are also incorporating more diverse representation in our marketing efforts, including more direct outreach to communities of color. Over this past year, we undertook extensive efforts around DEI, including company-wide virtual webinars bringing forward diverse voices, DEI dialogues with external thought leaders, and online DEI training modules aligned with our “Be Inclusive” value. As part of our commitment to driving sustainable change, we are listening and learning as a company, and the Company is part of CEO Action, Colorado Inclusive Economy and Civic Alliance.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require our full-time, year-round employees, as well as certain seasonal employees, to complete annual training as part of our Code of Conduct. This annual requirement includes training on a variety of topics, including unconscious bias and anti-harassment. In Fiscal 2021, the training was completed by 98% of this employee base. Our Code of Conduct states that every employee is entitled to work in a respectful environment that is free of harassment, bullying and discrimination.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Mountain Safety</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nature of our on-mountain operations comes with inherent safety risks, and the health and safety of our employees is a top priority. It is the shared responsibility of every employee to actively participate in creating a safe and secure environment and to minimize injuries. To that end, we routinely:</w:t>
      </w:r>
    </w:p>
    <w:p>
      <w:pPr>
        <w:spacing w:after="0" w:line="151" w:lineRule="exact"/>
        <w:rPr>
          <w:sz w:val="20"/>
          <w:szCs w:val="20"/>
          <w:color w:val="auto"/>
        </w:rPr>
      </w:pPr>
    </w:p>
    <w:p>
      <w:pPr>
        <w:jc w:val="both"/>
        <w:ind w:left="660" w:hanging="328"/>
        <w:spacing w:after="0" w:line="271"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resources and education to promote safe operating environments at our resorts, including compliance with Occupational Safety and Health Administration standards, as well as to improve overall workplace safety and health. This includes regular and ongoing safety training and assessments as well as safety audits, and all employees are required to take annual slope safety training.</w:t>
      </w:r>
    </w:p>
    <w:p>
      <w:pPr>
        <w:ind w:left="660" w:right="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Proactively assess risks to identify and mitigate unsafe conditions and integrate learnings from incidents to prevent future occurrences across our network of resorts.</w:t>
      </w: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Hire and train a dedicated health and safety team that oversees resort operations as well as highly trained ski patrol professionals at each resort.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Safety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safety of our employees, guests and resort communities has been of utmost importance to us amidst the COVID-19 pandemic. The vast majority of our corporate employees worked remotely during COVID-19, and we currently plan to re-open our corporate office in January 2022. Our mountain operations, retail, lodging and other employees need to be onsite to carry out their work, and as part of our commitment to safety for these employees, we took the following actions associated with COVID-19 safety protocols:</w:t>
      </w:r>
    </w:p>
    <w:p>
      <w:pPr>
        <w:spacing w:after="0" w:line="214" w:lineRule="exact"/>
        <w:rPr>
          <w:sz w:val="20"/>
          <w:szCs w:val="20"/>
          <w:color w:val="auto"/>
        </w:rPr>
      </w:pPr>
    </w:p>
    <w:p>
      <w:pPr>
        <w:ind w:left="660" w:right="20" w:hanging="328"/>
        <w:spacing w:after="0" w:line="258"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employees were required to wear face coverings at all times during the 2020/21 winter season, and we currently require face coverings to be worn by employees and guests in any of our indoor spaces.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Employees undergo daily health screenings.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Employees receive training to ensure compliance with additional health and safety protocols.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Implemented on-site testing for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Implemented procedures to address actual and suspected COVID-19 cases and potential exposure.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High-touch surfaces are frequently cleaned and disinfected with EPA-approved products for COVID.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Enhanced cleaning and disinfecting.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Hand sanitizing stations provided throughout resorts.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Plexiglass barriers installed in areas where physical distancing measures are more difficult, including points of purchase.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Provided mental health support and access.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monitor guidance from federal and local health authorities in evaluating the need for continued COVID-19 safety protocols with regard to ongoing operations and as we prepare for the 2021/2022 North American ski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 seek to maintain our trade secrets and confidential information by nondisclosure policies and through the use of appropriate confidentiality agreements and contractual provisions.</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the highly competitive industry in which we operate, trademarks, service marks, trade names and logos are very important in the sales and marketing of our pass products, destination mountain resorts and regional ski areas, lodging properties and services. We seek to register and protect our trademarks, service marks, trade names and logos and have obtained a significant number of registrations for those trademarks. We believe our brands have become synonymous in the travel and leisure industry with a reputation for excellence in service and authentic hospitality. Among other national and international trademark registrations, the Company owns U.S. federal registrations for </w:t>
      </w:r>
      <w:r>
        <w:rPr>
          <w:rFonts w:ascii="Arial" w:cs="Arial" w:eastAsia="Arial" w:hAnsi="Arial"/>
          <w:sz w:val="16"/>
          <w:szCs w:val="16"/>
          <w:i w:val="1"/>
          <w:iCs w:val="1"/>
          <w:color w:val="auto"/>
        </w:rPr>
        <w:t>Epic</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Epic Pass</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Vail Resorts</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Vail</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Beaver Creek</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Breckenridge</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Keystone</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Heavenly</w:t>
      </w:r>
      <w:r>
        <w:rPr>
          <w:rFonts w:ascii="Arial" w:cs="Arial" w:eastAsia="Arial" w:hAnsi="Arial"/>
          <w:sz w:val="20"/>
          <w:szCs w:val="20"/>
          <w:color w:val="auto"/>
          <w:vertAlign w:val="superscript"/>
        </w:rPr>
        <w:t>®</w:t>
      </w:r>
      <w:r>
        <w:rPr>
          <w:rFonts w:ascii="Arial" w:cs="Arial" w:eastAsia="Arial" w:hAnsi="Arial"/>
          <w:sz w:val="16"/>
          <w:szCs w:val="16"/>
          <w:color w:val="auto"/>
        </w:rPr>
        <w:t>. The Company also owns Canadian and U.S. trademark registrations for the</w:t>
      </w:r>
      <w:r>
        <w:rPr>
          <w:rFonts w:ascii="Arial" w:cs="Arial" w:eastAsia="Arial" w:hAnsi="Arial"/>
          <w:sz w:val="16"/>
          <w:szCs w:val="16"/>
          <w:i w:val="1"/>
          <w:iCs w:val="1"/>
          <w:color w:val="auto"/>
        </w:rPr>
        <w:t xml:space="preserve"> Whistler Blackcomb</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name and logo.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Compliance and other Laws and Regulations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subject to federal, state and local laws and regulations governing the environment, including laws and regulations governing water and sewer discharges, water use, air emissions, soil and groundwater contamination,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maintenance of underground and aboveground storage tanks, and the disposal of waste and hazardous materials. Examples of such laws and regulations in the U.S. include the National Environmental Policy Act (NEPA), the California Environmental Quality Act, and the Vermont Land Use and Development Act. Internationally, we are subject to the Forest and Range Practices Act and Watershed Sustainability Act in British Columbia as well as the Environmental Planning and Assessment Act 1979 (NSW, Australia) and the Environment Protection Act 1970 and the Environment Protection and Biodiversity Conservation Act 1999 (Victoria, Australia).</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federal, state, local and provincial regulations also govern our resort operations, including liquor licensing and food safety regulations applicable to our food and beverage operations and safety standards relating to our lift operations and heli-ski operations at Whistler Blackcomb. In addition, each resort is subject to and must comply with state, county, regional and local government land use regulations and restrictions, including, for example, employee housing ordinances, zoning and density restrictions, noise ordinances, and wildlife, water and air quality regulations. We believe that we are in compliance, in all material respects, with environmental and other laws and regulations. Compliance with such provisions has not materially impacted our capital expenditures, earnings, or competitive position, and we do not anticipate that it will have a material impact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Contracts with Governmental Authorities for Resort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Forest Service Resorts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operations of Breckenridge, Vail Mountain, Keystone, Crested Butte, Stevens Pass, Heavenly, Kirkwood, Mount Snow, Attitash and portions of Beaver Creek and Wildcat are conducted on land under the jurisdiction of the U.S.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the Forest Service has the authority to review and approve the location, design and construction of improvements in the permit area and many operational matters.</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of the Forest Service Resorts operates under a SUP, and the acreage and expiration date information for each SUP is as follows:</w:t>
      </w:r>
    </w:p>
    <w:p>
      <w:pPr>
        <w:spacing w:after="0" w:line="244" w:lineRule="exact"/>
        <w:rPr>
          <w:sz w:val="20"/>
          <w:szCs w:val="20"/>
          <w:color w:val="auto"/>
        </w:rPr>
      </w:pPr>
    </w:p>
    <w:tbl>
      <w:tblPr>
        <w:tblLayout w:type="fixed"/>
        <w:tblInd w:w="2920" w:type="dxa"/>
        <w:tblCellMar>
          <w:top w:w="0" w:type="dxa"/>
          <w:left w:w="0" w:type="dxa"/>
          <w:bottom w:w="0" w:type="dxa"/>
          <w:right w:w="0" w:type="dxa"/>
        </w:tblCellMar>
      </w:tblPr>
      <w:tr>
        <w:trPr>
          <w:trHeight w:val="192"/>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Forest Service Resort</w:t>
            </w: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Acres</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29"/>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Breckenridge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5,702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2029</w:t>
            </w: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93"/>
              </w:rPr>
              <w:t>Vail Mountain</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12,353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December 1, 2031</w:t>
            </w: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Keystone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8,376</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2032</w:t>
            </w: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89"/>
              </w:rPr>
              <w:t>Beaver Creek</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3,849</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November 8, 2039</w:t>
            </w: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Heavenly</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7,050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1, 2042</w:t>
            </w:r>
          </w:p>
        </w:tc>
      </w:tr>
      <w:tr>
        <w:trPr>
          <w:trHeight w:val="229"/>
        </w:trPr>
        <w:tc>
          <w:tcPr>
            <w:tcW w:w="2080" w:type="dxa"/>
            <w:vAlign w:val="bottom"/>
          </w:tcPr>
          <w:p>
            <w:pPr>
              <w:jc w:val="center"/>
              <w:spacing w:after="0"/>
              <w:rPr>
                <w:sz w:val="20"/>
                <w:szCs w:val="20"/>
                <w:color w:val="auto"/>
              </w:rPr>
            </w:pPr>
            <w:r>
              <w:rPr>
                <w:rFonts w:ascii="Arial" w:cs="Arial" w:eastAsia="Arial" w:hAnsi="Arial"/>
                <w:sz w:val="18"/>
                <w:szCs w:val="18"/>
                <w:color w:val="auto"/>
                <w:w w:val="93"/>
              </w:rPr>
              <w:t>Mount Snow</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894</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April 4, 2047</w:t>
            </w: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Attitash</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4, 2047</w:t>
            </w: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98"/>
              </w:rPr>
              <w:t>Wildcat</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953</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November 18, 2050</w:t>
            </w: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Kirkwood</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2,330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 2052</w:t>
            </w:r>
          </w:p>
        </w:tc>
      </w:tr>
      <w:tr>
        <w:trPr>
          <w:trHeight w:val="229"/>
        </w:trPr>
        <w:tc>
          <w:tcPr>
            <w:tcW w:w="2080" w:type="dxa"/>
            <w:vAlign w:val="bottom"/>
          </w:tcPr>
          <w:p>
            <w:pPr>
              <w:jc w:val="center"/>
              <w:spacing w:after="0"/>
              <w:rPr>
                <w:sz w:val="20"/>
                <w:szCs w:val="20"/>
                <w:color w:val="auto"/>
              </w:rPr>
            </w:pPr>
            <w:r>
              <w:rPr>
                <w:rFonts w:ascii="Arial" w:cs="Arial" w:eastAsia="Arial" w:hAnsi="Arial"/>
                <w:sz w:val="18"/>
                <w:szCs w:val="18"/>
                <w:color w:val="auto"/>
                <w:w w:val="85"/>
              </w:rPr>
              <w:t>Stevens Pass</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2,443</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August 31, 2058</w:t>
            </w: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Crested Butte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4,350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2058</w:t>
            </w: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pass products, ski school lessons, food and beverage, certain summer activities, equipment rentals and retail merchandise.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1986 Act requires a Master Development Plan (“MDP”) for each ski area that is granted a SUP, and all improvements that we propose to make on National Forest System lands under any of our SUPs must be included in a MDP, which describes the existing and proposed facilities, developments and area of activity within the permit area.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Whistler Blackcomb is comprised of two mountains: Whistler Mountain and Blackcomb Mountain. Whistler Mountain and Blackcomb Mountain are located on Crown Land within the traditional territory of the Squamish and Lil’wat Nations. The relationship between Whistler Blackcomb and Her Majesty, the Queen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MDAs, which were entered into in February 2017, have a term of 60 years (expiring on February 23, 2077) and are replaceable for an additional 60 years by option exercisable by the Partnerships after the first 30 years of the initial term. In accordance with the MDAs, the Partnerships are obligated to pay annual fees to the Province at a percentage of gross revenues related to the operation of certain activities at Whistler Blackcomb.</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Whistler Blackcomb. The MDAs also provide for the granting of specific tenures of land owned by the Province to the Whistler LP or the Blackcomb LP, as applicable, by way of rights-of-way,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Northeast Resorts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Stowe and Okemo operate partially on land that we own and partially on land we lease from the State of Vermont. With respect to Stowe, the land we own is on the Spruce Peak side of the resort while the land we lease from the State of Vermont is located on Mt. Mansfield in the Mt. Mansfield State Forest. The initial ten year term of the lease commenced in June 1967, and the lease provides for eight separate ten year extension options. The current term of the lease extends through June 2027, and there are three remaining ten year extension options. With respect to Okemo, we own the Jackson Gore base area land and lease most of the skiable terrain from the State of Vermont. The initial ten year term of the lease commenced in December 1963, and the lease provides for eight separate ten year extension options. The current term of the lease extends through December 2023, and there are three remaining ten year extension options. Under both leases, the land can be used for the development and operation of a ski area including ski trails, ski lifts, warming shelters, restaurants and maintenance facilities. For use of the land under the leases, we pay a fee to the State of Vermont based on revenue for activities authorized by the lease, such as lift tickets, pass products, food and beverage, summer activities and retail merchandise. We are obligated to indemnify the State of Vermont from third-party claims arising out of our operations under the lease.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Mount Sunapee lies within the Mount Sunapee State Park and operates on land that we lease from the State of New Hampshire. The initial twenty year term of the lease commenced in July 1998, and the lease provides for three separate ten year extension options. The current term of the lease extends through June 2028, and there are two remaining ten year extension options. The land can be managed and operated as a ski area and summer recreational facility, including all of its support activities, to provide year-round outdoor recreation. For use of the land under the lease, we pay a fee to the State of New Hampshire that includes both a base fee and a fee based on revenue from activities authorized by the lease, such as lift tickets, pass products, food and beverage, summer activities and retail merchandise. We are obligated to indemnify the State of New Hampshire from third-party claims arising out of our operations under the lease.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Resorts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 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 purposes, including for purposes related to sustainable visitor or tourist use and enjoyment. Under this power, the Minister has granted to Perisher a lease and a license of specified land within the Kosciusko National Park until June 30, 2048, with an option to renew for an additional period of 20 years. The Minister has also granted Perisher a lease of the parking lot at Perisher Valley that expires on December 31, 2025. Subject to certain conditions being met, the lease for the Perisher Valley parking lot can be extended until June 30, 2048, with an option to renew for a further 20 years. The lease and license provide for the payment of a minimum annual base rent with periodic increases in base rent over the term, turnover rent payments based on a percentage of certain gross revenue, remittance of park user fees and certain other charges, also subject to periodic increases over the term.</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Falls Creek and Hotham are located in the Alpine National Park in Victoria, Australia. Falls Creek and Hotham both operate on Crown land permanently reserved under the </w:t>
      </w:r>
      <w:r>
        <w:rPr>
          <w:rFonts w:ascii="Arial" w:cs="Arial" w:eastAsia="Arial" w:hAnsi="Arial"/>
          <w:sz w:val="16"/>
          <w:szCs w:val="16"/>
          <w:i w:val="1"/>
          <w:iCs w:val="1"/>
          <w:color w:val="auto"/>
        </w:rPr>
        <w:t>Crown Land (Reserves) Act 1978</w:t>
      </w:r>
      <w:r>
        <w:rPr>
          <w:rFonts w:ascii="Arial" w:cs="Arial" w:eastAsia="Arial" w:hAnsi="Arial"/>
          <w:sz w:val="16"/>
          <w:szCs w:val="16"/>
          <w:color w:val="auto"/>
        </w:rPr>
        <w:t xml:space="preserve"> (Vic), with the exception of three small parcels of freehold land within the Hotham resort area. Each resort is subject to the </w:t>
      </w:r>
      <w:r>
        <w:rPr>
          <w:rFonts w:ascii="Arial" w:cs="Arial" w:eastAsia="Arial" w:hAnsi="Arial"/>
          <w:sz w:val="16"/>
          <w:szCs w:val="16"/>
          <w:i w:val="1"/>
          <w:iCs w:val="1"/>
          <w:color w:val="auto"/>
        </w:rPr>
        <w:t>Alpine Resorts (Management) Act 1997</w:t>
      </w:r>
      <w:r>
        <w:rPr>
          <w:rFonts w:ascii="Arial" w:cs="Arial" w:eastAsia="Arial" w:hAnsi="Arial"/>
          <w:sz w:val="16"/>
          <w:szCs w:val="16"/>
          <w:color w:val="auto"/>
        </w:rPr>
        <w:t xml:space="preserve"> (Vic) (the “ARM Act”), which is in place to manage the development, promotion, management and use of the resorts on a sustainable basis and in a manner that is compatible with the alpine environment. The ARM Act established the Alpine Resorts Commission to plan for the direction and sustainable growth of Victoria’s five alpine resorts (including Falls Creek and Hotham). This includes review and coordination of the implementation of an Alpine Resorts Strategic Plan to which Falls Creek and Hotham are subject.</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ARM Act also established each of the Falls Creek Resort Management Board and Hotham Resort Management Board (the “RMBs”), each of which is appointed by, and responsible to, the Minister for Energy, Environment and Climate Change (the “Minister”). The RMBs are responsible for the management and collection of fees for entrance into the Alpine National Park and from Falls Creek and Hotham ski resorts. The ARM Act authorizes the RMBs to grant leases subject to Ministerial approval, and under this power, the entities operating the Hotham and Falls Creek resorts have each been leased land within the Alpine National Park under various long-term leases with differing expiration dates. The main lease for the ski field at Falls Creek expires December 31, 2040, while the main lease for the ski field at Hotham expires December 31, 2057. The key ski field leases provide for the payment of rent with both a fixed and variable component, a community service charge payable to the ARCC and a ski patrol contribution payable to RMBs. At Hotham, we also lease land known as ‘Dinner Plain’ within the Alpine National Park which expires on June 30, 2031, with an option to extend for a further 10 years.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Alpine Resorts (Management) Regulations 2009</w:t>
      </w:r>
      <w:r>
        <w:rPr>
          <w:rFonts w:ascii="Arial" w:cs="Arial" w:eastAsia="Arial" w:hAnsi="Arial"/>
          <w:sz w:val="16"/>
          <w:szCs w:val="16"/>
          <w:color w:val="auto"/>
        </w:rPr>
        <w:t xml:space="preserve"> (Vic) gives the RMBs the power to declare the snow season, temporarily close the resort to entry if there is a significant danger to public safety, determine parts of a resort to which entry is prohibited, set aside areas of the resort for public use, parking, driving of vehicles, or landing of aircraft, and determine the areas for cross country ski trails, skiing, snowboarding and other snow play activities.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t>Concessionaire Agreements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GTLC operates three lodging properties, food and beverage services, retail, camping and other services within the Grand Teton National Park under a concessionaire agreement with the NPS. Our concessionaire agreement with the NPS for GTLC, which had an initial term expiration date of December 31, 2021, was amended in June 2021 to extend the term to December 31, 2023. We pay a fee to the NPS of a percentage of the majority of our sales occurring in Grand Teton National Park.</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Flagg Ranch Company, a wholly-owned subsidiary, provides lodging, food and beverage services, retail, service station, recreation and other services on the Parkway located between Grand Teton National Park and Yellowstone National Park. Our concession contract with the NPS for the Parkway expires on October 31, 2028, and we pay a fee to the NPS of a percentage of the majority of our sales occurring in the Parkway.</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expiration of these concession contracts, we will have the opportunity to bid against other prospective concessionaires for award of a new contract. The NPS may suspend operations under the concession contract at any time if the NPS determines it is necessary to protect visitors or resources within the Grand Teton National Park or during a Federal Government shutdown. The NPS may also terminate the concession contract for breach, following notice and a 15 day cure period or if it believes termination is necessary to protect visitors or resources within the Grand Teton National Park.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 “Exchange Act”). These reports, proxy statements and other information are available free of charge on our corporate website </w:t>
      </w:r>
      <w:r>
        <w:rPr>
          <w:rFonts w:ascii="Arial" w:cs="Arial" w:eastAsia="Arial" w:hAnsi="Arial"/>
          <w:sz w:val="17"/>
          <w:szCs w:val="17"/>
          <w:u w:val="single" w:color="auto"/>
          <w:color w:val="auto"/>
        </w:rPr>
        <w:t>www.vailresorts.com</w:t>
      </w:r>
      <w:r>
        <w:rPr>
          <w:rFonts w:ascii="Arial" w:cs="Arial" w:eastAsia="Arial" w:hAnsi="Arial"/>
          <w:sz w:val="17"/>
          <w:szCs w:val="17"/>
          <w:color w:val="auto"/>
        </w:rPr>
        <w:t xml:space="preserve"> as soon as reasonably practicable after they are electronically filed with or furnished to the SEC. Information on our websites does not constitute part of this document. Materials filed with or furnished to the SEC are also made available on its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Copies of any materials we file with the SEC can be obtained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SEC’s public reference room at 100 F Street, N.E., Washington, D.C. 20549. Information on the operation of the public reference room is available by calling the SEC at 1-800-SEC-0330.</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212529"/>
        </w:rPr>
        <w:t>The ongoing COVID-19 pandemic has had, and could continue to have, a significant negative impact on our financial condition and operations. Further, the spread of COVID-19 has caused severe disruptions in the U.S. and global economies and financial markets and could potentially create widespread business continuity issues of an as yet unknown magnitude and duration. Any future outbreak of any COVID-19 variants or any other highly infectious or contagious disease could have a similar impact.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The outbreak and continuing spread of COVID-19 has disrupted our business, and has had and could continue to have a significant negative impact on our business, financial performance and condition, operating results, liquidity and cash flows. Governmental authorities have issued and continue to issue a variety of mandates in an effort to slow the spread of COVID-19, including travel restrictions, border closures, restrictions on public gatherings, occupancy limits, “shelter at home’’ orders and advisories, and quarantine requirements. The outbreak of COVID-19 has impacted global economic activity and caused significant volatility in financial markets, with particular risk to the travel and leisure industry, which is disproportionately impacted by travel restrictions and other public health restrictions.</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In response to the continued challenges associated with the spread of COVID-19, we have had to close certain Resorts at various times. For example, on March 30, 2021, towards the end of the North American operating season and following an order from the government of British Columbia as a result of an increase in COVID-19 cases in the region, we closed Whistler Blackcomb. Our other North American Resorts were generally operational throughout the 2020/2021 ski season, after closing early in the 2019/2020 season, and were open for 2021 summer activities. Our Australian Resorts were open for their 2021 winter season, however there were border closures, travel restrictions and public health orders in place throughout the country that impacted visitation to our Australian ski areas and caused periodic Resort closures. We are also monitoring public health orders and regulations that affect or may affect our winter operations for the 2021/2022 North American ski season.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p>
      <w:pPr>
        <w:jc w:val="both"/>
        <w:spacing w:after="0" w:line="246" w:lineRule="auto"/>
        <w:rPr>
          <w:sz w:val="20"/>
          <w:szCs w:val="20"/>
          <w:color w:val="auto"/>
        </w:rPr>
      </w:pPr>
      <w:r>
        <w:rPr>
          <w:rFonts w:ascii="Arial" w:cs="Arial" w:eastAsia="Arial" w:hAnsi="Arial"/>
          <w:sz w:val="17"/>
          <w:szCs w:val="17"/>
          <w:color w:val="auto"/>
        </w:rPr>
        <w:t>Our operations continue to be negatively impacted by COVID-19 and associated government mandated restrictions, including capacity limitations, border closures and travel restrictions, and mask and social distancing requirements. Additionally, we may impose our own COVID-19 related restrictions in addition to what is required by state and local governments in the interest of safety for our guests, employees and resort communities. Factors that could negatively impact ou</w:t>
      </w:r>
      <w:r>
        <w:rPr>
          <w:rFonts w:ascii="Arial" w:cs="Arial" w:eastAsia="Arial" w:hAnsi="Arial"/>
          <w:sz w:val="17"/>
          <w:szCs w:val="17"/>
          <w:color w:val="212529"/>
        </w:rPr>
        <w:t>r ability to successfully operate during the current COVID-19 pandemic or another pandemic include:</w:t>
      </w:r>
    </w:p>
    <w:p>
      <w:pPr>
        <w:spacing w:after="0" w:line="211" w:lineRule="exact"/>
        <w:rPr>
          <w:sz w:val="20"/>
          <w:szCs w:val="20"/>
          <w:color w:val="auto"/>
        </w:rPr>
      </w:pPr>
    </w:p>
    <w:p>
      <w:pPr>
        <w:ind w:left="660" w:right="2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our ability to open and keep open our Resorts during their respective ski seasons, including our North American Resorts for their upcoming winter season</w:t>
      </w:r>
      <w:r>
        <w:rPr>
          <w:rFonts w:ascii="Arial" w:cs="Arial" w:eastAsia="Arial" w:hAnsi="Arial"/>
          <w:sz w:val="18"/>
          <w:szCs w:val="18"/>
          <w:color w:val="000000"/>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our ability to attract and retain guests given the risks, or perceived risks, of gathering in public places</w:t>
      </w:r>
      <w:r>
        <w:rPr>
          <w:rFonts w:ascii="Arial" w:cs="Arial" w:eastAsia="Arial" w:hAnsi="Arial"/>
          <w:sz w:val="18"/>
          <w:szCs w:val="18"/>
          <w:color w:val="000000"/>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consumer preferences during the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willingness of guests to travel or purchase advance commitment products, such as our portfolio of pass products</w:t>
      </w:r>
      <w:r>
        <w:rPr>
          <w:rFonts w:ascii="Arial" w:cs="Arial" w:eastAsia="Arial" w:hAnsi="Arial"/>
          <w:sz w:val="18"/>
          <w:szCs w:val="18"/>
          <w:color w:val="000000"/>
        </w:rPr>
        <w:t>;</w:t>
      </w:r>
    </w:p>
    <w:p>
      <w:pPr>
        <w:spacing w:after="0" w:line="9"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212529"/>
        </w:rPr>
        <w:t>existing or future restrictions imposed by governmental authorities, including quarantines, capacity limitations, vaccination mandates for visitors from certain areas, and indoor dining or other restrictions that may affect our operations or the ability of our guests to return to our Resorts</w:t>
      </w:r>
      <w:r>
        <w:rPr>
          <w:rFonts w:ascii="Arial" w:cs="Arial" w:eastAsia="Arial" w:hAnsi="Arial"/>
          <w:sz w:val="16"/>
          <w:szCs w:val="16"/>
          <w:color w:val="000000"/>
        </w:rPr>
        <w:t>;</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actual or perceived deterioration or weakness in economic conditions, unemployment levels, the job or housing markets, consumer debt levels or consumer confidence, as well as other adverse economic or market conditions due to COVID-19 or otherwise, and their collective impacts on demand for travel and leisure</w:t>
      </w:r>
      <w:r>
        <w:rPr>
          <w:rFonts w:ascii="Arial" w:cs="Arial" w:eastAsia="Arial" w:hAnsi="Arial"/>
          <w:sz w:val="18"/>
          <w:szCs w:val="18"/>
          <w:color w:val="000000"/>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incentivize and retain our current employees, and hire sufficient future seasonal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risk of lawsuits related to COVID-19 or another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our ability to access debt and equity capital on attractive terms, or at all;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impact of disruption and instability in the global financial markets or deterioration in credit and financing conditions on our access to capital necessary to fund operating costs, including maintenance capital spending, or to address maturing liabilities.</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12529"/>
        </w:rPr>
        <w:t xml:space="preserve">The extent and duration of the impact of COVID-19 on our business, consolidated results of operations, consolidated financial position and consolidated cash flows, will depend largely on future developments, including the duration of the virus (including any variants, </w:t>
      </w:r>
      <w:r>
        <w:rPr>
          <w:rFonts w:ascii="Arial" w:cs="Arial" w:eastAsia="Arial" w:hAnsi="Arial"/>
          <w:sz w:val="16"/>
          <w:szCs w:val="16"/>
          <w:color w:val="000000"/>
        </w:rPr>
        <w:t>which may be more contagious and/or</w:t>
      </w:r>
      <w:r>
        <w:rPr>
          <w:rFonts w:ascii="Arial" w:cs="Arial" w:eastAsia="Arial" w:hAnsi="Arial"/>
          <w:sz w:val="16"/>
          <w:szCs w:val="16"/>
          <w:color w:val="212529"/>
        </w:rPr>
        <w:t xml:space="preserve"> </w:t>
      </w:r>
      <w:r>
        <w:rPr>
          <w:rFonts w:ascii="Arial" w:cs="Arial" w:eastAsia="Arial" w:hAnsi="Arial"/>
          <w:sz w:val="16"/>
          <w:szCs w:val="16"/>
          <w:color w:val="000000"/>
        </w:rPr>
        <w:t>impact the effectiveness of approved vaccines</w:t>
      </w:r>
      <w:r>
        <w:rPr>
          <w:rFonts w:ascii="Arial" w:cs="Arial" w:eastAsia="Arial" w:hAnsi="Arial"/>
          <w:sz w:val="16"/>
          <w:szCs w:val="16"/>
          <w:color w:val="212529"/>
        </w:rPr>
        <w:t>), vaccination rates in areas where our Resorts are located or our guests reside, any continuing or newly</w:t>
      </w:r>
      <w:r>
        <w:rPr>
          <w:rFonts w:ascii="Arial" w:cs="Arial" w:eastAsia="Arial" w:hAnsi="Arial"/>
          <w:sz w:val="16"/>
          <w:szCs w:val="16"/>
          <w:color w:val="000000"/>
        </w:rPr>
        <w:t xml:space="preserve"> </w:t>
      </w:r>
      <w:r>
        <w:rPr>
          <w:rFonts w:ascii="Arial" w:cs="Arial" w:eastAsia="Arial" w:hAnsi="Arial"/>
          <w:sz w:val="16"/>
          <w:szCs w:val="16"/>
          <w:color w:val="212529"/>
        </w:rPr>
        <w:t>imposed travel restrictions or vaccination requirements in connection with travel, the related impact on factors affecting guest behavior, including consumer confidence and spending, and when we will be able to resume normal operations, all of which are highly uncertain and cannot be predicted.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COVID-19 continues to present material uncertainty and risk with respect to our business, financial performance and condition, operating results, liquidity and cash flows. To the extent the COVID-19 pandemic adversely affects our business and financial results, it may also have the effect of heightening many of the other risks described in the Risk Factors presented in this Annual Report on Form 10-K, and our subsequent filings with the SEC. Any future outbreak of any other highly infectious or contagious disease could have a similar impact.</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212529"/>
        </w:rPr>
        <w:t>Our Epic Coverage program may require us to provide significant refunds to our pass product holders, which would result in reduced revenue and also exposes us to the risk of customer complaints and negative perception about our pass products.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2020, the Company introduced Epic Coverage, which is included with the purchase of all pass products for no additional charge. Epic Coverage offers refunds to pass product holders if certain qualifying personal or Resort closure events occur before or during the ski season, </w:t>
      </w:r>
      <w:r>
        <w:rPr>
          <w:rFonts w:ascii="Arial" w:cs="Arial" w:eastAsia="Arial" w:hAnsi="Arial"/>
          <w:sz w:val="18"/>
          <w:szCs w:val="18"/>
          <w:color w:val="212529"/>
        </w:rPr>
        <w:t>subject to express terms</w:t>
      </w:r>
      <w:r>
        <w:rPr>
          <w:rFonts w:ascii="Arial" w:cs="Arial" w:eastAsia="Arial" w:hAnsi="Arial"/>
          <w:sz w:val="18"/>
          <w:szCs w:val="18"/>
          <w:color w:val="auto"/>
        </w:rPr>
        <w:t xml:space="preserve"> </w:t>
      </w:r>
      <w:r>
        <w:rPr>
          <w:rFonts w:ascii="Arial" w:cs="Arial" w:eastAsia="Arial" w:hAnsi="Arial"/>
          <w:sz w:val="18"/>
          <w:szCs w:val="18"/>
          <w:color w:val="212529"/>
        </w:rPr>
        <w:t>and conditions</w:t>
      </w:r>
      <w:r>
        <w:rPr>
          <w:rFonts w:ascii="Arial" w:cs="Arial" w:eastAsia="Arial" w:hAnsi="Arial"/>
          <w:sz w:val="18"/>
          <w:szCs w:val="18"/>
          <w:color w:val="000000"/>
        </w:rPr>
        <w:t>.</w:t>
      </w:r>
      <w:r>
        <w:rPr>
          <w:rFonts w:ascii="Arial" w:cs="Arial" w:eastAsia="Arial" w:hAnsi="Arial"/>
          <w:sz w:val="18"/>
          <w:szCs w:val="18"/>
          <w:color w:val="212529"/>
        </w:rPr>
        <w:t xml:space="preserve"> Accordingly, to the extent that any of our Resorts need to be closed for all or specified portions of the ski season (including due to COVID-19), we could be required to provide a significant amount of refunds to our pass product holders, subject to express terms and conditions, which could have a material negative impact on our financial performance and condition.</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amount of refunds reduce the amount of pass product revenue recognized by the Company. To estimate the amount of refunds under Epic Coverage, the Company considers (i) historical claims data for personal events, (ii) provincial, state, county and local COVID-19 regulations and public health orders, and (iii) the Company’s operating plans for its Resorts. The Company believes the estimates of refunds are reasonable; however, the program is relatively new and there continues to be uncertainty surrounding COVID-19, and therefore actual results could vary materially from such estimates, and the Company could be required to refund significantly higher amounts than estimated.</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Epic Coverage has also resulted in customer complaints and negative perception by customers who believe they are entitled to a refund for events that do not qualify under the express terms and conditions of the program. Any complaints posted by customers on social media platforms, even if inaccurate, may harm our reputation, and may divert management’s time and attention away from other business matters.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spacing w:after="0" w:line="282" w:lineRule="auto"/>
        <w:rPr>
          <w:sz w:val="20"/>
          <w:szCs w:val="20"/>
          <w:color w:val="auto"/>
        </w:rPr>
      </w:pPr>
      <w:r>
        <w:rPr>
          <w:rFonts w:ascii="Arial" w:cs="Arial" w:eastAsia="Arial" w:hAnsi="Arial"/>
          <w:sz w:val="18"/>
          <w:szCs w:val="18"/>
          <w:b w:val="1"/>
          <w:bCs w:val="1"/>
          <w:color w:val="auto"/>
        </w:rPr>
        <w:t>Leisure travel is particularly susceptible to various factors outside of our control, including terrorism, the uncertainty of military conflicts, the cost and availability of travel options and changing consumer preferences or willingness to travel.</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is sensitive to the willingness of our guests to travel. Acts of terrorism, pandemics, political events and developments in military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availability of air services and willingness of guests to travel by air could cause a decrease in visitation by Destination guests to our Resorts. A significant portion of our guests also travel by vehicle and higher gasoline prices or willingness of guests to travel generally due to safety or traffic concerns could cause a decrease in visitation by guests who would typically drive to our Resorts. Higher cost of travel may also affect the amount that guests are willing to spend at our Resorts and could negatively impact our revenue particularly for lodging, ski school, dining and retail/rental.</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success depends on our ability to attract visitors to our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the risk of prolonged weakness in general economic conditions including adverse effects on the overall travel and leisure related industries.</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Skiing, travel and tourism are discretionary recreational activities that can entail a relatively high cost of participation and may be adversely affected by economic slowdown or recession. Economic conditions in North America, Europe and parts of the rest of the world, including high unemployment, erosion of consumer confidence, sovereign debt issues and financial instability in the global markets, could have negative effects on the travel and leisure industry and on our results of operations. See “Risks Related to Our Business—The ongoing COVID-19 pandemic has had, and could continue to have, a significant negative impact on our financial condition and operations. Further, the spread of COVID-19 has caused severe disruptions in the U.S. and global economies and financial markets and could potentially create widespread business continuity issues of an as yet unknown magnitude and duration. Any future outbreak of any COVID-19 variants or other highly infectious or contagious disease could have a similar impact.” As a result of these and other economic uncertainties, we have experienced and may continue to experience in the future, a change in booking trends including where guest reservations are made much closer to the actual date of stay, a decrease in the length of stay, a decrease in consumer spending and/or a decrease in group bookings. We cannot predict what further impact these uncertainties may continue to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This could be further exacerbated by the fact that we charge some of the highest prices for single day lift tickets and ancillary services in the ski industry; however, we offer pass products, including the Epic Day Pass, that are available at a discount to the single day lift ticket prices. In the event of a decrease in visitation and overall guest spending we may decide we need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or travel restrictions in place due to COVID-19, it could impact the volume of international visitation, which could have a significant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unfavorable weather conditions and the impact of natural disasters.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attract guests to our Resorts is influenced by 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On the other hand, excessive natural snowfall may significantly increase the costs incurred to groom trails and may make it difficult for guests to access our mountain Resorts.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can be no assurance that our Resorts will receive seasonal snowfalls near their historical averages. As an example of weather variability, during the 2017/2018 North American ski season, we experienced historically low snowfall across our western U.S. Resorts for the first half of the ski season, with snowfall in Vail, Beaver Creek and Park City through January 31, 2018 at the lowest levels recorded in over 30 years while Tahoe was more than 50% below the 20-year average. Conversely, during the 2018/2019 North American ski season, our western U.S. Resorts experienced above-average snowfall while through December 31, 2019 for the 2019/2020 North American ski season, our Pacific Northwest Resorts (Whistler Blackcomb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Stevens Pass) experienced the lowest snowfall in over 30 years. During the 2020/2021 North American ski season, snowfall levels were well below average at our Colorado, Utah and Tahoe Resorts through the holiday season. Past snowfall levels or consistency of snow conditions can impact sales of pass products or other advanced bookings.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are typical at such Resorts for a given season. Although we have created geographic diversification to help mitigate the impact of weather variability, there is no way for us to predict future weather patterns or the impact that weather patterns may have on our results of operations or visitation.</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would take several years for the environment to recover.</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there is scientific research that emissions of greenhouse gases continue to alter the composition of the global atmosphere in ways that are affecting and are expected to continue affecting the global climate. The effect of climate change, including any impact of global warming, could have a material adverse effect on our results of operations as a result of increased weather variability and/or warmer overall temperatures, which would likely adversely affect skier visits and our revenue and profits.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Cyberattacks or other interruptions to or disruption of our information technology systems and services could disrupt our business.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relies on the continuous operation of information technology systems and services. Despite our efforts, our information networks and systems are vulnerable to service interruptions or to security breaches from inadvertent or intentional actions by our employees or vendors, natural disasters, system or equipment malfunctions, power outages, computer viruses or intentional attacks by malicious third parties, which could persist undetected for an extended period of time. Any interruption to these systems and services could adversely impact our business, including lost revenue, customer claims, damage to reputation, litigation, and/or denial or interruption to our processing of transactions and/or the services we provide to customers. We also provide information to third party service providers and rely on third party service providers for the provision of information technology services. There is a risk that the information held by third parties could be disclosed, otherwise compromised, or disrupted. We carry insurance for many of these adverse events, including cyber security insurance, but our insurance coverage may not always be sufficient to meet all of our liabilities.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has been a rise in the number of sophisticated cyberattacks on network and information systems, including ransomware attacks that prevent the target from accessing its own data and/or systems until a ransom is paid. As a result, the risks associated with such an event continue to increase. We have experienced cybersecurity threats and incidents, none of which has been material to us to date. We have taken, and continue to take, steps to address these concerns by implementing security and internal controls. However, there can be no assurance that a system interruption, security breach or unauthorized access will not occur. Cyber threats and attacks are constantly evolving and becoming more sophisticated, which increases the difficulty and cost of detecting and defending against them. Cyber threats and attacks can have cascading impacts across networks, systems and operations. Any such interruption, breach or unauthorized access to our network or systems, or the networks or systems of our vendors, could adversely affect our business operations and result in the loss of critical or sensitive confidential information or intellectual property, as well as impact our ability to meet regulatory or compliance obligations, and could result in financial, legal, business and reputational harm to us. These events also could result in large expenditures to repair or replace the damaged properties, products, services, networks or information systems to protect them from similar events in the future.</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maintain the integrity and security of our internal, employee or guest data could result in damages to our reputation and subject us to costs, fines or lawsuits.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relies on the use of large volumes of data. We collect and retain guest data, including credit card numbers and other sensitive personal information, for various business purposes, such as processing transactions, marketing and other promotional purposes. We also maintain personal information about our employees. We could make faulty decisions if data is inaccurate or incomplete. Maintaining the integrity and security of data can be costly and is critical to our business, and our guests and employees have a high expectation that we will adequately protect their personal information. A significant theft,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loss, loss of access to, or fraudulent use of customer, employee, or company data held by us or our service providers could adversely impact our reputation, and could result in significant remedial and other expenses, fines, and/or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highly seasonal.</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mountain and lodging operations are highly seasonal in nature. Peak operating season for our North American Resorts is from late November to mid-April, and accordingly, revenue and profits from our mountain and most of our lodging operations are substantially lower and historically result in losses from late spring to late fall. Conversely, peak operating seasons for our Australian Resorts, GTLC and Flagg Ranch, mountain summer activities (including our Epic Discovery program), sightseeing and our golf courses generally occur from June to the end of September. Revenue and profits generated by our Australian Resorts, GTLC and Flagg Ranch, mountain summer activities/sightseeing and golf peak season operations are not nearly sufficient to fully offset our off-season losses from our other mountain and lodging operations. For Fiscal 2021, approximately 82% of total combined Mountain and Lodging segment net revenue (excluding Lodging segment revenue associated with reimbursement of payroll costs) was earned during our second and third fiscal quarters. This seasonality is partially mitigated by the sale of pass products (which for Fiscal 2021 accounted for approximately 61% of the total lift revenue) predominately occurring during the period prior to the start of the ski season as the cash from those sales is collected in advance and revenue is mostly recognized in the second and third quarters. In addition, the timing of major holidays and school breaks can impact vacation patterns and therefore visitation at our destination mountain Resorts and regional ski areas. If we were to experience an adverse event or realize a significant deterioration in our operating results during our peak periods (our fiscal second and third quarters) we would be unable to fully recover any significant declines due to the seasonality of our business (for example, the outbreak of the COVID-19 pandemic which has resulted in Resort closures). See “Risks Related to Our Business—The ongoing COVID-19 pandemic has had, and could continue to have, a significant negative impact on our financial condition and operations. Further, the spread of COVID-19 has caused severe disruptions in the U.S. and global economies and financial markets and could potentially create widespread business continuity issues of an as yet unknown magnitude and duration. Any future outbreak of any COVID-19 variant or other highly infectious or contagious disease could have a similar impact.”. Operating results for any three-month period are not necessarily indicative of the results that may be achieved for any subsequent quarter or for a full fiscal year (see 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ski Resort and lodging industries are highly competitive. There are approximately 745 ski areas in North America, including approximately 460 in the U.S. that serve local and destination guests, and these ski areas can be more or less impacted by weather conditions based on their location and snowmaking capabilities. The factors that we believe are important to customers include:</w:t>
      </w:r>
    </w:p>
    <w:p>
      <w:pPr>
        <w:spacing w:after="0" w:line="2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proximity to population centers;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and cost of transportation to ski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and quality of lodging options in resort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ease of travel to ski areas (including direct flights by major airlines);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of lift tickets and/or pass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magnitude, quality and price of related ancillary services (ski school, dining and retail/rental), amenities and lodging;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snowmaking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and quality of skiing and snowboarding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duration of the ski season;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weather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reputation.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many competing options for our guests, including other major resorts in Colorado, Utah, California, Nevada, the Pacific Northwest, Northeast, Southwest and British Columbia, Canada,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RockResorts hotels, our other hotels and our property management business compete with numerous other hotel and property management companies that may have greater financial resources than we do and they may be able to adapt more quickly to changes in customer requirements or devote greater resources to promotion of their offerings than us.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The high fixed cost structure of mountain resort operations can result in significantly lower margins if revenues decline.</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cost structure of our mountain Resort operations has a significant fixed component with variable expenses including, but not limited to, land use permit or lease fees and other resort related fees; credit card fees; retail/rental cost of sales; labor; and resort, dining and ski school operations. Any material declines in the economy, elevated geopolitical uncertainties and/or significant changes in historical snowfall patterns, as well as other risk factors discussed herein, could adversely affect revenue. See “Risks Related to Our Business—The ongoing COVID-19 pandemic has had, and could continue to have, a significant negative impact on our financial condition and operations. Further, the spread of COVID-19 has caused severe disruptions in the U.S. and global economies and financial markets and could potentially create widespread business continuity issues of an as yet unknown magnitude and duration. Any future outbreak of any COVID-19 variant or other highly infectious or contagious disease could have a similar impact.” As such, our margins, profits and cash flows may be materially reduced due to declines in revenue given our relatively high fixed cost structure. In addition, increases in expenses as a result of inflation or other economic factors may adversely impact wages and other labor costs, energy, healthcare, insurance, transportation and fuel, cost of goods, property taxes, minimum lease payments and other expenses included in our fixed cost structure, which may also reduce our margin, profits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fund resort capital expenditures.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regularly expend capital to construct, maintain and renovate our mountain Resorts and properties in order to remain competitive, maintain the value and brand standards of our mountain Resorts and properties and comply with applicable laws and regulations. We cannot always predict where capital will need to be expended in a given fiscal year and capital expenditures can increase due to circumstances beyond our control. In March 2021, we announced our full capital plan for calendar year 2021, pursuant to which we anticipated we would spend approximately $135 million to $140 million, including one-time items associated with integrations of $5 million and approximately $12 million of reimbursable investments.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fund capital expenditures will depend on our ability to generate sufficient cash flow from operations and/or to borrow from third parties in the debt or equity markets. We cannot provide assurances that our operations will be able to generate sufficient cash flow to fund such capital expenditures, or that we will be able to obtain sufficient financing on adequate terms, or at all. Our ability to generate cash flow and to obtain third-party financing will depend upon many factors, including:</w:t>
      </w:r>
    </w:p>
    <w:p>
      <w:pPr>
        <w:spacing w:after="0" w:line="21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the resort industry, the ski industry and the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and regulatory matters affecting our operations and business;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inability to generate sufficient cash flows from operations or to obtain adequate third-party financing could cause us to delay or abandon certain projects and/or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disruption in our water supply would impact our snowmaking capabilities and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are heavily dependent upon our access to adequate supplies of water for snowmaking and to otherwise conduct our operations. Our mountain Resorts are subject to federal, state, provincial and local laws and regulations relating to water rights. Changes in these laws and regulations may adversely affect our operations. In addition, a severe and prolonged drought may adversely affect our water supply and increase the cost of snowmaking. A significant change in law or policy, impact from climate change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various government permits and landlord approvals at our U.S. resorts.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U.S. Resort operations require permits and approvals from certain federal, state and local authorities, including the Forest Service, U.S. Army Corps of Engineers, the States of Vermont and New Hampshire and the NPS. Virtually all of our ski trails and related activities, including our summer activities, at Vail Mountain, Breckenridge, Keystone, Crested Butte, Stevens Pass, Heavenly, Kirkwood, Mount Snow, Wildcat, a majority of Beaver Creek and portions of Attitash are located on National Forest land. The Forest Service has granted us permits to use these lands, but maintains the right to review and approve many operational matters, as well as the location, design and construction of improvements in these areas. The expiration dates for our permits are set forth in the Business section of this Form 10-K under the heading “Contracts with Governmental Authorities for Resort Operations”.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The Forest Service can terminate or amend these permits if, in its opinion, such termination is required in the public interest. A termination or amendment of any of our permits could have a materially adverse effect on our business and operations. In order to undertake improvements and new development, we must apply for permits and other approvals. These efforts, if unsuccessful, could impact our expansion efforts. Furthermore, Congress may materially increase the fees we pay to the Forest Service for use of these National Forest lands.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Stowe and Okemo are partially located on land we lease from the State of Vermont, and Mount Sunapee is located on land we lease from the State of New Hampshire. We are required to seek approval from such states for certain developments and improvements made to the resort. Certain other resorts are operated on land under long term leases with third parties. For example, operations at our Northstar, Park City and Mad River Mountain Resorts are conducted pursuant to long-term leases with third parties who require us to operate the Resorts in accordance with the terms of the leases and seek certain approvals from the respective landlords for improvements made to the Resorts. The initial lease term for Northstar with affiliates of EPR Properties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with six 50-year renewal options. Additionally, GTLC and Flagg Ranch operate under concessionaire agreements with the NPS that expire on December 31, 2023 and October 31, 2028, respectively. There is no guarantee that at the end of the lease/license or agreements under which we operate our Resorts we will renew or, if desired, be able to negotiate new terms that are favorable to us. Additionally, our Resorts that operate on privately-owned land are subject to local land use regulation and oversight by county and/or town governments, and we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on foreign government leases and landlord approvals, and are subject to certain related laws and regulations, at our international resorts.</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international Resort operations require permits and approvals from certain foreign authorities, including the Province of British Columbia and the New South Wales and Victoria, Australia governments. Our operations at Whistler Blackcomb are located on Crown Land within the traditional territory of the Squamish and Lil’wat Nations, and the operations and future development of both Whistler Mountain and Blackcomb Mountain are governed by Master Development Agreements, which expire on February 23, 2077.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Each of Falls Creek and a majority of Hotham is located in the Alpine National Park in Victoria, Australia that is permanently reserved under the Crown Land Act and subject to the ARM Act. The ARM Act established the Falls Creek RMB and the Hotham RMB, which is responsible for the management and collection of fees from Falls Creek and Hotham, respectively, and the ARM Regulations give each of the Falls Creek RMB and the Hotham RMB certain discretion over the operations of Falls Creek and Hotham, respectively, including the authority to (i) declare the snow season, (ii) temporarily close the applicable resort if entry would be a significant danger to public safety, and (iii) determine which portions of the applicable resort are open to the public and the activities that are permitted on those portions of such resort. There is no guarantee that at the end of the initial lease/license or agreements under which we operate our Resorts we will renew or, if desired, be able to negotiate new terms that are favorable to us. Failure to comply with the provisions, obligations and terms (including renewal requirements and deadlines) of our material permits and leases could adversely impact our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extensive environmental and health and safety laws and regulations in the ordinary course of business.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are subject to 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the Australian EPA Act or the Australian EP Act, as applicable. Our ski area improvement proposals may not be approved or may be approved with modifications that substantially increase the cost or decrease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spacing w:after="0" w:line="291" w:lineRule="auto"/>
        <w:rPr>
          <w:sz w:val="20"/>
          <w:szCs w:val="20"/>
          <w:color w:val="auto"/>
        </w:rPr>
      </w:pPr>
      <w:r>
        <w:rPr>
          <w:rFonts w:ascii="Arial" w:cs="Arial" w:eastAsia="Arial" w:hAnsi="Arial"/>
          <w:sz w:val="16"/>
          <w:szCs w:val="16"/>
          <w:color w:val="auto"/>
        </w:rPr>
        <w:t>desirability of implementing the project. From time to time our operations are subject to inspections by environmental regulators or other regulatory agencies. We are also subject to worker health and safety requirements as well as various state and local public health laws, rules, regulations and orders related to COVID-19, including mask and social distancing requirements. We believe our operations are in substantial compliance 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security and privacy laws and regulations could increase our operating costs, increase our exposure to fines and litigation, and adversely affect our ability to market our products, properties and services effectively.</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information, security, and privacy requirements imposed by applicable laws and governmental regulation and the payment card industry are increasingly demanding in the U.S. and other jurisdictions where we operate. Maintaining compliance with applicable security and privacy regulations may increase our operating costs or our exposure to potential fines and litigation in connection with the enforcement of such regulations, or otherwise impact our ability to market our products, properties and services to our guests. Any future changes or restrictions in U.S. or international privacy laws could also adversely affect our operations, including our ability to transfer guest data. Changes in U.S. or international law affecting marketing, solicitation or privacy, could adversely affect our marketing activities and force changes in our marketing strategy or increase the costs of marketing. If access to lists of potential customers from travel service providers or other companies with whom we have relationships was prohibited or otherwise restricted, our ability to develop new customers and introduce them to our products could be impaired.</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information technology to operate our businesses and maintain our competitiveness, and any failure to adapt to technological developments or industry trends could harm our business or competitive position.</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on the use of sophisticated information technology and systems for central reservations, point of sale, marketing, customer relationship management and communication, procurement, maintaining the privacy of guest and employee data, administration and technologies we make available to our guests. We must continuously improve and upgrade our systems and infrastructure to offer enhanced products, services, features and functionality, while maintaining the reliability and integrity of our systems, network security and infrastructure. We may not be able to maintain our existing systems or replace or introduce new technologies and systems as quickly as we would like or in a cost-effective manner, which may keep us from achieving the desired results in a timely manner, to the extent anticipated, or at all. Also, we may be unable to devote adequate financial resources to new technologies and systems in the future. If any of these events occur, our business and financial performance could suffer.</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train, reward and retain adequate team members and determine and maintain adequate staffing, including our seasonal workforce, which may impact our ability to achieve our operating, growth and financial objectives.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long-term growth and profitability depend partially on our ability to recruit and retain high-quality employees to work in and manage our Resorts. Adequate staffing and retention of qualified employees is a critical factor affecting our guests’ experiences in our Resorts. Maintaining adequate staffing requires precise workforce planning which has been complicated and is unpredictable due the impacts of the COVID-19 pandemic on guest preferences and on labor markets. The market for the most qualified talent continues to be competitive and we must provide competitive wages, benefits and workplace conditions to attract and retain our most qualified employees. Year round employees may seek other employment and seasonal employees may decline to return, to be re-hired, or to be hired for the first time. Personal or public health concerns related to COVID-19 might make some employees and potential candidates reluctant to work in enclosed environments such as our hotels, restaurants and retail/rental stores. Resort-area housing could be even more limited than usual, making it difficult for employees to obtain available, affordable housing.</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mountain and lodging operations are highly dependent on a large seasonal workforce. We recruit year-round to fill thousands of seasonal staffing needs each season and work to manage seasonal wages and the timing of the hiring process to ensure the appropriate workforce is in place. Furthermore, we cannot guarantee that we will be able to recruit and hire adequate seasonal personnel as the business requires. Changes in immigration laws could also impact our workforce because we recruit and hire foreign nationals as part of our seasonal workforce. For example, as a result of a 2020 executive order in the United States suspending the issuance of several visas for foreign workers, we were unable to hire foreign nationals for the 2020/2021 North America ski season. A shortage of international workers based on immigration and cultural exchange limitations, failure to recruit and retain new domestic employees in a timely manner, higher than expected attrition levels, or increased wages all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could affect our ability to open and operate parts of our Resorts, deliver guest service at traditional margins or achieve our labor cost objectives.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our workforce, including increased labor costs.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subject to various federal, state and foreign laws governing matters such as minimum wage requirements, sick leave pay, overtime compensation and other working conditions, work authorization requirements, discrimination and family and medical leave. Cost of labor and labor-related benefits are primary components in the cost of our operations. Labor shortages, affordable employee housing shortages and increased employee turnover and health care mandates could also increase our labor costs and labor-related benefits. As minimum wage rates increase, including further potential federal and state legislative changes to the minimum wage rate, we may need to increase not only the wages of our minimum wage employees but also the wages paid to employees at wage rates that are above the minimum wage. During Fiscal 2021, we announced a substantial investment in our employees by increasing the minimum wage to $15 at our Resorts across Colorado, California, Utah, Washington, New York and Vermont, as well as other increases at our Resorts in the eastern U.S. From time to time, we have also experienced non-union employees attempting to unionize. While only a very small portion of our employees are unionized at present, we may experience additional union activity in the future, which could lead to disruptions in our business, increases in our operating costs and/or constraints on our operating flexibility. These potential labor impacts could adversely impact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retain our key personnel, our business may suffer.</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 of our business is heavily dependent on the leadership of key management personnel, including our senior executive officers. If any of these persons were to leave, it could be difficult to replace them, and our business could be harmed. We do not maintain “key-man” life insurance on any of our employees.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depends on the quality and reputation of our brands, and any deterioration in the quality or reputation of these brands, including as a result of misappropriation of our intellectual property or the risk of accidents occurring at our mountain resorts or competing mountain resorts, may reduce visitation and negatively impact our operations.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negative public image or other adverse events could affect the reputation of one or more of our mountain Resorts, other destination resorts, hotel properties and other businesses or more generally impact the reputation of our brands. Any resulting harm on our business may be immediate without affording us an opportunity for redress or correction. Our ability to attract and retain guests depends, in part, upon the external perceptions of the Company, the quality and safety of our Resorts, services and activities, including summer activities, and our corporate and management integrity. While we maintain and promote an on-mountain safety program, there are inherent risks associated with our Resort activities. From time to time in the past, accidents and other injuries have occurred on Resort property.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considerable expansion in the use of social media over recent years has compounded the impact of negative publicity. Information posted on social media platforms at any time may be adverse to our interests or may be inaccurate, each of which may harm our reputation or business.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might not be successful.</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recent years, we have completed numerous acquisitions and may continue to acquire certain mountain resorts, hotel properties and other businesses complementary to our own, as well as developable land in proximity to our Resorts. Acquisitions are complex to evaluate, execute and integrate. We cannot ensure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w:t>
      </w:r>
    </w:p>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evaluation of the synergies and/or long-term benefits of an acquired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integrate acquired businesses into our operations as planned;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our management’s attention;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left="66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expenditures (including legal, accounting and due diligence expenses, higher administrative costs to support the acquired entities, information technology, personnel and other integration expenses);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increased debt leverage;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issuance of dilutive equity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arising from acquisition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impairment of goodwill, intangible or 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problems or liabilities.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run the risk that any new acquisitions may fail to perform in accordance with expectations, and that estimates of the costs of improvements and integration for such properties may prove inaccurate.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subject us to additional risks.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acquisitions of Whistler Blackcomb in Canada and Perisher, Hotham and Falls Creek in Australia, and potential future international acquisitions, we have and may continue to increase our operations outside of the United States. We are accordingly subject to a number of risks relating to doing business internationally, any of which could significantly harm our business. These risks include:</w:t>
      </w:r>
    </w:p>
    <w:p>
      <w:pPr>
        <w:spacing w:after="0" w:line="21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 on the transfer of funds to and from foreign countries, including potentially negative tax consequences;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political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compliance with international laws and regulations (including anti-corruption regulations, such as the U.S. Foreign Corrupt Practices Act);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data security, including requirements that local customer data be stored locally and not transferred to other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tax treaties and policies.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 could result in significant foreign currency gains and losses and affect our business results.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currency translation risk because the local currency utilized in the operations of Whistler Blackcomb, Perisher, Hotham and Falls Creek are different than our functional currency, the U.S. dollar. As a result, changes in foreign exchange rates, in particular between the Canadian dollar, Australian dollar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our international operations grow and if we acquire additional international resorts.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tax laws and regulations in multiple jurisdictions, and changes to those laws and regulations or interpretations thereof or adverse determinations by tax authorities may adversely affect us.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income and other taxes in the United States and in multiple foreign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the examination of tax returns and other tax matters by the Internal Revenue Service (“IRS”)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Capital Structure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highly volatile.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market price of our stock is highly volatile and subject to wide fluctuations in response to factors such as the following, some of which are beyond our control:</w:t>
      </w:r>
    </w:p>
    <w:p>
      <w:pPr>
        <w:spacing w:after="0" w:line="19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securities analysts and investors;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1" w:name="page32"/>
    <w:bookmarkEnd w:id="31"/>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in valuations, including our real estate held for sale;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overall travel, gaming, hospitality and leisure industries;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 or such guidance provided by us;</w:t>
      </w: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companies in the travel, gaming, hospitality and leisure industries of significant contracts, acquisitions, dispositions, strategic partnerships, joint ventures, capital commitments, plans, prospects, service offerings or operating results;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sales of our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and volume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 factors as discussed herein;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unforeseen events.</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Stock markets in the U.S. have often experienced extreme price and volume fluctuations that are unrelated to the performance of any specific company or industry. Market fluctuations, as well as general political and economic conditions including acts of terrorism, military conflicts, outbreak of a contagious disease, prolonged economic uncertainty, a recession or interest rate or currency rate fluctuations, could adversely affect the market price of our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provide assurance that we will pay dividends, or if paid, that dividend payments will be consistent with historical levels.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generally paid quarterly dividends since fiscal 2011, which are funded through cash flow from operations, available cash on hand and borrowings under our Credit Facilities. The declaration of dividends is subject to the discretion of our Board of Directors,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Eighth Amended and Restated Credit Agreement (the “Vail Holdings Credit Agreement”), any future contractual restrictions, future prospects for earnings and cash flows, as well as other factors considered relevant by our Board of Directors. In addition, our Board of Directors may also suspend the payment of dividends at any time if it deems such action to be in the best interests of the Company and its stockholders. For example, on April 1, 2020, in response to actions taken in response to COVID-19, we announced that our Board of Directors suspended our quarterly dividend for at least two quarters, which such suspension continued throughout Fiscal 2021. Additionally, during the period that we are subject to the Financial Covenants Temporary Waiver Period (See “Risks Relating to Our Capital Structure—Restrictions imposed by the terms of our indebtedness may prevent or limit our future business plans.”), we are prohibited from paying any dividends or making share repurchases, unless (x) no default or potential default exists under the Vail Holdings Credit Agreement and (y) we have liquidity of at least $300.0 million, and the aggregate amount of dividends paid and share repurchases made by us during the Financial Covenants Temporary Waiver Period may not exceed $38.2 million in any fiscal quarter. If we do not pay dividends, the price of our common stock must appreciate for investors to realize a gain on their investment in Vail Resorts, Inc. This appreciation may not occur and our stock may in fact depreciate in value. On September 22, 2021, our Board of Directors approved a cash dividend of $0.88 per share payable on October 22, 2021 to stockholders of record as of October 5, 2021. Additionally, a Canadian dollar equivalent dividend on the Exchangeco Shares will be payable on October 22, 2021 to the shareholders of record as of October 5, 2021. We expect to fund the dividend with available cash on hand and will do so pursuant to the restrictions under the Financial Covenants Temporary Waiver Period.</w:t>
      </w:r>
    </w:p>
    <w:p>
      <w:pPr>
        <w:spacing w:after="0" w:line="200" w:lineRule="exact"/>
        <w:rPr>
          <w:sz w:val="20"/>
          <w:szCs w:val="20"/>
          <w:color w:val="auto"/>
        </w:rPr>
      </w:pP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indebtedness could adversely affect our financial condition and our ability to operate our business, to react to changes in the economy or our industry, to fulfill our obligations under our various notes, to pay our other debts, and could divert our cash flow from operations for debt payments.</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12529"/>
        </w:rPr>
        <w:t xml:space="preserve">We have a substantial amount of debt, which requires significant interest and principal payments. As of July 31, 2021, we had </w:t>
      </w:r>
      <w:r>
        <w:rPr>
          <w:rFonts w:ascii="Arial" w:cs="Arial" w:eastAsia="Arial" w:hAnsi="Arial"/>
          <w:sz w:val="16"/>
          <w:szCs w:val="16"/>
          <w:color w:val="000000"/>
        </w:rPr>
        <w:t>$2.9 billion in total</w:t>
      </w:r>
      <w:r>
        <w:rPr>
          <w:rFonts w:ascii="Arial" w:cs="Arial" w:eastAsia="Arial" w:hAnsi="Arial"/>
          <w:sz w:val="16"/>
          <w:szCs w:val="16"/>
          <w:color w:val="212529"/>
        </w:rPr>
        <w:t xml:space="preserve"> </w:t>
      </w:r>
      <w:r>
        <w:rPr>
          <w:rFonts w:ascii="Arial" w:cs="Arial" w:eastAsia="Arial" w:hAnsi="Arial"/>
          <w:sz w:val="16"/>
          <w:szCs w:val="16"/>
          <w:color w:val="000000"/>
        </w:rPr>
        <w:t xml:space="preserve">indebtedness outstanding. This amount includes (i) </w:t>
      </w:r>
      <w:r>
        <w:rPr>
          <w:rFonts w:ascii="Arial" w:cs="Arial" w:eastAsia="Arial" w:hAnsi="Arial"/>
          <w:sz w:val="16"/>
          <w:szCs w:val="16"/>
          <w:color w:val="212529"/>
        </w:rPr>
        <w:t>$575.0 million in aggregate principal amount of 0.0% convertible notes due 2026 (the “0.0%</w:t>
      </w:r>
      <w:r>
        <w:rPr>
          <w:rFonts w:ascii="Arial" w:cs="Arial" w:eastAsia="Arial" w:hAnsi="Arial"/>
          <w:sz w:val="16"/>
          <w:szCs w:val="16"/>
          <w:color w:val="000000"/>
        </w:rPr>
        <w:t xml:space="preserve"> </w:t>
      </w:r>
      <w:r>
        <w:rPr>
          <w:rFonts w:ascii="Arial" w:cs="Arial" w:eastAsia="Arial" w:hAnsi="Arial"/>
          <w:sz w:val="16"/>
          <w:szCs w:val="16"/>
          <w:color w:val="212529"/>
        </w:rPr>
        <w:t xml:space="preserve">Convertible Notes”), (ii) $600.0 million aggregate principal amount of our unsecured senior notes issued on May 4, 2020 (the “6.25% Notes”), (iii) $1.1 billion of indebtedness pursuant to the term loan facility under the Vail Holdings Credit Agreement, (iv) $44.9 million of indebtedness under our credit agreement at Whistler Blackcomb (the “Whistler Credit Agreement”), (v) $351.8 million with respect to our obligation associated with the Canyons long-term lease, (vi) $114.2 million with respect to the EPR Secured Notes under the master credit and security agreements and other related agreements with EPT Ski Properties, Inc. and its affiliates (“EPR’’), as amended (collectively, the “EPR Agreements’’ and together with the Vail Holdings Credit Agreement and the Whistler Credit Agreement, the “Credit Agreements,’’ and such facilities, the “Credit Facilities’’) and (vii) $51.5 million with respect to the EB-5 development notes under the U.S. EB-5 Program. </w:t>
      </w:r>
      <w:r>
        <w:rPr>
          <w:rFonts w:ascii="Arial" w:cs="Arial" w:eastAsia="Arial" w:hAnsi="Arial"/>
          <w:sz w:val="16"/>
          <w:szCs w:val="16"/>
          <w:color w:val="000000"/>
        </w:rPr>
        <w:t>Our borrowings under the Vail Holdings Credit Agreement are subject to interest rate changes</w:t>
      </w:r>
      <w:r>
        <w:rPr>
          <w:rFonts w:ascii="Arial" w:cs="Arial" w:eastAsia="Arial" w:hAnsi="Arial"/>
          <w:sz w:val="16"/>
          <w:szCs w:val="16"/>
          <w:color w:val="212529"/>
        </w:rPr>
        <w:t xml:space="preserve"> </w:t>
      </w:r>
      <w:r>
        <w:rPr>
          <w:rFonts w:ascii="Arial" w:cs="Arial" w:eastAsia="Arial" w:hAnsi="Arial"/>
          <w:sz w:val="16"/>
          <w:szCs w:val="16"/>
          <w:color w:val="000000"/>
        </w:rPr>
        <w:t>substantially increasing our risk to changes in interest rates. Borrowings under the Vail Holdings Credit Agreement, including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96" w:lineRule="auto"/>
        <w:rPr>
          <w:sz w:val="20"/>
          <w:szCs w:val="20"/>
          <w:color w:val="auto"/>
        </w:rPr>
      </w:pPr>
      <w:r>
        <w:rPr>
          <w:rFonts w:ascii="Arial" w:cs="Arial" w:eastAsia="Arial" w:hAnsi="Arial"/>
          <w:sz w:val="16"/>
          <w:szCs w:val="16"/>
          <w:color w:val="auto"/>
        </w:rPr>
        <w:t>the term loan facility, currently bear interest annually at a rate of LIBOR plus 2.50% and, for amounts in excess of $400.0 million, LIBOR is subject to a floor of 0.25% (during the Financial Covenants Temporary Waiver Period, as defined below). Subsequent to the expiration of the Financial Covenants Temporary Waiver Period (as defined below), interest rate margins may fluctuate based upon the ratio of our Net Funded Debt to Adjusted EBITDA on a trailing four-quarter basis. We also have, on a cumulative basis, minimum lease payment obligations under operating leases of approximately $297.8 million as of July 31, 2021. Our level of indebtedness and minimum lease payment obligations could have important consequences. For example, it could:</w:t>
      </w:r>
    </w:p>
    <w:p>
      <w:pPr>
        <w:spacing w:after="0" w:line="18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outstanding debt;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including the annual payments under the Canyons lease, thereby reducing the availability of our cash flow to fund working capital, capital expenditures, real estate developments, marketing efforts and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limit our ability to borrow additional funds, refinance debt, or obtain additional financing for working capital, capital expenditures, debt service requirements, acquisitions or other general corporate purposes;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make it difficult for us to satisfy our obligations, including debt service requirements under our outstanding debt;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cause potential or existing customers to not contract with us due to concerns over our ability to meet our financial obligations, such as insuring against our professional liability risks, under such contracts.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 xml:space="preserve">Furthermore, our debt under our Credit Facilities bears interest at variable rates, which may be impacted by potential future changes in interest rates due to reference rate reform. </w:t>
      </w:r>
      <w:r>
        <w:rPr>
          <w:rFonts w:ascii="Arial" w:cs="Arial" w:eastAsia="Arial" w:hAnsi="Arial"/>
          <w:sz w:val="17"/>
          <w:szCs w:val="17"/>
          <w:color w:val="000000"/>
        </w:rPr>
        <w:t>We may be able to incur additional indebtedness in the future. The terms of our Credit Facilities, the 0.0% Convertible Notes and the</w:t>
      </w:r>
      <w:r>
        <w:rPr>
          <w:rFonts w:ascii="Arial" w:cs="Arial" w:eastAsia="Arial" w:hAnsi="Arial"/>
          <w:sz w:val="17"/>
          <w:szCs w:val="17"/>
          <w:color w:val="212529"/>
        </w:rPr>
        <w:t xml:space="preserve"> </w:t>
      </w:r>
      <w:r>
        <w:rPr>
          <w:rFonts w:ascii="Arial" w:cs="Arial" w:eastAsia="Arial" w:hAnsi="Arial"/>
          <w:sz w:val="17"/>
          <w:szCs w:val="17"/>
          <w:color w:val="000000"/>
        </w:rPr>
        <w:t>6.25% Notes do not fully prohibit us from doing so. If we incur additional debt, the related risks that we face could intensify.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imposed by the terms of our indebtedness may prevent us from capitalizing on business opportunities.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operating and financial restrictions and covenants in our Credit Facilities and the indenture governing the 6.25% Notes may adversely affect our ability to finance future operations or capital needs or to engage in other business activities and strategic initiatives that may be in our long-term best interests.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Credit Facilities impose significant operating and financial restrictions on us. These restrictions limit our ability and the ability of our subsidiaries to, among other things:</w:t>
      </w:r>
    </w:p>
    <w:p>
      <w:pPr>
        <w:spacing w:after="0" w:line="19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or guarantee additional debt or issue capital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and make other distributions on, or redeem or repurchase,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enter into agreements that restrict the ability of subsidiaries to make dividends, distributions or other payments to us or the guarantors;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designate restricted subsidiaries as unrestricted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28, 2020 and most recently amended on December 18, 2020, we entered into an amendment to the Vail Holdings Credit Agreement, pursuant to which we are exempt from complying with the agreement’s maximum leverage ratio and minimum interest coverage ratio financial maintenance covenants for each of the fiscal quarters ending July 31, 2020 through January 31, 2022 (unless we make a one-time irrevocable election to terminate such exemption period prior to such date) (such period, the “Financial Covenants Temporary Waiver Period”), after which we will again be required to comply with such covenants starting with the fiscal quarter ending April 30, 2022 (or such earlier fiscal quarter as elected by us). Additionally, pursuant to this amendment, we are required to comply with a monthly minimum liquidity test (defined as unrestricted cash and temporary cash investments of Vail Resorts, Inc. and its restricted subsidiaries and available commitments under our revolving credit facility) of not less than $150.0 million until such date that Vail Holdings, Inc. delivers a compliance certificate for the Company and its subsidiaries’ first fiscal quarter following the end of the Financial Covenants Temporary Waiver Period.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During the Financial Covenants Temporary Waiver Period, we are prohibited from taking the following actions (unless majority approval of the lenders is obtained under the Vail Holdings Credit Agreement):</w:t>
      </w:r>
    </w:p>
    <w:p>
      <w:pPr>
        <w:spacing w:after="0" w:line="19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paying any dividends or making share repurchases, unless (x) no default or potential default exists under the Vail Holdings Credit Agreement and</w:t>
      </w:r>
    </w:p>
    <w:p>
      <w:pPr>
        <w:spacing w:after="0" w:line="46" w:lineRule="exact"/>
        <w:rPr>
          <w:rFonts w:ascii="Arial" w:cs="Arial" w:eastAsia="Arial" w:hAnsi="Arial"/>
          <w:sz w:val="16"/>
          <w:szCs w:val="16"/>
          <w:color w:val="auto"/>
        </w:rPr>
      </w:pPr>
    </w:p>
    <w:p>
      <w:pPr>
        <w:ind w:left="660"/>
        <w:spacing w:after="0" w:line="250" w:lineRule="auto"/>
        <w:rPr>
          <w:rFonts w:ascii="Arial" w:cs="Arial" w:eastAsia="Arial" w:hAnsi="Arial"/>
          <w:sz w:val="16"/>
          <w:szCs w:val="16"/>
          <w:color w:val="auto"/>
        </w:rPr>
      </w:pPr>
      <w:r>
        <w:rPr>
          <w:rFonts w:ascii="Arial" w:cs="Arial" w:eastAsia="Arial" w:hAnsi="Arial"/>
          <w:sz w:val="18"/>
          <w:szCs w:val="18"/>
          <w:color w:val="auto"/>
        </w:rPr>
        <w:t>(y) the Company has liquidity of at least $300.0 million, and the aggregate amount of dividends paid and share repurchases made by the Company during the Financial Covenants Temporary Waiver Period may not exceed $38.2 million in any fiscal quarter;</w:t>
      </w: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incurring any indebtedness secured by the collateral under the Vail Holdings Credit Agreement other than pursuant to the existing revolving commitments under the Vail Holdings Credit Agreement; and</w:t>
      </w:r>
    </w:p>
    <w:p>
      <w:pPr>
        <w:ind w:left="660" w:right="20" w:hanging="328"/>
        <w:spacing w:after="0" w:line="26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making certain non-ordinary course investments in similar businesses, joint ventures and unrestricted subsidiaries unless the Company has liquidity of at least $300.0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indenture governing the 6.25% Notes contains a number of significant restrictions and covenants that limit our ability to:</w:t>
      </w:r>
    </w:p>
    <w:p>
      <w:pPr>
        <w:spacing w:after="0" w:line="6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 or permit liens;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sale/leaseback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a consolidation or merger, or sell, transfer or otherwise dispose of all or substantially all of our assets.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Whistler Credit Agreement contains restrictions on the ability of Whistler Mountain Resort Limited Partnership and Blackcomb Skiing Enterprises Limited Partnership (together “The WB Partnerships”) and their respective subsidiaries, and the EPR Agreements contain restrictions on the ability of Peak Resorts and its subsidiaries, to make dividends, distributions or other payments to us or the guarantors. We and our subsidiaries are subject to other covenants, representations and warranties in respect of our Credit Facilities, including financial covenants as defined in the Credit Agreements. Events beyond our control, including the impact of the ongoing COVID-19 pandemic, may affect our ability to comply with these covenants.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may not be able to maintain compliance with our financial covenants in the future and, if we fail to do so, we may not be able to obtain waivers from the lenders and/or amend the covenants.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can be no assurance that we will meet the financial covenants contained in our Credit Facilities, when in effect. If we breach any of these restrictions or covenants, or suffer a material adverse change which restricts our borrowing ability under our Credit Facilities, we would not be able to borrow funds thereunder without a waiver. Any inability to borrow could have an adverse effect on our business, financial condition and results of operations. In addition, a breach, if uncured, could cause a default under the applicable agreement(s) governing our indebtedness, in which case such we may be required to repay these borrowings before their due date. We may not have or be able to obtain sufficient funds to make these accelerated payments. If we are forced to refinance these borrowings on less favorable terms or cannot refinance these borrowings, our results of operations and financial condition could be adversely affected.</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not continue to repurchase our common stock pursuant to our share repurchase program, and any such repurchases may not enhance long-term stockholder value. Share repurchases could also increase the volatility of the price of our common stock and could diminish our cash reserves.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2006, our Board of Directors approved a share repurchase program, authorizing the Company to repurchase up to 3,000,000 shares of common stock. In July 2008, the Board of Directors increased the authorization by an additional 3,000,000 shares, and in December 2015, the Board increased the authorization by an additional 1,500,000 shares for a total authorization to repurchase up to 7,500,000 shares. Since inception of its share repurchase program through July 31, 2021, the Company has repurchased 6,161,141 shares at a cost of approximately $404.4 million. As of July 31, 2021, 1,338,859 shares remained available to repurchase under the existing share repurchase program which has no expiration date.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our Board of Directors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our liquidity and capital resources,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There can be no assurance that any share repurchases will enhance stockholder value because the market price of</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spacing w:after="0" w:line="342" w:lineRule="auto"/>
        <w:rPr>
          <w:sz w:val="20"/>
          <w:szCs w:val="20"/>
          <w:color w:val="auto"/>
        </w:rPr>
      </w:pPr>
      <w:r>
        <w:rPr>
          <w:rFonts w:ascii="Arial" w:cs="Arial" w:eastAsia="Arial" w:hAnsi="Arial"/>
          <w:sz w:val="16"/>
          <w:szCs w:val="16"/>
          <w:color w:val="auto"/>
        </w:rPr>
        <w:t>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litigation in the ordinary course of business.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from time to time, subject to various asserted or unasserted legal proceedings and claims. Any such proceedings or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provide any assurance that the outcome of all current or future litigation proceedings and claims will not have a material adverse effect on us and our results of operations.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complex and evolving accounting regulations and use certain estimates and judgments that may differ significantly from actual results.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Implementation of existing and future legislation, rulings, standards and interpretations from the Financial Accounting Standards Board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use many methods, estimates and judgments in applying our accounting policies (see “Critical Accounting Policies” in Item 7 of this Form 10-K).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affecting us could prevent or delay a change of control that is beneficial to our stockholders.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Provisions of our certificate of 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21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 defer or prevent a change in control of our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discourage bids for our securities at a premium over the market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adversely affect the market price of, and the voting and other rights of the holders of our securities;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impede the ability of the holders of our securities to change our management.</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principal properties that we own or lease for use in our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25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Ownership</w:t>
            </w:r>
          </w:p>
        </w:tc>
        <w:tc>
          <w:tcPr>
            <w:tcW w:w="50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Use</w:t>
            </w:r>
          </w:p>
        </w:tc>
      </w:tr>
      <w:tr>
        <w:trPr>
          <w:trHeight w:val="165"/>
        </w:trPr>
        <w:tc>
          <w:tcPr>
            <w:tcW w:w="36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Afton Alps, MN</w:t>
            </w:r>
          </w:p>
        </w:tc>
        <w:tc>
          <w:tcPr>
            <w:tcW w:w="2520" w:type="dxa"/>
            <w:vAlign w:val="bottom"/>
            <w:shd w:val="clear" w:color="auto" w:fill="CCEEFF"/>
          </w:tcPr>
          <w:p>
            <w:pPr>
              <w:ind w:left="1340"/>
              <w:spacing w:after="0" w:line="165" w:lineRule="exact"/>
              <w:rPr>
                <w:sz w:val="20"/>
                <w:szCs w:val="20"/>
                <w:color w:val="auto"/>
              </w:rPr>
            </w:pPr>
            <w:r>
              <w:rPr>
                <w:rFonts w:ascii="Arial" w:cs="Arial" w:eastAsia="Arial" w:hAnsi="Arial"/>
                <w:sz w:val="16"/>
                <w:szCs w:val="16"/>
                <w:color w:val="auto"/>
              </w:rPr>
              <w:t>Owned</w:t>
            </w:r>
          </w:p>
        </w:tc>
        <w:tc>
          <w:tcPr>
            <w:tcW w:w="5060" w:type="dxa"/>
            <w:vAlign w:val="bottom"/>
            <w:shd w:val="clear" w:color="auto" w:fill="CCEEFF"/>
          </w:tcPr>
          <w:p>
            <w:pPr>
              <w:ind w:left="360"/>
              <w:spacing w:after="0" w:line="165" w:lineRule="exact"/>
              <w:rPr>
                <w:sz w:val="20"/>
                <w:szCs w:val="20"/>
                <w:color w:val="auto"/>
              </w:rPr>
            </w:pPr>
            <w:r>
              <w:rPr>
                <w:rFonts w:ascii="Arial" w:cs="Arial" w:eastAsia="Arial" w:hAnsi="Arial"/>
                <w:sz w:val="16"/>
                <w:szCs w:val="16"/>
                <w:color w:val="auto"/>
                <w:w w:val="94"/>
              </w:rPr>
              <w:t>Ski resort operations, including ski lifts, ski trails, clubhouse, buildings,</w:t>
            </w:r>
          </w:p>
        </w:tc>
      </w:tr>
      <w:tr>
        <w:trPr>
          <w:trHeight w:val="212"/>
        </w:trPr>
        <w:tc>
          <w:tcPr>
            <w:tcW w:w="36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commercial space and other improvements</w:t>
            </w:r>
          </w:p>
        </w:tc>
      </w:tr>
      <w:tr>
        <w:trPr>
          <w:trHeight w:val="166"/>
        </w:trPr>
        <w:tc>
          <w:tcPr>
            <w:tcW w:w="3620" w:type="dxa"/>
            <w:vAlign w:val="bottom"/>
          </w:tcPr>
          <w:p>
            <w:pPr>
              <w:ind w:left="20"/>
              <w:spacing w:after="0" w:line="166" w:lineRule="exact"/>
              <w:rPr>
                <w:sz w:val="20"/>
                <w:szCs w:val="20"/>
                <w:color w:val="auto"/>
              </w:rPr>
            </w:pPr>
            <w:r>
              <w:rPr>
                <w:rFonts w:ascii="Arial" w:cs="Arial" w:eastAsia="Arial" w:hAnsi="Arial"/>
                <w:sz w:val="16"/>
                <w:szCs w:val="16"/>
                <w:color w:val="auto"/>
              </w:rPr>
              <w:t>Alpine Valley Resort, OH</w:t>
            </w:r>
          </w:p>
        </w:tc>
        <w:tc>
          <w:tcPr>
            <w:tcW w:w="2520" w:type="dxa"/>
            <w:vAlign w:val="bottom"/>
          </w:tcPr>
          <w:p>
            <w:pPr>
              <w:ind w:left="1340"/>
              <w:spacing w:after="0" w:line="166" w:lineRule="exact"/>
              <w:rPr>
                <w:sz w:val="20"/>
                <w:szCs w:val="20"/>
                <w:color w:val="auto"/>
              </w:rPr>
            </w:pPr>
            <w:r>
              <w:rPr>
                <w:rFonts w:ascii="Arial" w:cs="Arial" w:eastAsia="Arial" w:hAnsi="Arial"/>
                <w:sz w:val="16"/>
                <w:szCs w:val="16"/>
                <w:color w:val="auto"/>
              </w:rPr>
              <w:t>Owned</w:t>
            </w:r>
          </w:p>
        </w:tc>
        <w:tc>
          <w:tcPr>
            <w:tcW w:w="5060" w:type="dxa"/>
            <w:vAlign w:val="bottom"/>
          </w:tcPr>
          <w:p>
            <w:pPr>
              <w:ind w:left="360"/>
              <w:spacing w:after="0" w:line="166" w:lineRule="exact"/>
              <w:rPr>
                <w:sz w:val="20"/>
                <w:szCs w:val="20"/>
                <w:color w:val="auto"/>
              </w:rPr>
            </w:pPr>
            <w:r>
              <w:rPr>
                <w:rFonts w:ascii="Arial" w:cs="Arial" w:eastAsia="Arial" w:hAnsi="Arial"/>
                <w:sz w:val="16"/>
                <w:szCs w:val="16"/>
                <w:color w:val="auto"/>
              </w:rPr>
              <w:t>Ski resort operations, including ski lifts, ski trails, golf course,</w:t>
            </w:r>
          </w:p>
        </w:tc>
      </w:tr>
      <w:tr>
        <w:trPr>
          <w:trHeight w:val="209"/>
        </w:trPr>
        <w:tc>
          <w:tcPr>
            <w:tcW w:w="3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6"/>
                <w:szCs w:val="16"/>
                <w:color w:val="auto"/>
              </w:rPr>
              <w:t>clubhouse, buildings, commercial space and other improvements</w:t>
            </w: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Arrowhead Mountain, CO</w:t>
            </w:r>
          </w:p>
        </w:tc>
        <w:tc>
          <w:tcPr>
            <w:tcW w:w="2520" w:type="dxa"/>
            <w:vAlign w:val="bottom"/>
            <w:shd w:val="clear" w:color="auto" w:fill="CCEEFF"/>
          </w:tcPr>
          <w:p>
            <w:pPr>
              <w:ind w:left="1340"/>
              <w:spacing w:after="0" w:line="169" w:lineRule="exact"/>
              <w:rPr>
                <w:sz w:val="20"/>
                <w:szCs w:val="20"/>
                <w:color w:val="auto"/>
              </w:rPr>
            </w:pPr>
            <w:r>
              <w:rPr>
                <w:rFonts w:ascii="Arial" w:cs="Arial" w:eastAsia="Arial" w:hAnsi="Arial"/>
                <w:sz w:val="16"/>
                <w:szCs w:val="16"/>
                <w:color w:val="auto"/>
              </w:rPr>
              <w:t>Owned</w:t>
            </w:r>
          </w:p>
        </w:tc>
        <w:tc>
          <w:tcPr>
            <w:tcW w:w="50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12"/>
        </w:trPr>
        <w:tc>
          <w:tcPr>
            <w:tcW w:w="36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improvements, property management and commercial space</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Attitash Mountain, NH (279 acres)</w:t>
            </w:r>
          </w:p>
        </w:tc>
        <w:tc>
          <w:tcPr>
            <w:tcW w:w="2520" w:type="dxa"/>
            <w:vAlign w:val="bottom"/>
          </w:tcPr>
          <w:p>
            <w:pPr>
              <w:ind w:left="1340"/>
              <w:spacing w:after="0"/>
              <w:rPr>
                <w:sz w:val="20"/>
                <w:szCs w:val="20"/>
                <w:color w:val="auto"/>
              </w:rPr>
            </w:pPr>
            <w:r>
              <w:rPr>
                <w:rFonts w:ascii="Arial" w:cs="Arial" w:eastAsia="Arial" w:hAnsi="Arial"/>
                <w:sz w:val="16"/>
                <w:szCs w:val="16"/>
                <w:color w:val="auto"/>
              </w:rPr>
              <w:t>SUP</w:t>
            </w:r>
          </w:p>
        </w:tc>
        <w:tc>
          <w:tcPr>
            <w:tcW w:w="5060" w:type="dxa"/>
            <w:vAlign w:val="bottom"/>
          </w:tcPr>
          <w:p>
            <w:pPr>
              <w:ind w:left="36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BC Housing RiverEdge, CO</w:t>
            </w:r>
          </w:p>
        </w:tc>
        <w:tc>
          <w:tcPr>
            <w:tcW w:w="252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26% Owned</w:t>
            </w: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housing facilities</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8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Ownership</w:t>
            </w:r>
          </w:p>
        </w:tc>
        <w:tc>
          <w:tcPr>
            <w:tcW w:w="4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Use</w:t>
            </w:r>
          </w:p>
        </w:tc>
      </w:tr>
      <w:tr>
        <w:trPr>
          <w:trHeight w:val="165"/>
        </w:trPr>
        <w:tc>
          <w:tcPr>
            <w:tcW w:w="4420" w:type="dxa"/>
            <w:vAlign w:val="bottom"/>
          </w:tcPr>
          <w:p>
            <w:pPr>
              <w:ind w:left="20"/>
              <w:spacing w:after="0" w:line="165" w:lineRule="exact"/>
              <w:rPr>
                <w:sz w:val="20"/>
                <w:szCs w:val="20"/>
                <w:color w:val="auto"/>
              </w:rPr>
            </w:pPr>
            <w:r>
              <w:rPr>
                <w:rFonts w:ascii="Arial" w:cs="Arial" w:eastAsia="Arial" w:hAnsi="Arial"/>
                <w:sz w:val="16"/>
                <w:szCs w:val="16"/>
                <w:color w:val="auto"/>
              </w:rPr>
              <w:t>Bachelor Gulch Village, CO</w:t>
            </w:r>
          </w:p>
        </w:tc>
        <w:tc>
          <w:tcPr>
            <w:tcW w:w="1800" w:type="dxa"/>
            <w:vAlign w:val="bottom"/>
          </w:tcPr>
          <w:p>
            <w:pPr>
              <w:ind w:left="540"/>
              <w:spacing w:after="0" w:line="165" w:lineRule="exact"/>
              <w:rPr>
                <w:sz w:val="20"/>
                <w:szCs w:val="20"/>
                <w:color w:val="auto"/>
              </w:rPr>
            </w:pPr>
            <w:r>
              <w:rPr>
                <w:rFonts w:ascii="Arial" w:cs="Arial" w:eastAsia="Arial" w:hAnsi="Arial"/>
                <w:sz w:val="16"/>
                <w:szCs w:val="16"/>
                <w:color w:val="auto"/>
              </w:rPr>
              <w:t>Owned</w:t>
            </w:r>
          </w:p>
        </w:tc>
        <w:tc>
          <w:tcPr>
            <w:tcW w:w="4980" w:type="dxa"/>
            <w:vAlign w:val="bottom"/>
          </w:tcPr>
          <w:p>
            <w:pPr>
              <w:ind w:left="280"/>
              <w:spacing w:after="0" w:line="165"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9"/>
        </w:trPr>
        <w:tc>
          <w:tcPr>
            <w:tcW w:w="4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Arial" w:cs="Arial" w:eastAsia="Arial" w:hAnsi="Arial"/>
                <w:sz w:val="16"/>
                <w:szCs w:val="16"/>
                <w:color w:val="auto"/>
              </w:rPr>
              <w:t>improvements, property management and commercial space</w:t>
            </w:r>
          </w:p>
        </w:tc>
      </w:tr>
      <w:tr>
        <w:trPr>
          <w:trHeight w:val="169"/>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Beaver Creek Resort, CO</w:t>
            </w:r>
          </w:p>
        </w:tc>
        <w:tc>
          <w:tcPr>
            <w:tcW w:w="1800" w:type="dxa"/>
            <w:vAlign w:val="bottom"/>
            <w:shd w:val="clear" w:color="auto" w:fill="CCEEFF"/>
          </w:tcPr>
          <w:p>
            <w:pPr>
              <w:ind w:left="540"/>
              <w:spacing w:after="0" w:line="169" w:lineRule="exact"/>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line="169"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162"/>
        </w:trPr>
        <w:tc>
          <w:tcPr>
            <w:tcW w:w="44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4980" w:type="dxa"/>
            <w:vAlign w:val="bottom"/>
            <w:shd w:val="clear" w:color="auto" w:fill="CCEEFF"/>
          </w:tcPr>
          <w:p>
            <w:pPr>
              <w:ind w:left="280"/>
              <w:spacing w:after="0" w:line="162" w:lineRule="exact"/>
              <w:rPr>
                <w:sz w:val="20"/>
                <w:szCs w:val="20"/>
                <w:color w:val="auto"/>
              </w:rPr>
            </w:pPr>
            <w:r>
              <w:rPr>
                <w:rFonts w:ascii="Arial" w:cs="Arial" w:eastAsia="Arial" w:hAnsi="Arial"/>
                <w:sz w:val="16"/>
                <w:szCs w:val="16"/>
                <w:color w:val="auto"/>
                <w:w w:val="91"/>
              </w:rPr>
              <w:t>improvements, property management, commercial space and real estate</w:t>
            </w:r>
          </w:p>
        </w:tc>
      </w:tr>
      <w:tr>
        <w:trPr>
          <w:trHeight w:val="212"/>
        </w:trPr>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held for sale or development</w:t>
            </w:r>
          </w:p>
        </w:tc>
      </w:tr>
      <w:tr>
        <w:trPr>
          <w:trHeight w:val="166"/>
        </w:trPr>
        <w:tc>
          <w:tcPr>
            <w:tcW w:w="4420" w:type="dxa"/>
            <w:vAlign w:val="bottom"/>
          </w:tcPr>
          <w:p>
            <w:pPr>
              <w:ind w:left="20"/>
              <w:spacing w:after="0" w:line="166" w:lineRule="exact"/>
              <w:rPr>
                <w:sz w:val="20"/>
                <w:szCs w:val="20"/>
                <w:color w:val="auto"/>
              </w:rPr>
            </w:pPr>
            <w:r>
              <w:rPr>
                <w:rFonts w:ascii="Arial" w:cs="Arial" w:eastAsia="Arial" w:hAnsi="Arial"/>
                <w:sz w:val="16"/>
                <w:szCs w:val="16"/>
                <w:color w:val="auto"/>
              </w:rPr>
              <w:t>Beaver Creek Mountain, CO (3,849</w:t>
            </w:r>
          </w:p>
        </w:tc>
        <w:tc>
          <w:tcPr>
            <w:tcW w:w="1800" w:type="dxa"/>
            <w:vAlign w:val="bottom"/>
          </w:tcPr>
          <w:p>
            <w:pPr>
              <w:ind w:left="540"/>
              <w:spacing w:after="0" w:line="166" w:lineRule="exact"/>
              <w:rPr>
                <w:sz w:val="20"/>
                <w:szCs w:val="20"/>
                <w:color w:val="auto"/>
              </w:rPr>
            </w:pPr>
            <w:r>
              <w:rPr>
                <w:rFonts w:ascii="Arial" w:cs="Arial" w:eastAsia="Arial" w:hAnsi="Arial"/>
                <w:sz w:val="16"/>
                <w:szCs w:val="16"/>
                <w:color w:val="auto"/>
              </w:rPr>
              <w:t>SUP</w:t>
            </w:r>
          </w:p>
        </w:tc>
        <w:tc>
          <w:tcPr>
            <w:tcW w:w="4980" w:type="dxa"/>
            <w:vAlign w:val="bottom"/>
          </w:tcPr>
          <w:p>
            <w:pPr>
              <w:ind w:left="280"/>
              <w:spacing w:after="0" w:line="166" w:lineRule="exact"/>
              <w:rPr>
                <w:sz w:val="20"/>
                <w:szCs w:val="20"/>
                <w:color w:val="auto"/>
              </w:rPr>
            </w:pPr>
            <w:r>
              <w:rPr>
                <w:rFonts w:ascii="Arial" w:cs="Arial" w:eastAsia="Arial" w:hAnsi="Arial"/>
                <w:sz w:val="16"/>
                <w:szCs w:val="16"/>
                <w:color w:val="auto"/>
              </w:rPr>
              <w:t>Ski trails, ski lifts, buildings and other improvements</w:t>
            </w: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acres)</w:t>
            </w:r>
          </w:p>
        </w:tc>
        <w:tc>
          <w:tcPr>
            <w:tcW w:w="180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169"/>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Beaver Creek Mountain Resort, CO</w:t>
            </w:r>
          </w:p>
        </w:tc>
        <w:tc>
          <w:tcPr>
            <w:tcW w:w="1800" w:type="dxa"/>
            <w:vAlign w:val="bottom"/>
            <w:shd w:val="clear" w:color="auto" w:fill="CCEEFF"/>
          </w:tcPr>
          <w:p>
            <w:pPr>
              <w:ind w:left="540"/>
              <w:spacing w:after="0" w:line="169" w:lineRule="exact"/>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line="169" w:lineRule="exact"/>
              <w:rPr>
                <w:sz w:val="20"/>
                <w:szCs w:val="20"/>
                <w:color w:val="auto"/>
              </w:rPr>
            </w:pPr>
            <w:r>
              <w:rPr>
                <w:rFonts w:ascii="Arial" w:cs="Arial" w:eastAsia="Arial" w:hAnsi="Arial"/>
                <w:sz w:val="16"/>
                <w:szCs w:val="16"/>
                <w:color w:val="auto"/>
                <w:w w:val="91"/>
              </w:rPr>
              <w:t>Golf course, clubhouse, commercial space and residential condominium</w:t>
            </w:r>
          </w:p>
        </w:tc>
      </w:tr>
      <w:tr>
        <w:trPr>
          <w:trHeight w:val="212"/>
        </w:trPr>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units</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Big Boulder Mountain, PA</w:t>
            </w:r>
          </w:p>
        </w:tc>
        <w:tc>
          <w:tcPr>
            <w:tcW w:w="1800" w:type="dxa"/>
            <w:vAlign w:val="bottom"/>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tcPr>
          <w:p>
            <w:pPr>
              <w:ind w:left="28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Boston Mills/Brandywine, OH</w:t>
            </w:r>
          </w:p>
        </w:tc>
        <w:tc>
          <w:tcPr>
            <w:tcW w:w="1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420" w:type="dxa"/>
            <w:vAlign w:val="bottom"/>
          </w:tcPr>
          <w:p>
            <w:pPr>
              <w:ind w:left="20"/>
              <w:spacing w:after="0" w:line="166" w:lineRule="exact"/>
              <w:rPr>
                <w:sz w:val="20"/>
                <w:szCs w:val="20"/>
                <w:color w:val="auto"/>
              </w:rPr>
            </w:pPr>
            <w:r>
              <w:rPr>
                <w:rFonts w:ascii="Arial" w:cs="Arial" w:eastAsia="Arial" w:hAnsi="Arial"/>
                <w:sz w:val="16"/>
                <w:szCs w:val="16"/>
                <w:color w:val="auto"/>
              </w:rPr>
              <w:t>Breckenridge Ski Resort, CO</w:t>
            </w:r>
          </w:p>
        </w:tc>
        <w:tc>
          <w:tcPr>
            <w:tcW w:w="1800" w:type="dxa"/>
            <w:vAlign w:val="bottom"/>
          </w:tcPr>
          <w:p>
            <w:pPr>
              <w:ind w:left="540"/>
              <w:spacing w:after="0" w:line="166" w:lineRule="exact"/>
              <w:rPr>
                <w:sz w:val="20"/>
                <w:szCs w:val="20"/>
                <w:color w:val="auto"/>
              </w:rPr>
            </w:pPr>
            <w:r>
              <w:rPr>
                <w:rFonts w:ascii="Arial" w:cs="Arial" w:eastAsia="Arial" w:hAnsi="Arial"/>
                <w:sz w:val="16"/>
                <w:szCs w:val="16"/>
                <w:color w:val="auto"/>
              </w:rPr>
              <w:t>Owned</w:t>
            </w:r>
          </w:p>
        </w:tc>
        <w:tc>
          <w:tcPr>
            <w:tcW w:w="4980" w:type="dxa"/>
            <w:vAlign w:val="bottom"/>
          </w:tcPr>
          <w:p>
            <w:pPr>
              <w:ind w:left="280"/>
              <w:spacing w:after="0" w:line="166"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162"/>
        </w:trPr>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980" w:type="dxa"/>
            <w:vAlign w:val="bottom"/>
          </w:tcPr>
          <w:p>
            <w:pPr>
              <w:ind w:left="280"/>
              <w:spacing w:after="0" w:line="162" w:lineRule="exact"/>
              <w:rPr>
                <w:sz w:val="20"/>
                <w:szCs w:val="20"/>
                <w:color w:val="auto"/>
              </w:rPr>
            </w:pPr>
            <w:r>
              <w:rPr>
                <w:rFonts w:ascii="Arial" w:cs="Arial" w:eastAsia="Arial" w:hAnsi="Arial"/>
                <w:sz w:val="16"/>
                <w:szCs w:val="16"/>
                <w:color w:val="auto"/>
                <w:w w:val="91"/>
              </w:rPr>
              <w:t>improvements, property management, commercial space and real estate</w:t>
            </w:r>
          </w:p>
        </w:tc>
      </w:tr>
      <w:tr>
        <w:trPr>
          <w:trHeight w:val="209"/>
        </w:trPr>
        <w:tc>
          <w:tcPr>
            <w:tcW w:w="4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Arial" w:cs="Arial" w:eastAsia="Arial" w:hAnsi="Arial"/>
                <w:sz w:val="16"/>
                <w:szCs w:val="16"/>
                <w:color w:val="auto"/>
              </w:rPr>
              <w:t>held for sale or development</w:t>
            </w:r>
          </w:p>
        </w:tc>
      </w:tr>
      <w:tr>
        <w:trPr>
          <w:trHeight w:val="169"/>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Breckenridge Mountain, CO (5,702</w:t>
            </w:r>
          </w:p>
        </w:tc>
        <w:tc>
          <w:tcPr>
            <w:tcW w:w="1800" w:type="dxa"/>
            <w:vAlign w:val="bottom"/>
            <w:shd w:val="clear" w:color="auto" w:fill="CCEEFF"/>
          </w:tcPr>
          <w:p>
            <w:pPr>
              <w:ind w:left="540"/>
              <w:spacing w:after="0" w:line="169" w:lineRule="exact"/>
              <w:rPr>
                <w:sz w:val="20"/>
                <w:szCs w:val="20"/>
                <w:color w:val="auto"/>
              </w:rPr>
            </w:pPr>
            <w:r>
              <w:rPr>
                <w:rFonts w:ascii="Arial" w:cs="Arial" w:eastAsia="Arial" w:hAnsi="Arial"/>
                <w:sz w:val="16"/>
                <w:szCs w:val="16"/>
                <w:color w:val="auto"/>
              </w:rPr>
              <w:t>SUP</w:t>
            </w:r>
          </w:p>
        </w:tc>
        <w:tc>
          <w:tcPr>
            <w:tcW w:w="4980" w:type="dxa"/>
            <w:vAlign w:val="bottom"/>
            <w:shd w:val="clear" w:color="auto" w:fill="CCEEFF"/>
          </w:tcPr>
          <w:p>
            <w:pPr>
              <w:ind w:left="280"/>
              <w:spacing w:after="0" w:line="169" w:lineRule="exact"/>
              <w:rPr>
                <w:sz w:val="20"/>
                <w:szCs w:val="20"/>
                <w:color w:val="auto"/>
              </w:rPr>
            </w:pPr>
            <w:r>
              <w:rPr>
                <w:rFonts w:ascii="Arial" w:cs="Arial" w:eastAsia="Arial" w:hAnsi="Arial"/>
                <w:sz w:val="16"/>
                <w:szCs w:val="16"/>
                <w:color w:val="auto"/>
              </w:rPr>
              <w:t>Ski trails, ski lifts, buildings and other improvements</w:t>
            </w: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acres)</w:t>
            </w:r>
          </w:p>
        </w:tc>
        <w:tc>
          <w:tcPr>
            <w:tcW w:w="18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Breckenridge Terrace, CO</w:t>
            </w:r>
          </w:p>
        </w:tc>
        <w:tc>
          <w:tcPr>
            <w:tcW w:w="1800" w:type="dxa"/>
            <w:vAlign w:val="bottom"/>
          </w:tcPr>
          <w:p>
            <w:pPr>
              <w:ind w:left="540"/>
              <w:spacing w:after="0"/>
              <w:rPr>
                <w:sz w:val="20"/>
                <w:szCs w:val="20"/>
                <w:color w:val="auto"/>
              </w:rPr>
            </w:pPr>
            <w:r>
              <w:rPr>
                <w:rFonts w:ascii="Arial" w:cs="Arial" w:eastAsia="Arial" w:hAnsi="Arial"/>
                <w:sz w:val="16"/>
                <w:szCs w:val="16"/>
                <w:color w:val="auto"/>
              </w:rPr>
              <w:t>50% Owned</w:t>
            </w:r>
          </w:p>
        </w:tc>
        <w:tc>
          <w:tcPr>
            <w:tcW w:w="4980" w:type="dxa"/>
            <w:vAlign w:val="bottom"/>
          </w:tcPr>
          <w:p>
            <w:pPr>
              <w:ind w:left="280"/>
              <w:spacing w:after="0"/>
              <w:rPr>
                <w:sz w:val="20"/>
                <w:szCs w:val="20"/>
                <w:color w:val="auto"/>
              </w:rPr>
            </w:pPr>
            <w:r>
              <w:rPr>
                <w:rFonts w:ascii="Arial" w:cs="Arial" w:eastAsia="Arial" w:hAnsi="Arial"/>
                <w:sz w:val="16"/>
                <w:szCs w:val="16"/>
                <w:color w:val="auto"/>
              </w:rPr>
              <w:t>Employee housing facilities</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Broomfield, CO</w:t>
            </w:r>
          </w:p>
        </w:tc>
        <w:tc>
          <w:tcPr>
            <w:tcW w:w="1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offices</w:t>
            </w:r>
          </w:p>
        </w:tc>
      </w:tr>
      <w:tr>
        <w:trPr>
          <w:trHeight w:val="166"/>
        </w:trPr>
        <w:tc>
          <w:tcPr>
            <w:tcW w:w="4420" w:type="dxa"/>
            <w:vAlign w:val="bottom"/>
          </w:tcPr>
          <w:p>
            <w:pPr>
              <w:ind w:left="20"/>
              <w:spacing w:after="0" w:line="166" w:lineRule="exact"/>
              <w:rPr>
                <w:sz w:val="20"/>
                <w:szCs w:val="20"/>
                <w:color w:val="auto"/>
              </w:rPr>
            </w:pPr>
            <w:r>
              <w:rPr>
                <w:rFonts w:ascii="Arial" w:cs="Arial" w:eastAsia="Arial" w:hAnsi="Arial"/>
                <w:sz w:val="16"/>
                <w:szCs w:val="16"/>
                <w:color w:val="auto"/>
              </w:rPr>
              <w:t>Colter Bay Village, WY</w:t>
            </w:r>
          </w:p>
        </w:tc>
        <w:tc>
          <w:tcPr>
            <w:tcW w:w="1800" w:type="dxa"/>
            <w:vAlign w:val="bottom"/>
          </w:tcPr>
          <w:p>
            <w:pPr>
              <w:ind w:left="540"/>
              <w:spacing w:after="0" w:line="166" w:lineRule="exact"/>
              <w:rPr>
                <w:sz w:val="20"/>
                <w:szCs w:val="20"/>
                <w:color w:val="auto"/>
              </w:rPr>
            </w:pPr>
            <w:r>
              <w:rPr>
                <w:rFonts w:ascii="Arial" w:cs="Arial" w:eastAsia="Arial" w:hAnsi="Arial"/>
                <w:sz w:val="16"/>
                <w:szCs w:val="16"/>
                <w:color w:val="auto"/>
              </w:rPr>
              <w:t>Concessionaire</w:t>
            </w:r>
          </w:p>
        </w:tc>
        <w:tc>
          <w:tcPr>
            <w:tcW w:w="4980" w:type="dxa"/>
            <w:vAlign w:val="bottom"/>
          </w:tcPr>
          <w:p>
            <w:pPr>
              <w:ind w:left="280"/>
              <w:spacing w:after="0" w:line="166" w:lineRule="exact"/>
              <w:rPr>
                <w:sz w:val="20"/>
                <w:szCs w:val="20"/>
                <w:color w:val="auto"/>
              </w:rPr>
            </w:pPr>
            <w:r>
              <w:rPr>
                <w:rFonts w:ascii="Arial" w:cs="Arial" w:eastAsia="Arial" w:hAnsi="Arial"/>
                <w:sz w:val="16"/>
                <w:szCs w:val="16"/>
                <w:color w:val="auto"/>
              </w:rPr>
              <w:t>Lodging and dining facilities</w:t>
            </w:r>
          </w:p>
        </w:tc>
      </w:tr>
      <w:tr>
        <w:trPr>
          <w:trHeight w:val="209"/>
        </w:trPr>
        <w:tc>
          <w:tcPr>
            <w:tcW w:w="4420" w:type="dxa"/>
            <w:vAlign w:val="bottom"/>
          </w:tcPr>
          <w:p>
            <w:pPr>
              <w:spacing w:after="0"/>
              <w:rPr>
                <w:sz w:val="18"/>
                <w:szCs w:val="18"/>
                <w:color w:val="auto"/>
              </w:rPr>
            </w:pPr>
          </w:p>
        </w:tc>
        <w:tc>
          <w:tcPr>
            <w:tcW w:w="1800" w:type="dxa"/>
            <w:vAlign w:val="bottom"/>
          </w:tcPr>
          <w:p>
            <w:pPr>
              <w:ind w:left="540"/>
              <w:spacing w:after="0"/>
              <w:rPr>
                <w:sz w:val="20"/>
                <w:szCs w:val="20"/>
                <w:color w:val="auto"/>
              </w:rPr>
            </w:pPr>
            <w:r>
              <w:rPr>
                <w:rFonts w:ascii="Arial" w:cs="Arial" w:eastAsia="Arial" w:hAnsi="Arial"/>
                <w:sz w:val="16"/>
                <w:szCs w:val="16"/>
                <w:color w:val="auto"/>
              </w:rPr>
              <w:t>contract</w:t>
            </w:r>
          </w:p>
        </w:tc>
        <w:tc>
          <w:tcPr>
            <w:tcW w:w="4980" w:type="dxa"/>
            <w:vAlign w:val="bottom"/>
          </w:tcPr>
          <w:p>
            <w:pPr>
              <w:spacing w:after="0"/>
              <w:rPr>
                <w:sz w:val="18"/>
                <w:szCs w:val="18"/>
                <w:color w:val="auto"/>
              </w:rPr>
            </w:pPr>
          </w:p>
        </w:tc>
      </w:tr>
      <w:tr>
        <w:trPr>
          <w:trHeight w:val="169"/>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Crested Butte Mountain Resort, CO</w:t>
            </w:r>
          </w:p>
        </w:tc>
        <w:tc>
          <w:tcPr>
            <w:tcW w:w="1800" w:type="dxa"/>
            <w:vAlign w:val="bottom"/>
            <w:shd w:val="clear" w:color="auto" w:fill="CCEEFF"/>
          </w:tcPr>
          <w:p>
            <w:pPr>
              <w:ind w:left="540"/>
              <w:spacing w:after="0" w:line="169" w:lineRule="exact"/>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line="169" w:lineRule="exact"/>
              <w:rPr>
                <w:sz w:val="20"/>
                <w:szCs w:val="20"/>
                <w:color w:val="auto"/>
              </w:rPr>
            </w:pPr>
            <w:r>
              <w:rPr>
                <w:rFonts w:ascii="Arial" w:cs="Arial" w:eastAsia="Arial" w:hAnsi="Arial"/>
                <w:sz w:val="16"/>
                <w:szCs w:val="16"/>
                <w:color w:val="auto"/>
                <w:w w:val="94"/>
              </w:rPr>
              <w:t>Buildings, other improvements and land used for operation of Crested</w:t>
            </w:r>
          </w:p>
        </w:tc>
      </w:tr>
      <w:tr>
        <w:trPr>
          <w:trHeight w:val="212"/>
        </w:trPr>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Butte Mountain Resort</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Crested Butte Mountain Resort, CO (4,350 acres)</w:t>
            </w:r>
          </w:p>
        </w:tc>
        <w:tc>
          <w:tcPr>
            <w:tcW w:w="1800" w:type="dxa"/>
            <w:vAlign w:val="bottom"/>
          </w:tcPr>
          <w:p>
            <w:pPr>
              <w:ind w:left="540"/>
              <w:spacing w:after="0"/>
              <w:rPr>
                <w:sz w:val="20"/>
                <w:szCs w:val="20"/>
                <w:color w:val="auto"/>
              </w:rPr>
            </w:pPr>
            <w:r>
              <w:rPr>
                <w:rFonts w:ascii="Arial" w:cs="Arial" w:eastAsia="Arial" w:hAnsi="Arial"/>
                <w:sz w:val="16"/>
                <w:szCs w:val="16"/>
                <w:color w:val="auto"/>
              </w:rPr>
              <w:t>SUP</w:t>
            </w:r>
          </w:p>
        </w:tc>
        <w:tc>
          <w:tcPr>
            <w:tcW w:w="4980" w:type="dxa"/>
            <w:vAlign w:val="bottom"/>
          </w:tcPr>
          <w:p>
            <w:pPr>
              <w:ind w:left="28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Crotched Mountain, NH</w:t>
            </w:r>
          </w:p>
        </w:tc>
        <w:tc>
          <w:tcPr>
            <w:tcW w:w="1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Double Tree by Hilton Breckenridge, CO</w:t>
            </w:r>
          </w:p>
        </w:tc>
        <w:tc>
          <w:tcPr>
            <w:tcW w:w="1800" w:type="dxa"/>
            <w:vAlign w:val="bottom"/>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tcPr>
          <w:p>
            <w:pPr>
              <w:ind w:left="280"/>
              <w:spacing w:after="0"/>
              <w:rPr>
                <w:sz w:val="20"/>
                <w:szCs w:val="20"/>
                <w:color w:val="auto"/>
              </w:rPr>
            </w:pPr>
            <w:r>
              <w:rPr>
                <w:rFonts w:ascii="Arial" w:cs="Arial" w:eastAsia="Arial" w:hAnsi="Arial"/>
                <w:sz w:val="16"/>
                <w:szCs w:val="16"/>
                <w:color w:val="auto"/>
              </w:rPr>
              <w:t>Lodging, dining and conference facilities</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Eagle-Vail, CO</w:t>
            </w:r>
          </w:p>
        </w:tc>
        <w:tc>
          <w:tcPr>
            <w:tcW w:w="1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Warehouse facility</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Edwards, CO</w:t>
            </w:r>
          </w:p>
        </w:tc>
        <w:tc>
          <w:tcPr>
            <w:tcW w:w="1800" w:type="dxa"/>
            <w:vAlign w:val="bottom"/>
          </w:tcPr>
          <w:p>
            <w:pPr>
              <w:ind w:left="540"/>
              <w:spacing w:after="0"/>
              <w:rPr>
                <w:sz w:val="20"/>
                <w:szCs w:val="20"/>
                <w:color w:val="auto"/>
              </w:rPr>
            </w:pPr>
            <w:r>
              <w:rPr>
                <w:rFonts w:ascii="Arial" w:cs="Arial" w:eastAsia="Arial" w:hAnsi="Arial"/>
                <w:sz w:val="16"/>
                <w:szCs w:val="16"/>
                <w:color w:val="auto"/>
              </w:rPr>
              <w:t>Leased</w:t>
            </w:r>
          </w:p>
        </w:tc>
        <w:tc>
          <w:tcPr>
            <w:tcW w:w="4980" w:type="dxa"/>
            <w:vAlign w:val="bottom"/>
          </w:tcPr>
          <w:p>
            <w:pPr>
              <w:ind w:left="280"/>
              <w:spacing w:after="0"/>
              <w:rPr>
                <w:sz w:val="20"/>
                <w:szCs w:val="20"/>
                <w:color w:val="auto"/>
              </w:rPr>
            </w:pPr>
            <w:r>
              <w:rPr>
                <w:rFonts w:ascii="Arial" w:cs="Arial" w:eastAsia="Arial" w:hAnsi="Arial"/>
                <w:sz w:val="16"/>
                <w:szCs w:val="16"/>
                <w:color w:val="auto"/>
              </w:rPr>
              <w:t>Administrative offices</w:t>
            </w:r>
          </w:p>
        </w:tc>
      </w:tr>
      <w:tr>
        <w:trPr>
          <w:trHeight w:val="169"/>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Falls Creek Alpine Resort, Victoria, Australia (1,112 acres)</w:t>
            </w:r>
          </w:p>
        </w:tc>
        <w:tc>
          <w:tcPr>
            <w:tcW w:w="1800" w:type="dxa"/>
            <w:vAlign w:val="bottom"/>
            <w:shd w:val="clear" w:color="auto" w:fill="CCEEFF"/>
          </w:tcPr>
          <w:p>
            <w:pPr>
              <w:ind w:left="540"/>
              <w:spacing w:after="0" w:line="169" w:lineRule="exact"/>
              <w:rPr>
                <w:sz w:val="20"/>
                <w:szCs w:val="20"/>
                <w:color w:val="auto"/>
              </w:rPr>
            </w:pPr>
            <w:r>
              <w:rPr>
                <w:rFonts w:ascii="Arial" w:cs="Arial" w:eastAsia="Arial" w:hAnsi="Arial"/>
                <w:sz w:val="16"/>
                <w:szCs w:val="16"/>
                <w:color w:val="auto"/>
              </w:rPr>
              <w:t>Leased</w:t>
            </w:r>
          </w:p>
        </w:tc>
        <w:tc>
          <w:tcPr>
            <w:tcW w:w="4980" w:type="dxa"/>
            <w:vAlign w:val="bottom"/>
            <w:shd w:val="clear" w:color="auto" w:fill="CCEEFF"/>
          </w:tcPr>
          <w:p>
            <w:pPr>
              <w:ind w:left="280"/>
              <w:spacing w:after="0" w:line="169"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12"/>
        </w:trPr>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improvements</w:t>
            </w:r>
          </w:p>
        </w:tc>
      </w:tr>
      <w:tr>
        <w:trPr>
          <w:trHeight w:val="166"/>
        </w:trPr>
        <w:tc>
          <w:tcPr>
            <w:tcW w:w="4420" w:type="dxa"/>
            <w:vAlign w:val="bottom"/>
          </w:tcPr>
          <w:p>
            <w:pPr>
              <w:ind w:left="20"/>
              <w:spacing w:after="0" w:line="166" w:lineRule="exact"/>
              <w:rPr>
                <w:sz w:val="20"/>
                <w:szCs w:val="20"/>
                <w:color w:val="auto"/>
              </w:rPr>
            </w:pPr>
            <w:r>
              <w:rPr>
                <w:rFonts w:ascii="Arial" w:cs="Arial" w:eastAsia="Arial" w:hAnsi="Arial"/>
                <w:sz w:val="16"/>
                <w:szCs w:val="16"/>
                <w:color w:val="auto"/>
              </w:rPr>
              <w:t>Headwaters Lodge &amp; Cabins at Flagg Ranch, WY</w:t>
            </w:r>
          </w:p>
        </w:tc>
        <w:tc>
          <w:tcPr>
            <w:tcW w:w="1800" w:type="dxa"/>
            <w:vAlign w:val="bottom"/>
          </w:tcPr>
          <w:p>
            <w:pPr>
              <w:ind w:left="540"/>
              <w:spacing w:after="0" w:line="166" w:lineRule="exact"/>
              <w:rPr>
                <w:sz w:val="20"/>
                <w:szCs w:val="20"/>
                <w:color w:val="auto"/>
              </w:rPr>
            </w:pPr>
            <w:r>
              <w:rPr>
                <w:rFonts w:ascii="Arial" w:cs="Arial" w:eastAsia="Arial" w:hAnsi="Arial"/>
                <w:sz w:val="16"/>
                <w:szCs w:val="16"/>
                <w:color w:val="auto"/>
              </w:rPr>
              <w:t>Concessionaire</w:t>
            </w:r>
          </w:p>
        </w:tc>
        <w:tc>
          <w:tcPr>
            <w:tcW w:w="4980" w:type="dxa"/>
            <w:vAlign w:val="bottom"/>
          </w:tcPr>
          <w:p>
            <w:pPr>
              <w:ind w:left="280"/>
              <w:spacing w:after="0" w:line="166" w:lineRule="exact"/>
              <w:rPr>
                <w:sz w:val="20"/>
                <w:szCs w:val="20"/>
                <w:color w:val="auto"/>
              </w:rPr>
            </w:pPr>
            <w:r>
              <w:rPr>
                <w:rFonts w:ascii="Arial" w:cs="Arial" w:eastAsia="Arial" w:hAnsi="Arial"/>
                <w:sz w:val="16"/>
                <w:szCs w:val="16"/>
                <w:color w:val="auto"/>
              </w:rPr>
              <w:t>Lodging and dining facilities</w:t>
            </w:r>
          </w:p>
        </w:tc>
      </w:tr>
      <w:tr>
        <w:trPr>
          <w:trHeight w:val="209"/>
        </w:trPr>
        <w:tc>
          <w:tcPr>
            <w:tcW w:w="4420" w:type="dxa"/>
            <w:vAlign w:val="bottom"/>
          </w:tcPr>
          <w:p>
            <w:pPr>
              <w:spacing w:after="0"/>
              <w:rPr>
                <w:sz w:val="18"/>
                <w:szCs w:val="18"/>
                <w:color w:val="auto"/>
              </w:rPr>
            </w:pPr>
          </w:p>
        </w:tc>
        <w:tc>
          <w:tcPr>
            <w:tcW w:w="1800" w:type="dxa"/>
            <w:vAlign w:val="bottom"/>
          </w:tcPr>
          <w:p>
            <w:pPr>
              <w:ind w:left="540"/>
              <w:spacing w:after="0"/>
              <w:rPr>
                <w:sz w:val="20"/>
                <w:szCs w:val="20"/>
                <w:color w:val="auto"/>
              </w:rPr>
            </w:pPr>
            <w:r>
              <w:rPr>
                <w:rFonts w:ascii="Arial" w:cs="Arial" w:eastAsia="Arial" w:hAnsi="Arial"/>
                <w:sz w:val="16"/>
                <w:szCs w:val="16"/>
                <w:color w:val="auto"/>
              </w:rPr>
              <w:t>contract</w:t>
            </w:r>
          </w:p>
        </w:tc>
        <w:tc>
          <w:tcPr>
            <w:tcW w:w="4980" w:type="dxa"/>
            <w:vAlign w:val="bottom"/>
          </w:tcPr>
          <w:p>
            <w:pPr>
              <w:spacing w:after="0"/>
              <w:rPr>
                <w:sz w:val="18"/>
                <w:szCs w:val="18"/>
                <w:color w:val="auto"/>
              </w:rPr>
            </w:pPr>
          </w:p>
        </w:tc>
      </w:tr>
      <w:tr>
        <w:trPr>
          <w:trHeight w:val="169"/>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Heavenly Mountain Resort, CA &amp; NV</w:t>
            </w:r>
          </w:p>
        </w:tc>
        <w:tc>
          <w:tcPr>
            <w:tcW w:w="1800" w:type="dxa"/>
            <w:vAlign w:val="bottom"/>
            <w:shd w:val="clear" w:color="auto" w:fill="CCEEFF"/>
          </w:tcPr>
          <w:p>
            <w:pPr>
              <w:ind w:left="540"/>
              <w:spacing w:after="0" w:line="169" w:lineRule="exact"/>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line="169"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12"/>
        </w:trPr>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improvements and commercial space</w:t>
            </w:r>
          </w:p>
        </w:tc>
      </w:tr>
      <w:tr>
        <w:trPr>
          <w:trHeight w:val="166"/>
        </w:trPr>
        <w:tc>
          <w:tcPr>
            <w:tcW w:w="4420" w:type="dxa"/>
            <w:vAlign w:val="bottom"/>
          </w:tcPr>
          <w:p>
            <w:pPr>
              <w:ind w:left="20"/>
              <w:spacing w:after="0" w:line="166" w:lineRule="exact"/>
              <w:rPr>
                <w:sz w:val="20"/>
                <w:szCs w:val="20"/>
                <w:color w:val="auto"/>
              </w:rPr>
            </w:pPr>
            <w:r>
              <w:rPr>
                <w:rFonts w:ascii="Arial" w:cs="Arial" w:eastAsia="Arial" w:hAnsi="Arial"/>
                <w:sz w:val="16"/>
                <w:szCs w:val="16"/>
                <w:color w:val="auto"/>
              </w:rPr>
              <w:t>Heavenly Mountain, CA &amp; NV</w:t>
            </w:r>
          </w:p>
        </w:tc>
        <w:tc>
          <w:tcPr>
            <w:tcW w:w="1800" w:type="dxa"/>
            <w:vAlign w:val="bottom"/>
          </w:tcPr>
          <w:p>
            <w:pPr>
              <w:ind w:left="540"/>
              <w:spacing w:after="0" w:line="166" w:lineRule="exact"/>
              <w:rPr>
                <w:sz w:val="20"/>
                <w:szCs w:val="20"/>
                <w:color w:val="auto"/>
              </w:rPr>
            </w:pPr>
            <w:r>
              <w:rPr>
                <w:rFonts w:ascii="Arial" w:cs="Arial" w:eastAsia="Arial" w:hAnsi="Arial"/>
                <w:sz w:val="16"/>
                <w:szCs w:val="16"/>
                <w:color w:val="auto"/>
              </w:rPr>
              <w:t>SUP</w:t>
            </w:r>
          </w:p>
        </w:tc>
        <w:tc>
          <w:tcPr>
            <w:tcW w:w="4980" w:type="dxa"/>
            <w:vAlign w:val="bottom"/>
          </w:tcPr>
          <w:p>
            <w:pPr>
              <w:ind w:left="280"/>
              <w:spacing w:after="0" w:line="166" w:lineRule="exact"/>
              <w:rPr>
                <w:sz w:val="20"/>
                <w:szCs w:val="20"/>
                <w:color w:val="auto"/>
              </w:rPr>
            </w:pPr>
            <w:r>
              <w:rPr>
                <w:rFonts w:ascii="Arial" w:cs="Arial" w:eastAsia="Arial" w:hAnsi="Arial"/>
                <w:sz w:val="16"/>
                <w:szCs w:val="16"/>
                <w:color w:val="auto"/>
              </w:rPr>
              <w:t>Ski trails, ski lifts, buildings and other improvements</w:t>
            </w: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(7,050 acres)</w:t>
            </w:r>
          </w:p>
        </w:tc>
        <w:tc>
          <w:tcPr>
            <w:tcW w:w="180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Hidden Valley Resort, MO</w:t>
            </w:r>
          </w:p>
        </w:tc>
        <w:tc>
          <w:tcPr>
            <w:tcW w:w="1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420" w:type="dxa"/>
            <w:vAlign w:val="bottom"/>
          </w:tcPr>
          <w:p>
            <w:pPr>
              <w:ind w:left="20"/>
              <w:spacing w:after="0" w:line="166" w:lineRule="exact"/>
              <w:rPr>
                <w:sz w:val="20"/>
                <w:szCs w:val="20"/>
                <w:color w:val="auto"/>
              </w:rPr>
            </w:pPr>
            <w:r>
              <w:rPr>
                <w:rFonts w:ascii="Arial" w:cs="Arial" w:eastAsia="Arial" w:hAnsi="Arial"/>
                <w:sz w:val="16"/>
                <w:szCs w:val="16"/>
                <w:color w:val="auto"/>
              </w:rPr>
              <w:t>Hotham Alpine Resort, Victoria, Australia (791 acres)</w:t>
            </w:r>
          </w:p>
        </w:tc>
        <w:tc>
          <w:tcPr>
            <w:tcW w:w="1800" w:type="dxa"/>
            <w:vAlign w:val="bottom"/>
          </w:tcPr>
          <w:p>
            <w:pPr>
              <w:ind w:left="540"/>
              <w:spacing w:after="0" w:line="166" w:lineRule="exact"/>
              <w:rPr>
                <w:sz w:val="20"/>
                <w:szCs w:val="20"/>
                <w:color w:val="auto"/>
              </w:rPr>
            </w:pPr>
            <w:r>
              <w:rPr>
                <w:rFonts w:ascii="Arial" w:cs="Arial" w:eastAsia="Arial" w:hAnsi="Arial"/>
                <w:sz w:val="16"/>
                <w:szCs w:val="16"/>
                <w:color w:val="auto"/>
              </w:rPr>
              <w:t>Leased</w:t>
            </w:r>
          </w:p>
        </w:tc>
        <w:tc>
          <w:tcPr>
            <w:tcW w:w="4980" w:type="dxa"/>
            <w:vAlign w:val="bottom"/>
          </w:tcPr>
          <w:p>
            <w:pPr>
              <w:ind w:left="280"/>
              <w:spacing w:after="0" w:line="166"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9"/>
        </w:trPr>
        <w:tc>
          <w:tcPr>
            <w:tcW w:w="4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Arial" w:cs="Arial" w:eastAsia="Arial" w:hAnsi="Arial"/>
                <w:sz w:val="16"/>
                <w:szCs w:val="16"/>
                <w:color w:val="auto"/>
              </w:rPr>
              <w:t>improvements</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Hotham Airport, Victoria, Australia</w:t>
            </w:r>
          </w:p>
        </w:tc>
        <w:tc>
          <w:tcPr>
            <w:tcW w:w="1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Regional airport</w:t>
            </w:r>
          </w:p>
        </w:tc>
      </w:tr>
      <w:tr>
        <w:trPr>
          <w:trHeight w:val="166"/>
        </w:trPr>
        <w:tc>
          <w:tcPr>
            <w:tcW w:w="4420" w:type="dxa"/>
            <w:vAlign w:val="bottom"/>
          </w:tcPr>
          <w:p>
            <w:pPr>
              <w:ind w:left="20"/>
              <w:spacing w:after="0" w:line="166" w:lineRule="exact"/>
              <w:rPr>
                <w:sz w:val="20"/>
                <w:szCs w:val="20"/>
                <w:color w:val="auto"/>
              </w:rPr>
            </w:pPr>
            <w:r>
              <w:rPr>
                <w:rFonts w:ascii="Arial" w:cs="Arial" w:eastAsia="Arial" w:hAnsi="Arial"/>
                <w:sz w:val="16"/>
                <w:szCs w:val="16"/>
                <w:color w:val="auto"/>
              </w:rPr>
              <w:t>Hunter Mountain, NY</w:t>
            </w:r>
          </w:p>
        </w:tc>
        <w:tc>
          <w:tcPr>
            <w:tcW w:w="1800" w:type="dxa"/>
            <w:vAlign w:val="bottom"/>
          </w:tcPr>
          <w:p>
            <w:pPr>
              <w:ind w:left="540"/>
              <w:spacing w:after="0" w:line="166" w:lineRule="exact"/>
              <w:rPr>
                <w:sz w:val="20"/>
                <w:szCs w:val="20"/>
                <w:color w:val="auto"/>
              </w:rPr>
            </w:pPr>
            <w:r>
              <w:rPr>
                <w:rFonts w:ascii="Arial" w:cs="Arial" w:eastAsia="Arial" w:hAnsi="Arial"/>
                <w:sz w:val="16"/>
                <w:szCs w:val="16"/>
                <w:color w:val="auto"/>
              </w:rPr>
              <w:t>Owned</w:t>
            </w:r>
          </w:p>
        </w:tc>
        <w:tc>
          <w:tcPr>
            <w:tcW w:w="4980" w:type="dxa"/>
            <w:vAlign w:val="bottom"/>
          </w:tcPr>
          <w:p>
            <w:pPr>
              <w:ind w:left="280"/>
              <w:spacing w:after="0" w:line="166" w:lineRule="exact"/>
              <w:rPr>
                <w:sz w:val="20"/>
                <w:szCs w:val="20"/>
                <w:color w:val="auto"/>
              </w:rPr>
            </w:pPr>
            <w:r>
              <w:rPr>
                <w:rFonts w:ascii="Arial" w:cs="Arial" w:eastAsia="Arial" w:hAnsi="Arial"/>
                <w:sz w:val="16"/>
                <w:szCs w:val="16"/>
                <w:color w:val="auto"/>
              </w:rPr>
              <w:t>Ski resort operations, including ski lifts, ski trails, golf course,</w:t>
            </w:r>
          </w:p>
        </w:tc>
      </w:tr>
      <w:tr>
        <w:trPr>
          <w:trHeight w:val="209"/>
        </w:trPr>
        <w:tc>
          <w:tcPr>
            <w:tcW w:w="4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Arial" w:cs="Arial" w:eastAsia="Arial" w:hAnsi="Arial"/>
                <w:sz w:val="16"/>
                <w:szCs w:val="16"/>
                <w:color w:val="auto"/>
              </w:rPr>
              <w:t>clubhouse, buildings, commercial space and other improvements.</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Jack Frost Ski Resort, PA</w:t>
            </w:r>
          </w:p>
        </w:tc>
        <w:tc>
          <w:tcPr>
            <w:tcW w:w="1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420" w:type="dxa"/>
            <w:vAlign w:val="bottom"/>
          </w:tcPr>
          <w:p>
            <w:pPr>
              <w:ind w:left="20"/>
              <w:spacing w:after="0" w:line="166" w:lineRule="exact"/>
              <w:rPr>
                <w:sz w:val="20"/>
                <w:szCs w:val="20"/>
                <w:color w:val="auto"/>
              </w:rPr>
            </w:pPr>
            <w:r>
              <w:rPr>
                <w:rFonts w:ascii="Arial" w:cs="Arial" w:eastAsia="Arial" w:hAnsi="Arial"/>
                <w:sz w:val="16"/>
                <w:szCs w:val="16"/>
                <w:color w:val="auto"/>
              </w:rPr>
              <w:t>Jackson Hole Golf &amp; Tennis Club,</w:t>
            </w:r>
          </w:p>
        </w:tc>
        <w:tc>
          <w:tcPr>
            <w:tcW w:w="1800" w:type="dxa"/>
            <w:vAlign w:val="bottom"/>
          </w:tcPr>
          <w:p>
            <w:pPr>
              <w:ind w:left="540"/>
              <w:spacing w:after="0" w:line="166" w:lineRule="exact"/>
              <w:rPr>
                <w:sz w:val="20"/>
                <w:szCs w:val="20"/>
                <w:color w:val="auto"/>
              </w:rPr>
            </w:pPr>
            <w:r>
              <w:rPr>
                <w:rFonts w:ascii="Arial" w:cs="Arial" w:eastAsia="Arial" w:hAnsi="Arial"/>
                <w:sz w:val="16"/>
                <w:szCs w:val="16"/>
                <w:color w:val="auto"/>
              </w:rPr>
              <w:t>Owned</w:t>
            </w:r>
          </w:p>
        </w:tc>
        <w:tc>
          <w:tcPr>
            <w:tcW w:w="4980" w:type="dxa"/>
            <w:vAlign w:val="bottom"/>
          </w:tcPr>
          <w:p>
            <w:pPr>
              <w:ind w:left="280"/>
              <w:spacing w:after="0" w:line="166" w:lineRule="exact"/>
              <w:rPr>
                <w:sz w:val="20"/>
                <w:szCs w:val="20"/>
                <w:color w:val="auto"/>
              </w:rPr>
            </w:pPr>
            <w:r>
              <w:rPr>
                <w:rFonts w:ascii="Arial" w:cs="Arial" w:eastAsia="Arial" w:hAnsi="Arial"/>
                <w:sz w:val="16"/>
                <w:szCs w:val="16"/>
                <w:color w:val="auto"/>
              </w:rPr>
              <w:t>Golf course, clubhouse, tennis and dining facilities</w:t>
            </w: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WY</w:t>
            </w:r>
          </w:p>
        </w:tc>
        <w:tc>
          <w:tcPr>
            <w:tcW w:w="180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169"/>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Jackson Lake Lodge, WY</w:t>
            </w:r>
          </w:p>
        </w:tc>
        <w:tc>
          <w:tcPr>
            <w:tcW w:w="1800" w:type="dxa"/>
            <w:vAlign w:val="bottom"/>
            <w:shd w:val="clear" w:color="auto" w:fill="CCEEFF"/>
          </w:tcPr>
          <w:p>
            <w:pPr>
              <w:ind w:left="540"/>
              <w:spacing w:after="0" w:line="169" w:lineRule="exact"/>
              <w:rPr>
                <w:sz w:val="20"/>
                <w:szCs w:val="20"/>
                <w:color w:val="auto"/>
              </w:rPr>
            </w:pPr>
            <w:r>
              <w:rPr>
                <w:rFonts w:ascii="Arial" w:cs="Arial" w:eastAsia="Arial" w:hAnsi="Arial"/>
                <w:sz w:val="16"/>
                <w:szCs w:val="16"/>
                <w:color w:val="auto"/>
              </w:rPr>
              <w:t>Concessionaire</w:t>
            </w:r>
          </w:p>
        </w:tc>
        <w:tc>
          <w:tcPr>
            <w:tcW w:w="4980" w:type="dxa"/>
            <w:vAlign w:val="bottom"/>
            <w:shd w:val="clear" w:color="auto" w:fill="CCEEFF"/>
          </w:tcPr>
          <w:p>
            <w:pPr>
              <w:ind w:left="280"/>
              <w:spacing w:after="0" w:line="169" w:lineRule="exact"/>
              <w:rPr>
                <w:sz w:val="20"/>
                <w:szCs w:val="20"/>
                <w:color w:val="auto"/>
              </w:rPr>
            </w:pPr>
            <w:r>
              <w:rPr>
                <w:rFonts w:ascii="Arial" w:cs="Arial" w:eastAsia="Arial" w:hAnsi="Arial"/>
                <w:sz w:val="16"/>
                <w:szCs w:val="16"/>
                <w:color w:val="auto"/>
              </w:rPr>
              <w:t>Lodging, dining and conference facilities</w:t>
            </w:r>
          </w:p>
        </w:tc>
      </w:tr>
      <w:tr>
        <w:trPr>
          <w:trHeight w:val="212"/>
        </w:trPr>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contract</w:t>
            </w:r>
          </w:p>
        </w:tc>
        <w:tc>
          <w:tcPr>
            <w:tcW w:w="4980" w:type="dxa"/>
            <w:vAlign w:val="bottom"/>
            <w:shd w:val="clear" w:color="auto" w:fill="CCEEFF"/>
          </w:tcPr>
          <w:p>
            <w:pPr>
              <w:spacing w:after="0"/>
              <w:rPr>
                <w:sz w:val="18"/>
                <w:szCs w:val="18"/>
                <w:color w:val="auto"/>
              </w:rPr>
            </w:pPr>
          </w:p>
        </w:tc>
      </w:tr>
      <w:tr>
        <w:trPr>
          <w:trHeight w:val="166"/>
        </w:trPr>
        <w:tc>
          <w:tcPr>
            <w:tcW w:w="4420" w:type="dxa"/>
            <w:vAlign w:val="bottom"/>
          </w:tcPr>
          <w:p>
            <w:pPr>
              <w:ind w:left="20"/>
              <w:spacing w:after="0" w:line="166" w:lineRule="exact"/>
              <w:rPr>
                <w:sz w:val="20"/>
                <w:szCs w:val="20"/>
                <w:color w:val="auto"/>
              </w:rPr>
            </w:pPr>
            <w:r>
              <w:rPr>
                <w:rFonts w:ascii="Arial" w:cs="Arial" w:eastAsia="Arial" w:hAnsi="Arial"/>
                <w:sz w:val="16"/>
                <w:szCs w:val="16"/>
                <w:color w:val="auto"/>
              </w:rPr>
              <w:t>Jenny Lake Lodge, WY</w:t>
            </w:r>
          </w:p>
        </w:tc>
        <w:tc>
          <w:tcPr>
            <w:tcW w:w="1800" w:type="dxa"/>
            <w:vAlign w:val="bottom"/>
          </w:tcPr>
          <w:p>
            <w:pPr>
              <w:ind w:left="540"/>
              <w:spacing w:after="0" w:line="166" w:lineRule="exact"/>
              <w:rPr>
                <w:sz w:val="20"/>
                <w:szCs w:val="20"/>
                <w:color w:val="auto"/>
              </w:rPr>
            </w:pPr>
            <w:r>
              <w:rPr>
                <w:rFonts w:ascii="Arial" w:cs="Arial" w:eastAsia="Arial" w:hAnsi="Arial"/>
                <w:sz w:val="16"/>
                <w:szCs w:val="16"/>
                <w:color w:val="auto"/>
              </w:rPr>
              <w:t>Concessionaire</w:t>
            </w:r>
          </w:p>
        </w:tc>
        <w:tc>
          <w:tcPr>
            <w:tcW w:w="4980" w:type="dxa"/>
            <w:vAlign w:val="bottom"/>
          </w:tcPr>
          <w:p>
            <w:pPr>
              <w:ind w:left="280"/>
              <w:spacing w:after="0" w:line="166" w:lineRule="exact"/>
              <w:rPr>
                <w:sz w:val="20"/>
                <w:szCs w:val="20"/>
                <w:color w:val="auto"/>
              </w:rPr>
            </w:pPr>
            <w:r>
              <w:rPr>
                <w:rFonts w:ascii="Arial" w:cs="Arial" w:eastAsia="Arial" w:hAnsi="Arial"/>
                <w:sz w:val="16"/>
                <w:szCs w:val="16"/>
                <w:color w:val="auto"/>
              </w:rPr>
              <w:t>Lodging and dining facilities</w:t>
            </w:r>
          </w:p>
        </w:tc>
      </w:tr>
      <w:tr>
        <w:trPr>
          <w:trHeight w:val="209"/>
        </w:trPr>
        <w:tc>
          <w:tcPr>
            <w:tcW w:w="4420" w:type="dxa"/>
            <w:vAlign w:val="bottom"/>
          </w:tcPr>
          <w:p>
            <w:pPr>
              <w:spacing w:after="0"/>
              <w:rPr>
                <w:sz w:val="18"/>
                <w:szCs w:val="18"/>
                <w:color w:val="auto"/>
              </w:rPr>
            </w:pPr>
          </w:p>
        </w:tc>
        <w:tc>
          <w:tcPr>
            <w:tcW w:w="1800" w:type="dxa"/>
            <w:vAlign w:val="bottom"/>
          </w:tcPr>
          <w:p>
            <w:pPr>
              <w:ind w:left="540"/>
              <w:spacing w:after="0"/>
              <w:rPr>
                <w:sz w:val="20"/>
                <w:szCs w:val="20"/>
                <w:color w:val="auto"/>
              </w:rPr>
            </w:pPr>
            <w:r>
              <w:rPr>
                <w:rFonts w:ascii="Arial" w:cs="Arial" w:eastAsia="Arial" w:hAnsi="Arial"/>
                <w:sz w:val="16"/>
                <w:szCs w:val="16"/>
                <w:color w:val="auto"/>
              </w:rPr>
              <w:t>contract</w:t>
            </w:r>
          </w:p>
        </w:tc>
        <w:tc>
          <w:tcPr>
            <w:tcW w:w="4980" w:type="dxa"/>
            <w:vAlign w:val="bottom"/>
          </w:tcPr>
          <w:p>
            <w:pPr>
              <w:spacing w:after="0"/>
              <w:rPr>
                <w:sz w:val="18"/>
                <w:szCs w:val="18"/>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Keystone Conference Center, CO</w:t>
            </w:r>
          </w:p>
        </w:tc>
        <w:tc>
          <w:tcPr>
            <w:tcW w:w="1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Conference facility</w:t>
            </w: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Keystone Lodge, CO</w:t>
            </w:r>
          </w:p>
        </w:tc>
        <w:tc>
          <w:tcPr>
            <w:tcW w:w="1800" w:type="dxa"/>
            <w:vAlign w:val="bottom"/>
          </w:tcPr>
          <w:p>
            <w:pPr>
              <w:ind w:left="540"/>
              <w:spacing w:after="0"/>
              <w:rPr>
                <w:sz w:val="20"/>
                <w:szCs w:val="20"/>
                <w:color w:val="auto"/>
              </w:rPr>
            </w:pPr>
            <w:r>
              <w:rPr>
                <w:rFonts w:ascii="Arial" w:cs="Arial" w:eastAsia="Arial" w:hAnsi="Arial"/>
                <w:sz w:val="16"/>
                <w:szCs w:val="16"/>
                <w:color w:val="auto"/>
              </w:rPr>
              <w:t>Owned</w:t>
            </w:r>
          </w:p>
        </w:tc>
        <w:tc>
          <w:tcPr>
            <w:tcW w:w="4980" w:type="dxa"/>
            <w:vAlign w:val="bottom"/>
          </w:tcPr>
          <w:p>
            <w:pPr>
              <w:ind w:left="280"/>
              <w:spacing w:after="0"/>
              <w:rPr>
                <w:sz w:val="20"/>
                <w:szCs w:val="20"/>
                <w:color w:val="auto"/>
              </w:rPr>
            </w:pPr>
            <w:r>
              <w:rPr>
                <w:rFonts w:ascii="Arial" w:cs="Arial" w:eastAsia="Arial" w:hAnsi="Arial"/>
                <w:sz w:val="16"/>
                <w:szCs w:val="16"/>
                <w:color w:val="auto"/>
              </w:rPr>
              <w:t>Lodging, spa, dining and conference facilities</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Ownership</w:t>
            </w:r>
          </w:p>
        </w:tc>
        <w:tc>
          <w:tcPr>
            <w:tcW w:w="4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Use</w:t>
            </w:r>
          </w:p>
        </w:tc>
      </w:tr>
      <w:tr>
        <w:trPr>
          <w:trHeight w:val="165"/>
        </w:trPr>
        <w:tc>
          <w:tcPr>
            <w:tcW w:w="47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Keystone Resort, CO</w:t>
            </w:r>
          </w:p>
        </w:tc>
        <w:tc>
          <w:tcPr>
            <w:tcW w:w="1680" w:type="dxa"/>
            <w:vAlign w:val="bottom"/>
            <w:shd w:val="clear" w:color="auto" w:fill="CCEEFF"/>
          </w:tcPr>
          <w:p>
            <w:pPr>
              <w:ind w:left="200"/>
              <w:spacing w:after="0" w:line="165" w:lineRule="exact"/>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60"/>
              <w:spacing w:after="0" w:line="165" w:lineRule="exact"/>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162"/>
        </w:trPr>
        <w:tc>
          <w:tcPr>
            <w:tcW w:w="47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82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w w:val="95"/>
              </w:rPr>
              <w:t>improvements, commercial space, property management, dining and</w:t>
            </w:r>
          </w:p>
        </w:tc>
      </w:tr>
      <w:tr>
        <w:trPr>
          <w:trHeight w:val="212"/>
        </w:trPr>
        <w:tc>
          <w:tcPr>
            <w:tcW w:w="4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real estate held for sale or development</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Keystone Mountain, CO (8,376 acres)</w:t>
            </w:r>
          </w:p>
        </w:tc>
        <w:tc>
          <w:tcPr>
            <w:tcW w:w="1680" w:type="dxa"/>
            <w:vAlign w:val="bottom"/>
          </w:tcPr>
          <w:p>
            <w:pPr>
              <w:ind w:left="200"/>
              <w:spacing w:after="0"/>
              <w:rPr>
                <w:sz w:val="20"/>
                <w:szCs w:val="20"/>
                <w:color w:val="auto"/>
              </w:rPr>
            </w:pPr>
            <w:r>
              <w:rPr>
                <w:rFonts w:ascii="Arial" w:cs="Arial" w:eastAsia="Arial" w:hAnsi="Arial"/>
                <w:sz w:val="16"/>
                <w:szCs w:val="16"/>
                <w:color w:val="auto"/>
              </w:rPr>
              <w:t>SUP</w:t>
            </w:r>
          </w:p>
        </w:tc>
        <w:tc>
          <w:tcPr>
            <w:tcW w:w="4820" w:type="dxa"/>
            <w:vAlign w:val="bottom"/>
          </w:tcPr>
          <w:p>
            <w:pPr>
              <w:ind w:left="16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Keystone Ranch, CO</w:t>
            </w:r>
          </w:p>
        </w:tc>
        <w:tc>
          <w:tcPr>
            <w:tcW w:w="1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Golf course, clubhouse and dining facilities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Kirkwood Mountain Resort, CA</w:t>
            </w:r>
          </w:p>
        </w:tc>
        <w:tc>
          <w:tcPr>
            <w:tcW w:w="1680" w:type="dxa"/>
            <w:vAlign w:val="bottom"/>
          </w:tcPr>
          <w:p>
            <w:pPr>
              <w:ind w:left="200"/>
              <w:spacing w:after="0" w:line="166" w:lineRule="exact"/>
              <w:rPr>
                <w:sz w:val="20"/>
                <w:szCs w:val="20"/>
                <w:color w:val="auto"/>
              </w:rPr>
            </w:pPr>
            <w:r>
              <w:rPr>
                <w:rFonts w:ascii="Arial" w:cs="Arial" w:eastAsia="Arial" w:hAnsi="Arial"/>
                <w:sz w:val="16"/>
                <w:szCs w:val="16"/>
                <w:color w:val="auto"/>
              </w:rPr>
              <w:t>Owned</w:t>
            </w:r>
          </w:p>
        </w:tc>
        <w:tc>
          <w:tcPr>
            <w:tcW w:w="4820" w:type="dxa"/>
            <w:vAlign w:val="bottom"/>
          </w:tcPr>
          <w:p>
            <w:pPr>
              <w:ind w:left="160"/>
              <w:spacing w:after="0" w:line="166" w:lineRule="exact"/>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09"/>
        </w:trPr>
        <w:tc>
          <w:tcPr>
            <w:tcW w:w="4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6"/>
                <w:szCs w:val="16"/>
                <w:color w:val="auto"/>
              </w:rPr>
              <w:t>improvements, property management and commercial space</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Kirkwood Mountain, CA (2,330 acres)</w:t>
            </w:r>
          </w:p>
        </w:tc>
        <w:tc>
          <w:tcPr>
            <w:tcW w:w="1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SUP</w:t>
            </w: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Liberty Mountain Resort, PA</w:t>
            </w:r>
          </w:p>
        </w:tc>
        <w:tc>
          <w:tcPr>
            <w:tcW w:w="1680" w:type="dxa"/>
            <w:vAlign w:val="bottom"/>
          </w:tcPr>
          <w:p>
            <w:pPr>
              <w:ind w:left="200"/>
              <w:spacing w:after="0" w:line="166" w:lineRule="exact"/>
              <w:rPr>
                <w:sz w:val="20"/>
                <w:szCs w:val="20"/>
                <w:color w:val="auto"/>
              </w:rPr>
            </w:pPr>
            <w:r>
              <w:rPr>
                <w:rFonts w:ascii="Arial" w:cs="Arial" w:eastAsia="Arial" w:hAnsi="Arial"/>
                <w:sz w:val="16"/>
                <w:szCs w:val="16"/>
                <w:color w:val="auto"/>
              </w:rPr>
              <w:t>Owned</w:t>
            </w:r>
          </w:p>
        </w:tc>
        <w:tc>
          <w:tcPr>
            <w:tcW w:w="4820" w:type="dxa"/>
            <w:vAlign w:val="bottom"/>
          </w:tcPr>
          <w:p>
            <w:pPr>
              <w:ind w:left="160"/>
              <w:spacing w:after="0" w:line="166" w:lineRule="exact"/>
              <w:rPr>
                <w:sz w:val="20"/>
                <w:szCs w:val="20"/>
                <w:color w:val="auto"/>
              </w:rPr>
            </w:pPr>
            <w:r>
              <w:rPr>
                <w:rFonts w:ascii="Arial" w:cs="Arial" w:eastAsia="Arial" w:hAnsi="Arial"/>
                <w:sz w:val="16"/>
                <w:szCs w:val="16"/>
                <w:color w:val="auto"/>
              </w:rPr>
              <w:t>Ski resort operations, including ski lifts, ski trails, golf course,</w:t>
            </w:r>
          </w:p>
        </w:tc>
      </w:tr>
      <w:tr>
        <w:trPr>
          <w:trHeight w:val="209"/>
        </w:trPr>
        <w:tc>
          <w:tcPr>
            <w:tcW w:w="4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6"/>
                <w:szCs w:val="16"/>
                <w:color w:val="auto"/>
              </w:rPr>
              <w:t>clubhouse, buildings, and other improvements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Mad River Mountain, OH</w:t>
            </w:r>
          </w:p>
        </w:tc>
        <w:tc>
          <w:tcPr>
            <w:tcW w:w="1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Mount Snow, VT (894 acres)</w:t>
            </w:r>
          </w:p>
        </w:tc>
        <w:tc>
          <w:tcPr>
            <w:tcW w:w="1680" w:type="dxa"/>
            <w:vAlign w:val="bottom"/>
          </w:tcPr>
          <w:p>
            <w:pPr>
              <w:ind w:left="200"/>
              <w:spacing w:after="0" w:line="166" w:lineRule="exact"/>
              <w:rPr>
                <w:sz w:val="20"/>
                <w:szCs w:val="20"/>
                <w:color w:val="auto"/>
              </w:rPr>
            </w:pPr>
            <w:r>
              <w:rPr>
                <w:rFonts w:ascii="Arial" w:cs="Arial" w:eastAsia="Arial" w:hAnsi="Arial"/>
                <w:sz w:val="16"/>
                <w:szCs w:val="16"/>
                <w:color w:val="auto"/>
              </w:rPr>
              <w:t>SUP</w:t>
            </w:r>
          </w:p>
        </w:tc>
        <w:tc>
          <w:tcPr>
            <w:tcW w:w="4820" w:type="dxa"/>
            <w:vAlign w:val="bottom"/>
          </w:tcPr>
          <w:p>
            <w:pPr>
              <w:ind w:left="160"/>
              <w:spacing w:after="0" w:line="166" w:lineRule="exact"/>
              <w:rPr>
                <w:sz w:val="20"/>
                <w:szCs w:val="20"/>
                <w:color w:val="auto"/>
              </w:rPr>
            </w:pPr>
            <w:r>
              <w:rPr>
                <w:rFonts w:ascii="Arial" w:cs="Arial" w:eastAsia="Arial" w:hAnsi="Arial"/>
                <w:sz w:val="16"/>
                <w:szCs w:val="16"/>
                <w:color w:val="auto"/>
              </w:rPr>
              <w:t>Ski resort operations, including ski lifts, ski trails, golf course,</w:t>
            </w:r>
          </w:p>
        </w:tc>
      </w:tr>
      <w:tr>
        <w:trPr>
          <w:trHeight w:val="209"/>
        </w:trPr>
        <w:tc>
          <w:tcPr>
            <w:tcW w:w="4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6"/>
                <w:szCs w:val="16"/>
                <w:color w:val="auto"/>
                <w:w w:val="99"/>
              </w:rPr>
              <w:t>clubhouse, buildings, commercial space and other improvements.</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Mount Sunapee Resort, NH (850 acres)</w:t>
            </w:r>
          </w:p>
        </w:tc>
        <w:tc>
          <w:tcPr>
            <w:tcW w:w="16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12"/>
        </w:trPr>
        <w:tc>
          <w:tcPr>
            <w:tcW w:w="4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improvements and commercial space</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Mt. Brighton, MI</w:t>
            </w:r>
          </w:p>
        </w:tc>
        <w:tc>
          <w:tcPr>
            <w:tcW w:w="1680" w:type="dxa"/>
            <w:vAlign w:val="bottom"/>
          </w:tcPr>
          <w:p>
            <w:pPr>
              <w:ind w:left="200"/>
              <w:spacing w:after="0" w:line="166" w:lineRule="exact"/>
              <w:rPr>
                <w:sz w:val="20"/>
                <w:szCs w:val="20"/>
                <w:color w:val="auto"/>
              </w:rPr>
            </w:pPr>
            <w:r>
              <w:rPr>
                <w:rFonts w:ascii="Arial" w:cs="Arial" w:eastAsia="Arial" w:hAnsi="Arial"/>
                <w:sz w:val="16"/>
                <w:szCs w:val="16"/>
                <w:color w:val="auto"/>
              </w:rPr>
              <w:t>Owned</w:t>
            </w:r>
          </w:p>
        </w:tc>
        <w:tc>
          <w:tcPr>
            <w:tcW w:w="4820" w:type="dxa"/>
            <w:vAlign w:val="bottom"/>
          </w:tcPr>
          <w:p>
            <w:pPr>
              <w:ind w:left="160"/>
              <w:spacing w:after="0" w:line="166" w:lineRule="exact"/>
              <w:rPr>
                <w:sz w:val="20"/>
                <w:szCs w:val="20"/>
                <w:color w:val="auto"/>
              </w:rPr>
            </w:pPr>
            <w:r>
              <w:rPr>
                <w:rFonts w:ascii="Arial" w:cs="Arial" w:eastAsia="Arial" w:hAnsi="Arial"/>
                <w:sz w:val="16"/>
                <w:szCs w:val="16"/>
                <w:color w:val="auto"/>
              </w:rPr>
              <w:t>Ski resort operations, including ski lifts, ski trails, buildings,</w:t>
            </w:r>
          </w:p>
        </w:tc>
      </w:tr>
      <w:tr>
        <w:trPr>
          <w:trHeight w:val="209"/>
        </w:trPr>
        <w:tc>
          <w:tcPr>
            <w:tcW w:w="4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6"/>
                <w:szCs w:val="16"/>
                <w:color w:val="auto"/>
              </w:rPr>
              <w:t>commercial space and other improvements</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Mt. Mansfield, VT (approximately 1,400 acres)</w:t>
            </w:r>
          </w:p>
        </w:tc>
        <w:tc>
          <w:tcPr>
            <w:tcW w:w="16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rPr>
              <w:t>Ski trails, ski lifts, buildings and other improvements used for</w:t>
            </w:r>
          </w:p>
        </w:tc>
      </w:tr>
      <w:tr>
        <w:trPr>
          <w:trHeight w:val="212"/>
        </w:trPr>
        <w:tc>
          <w:tcPr>
            <w:tcW w:w="4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operation of Stowe Mountain Resort</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Northstar California Resort, CA</w:t>
            </w:r>
          </w:p>
        </w:tc>
        <w:tc>
          <w:tcPr>
            <w:tcW w:w="1680" w:type="dxa"/>
            <w:vAlign w:val="bottom"/>
          </w:tcPr>
          <w:p>
            <w:pPr>
              <w:ind w:left="200"/>
              <w:spacing w:after="0" w:line="166" w:lineRule="exact"/>
              <w:rPr>
                <w:sz w:val="20"/>
                <w:szCs w:val="20"/>
                <w:color w:val="auto"/>
              </w:rPr>
            </w:pPr>
            <w:r>
              <w:rPr>
                <w:rFonts w:ascii="Arial" w:cs="Arial" w:eastAsia="Arial" w:hAnsi="Arial"/>
                <w:sz w:val="16"/>
                <w:szCs w:val="16"/>
                <w:color w:val="auto"/>
              </w:rPr>
              <w:t>Leased</w:t>
            </w:r>
          </w:p>
        </w:tc>
        <w:tc>
          <w:tcPr>
            <w:tcW w:w="4820" w:type="dxa"/>
            <w:vAlign w:val="bottom"/>
          </w:tcPr>
          <w:p>
            <w:pPr>
              <w:ind w:left="160"/>
              <w:spacing w:after="0" w:line="166" w:lineRule="exact"/>
              <w:rPr>
                <w:sz w:val="20"/>
                <w:szCs w:val="20"/>
                <w:color w:val="auto"/>
              </w:rPr>
            </w:pPr>
            <w:r>
              <w:rPr>
                <w:rFonts w:ascii="Arial" w:cs="Arial" w:eastAsia="Arial" w:hAnsi="Arial"/>
                <w:sz w:val="16"/>
                <w:szCs w:val="16"/>
                <w:color w:val="auto"/>
              </w:rPr>
              <w:t>Ski trails, ski lifts, golf course, commercial space, dining facilities,</w:t>
            </w:r>
          </w:p>
        </w:tc>
      </w:tr>
      <w:tr>
        <w:trPr>
          <w:trHeight w:val="209"/>
        </w:trPr>
        <w:tc>
          <w:tcPr>
            <w:tcW w:w="4700" w:type="dxa"/>
            <w:vAlign w:val="bottom"/>
          </w:tcPr>
          <w:p>
            <w:pPr>
              <w:ind w:left="20"/>
              <w:spacing w:after="0"/>
              <w:rPr>
                <w:sz w:val="20"/>
                <w:szCs w:val="20"/>
                <w:color w:val="auto"/>
              </w:rPr>
            </w:pPr>
            <w:r>
              <w:rPr>
                <w:rFonts w:ascii="Arial" w:cs="Arial" w:eastAsia="Arial" w:hAnsi="Arial"/>
                <w:sz w:val="16"/>
                <w:szCs w:val="16"/>
                <w:color w:val="auto"/>
              </w:rPr>
              <w:t>(7,200 acres)</w:t>
            </w:r>
          </w:p>
        </w:tc>
        <w:tc>
          <w:tcPr>
            <w:tcW w:w="16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6"/>
                <w:szCs w:val="16"/>
                <w:color w:val="auto"/>
              </w:rPr>
              <w:t>buildings and other improvements</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Northstar Village, CA</w:t>
            </w:r>
          </w:p>
        </w:tc>
        <w:tc>
          <w:tcPr>
            <w:tcW w:w="16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w w:val="97"/>
              </w:rPr>
              <w:t>Commercial space, ski resort operations, dining facilities, buildings,</w:t>
            </w:r>
          </w:p>
        </w:tc>
      </w:tr>
      <w:tr>
        <w:trPr>
          <w:trHeight w:val="212"/>
        </w:trPr>
        <w:tc>
          <w:tcPr>
            <w:tcW w:w="4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management and other improvements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Okemo Mountain Resort, VT</w:t>
            </w:r>
          </w:p>
        </w:tc>
        <w:tc>
          <w:tcPr>
            <w:tcW w:w="1680" w:type="dxa"/>
            <w:vAlign w:val="bottom"/>
          </w:tcPr>
          <w:p>
            <w:pPr>
              <w:ind w:left="200"/>
              <w:spacing w:after="0" w:line="166" w:lineRule="exact"/>
              <w:rPr>
                <w:sz w:val="20"/>
                <w:szCs w:val="20"/>
                <w:color w:val="auto"/>
              </w:rPr>
            </w:pPr>
            <w:r>
              <w:rPr>
                <w:rFonts w:ascii="Arial" w:cs="Arial" w:eastAsia="Arial" w:hAnsi="Arial"/>
                <w:sz w:val="16"/>
                <w:szCs w:val="16"/>
                <w:color w:val="auto"/>
              </w:rPr>
              <w:t>Owned</w:t>
            </w:r>
          </w:p>
        </w:tc>
        <w:tc>
          <w:tcPr>
            <w:tcW w:w="4820" w:type="dxa"/>
            <w:vAlign w:val="bottom"/>
          </w:tcPr>
          <w:p>
            <w:pPr>
              <w:ind w:left="160"/>
              <w:spacing w:after="0" w:line="166" w:lineRule="exact"/>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09"/>
        </w:trPr>
        <w:tc>
          <w:tcPr>
            <w:tcW w:w="4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6"/>
                <w:szCs w:val="16"/>
                <w:color w:val="auto"/>
              </w:rPr>
              <w:t>improvements, property management and commercial space</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Okemo Mountain, VT (1,223 acres)</w:t>
            </w:r>
          </w:p>
        </w:tc>
        <w:tc>
          <w:tcPr>
            <w:tcW w:w="16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rPr>
              <w:t>Ski resort operations, including ski lifts, ski trails, dining facilities,</w:t>
            </w:r>
          </w:p>
        </w:tc>
      </w:tr>
      <w:tr>
        <w:trPr>
          <w:trHeight w:val="212"/>
        </w:trPr>
        <w:tc>
          <w:tcPr>
            <w:tcW w:w="4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buildings and other improvements</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Paoli Peaks, IN</w:t>
            </w:r>
          </w:p>
        </w:tc>
        <w:tc>
          <w:tcPr>
            <w:tcW w:w="1680" w:type="dxa"/>
            <w:vAlign w:val="bottom"/>
          </w:tcPr>
          <w:p>
            <w:pPr>
              <w:ind w:left="200"/>
              <w:spacing w:after="0"/>
              <w:rPr>
                <w:sz w:val="20"/>
                <w:szCs w:val="20"/>
                <w:color w:val="auto"/>
              </w:rPr>
            </w:pPr>
            <w:r>
              <w:rPr>
                <w:rFonts w:ascii="Arial" w:cs="Arial" w:eastAsia="Arial" w:hAnsi="Arial"/>
                <w:sz w:val="16"/>
                <w:szCs w:val="16"/>
                <w:color w:val="auto"/>
              </w:rPr>
              <w:t>Owned/Leased</w:t>
            </w:r>
          </w:p>
        </w:tc>
        <w:tc>
          <w:tcPr>
            <w:tcW w:w="4820" w:type="dxa"/>
            <w:vAlign w:val="bottom"/>
          </w:tcPr>
          <w:p>
            <w:pPr>
              <w:ind w:left="16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Park City Mountain, UT</w:t>
            </w:r>
          </w:p>
        </w:tc>
        <w:tc>
          <w:tcPr>
            <w:tcW w:w="16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rPr>
              <w:t>Ski resort operations including ski lifts, ski trails, buildings,</w:t>
            </w:r>
          </w:p>
        </w:tc>
      </w:tr>
      <w:tr>
        <w:trPr>
          <w:trHeight w:val="162"/>
        </w:trPr>
        <w:tc>
          <w:tcPr>
            <w:tcW w:w="47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(8,900 acres)</w:t>
            </w:r>
          </w:p>
        </w:tc>
        <w:tc>
          <w:tcPr>
            <w:tcW w:w="1680" w:type="dxa"/>
            <w:vAlign w:val="bottom"/>
            <w:shd w:val="clear" w:color="auto" w:fill="CCEEFF"/>
          </w:tcPr>
          <w:p>
            <w:pPr>
              <w:spacing w:after="0"/>
              <w:rPr>
                <w:sz w:val="14"/>
                <w:szCs w:val="14"/>
                <w:color w:val="auto"/>
              </w:rPr>
            </w:pPr>
          </w:p>
        </w:tc>
        <w:tc>
          <w:tcPr>
            <w:tcW w:w="482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w w:val="93"/>
              </w:rPr>
              <w:t>commercial space, dining facilities, property management, conference</w:t>
            </w:r>
          </w:p>
        </w:tc>
      </w:tr>
      <w:tr>
        <w:trPr>
          <w:trHeight w:val="162"/>
        </w:trPr>
        <w:tc>
          <w:tcPr>
            <w:tcW w:w="47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82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w w:val="95"/>
              </w:rPr>
              <w:t>facilities and other improvements (including areas previously referred</w:t>
            </w:r>
          </w:p>
        </w:tc>
      </w:tr>
      <w:tr>
        <w:trPr>
          <w:trHeight w:val="212"/>
        </w:trPr>
        <w:tc>
          <w:tcPr>
            <w:tcW w:w="4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 as Canyons Resort, UT)</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Park City Mountain, UT</w:t>
            </w:r>
          </w:p>
        </w:tc>
        <w:tc>
          <w:tcPr>
            <w:tcW w:w="1680" w:type="dxa"/>
            <w:vAlign w:val="bottom"/>
          </w:tcPr>
          <w:p>
            <w:pPr>
              <w:ind w:left="200"/>
              <w:spacing w:after="0" w:line="166" w:lineRule="exact"/>
              <w:rPr>
                <w:sz w:val="20"/>
                <w:szCs w:val="20"/>
                <w:color w:val="auto"/>
              </w:rPr>
            </w:pPr>
            <w:r>
              <w:rPr>
                <w:rFonts w:ascii="Arial" w:cs="Arial" w:eastAsia="Arial" w:hAnsi="Arial"/>
                <w:sz w:val="16"/>
                <w:szCs w:val="16"/>
                <w:color w:val="auto"/>
              </w:rPr>
              <w:t>Owned</w:t>
            </w:r>
          </w:p>
        </w:tc>
        <w:tc>
          <w:tcPr>
            <w:tcW w:w="4820" w:type="dxa"/>
            <w:vAlign w:val="bottom"/>
          </w:tcPr>
          <w:p>
            <w:pPr>
              <w:ind w:left="160"/>
              <w:spacing w:after="0" w:line="166" w:lineRule="exact"/>
              <w:rPr>
                <w:sz w:val="20"/>
                <w:szCs w:val="20"/>
                <w:color w:val="auto"/>
              </w:rPr>
            </w:pPr>
            <w:r>
              <w:rPr>
                <w:rFonts w:ascii="Arial" w:cs="Arial" w:eastAsia="Arial" w:hAnsi="Arial"/>
                <w:sz w:val="16"/>
                <w:szCs w:val="16"/>
                <w:color w:val="auto"/>
                <w:w w:val="97"/>
              </w:rPr>
              <w:t>Ski trails, ski lifts, dining facilities, commercial space, buildings, real</w:t>
            </w:r>
          </w:p>
        </w:tc>
      </w:tr>
      <w:tr>
        <w:trPr>
          <w:trHeight w:val="209"/>
        </w:trPr>
        <w:tc>
          <w:tcPr>
            <w:tcW w:w="4700" w:type="dxa"/>
            <w:vAlign w:val="bottom"/>
          </w:tcPr>
          <w:p>
            <w:pPr>
              <w:ind w:left="20"/>
              <w:spacing w:after="0"/>
              <w:rPr>
                <w:sz w:val="20"/>
                <w:szCs w:val="20"/>
                <w:color w:val="auto"/>
              </w:rPr>
            </w:pPr>
            <w:r>
              <w:rPr>
                <w:rFonts w:ascii="Arial" w:cs="Arial" w:eastAsia="Arial" w:hAnsi="Arial"/>
                <w:sz w:val="16"/>
                <w:szCs w:val="16"/>
                <w:color w:val="auto"/>
              </w:rPr>
              <w:t>(220 acres)</w:t>
            </w:r>
          </w:p>
        </w:tc>
        <w:tc>
          <w:tcPr>
            <w:tcW w:w="16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6"/>
                <w:szCs w:val="16"/>
                <w:color w:val="auto"/>
              </w:rPr>
              <w:t>estate held for sale or development and other improvements</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Perisher Ski Resort, NSW, Australia</w:t>
            </w:r>
          </w:p>
        </w:tc>
        <w:tc>
          <w:tcPr>
            <w:tcW w:w="650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Owned/Leased/Licensed Ski trails, ski lifts, dining facilities, commercial space, railway,</w:t>
            </w: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(3,335 acres)</w:t>
            </w: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buildings, lodging, conference facilities and other improvements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Red Cliffs Lodge, CA</w:t>
            </w:r>
          </w:p>
        </w:tc>
        <w:tc>
          <w:tcPr>
            <w:tcW w:w="1680" w:type="dxa"/>
            <w:vAlign w:val="bottom"/>
          </w:tcPr>
          <w:p>
            <w:pPr>
              <w:ind w:left="200"/>
              <w:spacing w:after="0" w:line="166" w:lineRule="exact"/>
              <w:rPr>
                <w:sz w:val="20"/>
                <w:szCs w:val="20"/>
                <w:color w:val="auto"/>
              </w:rPr>
            </w:pPr>
            <w:r>
              <w:rPr>
                <w:rFonts w:ascii="Arial" w:cs="Arial" w:eastAsia="Arial" w:hAnsi="Arial"/>
                <w:sz w:val="16"/>
                <w:szCs w:val="16"/>
                <w:color w:val="auto"/>
              </w:rPr>
              <w:t>Leased</w:t>
            </w:r>
          </w:p>
        </w:tc>
        <w:tc>
          <w:tcPr>
            <w:tcW w:w="4820" w:type="dxa"/>
            <w:vAlign w:val="bottom"/>
          </w:tcPr>
          <w:p>
            <w:pPr>
              <w:ind w:left="160"/>
              <w:spacing w:after="0" w:line="166" w:lineRule="exact"/>
              <w:rPr>
                <w:sz w:val="20"/>
                <w:szCs w:val="20"/>
                <w:color w:val="auto"/>
              </w:rPr>
            </w:pPr>
            <w:r>
              <w:rPr>
                <w:rFonts w:ascii="Arial" w:cs="Arial" w:eastAsia="Arial" w:hAnsi="Arial"/>
                <w:sz w:val="16"/>
                <w:szCs w:val="16"/>
                <w:color w:val="auto"/>
              </w:rPr>
              <w:t>Dining facilities, ski resort operations, commercial space,</w:t>
            </w:r>
          </w:p>
        </w:tc>
      </w:tr>
      <w:tr>
        <w:trPr>
          <w:trHeight w:val="209"/>
        </w:trPr>
        <w:tc>
          <w:tcPr>
            <w:tcW w:w="4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6"/>
                <w:szCs w:val="16"/>
                <w:color w:val="auto"/>
              </w:rPr>
              <w:t>administrative offices</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Red Sky Ranch, CO</w:t>
            </w:r>
          </w:p>
        </w:tc>
        <w:tc>
          <w:tcPr>
            <w:tcW w:w="16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w w:val="93"/>
              </w:rPr>
              <w:t>Golf courses, clubhouses, dining facilities and real estate held for sale</w:t>
            </w:r>
          </w:p>
        </w:tc>
      </w:tr>
      <w:tr>
        <w:trPr>
          <w:trHeight w:val="212"/>
        </w:trPr>
        <w:tc>
          <w:tcPr>
            <w:tcW w:w="4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or development</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River Course at Keystone, CO</w:t>
            </w:r>
          </w:p>
        </w:tc>
        <w:tc>
          <w:tcPr>
            <w:tcW w:w="1680" w:type="dxa"/>
            <w:vAlign w:val="bottom"/>
          </w:tcPr>
          <w:p>
            <w:pPr>
              <w:ind w:left="200"/>
              <w:spacing w:after="0"/>
              <w:rPr>
                <w:sz w:val="20"/>
                <w:szCs w:val="20"/>
                <w:color w:val="auto"/>
              </w:rPr>
            </w:pPr>
            <w:r>
              <w:rPr>
                <w:rFonts w:ascii="Arial" w:cs="Arial" w:eastAsia="Arial" w:hAnsi="Arial"/>
                <w:sz w:val="16"/>
                <w:szCs w:val="16"/>
                <w:color w:val="auto"/>
              </w:rPr>
              <w:t>Owned</w:t>
            </w:r>
          </w:p>
        </w:tc>
        <w:tc>
          <w:tcPr>
            <w:tcW w:w="4820" w:type="dxa"/>
            <w:vAlign w:val="bottom"/>
          </w:tcPr>
          <w:p>
            <w:pPr>
              <w:ind w:left="160"/>
              <w:spacing w:after="0"/>
              <w:rPr>
                <w:sz w:val="20"/>
                <w:szCs w:val="20"/>
                <w:color w:val="auto"/>
              </w:rPr>
            </w:pPr>
            <w:r>
              <w:rPr>
                <w:rFonts w:ascii="Arial" w:cs="Arial" w:eastAsia="Arial" w:hAnsi="Arial"/>
                <w:sz w:val="16"/>
                <w:szCs w:val="16"/>
                <w:color w:val="auto"/>
              </w:rPr>
              <w:t>Golf course and clubhouse</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Roundtop Mountain Resort, PA</w:t>
            </w:r>
          </w:p>
        </w:tc>
        <w:tc>
          <w:tcPr>
            <w:tcW w:w="16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rPr>
              <w:t>Ski resort operations, including ski lifts, ski trails, buildings,</w:t>
            </w:r>
          </w:p>
        </w:tc>
      </w:tr>
      <w:tr>
        <w:trPr>
          <w:trHeight w:val="212"/>
        </w:trPr>
        <w:tc>
          <w:tcPr>
            <w:tcW w:w="4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commercial space and other improvements</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Seasons at Avon, CO</w:t>
            </w:r>
          </w:p>
        </w:tc>
        <w:tc>
          <w:tcPr>
            <w:tcW w:w="1680" w:type="dxa"/>
            <w:vAlign w:val="bottom"/>
          </w:tcPr>
          <w:p>
            <w:pPr>
              <w:ind w:left="200"/>
              <w:spacing w:after="0"/>
              <w:rPr>
                <w:sz w:val="20"/>
                <w:szCs w:val="20"/>
                <w:color w:val="auto"/>
              </w:rPr>
            </w:pPr>
            <w:r>
              <w:rPr>
                <w:rFonts w:ascii="Arial" w:cs="Arial" w:eastAsia="Arial" w:hAnsi="Arial"/>
                <w:sz w:val="16"/>
                <w:szCs w:val="16"/>
                <w:color w:val="auto"/>
              </w:rPr>
              <w:t>Leased/50% Owned</w:t>
            </w:r>
          </w:p>
        </w:tc>
        <w:tc>
          <w:tcPr>
            <w:tcW w:w="4820" w:type="dxa"/>
            <w:vAlign w:val="bottom"/>
          </w:tcPr>
          <w:p>
            <w:pPr>
              <w:ind w:left="160"/>
              <w:spacing w:after="0"/>
              <w:rPr>
                <w:sz w:val="20"/>
                <w:szCs w:val="20"/>
                <w:color w:val="auto"/>
              </w:rPr>
            </w:pPr>
            <w:r>
              <w:rPr>
                <w:rFonts w:ascii="Arial" w:cs="Arial" w:eastAsia="Arial" w:hAnsi="Arial"/>
                <w:sz w:val="16"/>
                <w:szCs w:val="16"/>
                <w:color w:val="auto"/>
              </w:rPr>
              <w:t>Administrative offices and commercial space</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Snow Creek, MO</w:t>
            </w:r>
          </w:p>
        </w:tc>
        <w:tc>
          <w:tcPr>
            <w:tcW w:w="1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w w:val="99"/>
              </w:rPr>
              <w:t>SSI Venture, LLC (“VRR”) Properties; CO, CA, NV, UT, MN &amp; BC,</w:t>
            </w:r>
          </w:p>
        </w:tc>
        <w:tc>
          <w:tcPr>
            <w:tcW w:w="1680" w:type="dxa"/>
            <w:vAlign w:val="bottom"/>
          </w:tcPr>
          <w:p>
            <w:pPr>
              <w:ind w:left="200"/>
              <w:spacing w:after="0" w:line="166" w:lineRule="exact"/>
              <w:rPr>
                <w:sz w:val="20"/>
                <w:szCs w:val="20"/>
                <w:color w:val="auto"/>
              </w:rPr>
            </w:pPr>
            <w:r>
              <w:rPr>
                <w:rFonts w:ascii="Arial" w:cs="Arial" w:eastAsia="Arial" w:hAnsi="Arial"/>
                <w:sz w:val="16"/>
                <w:szCs w:val="16"/>
                <w:color w:val="auto"/>
              </w:rPr>
              <w:t>Owned/Leased</w:t>
            </w:r>
          </w:p>
        </w:tc>
        <w:tc>
          <w:tcPr>
            <w:tcW w:w="4820" w:type="dxa"/>
            <w:vAlign w:val="bottom"/>
          </w:tcPr>
          <w:p>
            <w:pPr>
              <w:ind w:left="160"/>
              <w:spacing w:after="0" w:line="166" w:lineRule="exact"/>
              <w:rPr>
                <w:sz w:val="20"/>
                <w:szCs w:val="20"/>
                <w:color w:val="auto"/>
              </w:rPr>
            </w:pPr>
            <w:r>
              <w:rPr>
                <w:rFonts w:ascii="Arial" w:cs="Arial" w:eastAsia="Arial" w:hAnsi="Arial"/>
                <w:sz w:val="16"/>
                <w:szCs w:val="16"/>
                <w:color w:val="auto"/>
                <w:w w:val="99"/>
              </w:rPr>
              <w:t>Approximately 265 rental and retail stores (of which approximately</w:t>
            </w:r>
          </w:p>
        </w:tc>
      </w:tr>
      <w:tr>
        <w:trPr>
          <w:trHeight w:val="162"/>
        </w:trPr>
        <w:tc>
          <w:tcPr>
            <w:tcW w:w="4700" w:type="dxa"/>
            <w:vAlign w:val="bottom"/>
          </w:tcPr>
          <w:p>
            <w:pPr>
              <w:ind w:left="20"/>
              <w:spacing w:after="0" w:line="162" w:lineRule="exact"/>
              <w:rPr>
                <w:sz w:val="20"/>
                <w:szCs w:val="20"/>
                <w:color w:val="auto"/>
              </w:rPr>
            </w:pPr>
            <w:r>
              <w:rPr>
                <w:rFonts w:ascii="Arial" w:cs="Arial" w:eastAsia="Arial" w:hAnsi="Arial"/>
                <w:sz w:val="16"/>
                <w:szCs w:val="16"/>
                <w:color w:val="auto"/>
              </w:rPr>
              <w:t>Canada</w:t>
            </w:r>
          </w:p>
        </w:tc>
        <w:tc>
          <w:tcPr>
            <w:tcW w:w="1680" w:type="dxa"/>
            <w:vAlign w:val="bottom"/>
          </w:tcPr>
          <w:p>
            <w:pPr>
              <w:spacing w:after="0"/>
              <w:rPr>
                <w:sz w:val="14"/>
                <w:szCs w:val="14"/>
                <w:color w:val="auto"/>
              </w:rPr>
            </w:pPr>
          </w:p>
        </w:tc>
        <w:tc>
          <w:tcPr>
            <w:tcW w:w="4820" w:type="dxa"/>
            <w:vAlign w:val="bottom"/>
          </w:tcPr>
          <w:p>
            <w:pPr>
              <w:ind w:left="160"/>
              <w:spacing w:after="0" w:line="162" w:lineRule="exact"/>
              <w:rPr>
                <w:sz w:val="20"/>
                <w:szCs w:val="20"/>
                <w:color w:val="auto"/>
              </w:rPr>
            </w:pPr>
            <w:r>
              <w:rPr>
                <w:rFonts w:ascii="Arial" w:cs="Arial" w:eastAsia="Arial" w:hAnsi="Arial"/>
                <w:sz w:val="16"/>
                <w:szCs w:val="16"/>
                <w:color w:val="auto"/>
                <w:w w:val="91"/>
              </w:rPr>
              <w:t>120 stores are currently held under lease) for recreational products, and</w:t>
            </w:r>
          </w:p>
        </w:tc>
      </w:tr>
      <w:tr>
        <w:trPr>
          <w:trHeight w:val="209"/>
        </w:trPr>
        <w:tc>
          <w:tcPr>
            <w:tcW w:w="4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6"/>
                <w:szCs w:val="16"/>
                <w:color w:val="auto"/>
              </w:rPr>
              <w:t>5 leased warehouses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 Tip Lodge, CO</w:t>
            </w:r>
          </w:p>
        </w:tc>
        <w:tc>
          <w:tcPr>
            <w:tcW w:w="1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Lodging and dining facilities</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Stevens Pass, WA</w:t>
            </w:r>
          </w:p>
        </w:tc>
        <w:tc>
          <w:tcPr>
            <w:tcW w:w="1680" w:type="dxa"/>
            <w:vAlign w:val="bottom"/>
          </w:tcPr>
          <w:p>
            <w:pPr>
              <w:ind w:left="200"/>
              <w:spacing w:after="0"/>
              <w:rPr>
                <w:sz w:val="20"/>
                <w:szCs w:val="20"/>
                <w:color w:val="auto"/>
              </w:rPr>
            </w:pPr>
            <w:r>
              <w:rPr>
                <w:rFonts w:ascii="Arial" w:cs="Arial" w:eastAsia="Arial" w:hAnsi="Arial"/>
                <w:sz w:val="16"/>
                <w:szCs w:val="16"/>
                <w:color w:val="auto"/>
              </w:rPr>
              <w:t>Owned</w:t>
            </w:r>
          </w:p>
        </w:tc>
        <w:tc>
          <w:tcPr>
            <w:tcW w:w="4820" w:type="dxa"/>
            <w:vAlign w:val="bottom"/>
          </w:tcPr>
          <w:p>
            <w:pPr>
              <w:ind w:left="160"/>
              <w:spacing w:after="0"/>
              <w:rPr>
                <w:sz w:val="20"/>
                <w:szCs w:val="20"/>
                <w:color w:val="auto"/>
              </w:rPr>
            </w:pPr>
            <w:r>
              <w:rPr>
                <w:rFonts w:ascii="Arial" w:cs="Arial" w:eastAsia="Arial" w:hAnsi="Arial"/>
                <w:sz w:val="16"/>
                <w:szCs w:val="16"/>
                <w:color w:val="auto"/>
              </w:rPr>
              <w:t>Employee housing and guest parking facilities</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7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Ownership</w:t>
            </w:r>
          </w:p>
        </w:tc>
        <w:tc>
          <w:tcPr>
            <w:tcW w:w="50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Use</w:t>
            </w: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Stevens Pass Mountain, WA (2,443 acres)</w:t>
            </w:r>
          </w:p>
        </w:tc>
        <w:tc>
          <w:tcPr>
            <w:tcW w:w="1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SUP</w:t>
            </w: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400" w:type="dxa"/>
            <w:vAlign w:val="bottom"/>
          </w:tcPr>
          <w:p>
            <w:pPr>
              <w:ind w:left="20"/>
              <w:spacing w:after="0" w:line="166" w:lineRule="exact"/>
              <w:rPr>
                <w:sz w:val="20"/>
                <w:szCs w:val="20"/>
                <w:color w:val="auto"/>
              </w:rPr>
            </w:pPr>
            <w:r>
              <w:rPr>
                <w:rFonts w:ascii="Arial" w:cs="Arial" w:eastAsia="Arial" w:hAnsi="Arial"/>
                <w:sz w:val="16"/>
                <w:szCs w:val="16"/>
                <w:color w:val="auto"/>
              </w:rPr>
              <w:t>Stevens Pass Ski Resort, WA</w:t>
            </w:r>
          </w:p>
        </w:tc>
        <w:tc>
          <w:tcPr>
            <w:tcW w:w="1740" w:type="dxa"/>
            <w:vAlign w:val="bottom"/>
          </w:tcPr>
          <w:p>
            <w:pPr>
              <w:ind w:left="560"/>
              <w:spacing w:after="0" w:line="166" w:lineRule="exact"/>
              <w:rPr>
                <w:sz w:val="20"/>
                <w:szCs w:val="20"/>
                <w:color w:val="auto"/>
              </w:rPr>
            </w:pPr>
            <w:r>
              <w:rPr>
                <w:rFonts w:ascii="Arial" w:cs="Arial" w:eastAsia="Arial" w:hAnsi="Arial"/>
                <w:sz w:val="16"/>
                <w:szCs w:val="16"/>
                <w:color w:val="auto"/>
              </w:rPr>
              <w:t>Owned</w:t>
            </w:r>
          </w:p>
        </w:tc>
        <w:tc>
          <w:tcPr>
            <w:tcW w:w="5060" w:type="dxa"/>
            <w:vAlign w:val="bottom"/>
          </w:tcPr>
          <w:p>
            <w:pPr>
              <w:ind w:left="360"/>
              <w:spacing w:after="0" w:line="166"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9"/>
        </w:trPr>
        <w:tc>
          <w:tcPr>
            <w:tcW w:w="4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6"/>
                <w:szCs w:val="16"/>
                <w:color w:val="auto"/>
              </w:rPr>
              <w:t>improvements and commercial space</w:t>
            </w:r>
          </w:p>
        </w:tc>
      </w:tr>
      <w:tr>
        <w:trPr>
          <w:trHeight w:val="169"/>
        </w:trPr>
        <w:tc>
          <w:tcPr>
            <w:tcW w:w="4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Stowe Mountain Resort, VT</w:t>
            </w:r>
          </w:p>
        </w:tc>
        <w:tc>
          <w:tcPr>
            <w:tcW w:w="1740" w:type="dxa"/>
            <w:vAlign w:val="bottom"/>
            <w:shd w:val="clear" w:color="auto" w:fill="CCEEFF"/>
          </w:tcPr>
          <w:p>
            <w:pPr>
              <w:ind w:left="560"/>
              <w:spacing w:after="0" w:line="169" w:lineRule="exact"/>
              <w:rPr>
                <w:sz w:val="20"/>
                <w:szCs w:val="20"/>
                <w:color w:val="auto"/>
              </w:rPr>
            </w:pPr>
            <w:r>
              <w:rPr>
                <w:rFonts w:ascii="Arial" w:cs="Arial" w:eastAsia="Arial" w:hAnsi="Arial"/>
                <w:sz w:val="16"/>
                <w:szCs w:val="16"/>
                <w:color w:val="auto"/>
              </w:rPr>
              <w:t>Owned</w:t>
            </w:r>
          </w:p>
        </w:tc>
        <w:tc>
          <w:tcPr>
            <w:tcW w:w="50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12"/>
        </w:trPr>
        <w:tc>
          <w:tcPr>
            <w:tcW w:w="44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improvements and commercial space</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The Arrabelle at Vail Square, CO</w:t>
            </w:r>
          </w:p>
        </w:tc>
        <w:tc>
          <w:tcPr>
            <w:tcW w:w="1740" w:type="dxa"/>
            <w:vAlign w:val="bottom"/>
          </w:tcPr>
          <w:p>
            <w:pPr>
              <w:ind w:left="560"/>
              <w:spacing w:after="0"/>
              <w:rPr>
                <w:sz w:val="20"/>
                <w:szCs w:val="20"/>
                <w:color w:val="auto"/>
              </w:rPr>
            </w:pPr>
            <w:r>
              <w:rPr>
                <w:rFonts w:ascii="Arial" w:cs="Arial" w:eastAsia="Arial" w:hAnsi="Arial"/>
                <w:sz w:val="16"/>
                <w:szCs w:val="16"/>
                <w:color w:val="auto"/>
              </w:rPr>
              <w:t>Owned</w:t>
            </w:r>
          </w:p>
        </w:tc>
        <w:tc>
          <w:tcPr>
            <w:tcW w:w="5060" w:type="dxa"/>
            <w:vAlign w:val="bottom"/>
          </w:tcPr>
          <w:p>
            <w:pPr>
              <w:ind w:left="360"/>
              <w:spacing w:after="0"/>
              <w:rPr>
                <w:sz w:val="20"/>
                <w:szCs w:val="20"/>
                <w:color w:val="auto"/>
              </w:rPr>
            </w:pPr>
            <w:r>
              <w:rPr>
                <w:rFonts w:ascii="Arial" w:cs="Arial" w:eastAsia="Arial" w:hAnsi="Arial"/>
                <w:sz w:val="16"/>
                <w:szCs w:val="16"/>
                <w:color w:val="auto"/>
              </w:rPr>
              <w:t>Lodging, spa, dining and conference facilities</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Lodge at Vail, CO</w:t>
            </w:r>
          </w:p>
        </w:tc>
        <w:tc>
          <w:tcPr>
            <w:tcW w:w="1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Owned</w:t>
            </w: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Lodging, spa, dining and conference facilities</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The Osprey at Beaver Creek, CO</w:t>
            </w:r>
          </w:p>
        </w:tc>
        <w:tc>
          <w:tcPr>
            <w:tcW w:w="1740" w:type="dxa"/>
            <w:vAlign w:val="bottom"/>
          </w:tcPr>
          <w:p>
            <w:pPr>
              <w:ind w:left="560"/>
              <w:spacing w:after="0"/>
              <w:rPr>
                <w:sz w:val="20"/>
                <w:szCs w:val="20"/>
                <w:color w:val="auto"/>
              </w:rPr>
            </w:pPr>
            <w:r>
              <w:rPr>
                <w:rFonts w:ascii="Arial" w:cs="Arial" w:eastAsia="Arial" w:hAnsi="Arial"/>
                <w:sz w:val="16"/>
                <w:szCs w:val="16"/>
                <w:color w:val="auto"/>
              </w:rPr>
              <w:t>Owned</w:t>
            </w:r>
          </w:p>
        </w:tc>
        <w:tc>
          <w:tcPr>
            <w:tcW w:w="5060" w:type="dxa"/>
            <w:vAlign w:val="bottom"/>
          </w:tcPr>
          <w:p>
            <w:pPr>
              <w:ind w:left="360"/>
              <w:spacing w:after="0"/>
              <w:rPr>
                <w:sz w:val="20"/>
                <w:szCs w:val="20"/>
                <w:color w:val="auto"/>
              </w:rPr>
            </w:pPr>
            <w:r>
              <w:rPr>
                <w:rFonts w:ascii="Arial" w:cs="Arial" w:eastAsia="Arial" w:hAnsi="Arial"/>
                <w:sz w:val="16"/>
                <w:szCs w:val="16"/>
                <w:color w:val="auto"/>
              </w:rPr>
              <w:t>Lodging, dining and conference facilities</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Tarnes at Beaver Creek, CO</w:t>
            </w:r>
          </w:p>
        </w:tc>
        <w:tc>
          <w:tcPr>
            <w:tcW w:w="1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31% Owned</w:t>
            </w: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housing facilities</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Tenderfoot Housing, CO</w:t>
            </w:r>
          </w:p>
        </w:tc>
        <w:tc>
          <w:tcPr>
            <w:tcW w:w="1740" w:type="dxa"/>
            <w:vAlign w:val="bottom"/>
          </w:tcPr>
          <w:p>
            <w:pPr>
              <w:ind w:left="560"/>
              <w:spacing w:after="0"/>
              <w:rPr>
                <w:sz w:val="20"/>
                <w:szCs w:val="20"/>
                <w:color w:val="auto"/>
              </w:rPr>
            </w:pPr>
            <w:r>
              <w:rPr>
                <w:rFonts w:ascii="Arial" w:cs="Arial" w:eastAsia="Arial" w:hAnsi="Arial"/>
                <w:sz w:val="16"/>
                <w:szCs w:val="16"/>
                <w:color w:val="auto"/>
              </w:rPr>
              <w:t>50% Owned</w:t>
            </w:r>
          </w:p>
        </w:tc>
        <w:tc>
          <w:tcPr>
            <w:tcW w:w="5060" w:type="dxa"/>
            <w:vAlign w:val="bottom"/>
          </w:tcPr>
          <w:p>
            <w:pPr>
              <w:ind w:left="360"/>
              <w:spacing w:after="0"/>
              <w:rPr>
                <w:sz w:val="20"/>
                <w:szCs w:val="20"/>
                <w:color w:val="auto"/>
              </w:rPr>
            </w:pPr>
            <w:r>
              <w:rPr>
                <w:rFonts w:ascii="Arial" w:cs="Arial" w:eastAsia="Arial" w:hAnsi="Arial"/>
                <w:sz w:val="16"/>
                <w:szCs w:val="16"/>
                <w:color w:val="auto"/>
              </w:rPr>
              <w:t>Employee housing facilities</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Pines Lodge at Beaver Creek, CO</w:t>
            </w:r>
          </w:p>
        </w:tc>
        <w:tc>
          <w:tcPr>
            <w:tcW w:w="1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Owned</w:t>
            </w: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Lodging, dining and conference facilities</w:t>
            </w:r>
          </w:p>
        </w:tc>
      </w:tr>
      <w:tr>
        <w:trPr>
          <w:trHeight w:val="166"/>
        </w:trPr>
        <w:tc>
          <w:tcPr>
            <w:tcW w:w="4400" w:type="dxa"/>
            <w:vAlign w:val="bottom"/>
          </w:tcPr>
          <w:p>
            <w:pPr>
              <w:ind w:left="20"/>
              <w:spacing w:after="0" w:line="166" w:lineRule="exact"/>
              <w:rPr>
                <w:sz w:val="20"/>
                <w:szCs w:val="20"/>
                <w:color w:val="auto"/>
              </w:rPr>
            </w:pPr>
            <w:r>
              <w:rPr>
                <w:rFonts w:ascii="Arial" w:cs="Arial" w:eastAsia="Arial" w:hAnsi="Arial"/>
                <w:sz w:val="16"/>
                <w:szCs w:val="16"/>
                <w:color w:val="auto"/>
              </w:rPr>
              <w:t>Vail Mountain, CO</w:t>
            </w:r>
          </w:p>
        </w:tc>
        <w:tc>
          <w:tcPr>
            <w:tcW w:w="1740" w:type="dxa"/>
            <w:vAlign w:val="bottom"/>
          </w:tcPr>
          <w:p>
            <w:pPr>
              <w:ind w:left="560"/>
              <w:spacing w:after="0" w:line="166" w:lineRule="exact"/>
              <w:rPr>
                <w:sz w:val="20"/>
                <w:szCs w:val="20"/>
                <w:color w:val="auto"/>
              </w:rPr>
            </w:pPr>
            <w:r>
              <w:rPr>
                <w:rFonts w:ascii="Arial" w:cs="Arial" w:eastAsia="Arial" w:hAnsi="Arial"/>
                <w:sz w:val="16"/>
                <w:szCs w:val="16"/>
                <w:color w:val="auto"/>
              </w:rPr>
              <w:t>Owned</w:t>
            </w:r>
          </w:p>
        </w:tc>
        <w:tc>
          <w:tcPr>
            <w:tcW w:w="5060" w:type="dxa"/>
            <w:vAlign w:val="bottom"/>
          </w:tcPr>
          <w:p>
            <w:pPr>
              <w:ind w:left="360"/>
              <w:spacing w:after="0" w:line="166"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162"/>
        </w:trPr>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60" w:type="dxa"/>
            <w:vAlign w:val="bottom"/>
          </w:tcPr>
          <w:p>
            <w:pPr>
              <w:ind w:left="360"/>
              <w:spacing w:after="0" w:line="162" w:lineRule="exact"/>
              <w:rPr>
                <w:sz w:val="20"/>
                <w:szCs w:val="20"/>
                <w:color w:val="auto"/>
              </w:rPr>
            </w:pPr>
            <w:r>
              <w:rPr>
                <w:rFonts w:ascii="Arial" w:cs="Arial" w:eastAsia="Arial" w:hAnsi="Arial"/>
                <w:sz w:val="16"/>
                <w:szCs w:val="16"/>
                <w:color w:val="auto"/>
                <w:w w:val="91"/>
              </w:rPr>
              <w:t>improvements, property management, commercial space and real estate</w:t>
            </w:r>
          </w:p>
        </w:tc>
      </w:tr>
      <w:tr>
        <w:trPr>
          <w:trHeight w:val="209"/>
        </w:trPr>
        <w:tc>
          <w:tcPr>
            <w:tcW w:w="4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6"/>
                <w:szCs w:val="16"/>
                <w:color w:val="auto"/>
              </w:rPr>
              <w:t>held for sale or development</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Vail Mountain, CO (12,353 acres)</w:t>
            </w:r>
          </w:p>
        </w:tc>
        <w:tc>
          <w:tcPr>
            <w:tcW w:w="1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SUP</w:t>
            </w: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400" w:type="dxa"/>
            <w:vAlign w:val="bottom"/>
          </w:tcPr>
          <w:p>
            <w:pPr>
              <w:ind w:left="20"/>
              <w:spacing w:after="0" w:line="166" w:lineRule="exact"/>
              <w:rPr>
                <w:sz w:val="20"/>
                <w:szCs w:val="20"/>
                <w:color w:val="auto"/>
              </w:rPr>
            </w:pPr>
            <w:r>
              <w:rPr>
                <w:rFonts w:ascii="Arial" w:cs="Arial" w:eastAsia="Arial" w:hAnsi="Arial"/>
                <w:sz w:val="16"/>
                <w:szCs w:val="16"/>
                <w:color w:val="auto"/>
              </w:rPr>
              <w:t>Whistler Blackcomb Resort, BC, Canada</w:t>
            </w:r>
          </w:p>
        </w:tc>
        <w:tc>
          <w:tcPr>
            <w:tcW w:w="1740" w:type="dxa"/>
            <w:vAlign w:val="bottom"/>
          </w:tcPr>
          <w:p>
            <w:pPr>
              <w:ind w:left="560"/>
              <w:spacing w:after="0" w:line="166" w:lineRule="exact"/>
              <w:rPr>
                <w:sz w:val="20"/>
                <w:szCs w:val="20"/>
                <w:color w:val="auto"/>
              </w:rPr>
            </w:pPr>
            <w:r>
              <w:rPr>
                <w:rFonts w:ascii="Arial" w:cs="Arial" w:eastAsia="Arial" w:hAnsi="Arial"/>
                <w:sz w:val="16"/>
                <w:szCs w:val="16"/>
                <w:color w:val="auto"/>
              </w:rPr>
              <w:t>75% Owned</w:t>
            </w:r>
          </w:p>
        </w:tc>
        <w:tc>
          <w:tcPr>
            <w:tcW w:w="5060" w:type="dxa"/>
            <w:vAlign w:val="bottom"/>
          </w:tcPr>
          <w:p>
            <w:pPr>
              <w:ind w:left="360"/>
              <w:spacing w:after="0" w:line="166"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162"/>
        </w:trPr>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60" w:type="dxa"/>
            <w:vAlign w:val="bottom"/>
          </w:tcPr>
          <w:p>
            <w:pPr>
              <w:ind w:left="360"/>
              <w:spacing w:after="0" w:line="162" w:lineRule="exact"/>
              <w:rPr>
                <w:sz w:val="20"/>
                <w:szCs w:val="20"/>
                <w:color w:val="auto"/>
              </w:rPr>
            </w:pPr>
            <w:r>
              <w:rPr>
                <w:rFonts w:ascii="Arial" w:cs="Arial" w:eastAsia="Arial" w:hAnsi="Arial"/>
                <w:sz w:val="16"/>
                <w:szCs w:val="16"/>
                <w:color w:val="auto"/>
                <w:w w:val="91"/>
              </w:rPr>
              <w:t>improvements, property management, commercial space and real estate</w:t>
            </w:r>
          </w:p>
        </w:tc>
      </w:tr>
      <w:tr>
        <w:trPr>
          <w:trHeight w:val="209"/>
        </w:trPr>
        <w:tc>
          <w:tcPr>
            <w:tcW w:w="4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6"/>
                <w:szCs w:val="16"/>
                <w:color w:val="auto"/>
              </w:rPr>
              <w:t>held for sale or development</w:t>
            </w:r>
          </w:p>
        </w:tc>
      </w:tr>
      <w:tr>
        <w:trPr>
          <w:trHeight w:val="169"/>
        </w:trPr>
        <w:tc>
          <w:tcPr>
            <w:tcW w:w="4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Whistler Mountain and Blackcomb Mountain, BC, Canada</w:t>
            </w:r>
          </w:p>
        </w:tc>
        <w:tc>
          <w:tcPr>
            <w:tcW w:w="1740" w:type="dxa"/>
            <w:vAlign w:val="bottom"/>
            <w:shd w:val="clear" w:color="auto" w:fill="CCEEFF"/>
          </w:tcPr>
          <w:p>
            <w:pPr>
              <w:ind w:left="560"/>
              <w:spacing w:after="0" w:line="169" w:lineRule="exact"/>
              <w:rPr>
                <w:sz w:val="20"/>
                <w:szCs w:val="20"/>
                <w:color w:val="auto"/>
              </w:rPr>
            </w:pPr>
            <w:r>
              <w:rPr>
                <w:rFonts w:ascii="Arial" w:cs="Arial" w:eastAsia="Arial" w:hAnsi="Arial"/>
                <w:sz w:val="16"/>
                <w:szCs w:val="16"/>
                <w:color w:val="auto"/>
              </w:rPr>
              <w:t>MDA</w:t>
            </w:r>
          </w:p>
        </w:tc>
        <w:tc>
          <w:tcPr>
            <w:tcW w:w="50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12"/>
        </w:trPr>
        <w:tc>
          <w:tcPr>
            <w:tcW w:w="44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improvements</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Whistler Blackcomb Resort, BC, Canada</w:t>
            </w:r>
          </w:p>
        </w:tc>
        <w:tc>
          <w:tcPr>
            <w:tcW w:w="1740" w:type="dxa"/>
            <w:vAlign w:val="bottom"/>
          </w:tcPr>
          <w:p>
            <w:pPr>
              <w:ind w:left="560"/>
              <w:spacing w:after="0"/>
              <w:rPr>
                <w:sz w:val="20"/>
                <w:szCs w:val="20"/>
                <w:color w:val="auto"/>
              </w:rPr>
            </w:pPr>
            <w:r>
              <w:rPr>
                <w:rFonts w:ascii="Arial" w:cs="Arial" w:eastAsia="Arial" w:hAnsi="Arial"/>
                <w:sz w:val="16"/>
                <w:szCs w:val="16"/>
                <w:color w:val="auto"/>
              </w:rPr>
              <w:t>Leased</w:t>
            </w:r>
          </w:p>
        </w:tc>
        <w:tc>
          <w:tcPr>
            <w:tcW w:w="5060" w:type="dxa"/>
            <w:vAlign w:val="bottom"/>
          </w:tcPr>
          <w:p>
            <w:pPr>
              <w:ind w:left="360"/>
              <w:spacing w:after="0"/>
              <w:rPr>
                <w:sz w:val="20"/>
                <w:szCs w:val="20"/>
                <w:color w:val="auto"/>
              </w:rPr>
            </w:pPr>
            <w:r>
              <w:rPr>
                <w:rFonts w:ascii="Arial" w:cs="Arial" w:eastAsia="Arial" w:hAnsi="Arial"/>
                <w:sz w:val="16"/>
                <w:szCs w:val="16"/>
                <w:color w:val="auto"/>
              </w:rPr>
              <w:t>Employee housing facilities</w:t>
            </w:r>
          </w:p>
        </w:tc>
      </w:tr>
      <w:tr>
        <w:trPr>
          <w:trHeight w:val="169"/>
        </w:trPr>
        <w:tc>
          <w:tcPr>
            <w:tcW w:w="4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Whitetail Resort, PA</w:t>
            </w:r>
          </w:p>
        </w:tc>
        <w:tc>
          <w:tcPr>
            <w:tcW w:w="1740" w:type="dxa"/>
            <w:vAlign w:val="bottom"/>
            <w:shd w:val="clear" w:color="auto" w:fill="CCEEFF"/>
          </w:tcPr>
          <w:p>
            <w:pPr>
              <w:ind w:left="560"/>
              <w:spacing w:after="0" w:line="169" w:lineRule="exact"/>
              <w:rPr>
                <w:sz w:val="20"/>
                <w:szCs w:val="20"/>
                <w:color w:val="auto"/>
              </w:rPr>
            </w:pPr>
            <w:r>
              <w:rPr>
                <w:rFonts w:ascii="Arial" w:cs="Arial" w:eastAsia="Arial" w:hAnsi="Arial"/>
                <w:sz w:val="16"/>
                <w:szCs w:val="16"/>
                <w:color w:val="auto"/>
              </w:rPr>
              <w:t>Owned</w:t>
            </w:r>
          </w:p>
        </w:tc>
        <w:tc>
          <w:tcPr>
            <w:tcW w:w="50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Ski resort operations, including ski lifts, ski trails, golf course,</w:t>
            </w:r>
          </w:p>
        </w:tc>
      </w:tr>
      <w:tr>
        <w:trPr>
          <w:trHeight w:val="212"/>
        </w:trPr>
        <w:tc>
          <w:tcPr>
            <w:tcW w:w="44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buildings, commercial space and other improvements</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Wildcat Mountain, NH</w:t>
            </w:r>
          </w:p>
        </w:tc>
        <w:tc>
          <w:tcPr>
            <w:tcW w:w="1740" w:type="dxa"/>
            <w:vAlign w:val="bottom"/>
          </w:tcPr>
          <w:p>
            <w:pPr>
              <w:ind w:left="560"/>
              <w:spacing w:after="0"/>
              <w:rPr>
                <w:sz w:val="20"/>
                <w:szCs w:val="20"/>
                <w:color w:val="auto"/>
              </w:rPr>
            </w:pPr>
            <w:r>
              <w:rPr>
                <w:rFonts w:ascii="Arial" w:cs="Arial" w:eastAsia="Arial" w:hAnsi="Arial"/>
                <w:sz w:val="16"/>
                <w:szCs w:val="16"/>
                <w:color w:val="auto"/>
              </w:rPr>
              <w:t>SUP/Owned</w:t>
            </w:r>
          </w:p>
        </w:tc>
        <w:tc>
          <w:tcPr>
            <w:tcW w:w="5060" w:type="dxa"/>
            <w:vAlign w:val="bottom"/>
          </w:tcPr>
          <w:p>
            <w:pPr>
              <w:ind w:left="36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Wilmot Mountain, WI</w:t>
            </w:r>
          </w:p>
        </w:tc>
        <w:tc>
          <w:tcPr>
            <w:tcW w:w="1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Owned</w:t>
            </w:r>
          </w:p>
        </w:tc>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Ski trails, ski lifts, buildings and other improvements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Many of our properties are used across all segments in complementary and interdependent ways.</w:t>
      </w:r>
    </w:p>
    <w:p>
      <w:pPr>
        <w:spacing w:after="0" w:line="3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0" w:lineRule="exact"/>
        <w:rPr>
          <w:sz w:val="20"/>
          <w:szCs w:val="20"/>
          <w:color w:val="auto"/>
        </w:rPr>
      </w:pP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Stockholders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“MTN.” As of September 20, 2021, 40,391,129 shares of common stock were outstanding, held by approximately 258 holders of record.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fiscal 2011, our Board of Directors approved the commencement of a regular quarterly cash dividend on our common stock, subject to quarterly declaration, which has typically been increased on an annual basis. We announced on April 1, 2020 that we would be suspending the declaration of our quarterly dividend in response to the impacts of the COVID-19 pandemic, which such suspension has continued throughout the year ended July 31, 2021 (“Fiscal 2021”). Additionally, pursuant to the Fourth Amendment of the Vail Holdings Credit Agreement (as defined below), we are prohibited from paying any dividends during the Financial Covenants Temporary Waiver Period (as defined below) unless (x) no default or potential default exists under the Vail Holdings Credit Agreement and (y) the Company has liquidity (as defined below) of at least $300.0 million, and the aggregate amount of dividends paid and share repurchases made by the Company during the Financial Covenants Temporary Waiver Period may not exceed $38.2 million in any fiscal quarter.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 On September 22, 2021, our Board of Directors approved a cash dividend of $0.88 per share payable on October 22, 2021 to stockholders of record as of October 5, 2021. Additionally, a Canadian dollar equivalent dividend on the Exchangeco Shares will be payable on October 22, 2021 to the shareholders of record as of October 5, 2021. We expect to fund the dividend with available cash on hand and will do so pursuant to the restrictions under the Financial Covenants Temporary Waiver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Equity Securities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did not repurchase any shares of common stock during the fourth quarter of Fiscal 2021. The share repurchase program is conducted under authorizations made from time to time by our Board of Directors. 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Since inception of this stock repurchase program through July 31, 2021, the Company has repurchased 6,161,141 shares at a cost of approximately $404.4 million. As of July 31, 2021, 1,338,859 shares remained available to repurchase under the existing repurchase authorization. Repurchases under these authorizations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These authorizations have no expiration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return graph below is presented for the period from the beginning of our fiscal year ended July 31, 2017 through the end of Fiscal 2021. The comparison assumes that $100 was invested at the beginning of the period in our common stock (“MTN”), The Russell 2000 Stock Index, The Standard &amp; Poor’s 500 Stock Index and the Dow Jones U.S. Travel and Leisure Stock Index, with dividends reinvested where applicable. We include the Dow Jones U.S. Travel and Leisure Index as we believe we compete in the travel and leisure industry.</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715010</wp:posOffset>
            </wp:positionV>
            <wp:extent cx="5143500" cy="3171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July 31,</w:t>
            </w: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3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24"/>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Vail Resorts,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235.20</w:t>
            </w:r>
          </w:p>
        </w:tc>
      </w:tr>
      <w:tr>
        <w:trPr>
          <w:trHeight w:val="338"/>
        </w:trPr>
        <w:tc>
          <w:tcPr>
            <w:tcW w:w="3300" w:type="dxa"/>
            <w:vAlign w:val="bottom"/>
          </w:tcPr>
          <w:p>
            <w:pPr>
              <w:ind w:left="20"/>
              <w:spacing w:after="0"/>
              <w:rPr>
                <w:sz w:val="20"/>
                <w:szCs w:val="20"/>
                <w:color w:val="auto"/>
              </w:rPr>
            </w:pPr>
            <w:r>
              <w:rPr>
                <w:rFonts w:ascii="Arial" w:cs="Arial" w:eastAsia="Arial" w:hAnsi="Arial"/>
                <w:sz w:val="18"/>
                <w:szCs w:val="18"/>
                <w:color w:val="auto"/>
              </w:rPr>
              <w:t>Russell 2000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118.43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140.61</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134.34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128.15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194.71</w:t>
            </w:r>
          </w:p>
        </w:tc>
      </w:tr>
      <w:tr>
        <w:trPr>
          <w:trHeight w:val="33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&amp; Poor’s 500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222.40</w:t>
            </w:r>
          </w:p>
        </w:tc>
      </w:tr>
      <w:tr>
        <w:trPr>
          <w:trHeight w:val="338"/>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Dow Jones U.S. Travel and Leisure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134.84</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156.47</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174.84</w:t>
            </w:r>
          </w:p>
        </w:tc>
      </w:tr>
    </w:tbl>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 presents selected historical consolidated financial data derived from our Consolidated Financial Statements for the periods indicated. The financial data for our fiscal years ended and as of July 31, 2017 through July 31, 2021 should be read in conjunction with those Consolidated Financial Statements, related notes thereto and Management’s Discussion and Analysis of Financial Condition and Results of Operations. The table presented below is unaudited. The data presented below is in thousands, except for diluted net income per share attributable to Vail Resorts, Inc., cash dividends declared per share, effective ticket price (“ETP”), average daily rate (“ADR”) and revenue per available room (“RevPAR”)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tbl>
      <w:tblPr>
        <w:tblLayout w:type="fixed"/>
        <w:tblInd w:w="4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Year ended July 31,</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16"/>
        </w:trPr>
        <w:tc>
          <w:tcPr>
            <w:tcW w:w="4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2"/>
              <w:spacing w:after="0" w:line="216" w:lineRule="exact"/>
              <w:rPr>
                <w:sz w:val="20"/>
                <w:szCs w:val="20"/>
                <w:color w:val="auto"/>
              </w:rPr>
            </w:pPr>
            <w:r>
              <w:rPr>
                <w:rFonts w:ascii="Arial" w:cs="Arial" w:eastAsia="Arial" w:hAnsi="Arial"/>
                <w:sz w:val="24"/>
                <w:szCs w:val="24"/>
                <w:b w:val="1"/>
                <w:bCs w:val="1"/>
                <w:color w:val="auto"/>
                <w:vertAlign w:val="subscript"/>
              </w:rPr>
              <w:t>2021</w:t>
            </w:r>
            <w:r>
              <w:rPr>
                <w:rFonts w:ascii="Arial" w:cs="Arial" w:eastAsia="Arial" w:hAnsi="Arial"/>
                <w:sz w:val="9"/>
                <w:szCs w:val="9"/>
                <w:color w:val="auto"/>
              </w:rPr>
              <w:t xml:space="preserve"> (1)(2)</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2"/>
              <w:spacing w:after="0" w:line="216" w:lineRule="exact"/>
              <w:rPr>
                <w:sz w:val="20"/>
                <w:szCs w:val="20"/>
                <w:color w:val="auto"/>
              </w:rPr>
            </w:pPr>
            <w:r>
              <w:rPr>
                <w:rFonts w:ascii="Arial" w:cs="Arial" w:eastAsia="Arial" w:hAnsi="Arial"/>
                <w:sz w:val="24"/>
                <w:szCs w:val="24"/>
                <w:b w:val="1"/>
                <w:bCs w:val="1"/>
                <w:color w:val="auto"/>
                <w:vertAlign w:val="subscript"/>
              </w:rPr>
              <w:t>2020</w:t>
            </w:r>
            <w:r>
              <w:rPr>
                <w:rFonts w:ascii="Arial" w:cs="Arial" w:eastAsia="Arial" w:hAnsi="Arial"/>
                <w:sz w:val="9"/>
                <w:szCs w:val="9"/>
                <w:color w:val="auto"/>
              </w:rPr>
              <w:t xml:space="preserve"> (1)(2)(3)</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8"/>
                <w:szCs w:val="18"/>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8"/>
                <w:szCs w:val="18"/>
                <w:color w:val="auto"/>
                <w:vertAlign w:val="superscript"/>
              </w:rPr>
              <w:t>(1)</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4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1,909,710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1,963,704</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2,271,575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2,011,553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1,907,218</w:t>
            </w:r>
          </w:p>
        </w:tc>
      </w:tr>
      <w:tr>
        <w:trPr>
          <w:trHeight w:val="270"/>
        </w:trPr>
        <w:tc>
          <w:tcPr>
            <w:tcW w:w="4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1,376,658</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1,466,380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1,571,738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1,396,023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1,322,841</w:t>
            </w:r>
          </w:p>
        </w:tc>
      </w:tr>
      <w:tr>
        <w:trPr>
          <w:trHeight w:val="270"/>
        </w:trPr>
        <w:tc>
          <w:tcPr>
            <w:tcW w:w="4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(272,036)</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(273,935)</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(223,568)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(206,713)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(205,121)</w:t>
            </w:r>
          </w:p>
        </w:tc>
      </w:tr>
      <w:tr>
        <w:trPr>
          <w:trHeight w:val="22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(135,833)</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(106,956)</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(77,304)</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(68,725)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(30,807)</w:t>
            </w:r>
          </w:p>
        </w:tc>
      </w:tr>
      <w:tr>
        <w:trPr>
          <w:trHeight w:val="230"/>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benefit from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125,183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116,433</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398,965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340,092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348,449</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Net Income and Dividends: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3"/>
                <w:szCs w:val="23"/>
                <w:color w:val="auto"/>
                <w:vertAlign w:val="superscript"/>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124,457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109,055</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323,493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401,320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231,718</w:t>
            </w:r>
          </w:p>
        </w:tc>
      </w:tr>
      <w:tr>
        <w:trPr>
          <w:trHeight w:val="229"/>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income attributable to Vail Resorts, Inc. </w:t>
            </w:r>
            <w:r>
              <w:rPr>
                <w:rFonts w:ascii="Arial" w:cs="Arial" w:eastAsia="Arial" w:hAnsi="Arial"/>
                <w:sz w:val="23"/>
                <w:szCs w:val="23"/>
                <w:color w:val="auto"/>
                <w:vertAlign w:val="superscript"/>
              </w:rPr>
              <w:t>(4)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127,850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98,833</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301,163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379,898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210,553</w:t>
            </w:r>
          </w:p>
        </w:tc>
      </w:tr>
      <w:tr>
        <w:trPr>
          <w:trHeight w:val="230"/>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2"/>
              </w:rPr>
              <w:t xml:space="preserve">Diluted net income per share attributable to Vail Resorts, Inc. </w:t>
            </w:r>
            <w:r>
              <w:rPr>
                <w:rFonts w:ascii="Arial" w:cs="Arial" w:eastAsia="Arial" w:hAnsi="Arial"/>
                <w:sz w:val="23"/>
                <w:szCs w:val="23"/>
                <w:color w:val="auto"/>
                <w:w w:val="92"/>
                <w:vertAlign w:val="superscript"/>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5.28</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6.46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5.046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3.726</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 Data:</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Mountain</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Skier visits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14,852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13,483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14,998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12,345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r>
      <w:tr>
        <w:trPr>
          <w:trHeight w:val="230"/>
        </w:trPr>
        <w:tc>
          <w:tcPr>
            <w:tcW w:w="47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ETP </w:t>
            </w:r>
            <w:r>
              <w:rPr>
                <w:rFonts w:ascii="Arial" w:cs="Arial" w:eastAsia="Arial" w:hAnsi="Arial"/>
                <w:sz w:val="23"/>
                <w:szCs w:val="23"/>
                <w:color w:val="auto"/>
                <w:vertAlign w:val="superscript"/>
              </w:rPr>
              <w:t>(6)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72.49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67.72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68.89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71.31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67.93</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Lodging</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ADR </w:t>
            </w:r>
            <w:r>
              <w:rPr>
                <w:rFonts w:ascii="Arial" w:cs="Arial" w:eastAsia="Arial" w:hAnsi="Arial"/>
                <w:sz w:val="23"/>
                <w:szCs w:val="23"/>
                <w:color w:val="auto"/>
                <w:vertAlign w:val="superscript"/>
              </w:rPr>
              <w:t>(7)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322.15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310.76</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300.47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300.90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302.80</w:t>
            </w:r>
          </w:p>
        </w:tc>
      </w:tr>
      <w:tr>
        <w:trPr>
          <w:trHeight w:val="230"/>
        </w:trPr>
        <w:tc>
          <w:tcPr>
            <w:tcW w:w="4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RevPAR </w:t>
            </w:r>
            <w:r>
              <w:rPr>
                <w:rFonts w:ascii="Arial" w:cs="Arial" w:eastAsia="Arial" w:hAnsi="Arial"/>
                <w:sz w:val="23"/>
                <w:szCs w:val="23"/>
                <w:color w:val="auto"/>
                <w:vertAlign w:val="superscript"/>
              </w:rPr>
              <w:t>(8)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90.37</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121.81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131.08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Real Estate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Real estate held for sale or investment </w:t>
            </w:r>
            <w:r>
              <w:rPr>
                <w:rFonts w:ascii="Arial" w:cs="Arial" w:eastAsia="Arial" w:hAnsi="Arial"/>
                <w:sz w:val="23"/>
                <w:szCs w:val="23"/>
                <w:color w:val="auto"/>
                <w:vertAlign w:val="superscript"/>
              </w:rPr>
              <w:t>(9)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95,615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96,844</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101,021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99,385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103,405</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Other Balance Sheet Data:</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1,243,962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390,980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108,850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178,145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117,389</w:t>
            </w: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6,251,056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5,244,232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4,426,077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4,064,984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4,110,718</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Long-term debt, net (including long-term debt due within one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2,850,292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2,450,799</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1,576,260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1,272,732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1,272,421</w:t>
            </w: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23"/>
                <w:szCs w:val="23"/>
                <w:color w:val="auto"/>
                <w:vertAlign w:val="superscript"/>
              </w:rPr>
              <w:t>(12)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1,606,330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2,059,819</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1,467,410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1,094,587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1,155,032</w:t>
            </w:r>
          </w:p>
        </w:tc>
      </w:tr>
      <w:tr>
        <w:trPr>
          <w:trHeight w:val="270"/>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Vail Resorts, Inc.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1,594,599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1,316,742</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1,500,627</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1,589,434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1,571,156</w:t>
            </w:r>
          </w:p>
        </w:tc>
      </w:tr>
    </w:tbl>
    <w:p>
      <w:pPr>
        <w:spacing w:after="0" w:line="283" w:lineRule="exact"/>
        <w:rPr>
          <w:sz w:val="20"/>
          <w:szCs w:val="20"/>
          <w:color w:val="auto"/>
        </w:rPr>
      </w:pPr>
    </w:p>
    <w:p>
      <w:pPr>
        <w:jc w:val="both"/>
        <w:ind w:firstLine="8"/>
        <w:spacing w:after="0" w:line="259" w:lineRule="auto"/>
        <w:tabs>
          <w:tab w:leader="none" w:pos="6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completed several acquisitions of destination mountain resorts and regional ski areas during the past five years, which impacts comparability between years, including Peak Resorts (acquired September 2019); Falls Creek and Hotham (acquired April 2019); Crested Butte, Mount Sunapee and Okemo (acquired September 2018); Stevens Pass (acquired August 2018); Stowe (acquired June 2017); and Whistler Blackcomb (acquired October 2016).</w:t>
      </w:r>
    </w:p>
    <w:p>
      <w:pPr>
        <w:spacing w:after="0" w:line="78" w:lineRule="exact"/>
        <w:rPr>
          <w:rFonts w:ascii="Arial" w:cs="Arial" w:eastAsia="Arial" w:hAnsi="Arial"/>
          <w:sz w:val="18"/>
          <w:szCs w:val="18"/>
          <w:color w:val="auto"/>
        </w:rPr>
      </w:pPr>
    </w:p>
    <w:p>
      <w:pPr>
        <w:jc w:val="both"/>
        <w:ind w:firstLine="8"/>
        <w:spacing w:after="0" w:line="259" w:lineRule="auto"/>
        <w:tabs>
          <w:tab w:leader="none" w:pos="6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results for the years ended July 31, 2021 and 2020 were impacted by the deferral of approximately $120.9 million of season pass revenue, as well as approximately $2.9 million of related deferred costs, that would have been recognized during the year ended July 31, 2020 but were deferred and recognized primarily in the year ended July 31, 2021 as a result of credits that were offered to customers who had purchased 2019/2020 North American pass products and who purchased 2020/2021 North American pass products.</w:t>
      </w:r>
    </w:p>
    <w:p>
      <w:pPr>
        <w:spacing w:after="0" w:line="78" w:lineRule="exact"/>
        <w:rPr>
          <w:rFonts w:ascii="Arial" w:cs="Arial" w:eastAsia="Arial" w:hAnsi="Arial"/>
          <w:sz w:val="18"/>
          <w:szCs w:val="18"/>
          <w:color w:val="auto"/>
        </w:rPr>
      </w:pPr>
    </w:p>
    <w:p>
      <w:pPr>
        <w:ind w:firstLine="8"/>
        <w:spacing w:after="0" w:line="277" w:lineRule="auto"/>
        <w:tabs>
          <w:tab w:leader="none" w:pos="6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results for the year ended July 31, 2020 were impacted by an asset impairment of approximately $28.4 million as a result of the effects of the COVID-19 pandemic on our Colorado resort ground transportation company.</w:t>
      </w:r>
    </w:p>
    <w:p>
      <w:pPr>
        <w:spacing w:after="0" w:line="62" w:lineRule="exact"/>
        <w:rPr>
          <w:rFonts w:ascii="Arial" w:cs="Arial" w:eastAsia="Arial" w:hAnsi="Arial"/>
          <w:sz w:val="18"/>
          <w:szCs w:val="18"/>
          <w:color w:val="auto"/>
        </w:rPr>
      </w:pPr>
    </w:p>
    <w:p>
      <w:pPr>
        <w:jc w:val="both"/>
        <w:ind w:firstLine="8"/>
        <w:spacing w:after="0" w:line="259" w:lineRule="auto"/>
        <w:tabs>
          <w:tab w:leader="none" w:pos="6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income, net income attributable to Vail Resorts, Inc. and diluted net income per share attributable to Vail Resorts, Inc. were positively impacted during the year ended July 31, 2018 as a result of one-time tax benefits related to comprehensive U.S. tax legislation, which also resulted in a decreased federal U.S. corporate tax rate prospectively from January 1, 2018, and excess tax benefits from employee share award exercises, as discussed subsequently in this document.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1" w:name="page42"/>
    <w:bookmarkEnd w:id="41"/>
    <w:p>
      <w:pPr>
        <w:ind w:right="20" w:firstLine="8"/>
        <w:spacing w:after="0" w:line="277" w:lineRule="auto"/>
        <w:tabs>
          <w:tab w:leader="none" w:pos="6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skier visit represents a person purchasing a ticket or utilizing a pass to access a destination mountain resort or regional ski area for any part of one day during a winter ski season and includes complimentary access.</w:t>
      </w:r>
    </w:p>
    <w:p>
      <w:pPr>
        <w:spacing w:after="0" w:line="62" w:lineRule="exact"/>
        <w:rPr>
          <w:rFonts w:ascii="Arial" w:cs="Arial" w:eastAsia="Arial" w:hAnsi="Arial"/>
          <w:sz w:val="18"/>
          <w:szCs w:val="18"/>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ETP is calculated by dividing lift revenue by total skier visits during the respective periods.</w:t>
      </w:r>
    </w:p>
    <w:p>
      <w:pPr>
        <w:spacing w:after="0" w:line="117" w:lineRule="exact"/>
        <w:rPr>
          <w:rFonts w:ascii="Arial" w:cs="Arial" w:eastAsia="Arial" w:hAnsi="Arial"/>
          <w:sz w:val="18"/>
          <w:szCs w:val="18"/>
          <w:color w:val="auto"/>
        </w:rPr>
      </w:pPr>
    </w:p>
    <w:p>
      <w:pPr>
        <w:ind w:firstLine="8"/>
        <w:spacing w:after="0" w:line="277" w:lineRule="auto"/>
        <w:tabs>
          <w:tab w:leader="none" w:pos="6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ADR is calculated by dividing total room revenue (includes both owned room and managed condominium unit revenue) by the number of occupied rooms during the respective periods.</w:t>
      </w:r>
    </w:p>
    <w:p>
      <w:pPr>
        <w:spacing w:after="0" w:line="62" w:lineRule="exact"/>
        <w:rPr>
          <w:rFonts w:ascii="Arial" w:cs="Arial" w:eastAsia="Arial" w:hAnsi="Arial"/>
          <w:sz w:val="18"/>
          <w:szCs w:val="18"/>
          <w:color w:val="auto"/>
        </w:rPr>
      </w:pPr>
    </w:p>
    <w:p>
      <w:pPr>
        <w:ind w:firstLine="8"/>
        <w:spacing w:after="0" w:line="277" w:lineRule="auto"/>
        <w:tabs>
          <w:tab w:leader="none" w:pos="6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RevPAR is calculated by dividing total room revenue (includes both owned room and managed condominium unit revenue) by the number of rooms that are available to guests during the respective periods.</w:t>
      </w:r>
    </w:p>
    <w:p>
      <w:pPr>
        <w:spacing w:after="0" w:line="62" w:lineRule="exact"/>
        <w:rPr>
          <w:rFonts w:ascii="Arial" w:cs="Arial" w:eastAsia="Arial" w:hAnsi="Arial"/>
          <w:sz w:val="18"/>
          <w:szCs w:val="18"/>
          <w:color w:val="auto"/>
        </w:rPr>
      </w:pPr>
    </w:p>
    <w:p>
      <w:pPr>
        <w:ind w:firstLine="8"/>
        <w:spacing w:after="0" w:line="277" w:lineRule="auto"/>
        <w:tabs>
          <w:tab w:leader="none" w:pos="6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Real estate held for sale or investment includes all land, development costs and other improvements associated with real estate held for sale or investment.</w:t>
      </w:r>
    </w:p>
    <w:p>
      <w:pPr>
        <w:spacing w:after="0" w:line="62" w:lineRule="exact"/>
        <w:rPr>
          <w:rFonts w:ascii="Arial" w:cs="Arial" w:eastAsia="Arial" w:hAnsi="Arial"/>
          <w:sz w:val="18"/>
          <w:szCs w:val="18"/>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and cash equivalents exclude restricted cash.</w:t>
      </w:r>
    </w:p>
    <w:p>
      <w:pPr>
        <w:spacing w:after="0" w:line="117" w:lineRule="exact"/>
        <w:rPr>
          <w:rFonts w:ascii="Arial" w:cs="Arial" w:eastAsia="Arial" w:hAnsi="Arial"/>
          <w:sz w:val="18"/>
          <w:szCs w:val="18"/>
          <w:color w:val="auto"/>
        </w:rPr>
      </w:pPr>
    </w:p>
    <w:p>
      <w:pPr>
        <w:jc w:val="both"/>
        <w:ind w:firstLine="8"/>
        <w:spacing w:after="0" w:line="279" w:lineRule="auto"/>
        <w:tabs>
          <w:tab w:leader="none" w:pos="63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adopted a new lease accounting standard on August 1, 2019 using a modified retrospective transition method, in which reporting periods beginning on August 1, 2019 are presented under the new standard, while prior periods were not adjusted and continue to be reported in accordance with the previously applicable accounting guidance. As a result of adopting the new lease accounting standard, the Company recorded $221.8 million of right-of-use (“ROU”) assets and $254.2 million of related total operating lease liabilities in the Consolidated Balance Sheet as of August 1, 2019.</w:t>
      </w:r>
    </w:p>
    <w:p>
      <w:pPr>
        <w:spacing w:after="0" w:line="63" w:lineRule="exact"/>
        <w:rPr>
          <w:rFonts w:ascii="Arial" w:cs="Arial" w:eastAsia="Arial" w:hAnsi="Arial"/>
          <w:sz w:val="17"/>
          <w:szCs w:val="17"/>
          <w:color w:val="auto"/>
        </w:rPr>
      </w:pPr>
    </w:p>
    <w:p>
      <w:pPr>
        <w:jc w:val="both"/>
        <w:ind w:firstLine="8"/>
        <w:spacing w:after="0" w:line="263" w:lineRule="auto"/>
        <w:tabs>
          <w:tab w:leader="none" w:pos="6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Debt, a non-GAAP financial measure, is defined as long-term debt, net plus long-term debt due within one year less cash and cash equivalents. Refer to the end of the Results of Operations section of Item 7. “Management’s Discussion and Analysis of Financial Condition and Results of Operations” for a reconciliation of long-term debt, net to Net Debt.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10-K. The following discussion and analysis should be read in conjunction with the Forward-Looking Statements section and Item 1A. “Risk Factors” each included in this Form 10-K.</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segment Reported EBITDA (defined as segment net revenue less segment operating expense, plus or minus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long-term debt, net to Net Debt.</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net change in cash and cash equivalents or other financial statement data presented in the Consolidated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 The Mountain, Lodging and Real Estate segments represented approximately 89%, 11% and 0%, respectively, of our net revenue for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37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6445" cy="3857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operate ancillary services, including ski school, dining and retail/rental operations, and for our Australian ski areas, including lodging and transportation operations. Mountain segment revenue is seasonal, with the majority of revenue earned from our North American destination mountain resorts and regional ski areas (collectively, our “Resorts”) occurring in our second and third fiscal quarters and the majority of revenue earned from our Australian ski areas occurring in our first and fourth fiscal quarters. Our North American Resorts are typically open for business from mid-November through mid-April, which is the peak operating season for the Mountain segment, and our Australian ski areas are typically open for business from June to early October. Our single largest source of Mountain segment revenue is the sale of lift tickets (including pass products), which represented approximately 64%, 53% and 53% of Mountain segment net revenue for Fiscal 2021, the fiscal year ended July 31, 2020 (“Fiscal 2020”) and the fiscal year ended July 31, 2019 (“Fiscal 2019”), respectively.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4" w:name="page45"/>
    <w:bookmarkEnd w:id="44"/>
    <w:p>
      <w:pPr>
        <w:jc w:val="both"/>
        <w:spacing w:after="0" w:line="287" w:lineRule="auto"/>
        <w:rPr>
          <w:sz w:val="20"/>
          <w:szCs w:val="20"/>
          <w:color w:val="auto"/>
        </w:rPr>
      </w:pPr>
      <w:r>
        <w:rPr>
          <w:rFonts w:ascii="Arial" w:cs="Arial" w:eastAsia="Arial" w:hAnsi="Arial"/>
          <w:sz w:val="16"/>
          <w:szCs w:val="16"/>
          <w:color w:val="auto"/>
        </w:rPr>
        <w:t>Lift revenue is driven by volume and pricing. Pricing is impacted by both absolute pricing, as well as the demographic mix of guests, which impacts the price points at which various products are purchased. The demographic mix of guests that visit our North American mountain resorts is divided into two primary categories: (1) out-of-state and international (“Destination”) guests and (2) in-state and local (“Local”) guests. For the 2020/2021 North American ski season, Destination guests comprised approximately 52% of our North American destination mountain resort skier visits (excluding complimentary access), while Local guests comprised approximately 48%, which compares to approximately 58% and 42%, respectively, for the 2019/2020 North American ski season and approximately 57% and 43%, respectively, for the 2018/2019 North American ski season.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The impacts of COVID-19, including travel restrictions, had a disproportionately adverse impact on Destination visitation, particularly international guests, as demand for long-distance travel was lower than normal throughout the 2020/2021 North American ski season. Additionally, Destination guest visitation is less likely to be impacted by changes in the weather during the current ski season, but may be more impacted by adverse economic conditions, the global geopolitical climate or weather conditions in the immediately preceding ski season. Local guests tend to be more value-oriented and weather sensitive.</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a variety of pass products for all of our Resorts marketed towards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two tiers of resort access offerings. For the 2021/2022 North American ski season, we reduced prices of our entire portfolio of pass products by 20%. Our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have entered into strategic long-term season pass alliance agreements with third-party mountain resorts including Telluride Ski Resort in Colorado, Sun Valley Resort in Idaho, Snowbasin Resort in Utah, Hakuba Valley and Rusutsu Resort in Japan, Resorts of the Canadian Rockies in Canada, Les 3 Vallées in France, 4 Vallées in Switzerland, Skirama Dolomiti in Italy and Ski Arlberg in Austria, which further increases the value proposition of our pass products. As such,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Statements of Operations throughout the ski season primarily based on historical visitation (excluding visitation data for Fiscal 2020, which we do not believe is indicative of future visitation due to the early resort closures associated with COVID-19 in March 2020).</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Lift revenue consists of pass product lift revenue (“pass revenue”) and non-pass product lift revenue (“non-pass revenue”). Approximately 61%, 51% and 47% of total lift revenue was derived from pass revenue for Fiscal 2021, Fiscal 2020 and Fiscal 2019, respectively (including the impact of the deferral of pass product revenue from Fiscal 2020 to Fiscal 2021 as a result of the Credit Offer, as defined below). Additionally, lift revenue for Fiscal 2021 was impacted by the Company only allowing pass product holders to access the Resorts during the early portion of the 2020/2021 North American ski season, as well as the Company utilizing a reservation system, which limited capacity for both pass product holders and non-pass lift tickets.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expenses associated with dining operations. As such, profit margins can fluctuate greatly based on the level of revenues associated with visitation.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 Grand Teton Lodge Company (“GTLC”); (iv) a Colorado resort ground transportation company; and (v) mountain resort golf courses.</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performance of our lodging properties (including managed condominium units and our Colorado resort ground transportation company) proximate to our mountain resorts is closely aligned with the performance of the Mountain segment and generally experiences similar seasonal trends, particularly with respect to visitation by Destination guests. Revenues from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color w:val="auto"/>
        </w:rPr>
        <w:t>such properties represented approximately 64%, 73% and 70% of Lodging segment net revenue (excluding Lodging segment revenue associated with reimbursement of payroll costs) for Fiscal 2021, Fiscal 2020 and Fiscal 2019,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identified the following significant factors (as well as uncertainties associated with such factors) that could impact our future financial performance:</w:t>
      </w:r>
    </w:p>
    <w:p>
      <w:pPr>
        <w:spacing w:after="0" w:line="197" w:lineRule="exact"/>
        <w:rPr>
          <w:sz w:val="20"/>
          <w:szCs w:val="20"/>
          <w:color w:val="auto"/>
        </w:rPr>
      </w:pPr>
    </w:p>
    <w:p>
      <w:pPr>
        <w:jc w:val="both"/>
        <w:ind w:left="500" w:hanging="330"/>
        <w:spacing w:after="0" w:line="269" w:lineRule="auto"/>
        <w:tabs>
          <w:tab w:leader="none" w:pos="4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COVID-19 has led to travel restrictions and other adverse economic impacts including reduced consumer confidence, an increase in unemployment rates and volatility in global and local economies. Our operations continue to be negatively impacted by COVID-19 and associated government mandated restrictions, including capacity limitations, travel restrictions, and mask and social distancing requirements. Additionally, we may impose our own COVID-19 related restrictions in addition to what is required by state and local governments in the interest of safety for our guests, employees and resort communities. Although we are uncertain as to the ultimate severity and duration of the COVID-19 pandemic as well as the related global or other travel restrictions and other adverse impacts, we have seen a significant negative change in performance and our future performance could also be negatively impacted. In addition, the North American economy may be impacted by economic challenges in North America or declining or slowing growth in economies outside of North America, accompanied by devaluation of currencies, rising inflation, trade tariffs and lower commodity prices. We cannot predict the ultimate impact that the global economic uncertainty as a result of COVID-19 will have on overall travel and leisure spending or more specifically, on our guest visitation, guest spending or other related trends for the upcoming 2021/2022 North American ski season.</w:t>
      </w:r>
    </w:p>
    <w:p>
      <w:pPr>
        <w:spacing w:after="0" w:line="208" w:lineRule="exact"/>
        <w:rPr>
          <w:rFonts w:ascii="Arial" w:cs="Arial" w:eastAsia="Arial" w:hAnsi="Arial"/>
          <w:sz w:val="17"/>
          <w:szCs w:val="17"/>
          <w:color w:val="auto"/>
        </w:rPr>
      </w:pPr>
    </w:p>
    <w:p>
      <w:pPr>
        <w:jc w:val="both"/>
        <w:ind w:left="500" w:hanging="330"/>
        <w:spacing w:after="0" w:line="289" w:lineRule="auto"/>
        <w:tabs>
          <w:tab w:leader="none" w:pos="4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prior year, we announced the early closure of the 2019/2020 North American ski season for our Resorts, lodging properties and retail stores beginning on March 15, 2020. These actions (the “Resort Closures”) had a significant adverse impact on our results of operations for the year ended July 31, 2020. Additionally, on April 27, 2020, we announced that we would offer credits to customers who had purchased 2019/2020 North American pass products and who purchased 2020/2021 North American pass products on or before September 17, 2020 (the “Credit Offer”). The Credit Offer discounts ranged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As a result of the Credit Offer to 2019/2020 pass product holders, we delayed the recognition of approximately $120.9 million of season pass deferred revenue, as well as approximately $2.9 million of related deferred costs, that would have been recognized in Fiscal 2020 and which was instead primarily recognized in the second and third quarters of Fiscal 2021.</w:t>
      </w:r>
    </w:p>
    <w:p>
      <w:pPr>
        <w:spacing w:after="0" w:line="193" w:lineRule="exact"/>
        <w:rPr>
          <w:rFonts w:ascii="Arial" w:cs="Arial" w:eastAsia="Arial" w:hAnsi="Arial"/>
          <w:sz w:val="16"/>
          <w:szCs w:val="16"/>
          <w:color w:val="auto"/>
        </w:rPr>
      </w:pPr>
    </w:p>
    <w:p>
      <w:pPr>
        <w:jc w:val="both"/>
        <w:ind w:left="500" w:hanging="330"/>
        <w:spacing w:after="0" w:line="275" w:lineRule="auto"/>
        <w:tabs>
          <w:tab w:leader="none" w:pos="4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ongoing impacts of the COVID-19 pandemic resulted in reduced visitation and decreased spending for the 2020/2021 North American ski season compared to the prior year through March 14, 2021, the equivalent date that we closed our Resorts early for the 2019/2020 North American ski season due to the outbreak of COVID-19. These declines were primarily driven by reduced demand for Destination visitation at our western resorts and COVID-19 related capacity limitations, which were further impacted by snowfall levels that were well below average at our Colorado, Utah and Tahoe resorts from the early season throughout the holiday season. Visitation and spending was also particularly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ind w:left="330"/>
        <w:spacing w:after="0" w:line="285" w:lineRule="auto"/>
        <w:rPr>
          <w:sz w:val="20"/>
          <w:szCs w:val="20"/>
          <w:color w:val="auto"/>
        </w:rPr>
      </w:pPr>
      <w:r>
        <w:rPr>
          <w:rFonts w:ascii="Arial" w:cs="Arial" w:eastAsia="Arial" w:hAnsi="Arial"/>
          <w:sz w:val="16"/>
          <w:szCs w:val="16"/>
          <w:color w:val="auto"/>
        </w:rPr>
        <w:t>impacted in regions where heightened COVID-19 restrictions were in place, including Whistler Blackcomb, Tahoe and Vermont. However, results continued to improve as the season progressed, primarily as a result of stronger Destination visitation at our Colorado and Utah resorts, including improved lift ticket purchases. Whistler Blackcomb’s results were disproportionately impacted as compared to our broader Mountain segment as a result of the Canadian travel restrictions and border closures, and were further impacted by the early closure of Whistler Blackcomb on March 30, 2021 following a provincial health order issued by the government of British Columbia due to an increase in COVID-19 cases in the region. Our Fiscal 2021 first quarter results were negatively impacted by Mount Hotham and Falls Creek, which opened for the 2020 Australian ski season on July 6, 2020, but we decided to close them four days later due to a “stay at home” order put in place by the Victorian government and specifically for the Melbourne metropolitan area, which represents the majority of visitors for Mount Hotham and Falls Creek, as a result of a reemergence of COVID-19 in the region. Additionally, our Australian ski areas were also impacted by “stay at home” orders and periodic resort closures during the 2021 ski season, which had a negative impact on our Fiscal 2021 fourth quarter results. The ongoing impacts of COVID-19 also resulted in reduced occupancy at our lodging properties during the 2019/2020 North American ski season following our early closure in March 2020, as well as during the 2020/2021 North American ski season. We closed our GTLC facilities including Jackson Lake Lodge and Jenny Lake Lodge during the summer of 2020, implemented restrictions on guided activities and in-restaurant dining, and temporarily closed many other facilities, which negatively impacted results for the first quarter of Fiscal 2021. These actions, trends, and the COVID-19 pandemic in general, had a significant adverse impact on our results of operations for the Fiscal 2020 and Fiscal 2021, and may continue to have a material, negative impact on our resorts and lodging properties for the fiscal year ending July 31, 2022 (“Fiscal 2022”).</w:t>
      </w:r>
    </w:p>
    <w:p>
      <w:pPr>
        <w:spacing w:after="0" w:line="203" w:lineRule="exact"/>
        <w:rPr>
          <w:sz w:val="20"/>
          <w:szCs w:val="20"/>
          <w:color w:val="auto"/>
        </w:rPr>
      </w:pPr>
    </w:p>
    <w:p>
      <w:pPr>
        <w:jc w:val="both"/>
        <w:ind w:left="330" w:hanging="330"/>
        <w:spacing w:after="0" w:line="269" w:lineRule="auto"/>
        <w:tabs>
          <w:tab w:leader="none" w:pos="32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In March 2021, we began our pass product sales program for the 2021/2022 North American ski season, which included a 20% reduction in price for all pass products. Pass product sales through September 17, 2021 for the upcoming 2021/2022 North American ski season increased approximately 42% in units and approximately 17% in sales dollars as compared to the period in the prior year through September 18, 2020, without deducting for the value of any redeemed credits provided to certain North American pass product holders in the prior period. To provide a comparison to the season pass results released on June 7, 2021, pass product sales through September 17, 2021 increased approximately 67% in units and approximately 45% in sales dollars as compared to the period through September 20, 2019, with pass product sales adjusted to include Peak Resorts pass sales in both periods. Pass product sales are adjusted to eliminate the impact of foreign currency by applying an exchange rate of $0.79 between the Canadian dollar and U.S. dollar in all periods for Whistler Blackcomb. We cannot predict if this favorable trend will continue through the fall 2021 North American pass sales campaign or the overall impact that pass sales will have on lift revenue for the 2021/2022 North American ski season.</w:t>
      </w:r>
    </w:p>
    <w:p>
      <w:pPr>
        <w:spacing w:after="0" w:line="205" w:lineRule="exact"/>
        <w:rPr>
          <w:rFonts w:ascii="Arial" w:cs="Arial" w:eastAsia="Arial" w:hAnsi="Arial"/>
          <w:sz w:val="17"/>
          <w:szCs w:val="17"/>
          <w:color w:val="auto"/>
        </w:rPr>
      </w:pPr>
    </w:p>
    <w:p>
      <w:pPr>
        <w:jc w:val="both"/>
        <w:ind w:left="330" w:hanging="330"/>
        <w:spacing w:after="0" w:line="272" w:lineRule="auto"/>
        <w:tabs>
          <w:tab w:leader="none" w:pos="325"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Prior to the 2020/2021 North American ski season, we introduced Epic Coverage, which is included with the purchase of all pass products for no additional charge. Epic Coverage provides refunds in the event of certain resort closures and certain qualifying travel restrictions (e.g. for COVID-19), giving pass product holders a refund for any portion of the season that is lost due to qualifying circumstances. Additionally, Epic Coverage provides a refund for qualifying personal circumstances that were historically covered by our pass insurance program, including for eligible injuries, job losses and many other personal events. The estimated amount of refunds reduces the amount of pass product revenue recognized. We believe our estimate of refund amounts are reasonable; however, actual results could vary materially from such estimates, and we could be required to refund significantly higher amounts than estimated.</w:t>
      </w:r>
    </w:p>
    <w:p>
      <w:pPr>
        <w:spacing w:after="0" w:line="204" w:lineRule="exact"/>
        <w:rPr>
          <w:rFonts w:ascii="Arial" w:cs="Arial" w:eastAsia="Arial" w:hAnsi="Arial"/>
          <w:sz w:val="17"/>
          <w:szCs w:val="17"/>
          <w:color w:val="auto"/>
        </w:rPr>
      </w:pPr>
    </w:p>
    <w:p>
      <w:pPr>
        <w:jc w:val="both"/>
        <w:ind w:left="330"/>
        <w:spacing w:after="0" w:line="279" w:lineRule="auto"/>
        <w:rPr>
          <w:rFonts w:ascii="Arial" w:cs="Arial" w:eastAsia="Arial" w:hAnsi="Arial"/>
          <w:sz w:val="17"/>
          <w:szCs w:val="17"/>
          <w:color w:val="auto"/>
        </w:rPr>
      </w:pPr>
      <w:r>
        <w:rPr>
          <w:rFonts w:ascii="Arial" w:cs="Arial" w:eastAsia="Arial" w:hAnsi="Arial"/>
          <w:sz w:val="17"/>
          <w:szCs w:val="17"/>
          <w:color w:val="auto"/>
        </w:rPr>
        <w:t>Additionally, for the 2020/2021 North American ski season, we introduced Epic Mountain Rewards, a program which provides pass product holders a discount of 20% off on-mountain food and beverage, lodging, group ski school lessons, equipment rentals and more at our North American owned and operated Resorts. Epic Mountain Rewards constitutes an option to our guests to purchase additional products and services from us at a discount and as a result, we allocate a portion of the pass product transaction price to these other lines of business.</w:t>
      </w:r>
    </w:p>
    <w:p>
      <w:pPr>
        <w:spacing w:after="0" w:line="198" w:lineRule="exact"/>
        <w:rPr>
          <w:rFonts w:ascii="Arial" w:cs="Arial" w:eastAsia="Arial" w:hAnsi="Arial"/>
          <w:sz w:val="17"/>
          <w:szCs w:val="17"/>
          <w:color w:val="auto"/>
        </w:rPr>
      </w:pPr>
    </w:p>
    <w:p>
      <w:pPr>
        <w:jc w:val="both"/>
        <w:ind w:left="330" w:hanging="330"/>
        <w:spacing w:after="0" w:line="275" w:lineRule="auto"/>
        <w:tabs>
          <w:tab w:leader="none" w:pos="32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of July 31, 2021, we had $1,244.0 million of cash and cash equivalents as well as $417.7 million available under the revolver component of our Eighth Amended and Restated Credit Agreement, dated as of August 15, 2018 and as amended most recently on December 18, 2020 (the “Vail Holdings Credit Agreement”), which represents the total commitment of $500.0 million less certain letters of credit outstanding of $82.3 million. Additionally, we have a credit facility which supports the liquidity needs of Whistler Blackcomb (the “Whistler Credit Agreement”). As of July 31, 2021, we had C$243.1 million ($194.9 million) available under the revolver component of the Whistler Credit</w:t>
      </w:r>
    </w:p>
    <w:p>
      <w:pPr>
        <w:spacing w:after="0" w:line="200" w:lineRule="exact"/>
        <w:rPr>
          <w:sz w:val="20"/>
          <w:szCs w:val="20"/>
          <w:color w:val="auto"/>
        </w:rPr>
      </w:pPr>
    </w:p>
    <w:p>
      <w:pPr>
        <w:spacing w:after="0" w:line="314"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895" w:right="339" w:bottom="1440" w:gutter="0" w:footer="0" w:header="0"/>
        </w:sectPr>
      </w:pPr>
    </w:p>
    <w:bookmarkStart w:id="47" w:name="page48"/>
    <w:bookmarkEnd w:id="47"/>
    <w:p>
      <w:pPr>
        <w:jc w:val="both"/>
        <w:ind w:left="500" w:right="20"/>
        <w:spacing w:after="0" w:line="277" w:lineRule="auto"/>
        <w:rPr>
          <w:sz w:val="20"/>
          <w:szCs w:val="20"/>
          <w:color w:val="auto"/>
        </w:rPr>
      </w:pPr>
      <w:r>
        <w:rPr>
          <w:rFonts w:ascii="Arial" w:cs="Arial" w:eastAsia="Arial" w:hAnsi="Arial"/>
          <w:sz w:val="18"/>
          <w:szCs w:val="18"/>
          <w:color w:val="auto"/>
        </w:rPr>
        <w:t>Agreement (which represents the total commitment of C$300.0 million ($240.5 million) less outstanding borrowings of C$56.0 million ($44.9 million) and a letter of credit outstanding of C$0.9 million ($0.7 million)).</w:t>
      </w:r>
    </w:p>
    <w:p>
      <w:pPr>
        <w:spacing w:after="0" w:line="170"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On December 18, 2020, we entered into the Fourth Amendment to our Vail Holdings Credit Agreement (the “Fourth Amendment”). Pursuant to the Fourth Amendment, among other terms, we are exempt from complying with the Vail Holdings Credit Agreement’s leverage ratio, senior secured leverage ratio, and interest coverage ratio financial maintenance covenants for each of the fiscal quarters ending through January 31, 2022 (unless we make a one-time irrevocable election to terminate such exemption prior to such date) (such period, the “Financial Covenants Temporary Waiver Period”), after which we will again be required to comply with such covenants starting with the fiscal quarter ending April 30, 2022 (or such earlier fiscal quarter as elected by us). During the Financial Covenants Temporary Waiver Period, we are subject to other restrictions which will limit our ability to make future acquisitions, investments, distributions to stockholders, share repurchases or incur additional debt. Additionally, on December 18, 2020, we completed an offering of $575.0 million in aggregate principal amount of 0.0% convertible senior notes due 2026 (the “0.0% Convertible Notes”) in a private placement conducted pursuant to Rule 144A under the Securities Act of 1933, as amended (the “Securities Act”). The 0.0% Convertible Notes are senior, unsecured obligations that do not bear regular interest, and the principal amount of the 0.00% Convertible Notes does not accrete. The notes will mature on January 1, 2026, unless earlier repurchased, redeemed or converted. See Liquidity and Capital Resources for additional information.</w:t>
      </w:r>
    </w:p>
    <w:p>
      <w:pPr>
        <w:spacing w:after="0" w:line="17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Shown below is a summary of operating results for Fiscal 2021, Fiscal 2020 and Fiscal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7"/>
              </w:rPr>
              <w:t>Year ended July 31,</w:t>
            </w: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10"/>
        </w:trPr>
        <w:tc>
          <w:tcPr>
            <w:tcW w:w="5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127,850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98,833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301,163</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125,183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116,433</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398,965</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550,389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500,080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678,594</w:t>
            </w: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3,269</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28,100</w:t>
            </w:r>
          </w:p>
        </w:tc>
      </w:tr>
      <w:tr>
        <w:trPr>
          <w:trHeight w:val="223"/>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Reported EBITDA</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544,656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503,349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706,694</w:t>
            </w: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discussion of segment results, including reconciliations of net income attributable to Vail Resorts, Inc. to Total Reported EBITDA, and other items can be found below. The consolidated results of operations, including any consolidated financial metrics pertaining thereto, include the operations of Peak Resorts (acquired September 24, 2019), Falls Creek and Hotham (acquired April 4, 2019), Triple Peaks (acquired September 27, 2018) and Stevens Pass (acquired August 15, 2018), prospectively from their respective dates of acquisition.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Resort Closures had a significant adverse impact on our results of operations for Fiscal 2020. Additionally, COVID-19 continued to have an adverse impact on our results of operations for Fiscal 2021, as further described below in our segment results of operations.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sections titled “Fiscal 2021 compared to Fiscal 2020” and “Fiscal 2020 compared to Fiscal 2019” in each of the Mountain and Lodging segment discussions below provide comparisons of financial and operating performance for Fiscal 2021 to Fiscal 2020 and Fiscal 2020 to Fiscal 2019, respectively, unless otherwise noted.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Mountain segment operating results for Fiscal 2021, Fiscal 2020 and Fiscal 2019 are presented by category as follows (in thousands, except ETP):</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13"/>
              <w:spacing w:after="0"/>
              <w:rPr>
                <w:sz w:val="20"/>
                <w:szCs w:val="20"/>
                <w:color w:val="auto"/>
              </w:rPr>
            </w:pPr>
            <w:r>
              <w:rPr>
                <w:rFonts w:ascii="Arial" w:cs="Arial" w:eastAsia="Arial" w:hAnsi="Arial"/>
                <w:sz w:val="14"/>
                <w:szCs w:val="14"/>
                <w:b w:val="1"/>
                <w:bCs w:val="1"/>
                <w:color w:val="auto"/>
              </w:rPr>
              <w:t>Percentage</w:t>
            </w:r>
          </w:p>
        </w:tc>
        <w:tc>
          <w:tcPr>
            <w:tcW w:w="1160" w:type="dxa"/>
            <w:vAlign w:val="bottom"/>
          </w:tcPr>
          <w:p>
            <w:pPr>
              <w:spacing w:after="0"/>
              <w:rPr>
                <w:sz w:val="16"/>
                <w:szCs w:val="16"/>
                <w:color w:val="auto"/>
              </w:rPr>
            </w:pPr>
          </w:p>
        </w:tc>
      </w:tr>
      <w:tr>
        <w:trPr>
          <w:trHeight w:val="195"/>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Year ended July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911"/>
              <w:spacing w:after="0"/>
              <w:rPr>
                <w:sz w:val="20"/>
                <w:szCs w:val="20"/>
                <w:color w:val="auto"/>
              </w:rPr>
            </w:pPr>
            <w:r>
              <w:rPr>
                <w:rFonts w:ascii="Arial" w:cs="Arial" w:eastAsia="Arial" w:hAnsi="Arial"/>
                <w:sz w:val="14"/>
                <w:szCs w:val="14"/>
                <w:b w:val="1"/>
                <w:bCs w:val="1"/>
                <w:color w:val="auto"/>
              </w:rPr>
              <w:t>Increase/(Decrease)</w:t>
            </w:r>
          </w:p>
        </w:tc>
      </w:tr>
      <w:tr>
        <w:trPr>
          <w:trHeight w:val="210"/>
        </w:trPr>
        <w:tc>
          <w:tcPr>
            <w:tcW w:w="3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2021/2020</w:t>
            </w: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2020/2019</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Lift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1,076,578</w:t>
            </w:r>
          </w:p>
        </w:tc>
        <w:tc>
          <w:tcPr>
            <w:tcW w:w="4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913,091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1,033,234</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17.9 %</w:t>
            </w: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Ski school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144,227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189,131</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215,060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Dining</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90,329</w:t>
            </w:r>
          </w:p>
        </w:tc>
        <w:tc>
          <w:tcPr>
            <w:tcW w:w="4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160,763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181,837</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(43.8)%</w:t>
            </w: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Retail/rental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227,993</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270,299</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320,267</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3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150,751</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177,159</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205,803</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(14.9)%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1,689,878</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1,710,443</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1,956,201</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88"/>
        </w:trPr>
        <w:tc>
          <w:tcPr>
            <w:tcW w:w="3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operating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Labor and labor-related benefits</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452,352</w:t>
            </w:r>
          </w:p>
        </w:tc>
        <w:tc>
          <w:tcPr>
            <w:tcW w:w="4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473,365</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507,811</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(4.4)%</w:t>
            </w: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Retail cost of sales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76,565</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96,497</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Resort related fees</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69,768</w:t>
            </w:r>
          </w:p>
        </w:tc>
        <w:tc>
          <w:tcPr>
            <w:tcW w:w="4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75,044</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96,240</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(7.0)%</w:t>
            </w: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253,279</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239,412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233,159</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5.8 %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3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294,223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327,735</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320,915</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(10.2)%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Mountain operating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1,146,187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1,212,053</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1,279,567</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(5.4)%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equity investment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6,698</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296.3 %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550,389</w:t>
            </w:r>
          </w:p>
        </w:tc>
        <w:tc>
          <w:tcPr>
            <w:tcW w:w="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500,080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678,594</w:t>
            </w:r>
          </w:p>
        </w:tc>
        <w:tc>
          <w:tcPr>
            <w:tcW w:w="10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10.1 %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14,852</w:t>
            </w:r>
          </w:p>
        </w:tc>
        <w:tc>
          <w:tcPr>
            <w:tcW w:w="4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13,483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10.2 %</w:t>
            </w: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72.49</w:t>
            </w:r>
          </w:p>
        </w:tc>
        <w:tc>
          <w:tcPr>
            <w:tcW w:w="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67.72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7.0 %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$20.3 million, $17.4 million and $16.5 million of stock-based compensation expense for Fiscal 2021, Fiscal 2020 and Fiscal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Mountain Reported EBITDA increased $50.3 million, or 10.1%, primarily due to the impact of the prior year Resort Closures, including the deferral of $120.9 million of pass product revenue from Fiscal 2020 to Fiscal 2021 as a result of the Credit Offer to 2019/2020 North American pass product holders, as well as cost discipline efforts in the current year associated with lower levels of operations. These increases were partially offset by limitations and restrictions on our North American winter operations and closures, limitations and restrictions at Perisher, Falls Creek and Hotham during both the 2020 and 2021 Australian ski seasons. Additionally, Whistler Blackcomb’s performance was negatively impacted in the current year due to the continued closure of the Canadian border to international guests and was further impacted by the resort closing earlier than expected on March 30, 2021 following a provincial health order issued by the government of British Columbia. Mountain segment results also include $1.0 million and $13.6 million of acquisition and integration related expenses for Fiscal 2021 and Fiscal 2020, respectively, which are recorded within Mountain other operating expense. Additionally, operating results from Whistler Blackcomb, which are translated from Canadian dollars to U.S. dollars, were favorably affected by increases in the Canadian dollar exchange rate relative to the U.S. dollar as compared to the prior year, resulting in an increase in Mountain Reported EBITDA of approximately $2 million, which the Company calculated by applying current period foreign exchange rates to the prior period results.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Lift revenue increased $163.5 million, or 17.9%, primarily due to the Company operating for the full U.S. ski season in the current year as compared to the shortened operating season in the prior year as a result of the Resort Closures, including the deferral impact of the Credit Offer from Fiscal 2020 to Fiscal 2021, partially offset by limitations and restrictions on our North American winter operations in the current year due to the ongoing impacts of COVID-19, which resulted in a decrease in non-pass visitation. Pass product revenue increased 40.6%, primarily as a result of strong North American pass sales growth for the 2020/2021 ski season, including the deferral impact of the Credit Offer which was recognized primarily during Fiscal 2021. Non-pass revenue decreased 5.7% due to reduced non-pass visitation to our Resorts, which were adversely impacted by COVID-19 related capacity limitations and snowfall levels that were well below average at our Colorado, Utah and Tahoe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resorts through the holiday season, partially offset by an increase in non-pass ETP of 10.1% in the current year. Visitation was particularly impacted in regions where heightened COVID-19 related restrictions were in place, including Whistler Blackcomb, Tahoe and Vermont. Additionally, Whistler Blackcomb’s results were disproportionately impacted as compared to our broader Mountain segment performance in the current year due to the continued closure of the Canadian border to international guests, and was further impacted by the resort closing earlier than expected on March 30, 2021 following a provincial health order issued by the government of British Columbia.</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Ski school revenue, dining revenue and retail/rental revenue each decreased in Fiscal 2021 compared to Fiscal 2020 primarily due to the limitations and restrictions on our North American operations during Fiscal 2021 as a result of the impacts of COVID-19 on our business.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ski area lodging and transportation revenue. For Fiscal 2021, other revenue decreased $26.4 million, or 14.9%, primarily due to decreased mountain activities and mountain services revenue as a result of limitations and restrictions on our business in Fiscal 2021 due to COVID-19, as well as a reduction in ski pass insurance revenue as a result of the replacement of our previous ski pass insurance program with Epic Coverage for the 2020/2021 North American ski season, which is free to all pass product holders.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 decreased $65.9 million, or 5.4%, which was primarily attributable to cost discipline efforts in the current year associated with lower levels of operations and limitations, restrictions and closures of Resort operations resulting from COVID-19. Additionally, operating expense includes $1.0 million and $13.6 million of acquisition and integration related expenses for Fiscal 2021 and Fiscal 2020, respectively.</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Labor and labor-related benefits decreased 4.4%, primarily due to cost discipline efforts in the current year associated with limitations, restrictions and closures of our Resort operations as a result of COVID-19, as well as incremental tax credits of approximately $10.3 million primarily associated with COVID-19 related legislation passed in Canada, partially offset by an increase in variable compensation. Retail cost of sales decreased 20.7% compared to a decrease in retail sales of 23.5%, reflecting a higher mix of aged retail products sold at reduced margins. Resort related fees decreased 7.0% primarily due to decreases in revenue on which those fees are based. General and administrative expense increased 5.8%, primarily due to a $13.2 million charge recorded during the fourth quarter of Fiscal 2021 for a contingent obligation with respect to employment-related litigation, as well as an increase in variable compensation accruals, partially offset by incremental tax credits of approximately $2.7 million primarily associated with COVID-19 related legislation passed in Canada and Australia. Other expense decreased 10.2% primarily due to decreases in variable operating expenses associated with reduced revenues, as well as a decrease in acquisition and integration related expenses of $12.6 million.</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 Mountain equity investment income from the real estate brokerage company increased $5.0 million (296.3%) for Fiscal 2021 compared to Fiscal 2020 due to a significant increase in both the number of real estate sales and the average price of those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Mountain Reported EBITDA decreased $178.5 million, or 26.3%, primarily due to the impact of the deferral of $120.9 million of pass product revenue during Fiscal 2020 as a result of the Credit Offer to 2019/2020 North American pass product holders from the Resort Closures and the overall impacts of the COVID-19 pandemic, which resulted in significantly reduced visitation and operations at our Resorts and retail stores for the 2019/2020 North American ski season, the 2020 Australian ski season and our 2020 North American summer operations. These decreases were partially offset by the incremental operations of Peak Resorts, Falls Creek and Hotham. Mountain segment results include $13.6 million and $16.4 million of acquisition and integration related expenses for Fiscal 2020 and Fiscal 2019, respectively, which are recorded within Mountain other operating expense.</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Lift revenue decreased $120.1 million, or 11.6%, primarily due to a 3.4% decrease in pass product revenue and an 18.8% decrease in non-pass revenue. Pass product revenue decreased primarily as a result of the deferral of approximately $120.9 million of pass product revenue associated with the Credit Offer to 2019/2020 North American pass product holders, which would have been recognized during Fiscal 2020 and which was instead recognized primarily in the second and third quarters of Fiscal 2021, partially offset by a combination of an increase in pricing and units sold and increased pass sales to Destination guests, as well as the introduction of the Epic Day Pass. Non-pass revenue decreased primarily due to significantly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reduced skier visitation as a result of the Resort Closures, partially offset by an increase in non-pass ETP (excluding Peak Resorts, Falls Creek and Hotham) of 6.2% and incremental revenue from Peak Resorts, Falls Creek and Hotham of approximately $61.4 million. Total non-pass ETP, including the impact of Peak Resorts, Falls Creek and Hotham decreased 7.3%.</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Ski school revenue, dining revenue and retail/rental revenue in Fiscal 2020 all decreased compared to Fiscal 2019 due to the Resort Closures. These decreases were partially offset by incremental revenue from our acquisitions of Peak Resorts, Falls Creek and Hotham of $18.0 million of ski school revenue, $23.8 million of dining revenue and $26.8 million of retail/rental revenue.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ski area lodging and transportation revenue. For Fiscal 2020, other revenue decreased as a result of the Resort Closures, partially offset by incremental revenue from Peak Resorts of approximately $12.6 million.</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Resort Closures and the associated actions taken by the Company to reduce costs resulted in a decrease in our operating expense of $67.5 million, or 5.3%, which includes incremental operating expenses from Peak Resorts, Falls Creek and Hotham of approximately $121.4 million, as well as $13.6 million and $16.4 million of acquisition and integration related expenses for Fiscal 2020 and Fiscal 2019, respectively.</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Labor and labor-related benefits decreased 6.8%, which primarily resulted from cost actions associated with the Resort Closures, including decreased staffing, employee furloughs, salary reductions and reduced variable compensation accruals, as well as tax credits of approximately $12.0 million associated with COVID-19 related legislation passed in the U.S., Canada and Australia, partially offset by incremental expenses from Peak Resorts, Falls Creek and Hotham of approximately $50.7 million. Retail cost of sales decreased 20.5% compared to a decrease in retail sales of 20.1%. Resort related fees decreased 22.0% primarily due to decreases in revenue on which those fees are based, partially offset by incremental expenses from Peak Resorts of approximately $4.3 million. General and administrative expense increased 2.7% primarily due to incremental expenses from Peak Resorts, Falls Creek and Hotham of approximately $18.9 million, partially offset by a decrease in allocated corporate overhead costs, a decrease in variable compensation accruals primarily as a result of the Resort Closures and tax credits of approximately $3.3 million associated with COVID-19 related legislation passed in the U.S., Canada and Australia. Other expense increased 2.1% primarily due to incremental operating expenses from Peak Resorts, Falls Creek and Hotham of approximately $42.2 million, partially offset by decreases in variable operating expenses associated with the Resort Closures, as well as a decrease in acquisition and integration related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Lodging segment operating results for Fiscal 2021, Fiscal 2020 and Fiscal 2019 are presented by category as follows (in thousands, except ADR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12"/>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July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2"/>
          </w:tcPr>
          <w:p>
            <w:pPr>
              <w:jc w:val="right"/>
              <w:ind w:right="891"/>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2021/2020</w:t>
            </w: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2020/2019</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40"/>
              <w:spacing w:after="0"/>
              <w:rPr>
                <w:sz w:val="20"/>
                <w:szCs w:val="20"/>
                <w:color w:val="auto"/>
              </w:rPr>
            </w:pPr>
            <w:r>
              <w:rPr>
                <w:rFonts w:ascii="Arial" w:cs="Arial" w:eastAsia="Arial" w:hAnsi="Arial"/>
                <w:sz w:val="18"/>
                <w:szCs w:val="18"/>
                <w:color w:val="auto"/>
              </w:rPr>
              <w:t>Owned hotel rooms</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47,509</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64,826</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5.6 %</w:t>
            </w:r>
          </w:p>
        </w:tc>
        <w:tc>
          <w:tcPr>
            <w:tcW w:w="11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Managed condominium rooms</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72,217</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76,480</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86,236</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380" w:type="dxa"/>
            <w:vAlign w:val="bottom"/>
          </w:tcPr>
          <w:p>
            <w:pPr>
              <w:ind w:left="340"/>
              <w:spacing w:after="0"/>
              <w:rPr>
                <w:sz w:val="20"/>
                <w:szCs w:val="20"/>
                <w:color w:val="auto"/>
              </w:rPr>
            </w:pPr>
            <w:r>
              <w:rPr>
                <w:rFonts w:ascii="Arial" w:cs="Arial" w:eastAsia="Arial" w:hAnsi="Arial"/>
                <w:sz w:val="18"/>
                <w:szCs w:val="18"/>
                <w:color w:val="auto"/>
              </w:rPr>
              <w:t>Dining</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19,068</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38,252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53,730</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(50.2)%</w:t>
            </w:r>
          </w:p>
        </w:tc>
        <w:tc>
          <w:tcPr>
            <w:tcW w:w="114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Transportation</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21,275</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3380" w:type="dxa"/>
            <w:vAlign w:val="bottom"/>
          </w:tcPr>
          <w:p>
            <w:pPr>
              <w:ind w:left="340"/>
              <w:spacing w:after="0"/>
              <w:rPr>
                <w:sz w:val="20"/>
                <w:szCs w:val="20"/>
                <w:color w:val="auto"/>
              </w:rPr>
            </w:pPr>
            <w:r>
              <w:rPr>
                <w:rFonts w:ascii="Arial" w:cs="Arial" w:eastAsia="Arial" w:hAnsi="Arial"/>
                <w:sz w:val="18"/>
                <w:szCs w:val="18"/>
                <w:color w:val="auto"/>
              </w:rPr>
              <w:t>Golf</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20,437</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17,412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17.4 %</w:t>
            </w: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43,007</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44,933</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54,617</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(4.3)%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line="169" w:lineRule="exact"/>
              <w:rPr>
                <w:sz w:val="20"/>
                <w:szCs w:val="20"/>
                <w:color w:val="auto"/>
              </w:rPr>
            </w:pPr>
            <w:r>
              <w:rPr>
                <w:rFonts w:ascii="Arial" w:cs="Arial" w:eastAsia="Arial" w:hAnsi="Arial"/>
                <w:sz w:val="18"/>
                <w:szCs w:val="18"/>
                <w:color w:val="auto"/>
                <w:w w:val="96"/>
              </w:rPr>
              <w:t>Lodging net revenue (excluding payroll cost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211,509</w:t>
            </w:r>
          </w:p>
        </w:tc>
        <w:tc>
          <w:tcPr>
            <w:tcW w:w="4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237,865</w:t>
            </w:r>
          </w:p>
        </w:tc>
        <w:tc>
          <w:tcPr>
            <w:tcW w:w="4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300,332</w:t>
            </w:r>
          </w:p>
        </w:tc>
        <w:tc>
          <w:tcPr>
            <w:tcW w:w="100" w:type="dxa"/>
            <w:vAlign w:val="bottom"/>
          </w:tcPr>
          <w:p>
            <w:pPr>
              <w:spacing w:after="0"/>
              <w:rPr>
                <w:sz w:val="14"/>
                <w:szCs w:val="14"/>
                <w:color w:val="auto"/>
              </w:rPr>
            </w:pPr>
          </w:p>
        </w:tc>
        <w:tc>
          <w:tcPr>
            <w:tcW w:w="2020" w:type="dxa"/>
            <w:vAlign w:val="bottom"/>
            <w:vMerge w:val="restart"/>
          </w:tcPr>
          <w:p>
            <w:pPr>
              <w:jc w:val="right"/>
              <w:ind w:right="412"/>
              <w:spacing w:after="0"/>
              <w:rPr>
                <w:sz w:val="20"/>
                <w:szCs w:val="20"/>
                <w:color w:val="auto"/>
              </w:rPr>
            </w:pPr>
            <w:r>
              <w:rPr>
                <w:rFonts w:ascii="Arial" w:cs="Arial" w:eastAsia="Arial" w:hAnsi="Arial"/>
                <w:sz w:val="18"/>
                <w:szCs w:val="18"/>
                <w:color w:val="auto"/>
              </w:rPr>
              <w:t>(11.1)%</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reimbursements)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Payroll cost reimbursements</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(37.9)%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218,062</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248,414</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314,662</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operating expense: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40"/>
              <w:spacing w:after="0"/>
              <w:rPr>
                <w:sz w:val="20"/>
                <w:szCs w:val="20"/>
                <w:color w:val="auto"/>
              </w:rPr>
            </w:pPr>
            <w:r>
              <w:rPr>
                <w:rFonts w:ascii="Arial" w:cs="Arial" w:eastAsia="Arial" w:hAnsi="Arial"/>
                <w:sz w:val="18"/>
                <w:szCs w:val="18"/>
                <w:color w:val="auto"/>
              </w:rPr>
              <w:t>Labor and labor-related benefits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101,582</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114,279</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135,940</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(11.1)%</w:t>
            </w: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43,714</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39,283</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41,256</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11.3 %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71,946</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81,034</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95,036</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(11.2)%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Lodging operating expense (excluding</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217,242</w:t>
            </w:r>
          </w:p>
        </w:tc>
        <w:tc>
          <w:tcPr>
            <w:tcW w:w="4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234,596</w:t>
            </w:r>
          </w:p>
        </w:tc>
        <w:tc>
          <w:tcPr>
            <w:tcW w:w="4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272,232</w:t>
            </w:r>
          </w:p>
        </w:tc>
        <w:tc>
          <w:tcPr>
            <w:tcW w:w="100" w:type="dxa"/>
            <w:vAlign w:val="bottom"/>
            <w:shd w:val="clear" w:color="auto" w:fill="CCEEFF"/>
          </w:tcPr>
          <w:p>
            <w:pPr>
              <w:spacing w:after="0"/>
              <w:rPr>
                <w:sz w:val="14"/>
                <w:szCs w:val="14"/>
                <w:color w:val="auto"/>
              </w:rPr>
            </w:pPr>
          </w:p>
        </w:tc>
        <w:tc>
          <w:tcPr>
            <w:tcW w:w="2020" w:type="dxa"/>
            <w:vAlign w:val="bottom"/>
            <w:vMerge w:val="restart"/>
            <w:shd w:val="clear" w:color="auto" w:fill="CCEEFF"/>
          </w:tcPr>
          <w:p>
            <w:pPr>
              <w:jc w:val="right"/>
              <w:ind w:right="412"/>
              <w:spacing w:after="0"/>
              <w:rPr>
                <w:sz w:val="20"/>
                <w:szCs w:val="20"/>
                <w:color w:val="auto"/>
              </w:rPr>
            </w:pPr>
            <w:r>
              <w:rPr>
                <w:rFonts w:ascii="Arial" w:cs="Arial" w:eastAsia="Arial" w:hAnsi="Arial"/>
                <w:sz w:val="18"/>
                <w:szCs w:val="18"/>
                <w:color w:val="auto"/>
              </w:rPr>
              <w:t>(7.4)%</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reimbursed payroll costs)</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Reimbursed payroll costs</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14,330</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(37.9)%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operating expense</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223,795</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245,145</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286,562</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(8.7)%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28,100</w:t>
            </w: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(275.4)%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40"/>
              <w:spacing w:after="0"/>
              <w:rPr>
                <w:sz w:val="20"/>
                <w:szCs w:val="20"/>
                <w:color w:val="auto"/>
              </w:rPr>
            </w:pPr>
            <w:r>
              <w:rPr>
                <w:rFonts w:ascii="Arial" w:cs="Arial" w:eastAsia="Arial" w:hAnsi="Arial"/>
                <w:sz w:val="18"/>
                <w:szCs w:val="18"/>
                <w:color w:val="auto"/>
              </w:rPr>
              <w:t>ADR</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264.83</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266.43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256.50</w:t>
            </w:r>
          </w:p>
        </w:tc>
        <w:tc>
          <w:tcPr>
            <w:tcW w:w="100" w:type="dxa"/>
            <w:vAlign w:val="bottom"/>
          </w:tcPr>
          <w:p>
            <w:pPr>
              <w:spacing w:after="0"/>
              <w:rPr>
                <w:sz w:val="19"/>
                <w:szCs w:val="19"/>
                <w:color w:val="auto"/>
              </w:rPr>
            </w:pPr>
          </w:p>
        </w:tc>
        <w:tc>
          <w:tcPr>
            <w:tcW w:w="2020" w:type="dxa"/>
            <w:vAlign w:val="bottom"/>
          </w:tcPr>
          <w:p>
            <w:pPr>
              <w:jc w:val="right"/>
              <w:ind w:right="432"/>
              <w:spacing w:after="0"/>
              <w:rPr>
                <w:sz w:val="20"/>
                <w:szCs w:val="20"/>
                <w:color w:val="auto"/>
              </w:rPr>
            </w:pPr>
            <w:r>
              <w:rPr>
                <w:rFonts w:ascii="Arial" w:cs="Arial" w:eastAsia="Arial" w:hAnsi="Arial"/>
                <w:sz w:val="18"/>
                <w:szCs w:val="18"/>
                <w:color w:val="auto"/>
              </w:rPr>
              <w:t>(0.6)%</w:t>
            </w:r>
          </w:p>
        </w:tc>
        <w:tc>
          <w:tcPr>
            <w:tcW w:w="114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122.45</w:t>
            </w: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122.34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175.45</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0.1 %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349.08</w:t>
            </w: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328.98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6.1 %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3380" w:type="dxa"/>
            <w:vAlign w:val="bottom"/>
          </w:tcPr>
          <w:p>
            <w:pPr>
              <w:ind w:left="340"/>
              <w:spacing w:after="0"/>
              <w:rPr>
                <w:sz w:val="20"/>
                <w:szCs w:val="20"/>
                <w:color w:val="auto"/>
              </w:rPr>
            </w:pPr>
            <w:r>
              <w:rPr>
                <w:rFonts w:ascii="Arial" w:cs="Arial" w:eastAsia="Arial" w:hAnsi="Arial"/>
                <w:sz w:val="18"/>
                <w:szCs w:val="18"/>
                <w:color w:val="auto"/>
              </w:rPr>
              <w:t>RevPar</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77.74</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83.10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107.67</w:t>
            </w:r>
          </w:p>
        </w:tc>
        <w:tc>
          <w:tcPr>
            <w:tcW w:w="100" w:type="dxa"/>
            <w:vAlign w:val="bottom"/>
          </w:tcPr>
          <w:p>
            <w:pPr>
              <w:spacing w:after="0"/>
              <w:rPr>
                <w:sz w:val="19"/>
                <w:szCs w:val="19"/>
                <w:color w:val="auto"/>
              </w:rPr>
            </w:pPr>
          </w:p>
        </w:tc>
        <w:tc>
          <w:tcPr>
            <w:tcW w:w="2020" w:type="dxa"/>
            <w:vAlign w:val="bottom"/>
          </w:tcPr>
          <w:p>
            <w:pPr>
              <w:jc w:val="right"/>
              <w:ind w:right="432"/>
              <w:spacing w:after="0"/>
              <w:rPr>
                <w:sz w:val="20"/>
                <w:szCs w:val="20"/>
                <w:color w:val="auto"/>
              </w:rPr>
            </w:pPr>
            <w:r>
              <w:rPr>
                <w:rFonts w:ascii="Arial" w:cs="Arial" w:eastAsia="Arial" w:hAnsi="Arial"/>
                <w:sz w:val="18"/>
                <w:szCs w:val="18"/>
                <w:color w:val="auto"/>
              </w:rPr>
              <w:t>(6.5)%</w:t>
            </w: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75"/>
        </w:trPr>
        <w:tc>
          <w:tcPr>
            <w:tcW w:w="3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Owned hotel and managed condominium</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statistics (combined)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40"/>
              <w:spacing w:after="0"/>
              <w:rPr>
                <w:sz w:val="20"/>
                <w:szCs w:val="20"/>
                <w:color w:val="auto"/>
              </w:rPr>
            </w:pPr>
            <w:r>
              <w:rPr>
                <w:rFonts w:ascii="Arial" w:cs="Arial" w:eastAsia="Arial" w:hAnsi="Arial"/>
                <w:sz w:val="18"/>
                <w:szCs w:val="18"/>
                <w:color w:val="auto"/>
              </w:rPr>
              <w:t>ADR</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322.15</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310.76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300.47</w:t>
            </w:r>
          </w:p>
        </w:tc>
        <w:tc>
          <w:tcPr>
            <w:tcW w:w="100" w:type="dxa"/>
            <w:vAlign w:val="bottom"/>
          </w:tcPr>
          <w:p>
            <w:pPr>
              <w:spacing w:after="0"/>
              <w:rPr>
                <w:sz w:val="19"/>
                <w:szCs w:val="19"/>
                <w:color w:val="auto"/>
              </w:rPr>
            </w:pPr>
          </w:p>
        </w:tc>
        <w:tc>
          <w:tcPr>
            <w:tcW w:w="2020" w:type="dxa"/>
            <w:vAlign w:val="bottom"/>
          </w:tcPr>
          <w:p>
            <w:pPr>
              <w:jc w:val="right"/>
              <w:ind w:right="432"/>
              <w:spacing w:after="0"/>
              <w:rPr>
                <w:sz w:val="20"/>
                <w:szCs w:val="20"/>
                <w:color w:val="auto"/>
              </w:rPr>
            </w:pPr>
            <w:r>
              <w:rPr>
                <w:rFonts w:ascii="Arial" w:cs="Arial" w:eastAsia="Arial" w:hAnsi="Arial"/>
                <w:sz w:val="18"/>
                <w:szCs w:val="18"/>
                <w:color w:val="auto"/>
              </w:rPr>
              <w:t>3.7 %</w:t>
            </w:r>
          </w:p>
        </w:tc>
        <w:tc>
          <w:tcPr>
            <w:tcW w:w="114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56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85.99</w:t>
            </w:r>
          </w:p>
        </w:tc>
        <w:tc>
          <w:tcPr>
            <w:tcW w:w="4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90.37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(4.8)%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8"/>
        <w:spacing w:after="0" w:line="277" w:lineRule="auto"/>
        <w:tabs>
          <w:tab w:leader="none" w:pos="2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RevPAR for Fiscal 2021 and Fiscal 2020 declined from Fiscal 2019 primarily due to limitations and restrictions on our North American operations resulting from COVID-19, as well as the impact of the Resort Closures.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includes $3.8 million, $3.4 million and $3.2 million of stock-based compensation expense for Fiscal 2021, Fiscal 2020 and Fiscal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Lodging Reported EBITDA for Fiscal 2021 decreased $9.0 million, or 275.4%, primarily as a result of limitations and restrictions on our North American operations in the current year as a result of the impacts of COVID-19, which resulted in reduced occupancy and capacity-related restrictions at our lodging properties compared to the prior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managed condominium rooms, dining, transportation, and other revenue each decreased primarily as a result of the impacts of COVID-19. These decreases were partially offset by increases in revenue from golf, primarily due to strong</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summer demand in Fiscal 2021, and owned hotel rooms, primarily as a result of increased revenue from GTLC and partially offset by decreases at our other lodging properties as a result of the impacts of COVID-19.</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 (excluding reimbursed payroll costs) decreased 7.4%. Labor and labor related benefits decreased 11.1% primarily due to decreased staffing associated with COVID-19. General and administrative expense increased 11.3% due to an increase in allocated corporate overhead costs across all functions, including variable compensation accruals, primarily as a result of lower costs in the prior year associated with the Resort Closures. Other expense decreased 11.2% related to lower variable expenses associated with reduced revenue as a result of COVID-19.</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for Fiscal 2020 decreased $24.8 million, or 88.4%, primarily due to the impacts of the COVID-19 pandemic and the associated Resort Closures.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Primarily as a result of the Resort Closures, revenue from owned hotel rooms, managed condominium rooms, dining, transportation, golf and other revenue each decreased. The decreases resulting from the Resort Closures were partially offset by $13.7 million of incremental revenue from Peak Resorts and Triple Peaks.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 (excluding reimbursed payroll costs) decreased 13.8%. Labor and labor related benefits decreased 15.9% primarily due to cost actions associated with the Resort Closures, including decreased staffing, employee furloughs, salary reductions and reduced variable compensation accruals, as well as tax credits of approximately $2.2 million associated with recent COVID-19 related legislation passed in the U.S., Canada and Australia, partially offset by $6.4 million of incremental expenses from Peak Resorts and Triple Peaks. General and administrative expense decreased 4.8% due to lower allocated corporate overhead costs primarily associated with a reduction in variable compensation accruals, as well as tax credits of approximately $0.5 million associated with recent COVID-19 related legislation passed in the U.S., Canada and Australia. Other expenses decreased 14.7% primarily related to lower variable expenses associated with the impact of the Resort Closures, partially offset by $4.7 million of incremental expenses from Peak Resorts and Triple Peaks.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Real Estate segment operating results for Fiscal 2021, Fiscal 2020 and Fiscal 2019 are presented by category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16"/>
              <w:spacing w:after="0"/>
              <w:rPr>
                <w:sz w:val="20"/>
                <w:szCs w:val="20"/>
                <w:color w:val="auto"/>
              </w:rPr>
            </w:pPr>
            <w:r>
              <w:rPr>
                <w:rFonts w:ascii="Arial" w:cs="Arial" w:eastAsia="Arial" w:hAnsi="Arial"/>
                <w:sz w:val="14"/>
                <w:szCs w:val="14"/>
                <w:b w:val="1"/>
                <w:bCs w:val="1"/>
                <w:color w:val="auto"/>
              </w:rPr>
              <w:t>Percentage</w:t>
            </w:r>
          </w:p>
        </w:tc>
        <w:tc>
          <w:tcPr>
            <w:tcW w:w="1160" w:type="dxa"/>
            <w:vAlign w:val="bottom"/>
          </w:tcPr>
          <w:p>
            <w:pPr>
              <w:spacing w:after="0"/>
              <w:rPr>
                <w:sz w:val="16"/>
                <w:szCs w:val="16"/>
                <w:color w:val="auto"/>
              </w:rPr>
            </w:pPr>
          </w:p>
        </w:tc>
      </w:tr>
      <w:tr>
        <w:trPr>
          <w:trHeight w:val="195"/>
        </w:trPr>
        <w:tc>
          <w:tcPr>
            <w:tcW w:w="3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913"/>
              <w:spacing w:after="0"/>
              <w:rPr>
                <w:sz w:val="20"/>
                <w:szCs w:val="20"/>
                <w:color w:val="auto"/>
              </w:rPr>
            </w:pPr>
            <w:r>
              <w:rPr>
                <w:rFonts w:ascii="Arial" w:cs="Arial" w:eastAsia="Arial" w:hAnsi="Arial"/>
                <w:sz w:val="14"/>
                <w:szCs w:val="14"/>
                <w:b w:val="1"/>
                <w:bCs w:val="1"/>
                <w:color w:val="auto"/>
              </w:rPr>
              <w:t>Increase/(Decrease)</w:t>
            </w:r>
          </w:p>
        </w:tc>
      </w:tr>
      <w:tr>
        <w:trPr>
          <w:trHeight w:val="209"/>
        </w:trPr>
        <w:tc>
          <w:tcPr>
            <w:tcW w:w="3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2021/2020</w:t>
            </w: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2020/2019</w:t>
            </w:r>
          </w:p>
        </w:tc>
      </w:tr>
      <w:tr>
        <w:trPr>
          <w:trHeight w:val="229"/>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Real Estate net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1,770</w:t>
            </w:r>
          </w:p>
        </w:tc>
        <w:tc>
          <w:tcPr>
            <w:tcW w:w="3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4,847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(63.5)%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580.8 %</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Real Estate operating expense: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Cost of sales (including sales commissions)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3,932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(67.1)%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30,146.2 %</w:t>
            </w:r>
          </w:p>
        </w:tc>
      </w:tr>
      <w:tr>
        <w:trPr>
          <w:trHeight w:val="230"/>
        </w:trPr>
        <w:tc>
          <w:tcPr>
            <w:tcW w:w="3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5,382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5,250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2.5 %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Real Estate operating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6,676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9,182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(27.3)%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63.7 %</w:t>
            </w:r>
          </w:p>
        </w:tc>
      </w:tr>
      <w:tr>
        <w:trPr>
          <w:trHeight w:val="230"/>
        </w:trPr>
        <w:tc>
          <w:tcPr>
            <w:tcW w:w="3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Gain on sale of real property</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207</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56.5 %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r>
      <w:tr>
        <w:trPr>
          <w:trHeight w:val="230"/>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Reported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3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(11.0)%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did not close on any significant real estate transactions during Fiscal 2021. Other operating expense of $5.4 million was primarily comprised of general and administrative costs, such as labor and labor-related benefits, professional services and allocated corporate overhead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we closed on the sale of a development land parcel for $4.1 million which was recorded within Real Estate net revenue, with a corresponding cost of sale (including sales commission) of $3.9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$5.3 million was primarily comprised of general and administrative costs, such as labor and labor-related benefits, professional services and allocated corporate overhead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closed on two land sales during the third quarter of Fiscal 2019 with third party developers at Keystone (One River Run site) and Breckenridge (East Peak 8 site) for proceeds of approximately $16.0 million, including $4.8 million associated with the sale of density for the Breckenridge property. The land parcel sales were accounted for as financing arrangements as a result of the Company’s continuing involvement with the underlying assets that were sold, including but not limited to, the obligation to repurchase finished commercial space from the development projects upon completion. As a result, the estimated gain of $3.6 million associated with the East Peak 8 site and the estimated loss of $3.2 million associated with the One River Run site will be deferred until the Company no longer maintains continuing involvement. Additionally, the Company’s future obligation to repurchase finished commercial space in the two completed projects, as well as other related capital spending, will result in total estimated capital expenditures of up to approximately $9.5 million in future fiscal years.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expense of $5.6 million was primarily comprised of general and administrative costs, such as labor and labor-related benefits, professional services and allocated corporate overhead costs. Real Estate Reported EBITDA also included a gain on sale of real property of $0.6 million for the sale of land parcels.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segment operating results, the following items contributed to our overall financial position and results of operations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Year ended July 31,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Percentage Increase/(Decrease)</w:t>
            </w:r>
          </w:p>
        </w:tc>
      </w:tr>
      <w:tr>
        <w:trPr>
          <w:trHeight w:val="187"/>
        </w:trPr>
        <w:tc>
          <w:tcPr>
            <w:tcW w:w="4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2021/2020</w:t>
            </w: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2020/2019</w:t>
            </w: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(252,585)</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(249,572)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(218,117)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1.2 %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(28,372)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4"/>
              <w:spacing w:after="0"/>
              <w:rPr>
                <w:sz w:val="20"/>
                <w:szCs w:val="20"/>
                <w:color w:val="auto"/>
              </w:rPr>
            </w:pPr>
            <w:r>
              <w:rPr>
                <w:rFonts w:ascii="Arial" w:cs="Arial" w:eastAsia="Arial" w:hAnsi="Arial"/>
                <w:sz w:val="18"/>
                <w:szCs w:val="18"/>
                <w:color w:val="auto"/>
              </w:rPr>
              <w:t>(100.0)%</w:t>
            </w:r>
          </w:p>
        </w:tc>
        <w:tc>
          <w:tcPr>
            <w:tcW w:w="12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(14,402)</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2,964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(585.9)%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155.2 %</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(151,399)</w:t>
            </w:r>
          </w:p>
        </w:tc>
        <w:tc>
          <w:tcPr>
            <w:tcW w:w="3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(106,721)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(79,496)</w:t>
            </w:r>
          </w:p>
        </w:tc>
        <w:tc>
          <w:tcPr>
            <w:tcW w:w="100" w:type="dxa"/>
            <w:vAlign w:val="bottom"/>
          </w:tcPr>
          <w:p>
            <w:pPr>
              <w:spacing w:after="0"/>
              <w:rPr>
                <w:sz w:val="19"/>
                <w:szCs w:val="19"/>
                <w:color w:val="auto"/>
              </w:rPr>
            </w:pPr>
          </w:p>
        </w:tc>
        <w:tc>
          <w:tcPr>
            <w:tcW w:w="1580" w:type="dxa"/>
            <w:vAlign w:val="bottom"/>
          </w:tcPr>
          <w:p>
            <w:pPr>
              <w:jc w:val="right"/>
              <w:ind w:right="174"/>
              <w:spacing w:after="0"/>
              <w:rPr>
                <w:sz w:val="20"/>
                <w:szCs w:val="20"/>
                <w:color w:val="auto"/>
              </w:rPr>
            </w:pPr>
            <w:r>
              <w:rPr>
                <w:rFonts w:ascii="Arial" w:cs="Arial" w:eastAsia="Arial" w:hAnsi="Arial"/>
                <w:sz w:val="18"/>
                <w:szCs w:val="18"/>
                <w:color w:val="auto"/>
              </w:rPr>
              <w:t>41.9 %</w:t>
            </w:r>
          </w:p>
        </w:tc>
        <w:tc>
          <w:tcPr>
            <w:tcW w:w="1220" w:type="dxa"/>
            <w:vAlign w:val="bottom"/>
          </w:tcPr>
          <w:p>
            <w:pPr>
              <w:jc w:val="right"/>
              <w:spacing w:after="0"/>
              <w:rPr>
                <w:sz w:val="20"/>
                <w:szCs w:val="20"/>
                <w:color w:val="auto"/>
              </w:rPr>
            </w:pPr>
            <w:r>
              <w:rPr>
                <w:rFonts w:ascii="Arial" w:cs="Arial" w:eastAsia="Arial" w:hAnsi="Arial"/>
                <w:sz w:val="18"/>
                <w:szCs w:val="18"/>
                <w:color w:val="auto"/>
              </w:rPr>
              <w:t>34.2 %</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Foreign currency gain (loss) on intercompany loans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8,282</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(3,230)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356.4 %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(726)</w:t>
            </w:r>
          </w:p>
        </w:tc>
        <w:tc>
          <w:tcPr>
            <w:tcW w:w="3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(7,378)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(75,472)</w:t>
            </w:r>
          </w:p>
        </w:tc>
        <w:tc>
          <w:tcPr>
            <w:tcW w:w="100" w:type="dxa"/>
            <w:vAlign w:val="bottom"/>
          </w:tcPr>
          <w:p>
            <w:pPr>
              <w:spacing w:after="0"/>
              <w:rPr>
                <w:sz w:val="19"/>
                <w:szCs w:val="19"/>
                <w:color w:val="auto"/>
              </w:rPr>
            </w:pPr>
          </w:p>
        </w:tc>
        <w:tc>
          <w:tcPr>
            <w:tcW w:w="1580" w:type="dxa"/>
            <w:vAlign w:val="bottom"/>
          </w:tcPr>
          <w:p>
            <w:pPr>
              <w:jc w:val="right"/>
              <w:ind w:right="174"/>
              <w:spacing w:after="0"/>
              <w:rPr>
                <w:sz w:val="20"/>
                <w:szCs w:val="20"/>
                <w:color w:val="auto"/>
              </w:rPr>
            </w:pPr>
            <w:r>
              <w:rPr>
                <w:rFonts w:ascii="Arial" w:cs="Arial" w:eastAsia="Arial" w:hAnsi="Arial"/>
                <w:sz w:val="18"/>
                <w:szCs w:val="18"/>
                <w:color w:val="auto"/>
              </w:rPr>
              <w:t>(90.2)%</w:t>
            </w:r>
          </w:p>
        </w:tc>
        <w:tc>
          <w:tcPr>
            <w:tcW w:w="122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29"/>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(5.7 pts)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 pts)</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for Fiscal 2021 and Fiscal 2020 increased over Fiscal 2019 primarily due to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 the Peak Resorts acquisition (incremental impact of $24.3 million in Fiscal 2020 relative to Fiscal 2019), as well as discretionary capital projects completed at our resorts in each fiscal year.</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Asset impairments. </w:t>
      </w:r>
      <w:r>
        <w:rPr>
          <w:rFonts w:ascii="Arial" w:cs="Arial" w:eastAsia="Arial" w:hAnsi="Arial"/>
          <w:sz w:val="17"/>
          <w:szCs w:val="17"/>
          <w:color w:val="auto"/>
        </w:rPr>
        <w:t>We recorded an asset impairment of approximately $28.4 million during Fiscal 2020 as a result of the effects of COVID-19 on our</w:t>
      </w:r>
      <w:r>
        <w:rPr>
          <w:rFonts w:ascii="Arial" w:cs="Arial" w:eastAsia="Arial" w:hAnsi="Arial"/>
          <w:sz w:val="17"/>
          <w:szCs w:val="17"/>
          <w:i w:val="1"/>
          <w:iCs w:val="1"/>
          <w:color w:val="auto"/>
        </w:rPr>
        <w:t xml:space="preserve"> </w:t>
      </w:r>
      <w:r>
        <w:rPr>
          <w:rFonts w:ascii="Arial" w:cs="Arial" w:eastAsia="Arial" w:hAnsi="Arial"/>
          <w:sz w:val="17"/>
          <w:szCs w:val="17"/>
          <w:color w:val="auto"/>
        </w:rPr>
        <w:t>Colorado resort ground transportation company, with corresponding reductions to goodwill, net of $25.7 million and intangible assets, net and property, plant and equipment, net of $2.7 million. See Notes to the Consolidated Financial Statements for additional information.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Change in fair value of contingent consideration. </w:t>
      </w:r>
      <w:r>
        <w:rPr>
          <w:rFonts w:ascii="Arial" w:cs="Arial" w:eastAsia="Arial" w:hAnsi="Arial"/>
          <w:sz w:val="17"/>
          <w:szCs w:val="17"/>
          <w:color w:val="auto"/>
        </w:rPr>
        <w:t>We recorded a loss of $14.4 million during Fiscal 2021 primarily related to improved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estimated results for Park City in Fiscal 2021, resulting in an increase in the expected payment for the year, as well as accretion resulting from the passage of time. We recorded a gain of $3.0 million during Fiscal 2020 primarily related to a decrease in the estimated Contingent Consideration payments for Fiscal 2020 and Fiscal 2021 as a result of a decrease in expected results due to the anticipated impacts of COVID-19. We recorded a loss of $5.4 million during Fiscal 2019 primarily related to the estimated Contingent Consideration payment for Fiscal 2019. The estimated fair value of contingent consideration is based on assumptions for EBITDA of Park City in future periods, as calculated under the lease on which participating payments are determined, and was $29.6 million and $17.8 million as of July 31, 2021 and 2020, respectively.</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for Fiscal 2021 increased compared to Fiscal 2020 primarily due to borrowings under our 6.25% unsecured bond</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which was completed on May 4, 2020 (the “6.25% Notes”) and generated approximately $28.3 million of incremental interest expense in Fiscal 2021, and $12.5 million of non-cash interest expense associated with amortization of the debt discount for the 0.0% Convertible Notes, which were issued in December 2020. Interest expense, net for Fiscal 2020 increased compared to Fiscal 2019 primarily due to debt obligations assumed in the Peak Resorts acquisition; borrowings under our 6.25% unsecured bond offering which was completed on May 4, 2020; incremental term loan borrowings under the Vail Holdings Credit Agreement of $335.6 million, which were used to fund the Peak Resorts acquisition in September 2019; and incremental borrowings under the revolver components of our Vail Holdings Credit Agreement and Whistler Credit Agreement, which were almost entirely drawn on during Fiscal 2020 as a precautionary measure in order to increase our cash position and financial flexibility in light of the financial market conditions resulting from the COVID-19 pandemic and were subsequently paid down, partially offset by a decrease in variable interest rates.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Foreign currency gain (loss) on intercompany loans. </w:t>
      </w:r>
      <w:r>
        <w:rPr>
          <w:rFonts w:ascii="Arial" w:cs="Arial" w:eastAsia="Arial" w:hAnsi="Arial"/>
          <w:sz w:val="17"/>
          <w:szCs w:val="17"/>
          <w:color w:val="auto"/>
        </w:rPr>
        <w:t>Foreign currency gain (loss) on intercompany loans for Fiscal 2021 increased as compared to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2020 and decreased for Fiscal 2020 as compared to Fiscal 2019 as a result of the Canadian dollar fluctuating relative to the U.S. dollar, and was associated with an intercompany loan from Vail Holdings, Inc. to Whistler Blackcomb in the original amount of $210.0 million that was funded, effective as of November 1, 2016, in connection with the acquisition of Whistler Blackcomb. This intercompany loan, which had an outstanding balance of approximately $97.2 million as of July 31, 2021, requires foreign currency remeasurement to Canadian dollars, the functional currency for Whistler Blackcomb. As a result, foreign currency fluctuations associated with the loan are recorded within our results of operations.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jc w:val="both"/>
        <w:spacing w:after="0" w:line="276"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effective tax rate was (0.6)%, (6.3)% and (18.9)% in Fiscal 2021, Fiscal 2020 and Fiscal 2019, respectively.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effective tax rate provision during Fiscal 2021 compared to Fiscal 2020 was primarily driven by an increase in excess tax benefits from employee share awards that were exercised (stock appreciation rights) and that vested (restricted stock awards). The decrease in the effective tax rate during Fiscal 2020 compared to Fiscal 2019 was primarily due to lower full year pre-tax net income, as well as a one-time, provisional $3.8 million benefit related to the net operating loss carryback provision of the Coronavirus Aid, Relief, and Economic Security Act, partially offset by a decrease in excess tax benefits from employee share awards that were exercised (stock appreciation rights) and that vested (restricted stock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Segment Earnings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net income attributable to Vail Resorts, Inc. to Total Reported EBITDA for Fiscal 2021, Fiscal 2020 and Fiscal 2019 (in thousands):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4"/>
              </w:rPr>
              <w:t>Year ended July 31,</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09"/>
        </w:trPr>
        <w:tc>
          <w:tcPr>
            <w:tcW w:w="6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Vail Resorts, Inc.</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127,850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98,833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301,163</w:t>
            </w:r>
          </w:p>
        </w:tc>
      </w:tr>
      <w:tr>
        <w:trPr>
          <w:trHeight w:val="229"/>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10,222</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22,330</w:t>
            </w:r>
          </w:p>
        </w:tc>
      </w:tr>
      <w:tr>
        <w:trPr>
          <w:trHeight w:val="223"/>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124,457</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109,055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323,493</w:t>
            </w:r>
          </w:p>
        </w:tc>
      </w:tr>
      <w:tr>
        <w:trPr>
          <w:trHeight w:val="230"/>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726</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7,378</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75,472</w:t>
            </w:r>
          </w:p>
        </w:tc>
      </w:tr>
      <w:tr>
        <w:trPr>
          <w:trHeight w:val="223"/>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125,183</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116,433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398,965</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252,585</w:t>
            </w:r>
          </w:p>
        </w:tc>
        <w:tc>
          <w:tcPr>
            <w:tcW w:w="22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249,572</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218,117</w:t>
            </w: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28,372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Loss (gain) on disposal of fixed assets and other, net</w:t>
            </w:r>
          </w:p>
        </w:tc>
        <w:tc>
          <w:tcPr>
            <w:tcW w:w="9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5,373</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(838)</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14,402</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Investment income and other, net</w:t>
            </w:r>
          </w:p>
        </w:tc>
        <w:tc>
          <w:tcPr>
            <w:tcW w:w="9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(1,305)</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(3,086)</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on intercompany loans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3,230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29"/>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151,399</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106,721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79,496</w:t>
            </w:r>
          </w:p>
        </w:tc>
      </w:tr>
      <w:tr>
        <w:trPr>
          <w:trHeight w:val="230"/>
        </w:trPr>
        <w:tc>
          <w:tcPr>
            <w:tcW w:w="6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Reported EBITDA</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540,074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499,221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702,377</w:t>
            </w:r>
          </w:p>
        </w:tc>
      </w:tr>
      <w:tr>
        <w:trPr>
          <w:trHeight w:val="243"/>
        </w:trPr>
        <w:tc>
          <w:tcPr>
            <w:tcW w:w="6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Mountain Reported EBITDA</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550,389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500,080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678,594</w:t>
            </w:r>
          </w:p>
        </w:tc>
      </w:tr>
      <w:tr>
        <w:trPr>
          <w:trHeight w:val="230"/>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Lodging Reported EBITDA</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3,269</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28,100</w:t>
            </w:r>
          </w:p>
        </w:tc>
      </w:tr>
      <w:tr>
        <w:trPr>
          <w:trHeight w:val="223"/>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Resort Reported EBITDA</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544,656</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503,349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706,694</w:t>
            </w:r>
          </w:p>
        </w:tc>
      </w:tr>
      <w:tr>
        <w:trPr>
          <w:trHeight w:val="230"/>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Real Estate Reported EBITDA</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r>
      <w:tr>
        <w:trPr>
          <w:trHeight w:val="230"/>
        </w:trPr>
        <w:tc>
          <w:tcPr>
            <w:tcW w:w="6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Reported EBITDA</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540,074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499,221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702,377</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long-term debt, net to Net Debt (defined as long-term debt, net plus long-term debt due within one year less cash and cash equivalents) (in thousands):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Year ended July 31,</w:t>
            </w:r>
          </w:p>
        </w:tc>
        <w:tc>
          <w:tcPr>
            <w:tcW w:w="1100" w:type="dxa"/>
            <w:vAlign w:val="bottom"/>
            <w:tcBorders>
              <w:bottom w:val="single" w:sz="8" w:color="auto"/>
            </w:tcBorders>
          </w:tcPr>
          <w:p>
            <w:pPr>
              <w:spacing w:after="0"/>
              <w:rPr>
                <w:sz w:val="16"/>
                <w:szCs w:val="16"/>
                <w:color w:val="auto"/>
              </w:rPr>
            </w:pPr>
          </w:p>
        </w:tc>
      </w:tr>
      <w:tr>
        <w:trPr>
          <w:trHeight w:val="210"/>
        </w:trPr>
        <w:tc>
          <w:tcPr>
            <w:tcW w:w="7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2,736,175</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2,387,122</w:t>
            </w:r>
          </w:p>
        </w:tc>
      </w:tr>
      <w:tr>
        <w:trPr>
          <w:trHeight w:val="23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due within one year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114,117</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63,677</w:t>
            </w: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2,850,292</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2,450,799</w:t>
            </w:r>
          </w:p>
        </w:tc>
      </w:tr>
      <w:tr>
        <w:trPr>
          <w:trHeight w:val="23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1,243,962</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390,980</w:t>
            </w:r>
          </w:p>
        </w:tc>
      </w:tr>
      <w:tr>
        <w:trPr>
          <w:trHeight w:val="230"/>
        </w:trPr>
        <w:tc>
          <w:tcPr>
            <w:tcW w:w="7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Debt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1,606,330</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2,059,819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and uses of cash for Fiscal 2021, Fiscal 2020 and Fiscal 2019 are presented by categories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Year ended July 31,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5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89"/>
              </w:rPr>
              <w:t>525,250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89"/>
              </w:rPr>
              <w:t>394,950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634,231</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475"/>
              <w:spacing w:after="0"/>
              <w:rPr>
                <w:sz w:val="20"/>
                <w:szCs w:val="20"/>
                <w:color w:val="auto"/>
              </w:rPr>
            </w:pPr>
            <w:r>
              <w:rPr>
                <w:rFonts w:ascii="Arial" w:cs="Arial" w:eastAsia="Arial" w:hAnsi="Arial"/>
                <w:sz w:val="18"/>
                <w:szCs w:val="18"/>
                <w:color w:val="auto"/>
                <w:w w:val="90"/>
              </w:rPr>
              <w:t>(103,329)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717"/>
              <w:spacing w:after="0"/>
              <w:rPr>
                <w:sz w:val="20"/>
                <w:szCs w:val="20"/>
                <w:color w:val="auto"/>
              </w:rPr>
            </w:pPr>
            <w:r>
              <w:rPr>
                <w:rFonts w:ascii="Arial" w:cs="Arial" w:eastAsia="Arial" w:hAnsi="Arial"/>
                <w:sz w:val="18"/>
                <w:szCs w:val="18"/>
                <w:color w:val="auto"/>
                <w:w w:val="90"/>
              </w:rPr>
              <w:t>(492,739)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(596,034)</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89"/>
              </w:rPr>
              <w:t>434,662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center"/>
              <w:ind w:left="757"/>
              <w:spacing w:after="0"/>
              <w:rPr>
                <w:sz w:val="20"/>
                <w:szCs w:val="20"/>
                <w:color w:val="auto"/>
              </w:rPr>
            </w:pPr>
            <w:r>
              <w:rPr>
                <w:rFonts w:ascii="Arial" w:cs="Arial" w:eastAsia="Arial" w:hAnsi="Arial"/>
                <w:sz w:val="18"/>
                <w:szCs w:val="18"/>
                <w:color w:val="auto"/>
                <w:w w:val="89"/>
              </w:rPr>
              <w:t>376,233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(99,558)</w:t>
            </w: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lower cash available at the end of each first and fourth fiscal quarter-end as compared to our second and third fiscal quarter-ends, primarily due to the seasonality of our Mountain segment operations, although our available cash balances as of July 31, 2021 and 2020 were higher than our historical July 31 balance as a result of the various debt offerings we completed in Fiscal 2021 and Fiscal 2020, and our suspension of dividend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generated $525.3 million of cash from operating activities during Fiscal 2021, an increase of $130.3 million when compared to $395.0 million of cash generated during Fiscal 2020. The increase in operating cash flows was primarily a result of (i) an increase in accounts payable and accrued liabilities (excluding accounts payable and accrued liabilities assumed through acquisitions) primarily due to an increase in accrued trade payables, salaries and wages in the current year due to a return to more normal operations, as compared to significantly lower accruals in the prior year due to the Resort Closures; (ii) an increase in pass product sales and collections as compared to the prior year, primarily as a result of the impacts of COVID-19, including the extended pass product sales deadline in the prior year and the impact of the Credit Offer; and (iii) a decrease in inventories (excluding inventories assumed through acquisitions) as of July 31, 2021 as compared to the beginning of the fiscal year relative to an increase in the prior year period. These increases were partially offset by an increase in cash interest payments of $37.3 million in Fiscal 2021 as compared to the prior year, primarily due to incremental cash interest payments on the 6.25% Notes issued in May 2020, for which the first interest payments were made during Fiscal 2021.</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Fiscal 2021 decreased by $389.4 million, primarily due to cash payments of $327.6 million, net of cash acquired, related to the acquisition of Peak Resorts during Fiscal 2020. Additionally, capital expenditures decreased by $57.2 million primarily as a result of the deferral of a significant amount of discretionary capital projects related to the Company’s decision during the outbreak of COVID-19 to prioritize near-term liquidity.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provided by financing activities increased by $58.4 million during Fiscal 2021 compared to Fiscal 2020, primarily due to (i) proceeds of $575.0 million from the issuance of our 0.0% Convertible Notes during the Fiscal 2021; (ii) a decrease in dividends paid of $212.7 million; (iii) a decrease in net payments of $208.0 million under the revolver component of our Vail Holdings Credit Agreement; and (iv) a decrease in repurchases of common stock of $46.4 million. These increases were partially offset by (i) proceeds of $600.0 million related to the issuance of our 6.25% Notes during Fiscal 2020; (ii) proceeds of $335.6 million from incremental borrowings under the term loan portion of our Vail Holdings Credit Agreement during Fiscal 2020, which were used to fund the Peak Resorts acquisition; (iii) an increase in net payments under the revolver component of our Whistler Credit Agreement of $23.5 million; and (iv) an increase in employee taxes paid for equity award exercises of $19.6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generated $395.0 million of cash from operating activities during Fiscal 2020, a decrease of $239.3 million when compared to $634.2 million of cash generated during Fiscal 2019. The decrease in operating cash flows was primarily a result of decreased Mountain and Lodging segment operating results in Fiscal 2020, primarily due to the Resort Closures; a decrease in accounts payable and accrued liabilities due to declines associated with the Resort Closures (excluding accounts payable and accrued liabilities assumed through acquisitions) and an increase in cash interest payments of approximately $17.5 million primarily associated with debt assumed in the Peak Resorts acquisition and incremental term loan and revolver borrowings under our Vail Holdings Credit Agreement. These decreases were partially offset by increased North American pass product sales and receivable collections for the 2019/2020 North American ski season as compared to the prior year and a decrease in estimated tax payments of $23.1 million. Additionally we generated approximately $4.4 million of proceeds from real estate development land parcel sales in Fiscal 2020 compared to $0.1 million in proceeds from real estate development project closings that occurred in the prior year.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Cash used in investing activities for Fiscal 2020 decreased by $103.3 million, primarily due to cash payments of $327.6 million, net of cash acquired, related to the acquisition of Peak Resorts during Fiscal 2020, as compared to cash payments of $419.0 million, net of cash acquired, related to the acquisitions of Triple Peaks, Stevens Pass, Falls Creek and Hotham during Fiscal 2019. Additionally, capital expenditures decreased by $19.7 million primarily as a result of actions associated with the deferral of discretionary capital projects related to the Company’s decision to prioritize near-term liquidity.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provided by financing activities increased by $475.8 million during Fiscal 2020 compared to Fiscal 2019, primarily due to (i) the $600.0 million issuance of the 6.25% Notes in Fiscal 2020; (ii) an increase in proceeds from incremental borrowings under the term loan portion of our Vail Holdings Credit Agreement from $265.5 million during Fiscal 2019, which were used to fund the Triple Peaks and Stevens Pass acquisitions, to $335.6 million during Fiscal 2020, which were used to fund the Peak Resorts acquisition; (iii) an increase in net borrowings under the revolver component of our Whistler Credit Agreement of $24.1 million, primarily relating to funds which were drawn as a precautionary measure in order to increase our cash position and financial flexibility in light of the financial market conditions resulting from the COVID-19 pandemic; (iv) a decrease in repurchases of common stock of $38.6 million; and (v) a decrease in dividend payments of $47.8 million associated with the Company’s decision to prioritize near-term liquidity. These increases in cash provided by financing activities were partially offset by (i) an increase in net payments on borrowings under the revolver component of our Vail Holdings Credit Agreement of $286.0 million; (ii) an increase in financing cost payments of $8.8 million, primarily associated with the issuance of the 6.25% Notes; and (iii) a payment for contingent consideration with regard to our lease for Park City.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$1,244.0 million of cash and cash equivalents as of July 31, 2021, compared to $391.0 million as of July 31, 2020. Although we cannot predict the future impact associated with the COVID-19 pandemic on our business, we currently anticipate that our Mountain and Lodging segment operating results will continue to provide a significant source of future operating cash flows (primarily generated in our second and third fiscal quarters).</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our $1,244.0 million of cash and cash equivalents at July 31, 2021, we had $417.7 million available under the revolver component of our Vail Holdings Credit Agreement as of July 31, 2021 (which represents the total commitment of $500.0 million less certain letters of credit outstanding of $82.3 million). Also, to further support the liquidity needs of Whistler Blackcomb, we had C$243.1 million ($194.9 million) available under the revolver component of our Whistler Credit Agreement (which represents the total commitment of C$300.0 million ($240.5 million) less outstanding borrowings of C$56.0 million ($44.9 million) and a letter of credit outstanding of C$0.9 million ($0.7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and are priced favorably with any new borrowings currently priced at LIBOR plus 2.5% and Bankers Acceptance Rate plus 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currently anticipate we will spend approximately $115 million to $120 million on resort capital expenditures during calendar year 2021, excluding one-time items associated with integrations of $5 million and $12 million of reimbursable investments, as well as real estate related capital. Including these one-time items, we expect that our total capital plan will be approximately $135 million to $140 million. Included in these estimated capital expenditures are approximately $75 million to $80 million of maintenance capital expenditures, which are necessary to maintain appearance and level of service appropriate to our resort operations. Discretionary expenditures expected for calendar year 2021 include, among other projects, several investments which were previously deferred from calendar year 2020 as a result of COVID-19, including the 250-acre lift-served terrain expansion in the McCoy Park area of Beaver Creek; a new four-person high speed lift to serve Peak 7 at Breckenridge; replacing the Peru lift at Keystone with a six-person high speed chairlift; replacing the Peachtree lift at Crested Butte with a new three-person fixed-grip lift; and an upgrade of the four-person Quantum lift at Okemo with a six-person high speed chairlift, relocating the existing four-person Quantum lift to replace the Green Ridge three-person fixed-grip chairlift. We will also continue to invest in company-wide technology enhancements to support our data driven approach, guest experience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8" w:name="page59"/>
    <w:bookmarkEnd w:id="58"/>
    <w:p>
      <w:pPr>
        <w:jc w:val="both"/>
        <w:ind w:right="20"/>
        <w:spacing w:after="0" w:line="294" w:lineRule="auto"/>
        <w:rPr>
          <w:sz w:val="20"/>
          <w:szCs w:val="20"/>
          <w:color w:val="auto"/>
        </w:rPr>
      </w:pPr>
      <w:r>
        <w:rPr>
          <w:rFonts w:ascii="Arial" w:cs="Arial" w:eastAsia="Arial" w:hAnsi="Arial"/>
          <w:sz w:val="16"/>
          <w:szCs w:val="16"/>
          <w:color w:val="auto"/>
        </w:rPr>
        <w:t>and corporate infrastructure which improve our scalability and efficiency as we work to optimize our processes, business analytics and cost discipline across the network, as well as upgrades to the infrastructure of our guest contact centers. We currently plan to utilize cash on hand, borrowings available under our credit agreements and/or cash flow generated from future operations to provide the cash necessary to complete our capital plans.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$48 million was spent for capital expenditures in calendar year 2021 as of July 31, 2021, leaving approximately $87 million to $92 million to spend in the remainder of calendar year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July 31, 2021, principal payments on the majority of our long-term debt ($2.7 billion of the total $2.9 billion debt outstanding as of July 31, 2021) are not due until fiscal year 2025 and beyond. As of July 31, 2021 and 2020, total long-term debt, net (including long-term debt due within one year) was $2,850.3 million and $2,450.8 million, respectively. Net Debt (defined as long-term debt, net plus long-term debt due within one year less cash and cash equivalents) decreased from $2,059.8 million as of July 31, 2020 to $1,606.3 million as of July 31, 2021, primarily as a result of cash provided by operating activities, as discussed above. See Notes to the Consolidated Financial Statements for additional information.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18, 2020, we entered into the Fourth Amendment to the Vail Holdings Credit Agreement. Pursuant to the Fourth Amendment, among other terms, we are exempt from complying with the Vail Holdings Credit Agreement’s maximum leverage ratio, maximum senior secured leverage ratio and minimum interest coverage ratio financial maintenance covenants for each of the fiscal quarters ending through January 31, 2022 (unless we make a one-time irrevocable election to terminate such exemption period prior to such date), after which we will again be required to comply with such covenants starting with the fiscal quarter ending April 30, 2022 (or such earlier fiscal quarter as elected by us). After the expiration of the Financial Covenants Temporary Waiver Period:</w:t>
      </w:r>
    </w:p>
    <w:p>
      <w:pPr>
        <w:spacing w:after="0" w:line="84"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maximum ratio permitted under the maximum leverage ratio financial maintenance covenant shall be 6.25 to 1.00;</w:t>
      </w:r>
    </w:p>
    <w:p>
      <w:pPr>
        <w:spacing w:after="0" w:line="63" w:lineRule="exact"/>
        <w:rPr>
          <w:rFonts w:ascii="Arial" w:cs="Arial" w:eastAsia="Arial" w:hAnsi="Arial"/>
          <w:sz w:val="18"/>
          <w:szCs w:val="18"/>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maximum ratio permitted under the senior secured leverage ratio financial maintenance covenant shall be 4.00 to 1.00; and</w:t>
      </w:r>
    </w:p>
    <w:p>
      <w:pPr>
        <w:spacing w:after="0" w:line="63" w:lineRule="exact"/>
        <w:rPr>
          <w:rFonts w:ascii="Arial" w:cs="Arial" w:eastAsia="Arial" w:hAnsi="Arial"/>
          <w:sz w:val="18"/>
          <w:szCs w:val="18"/>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minimum ratio permitted under the minimum interest coverage ratio financial maintenance covenant will be 2.00 to 1.00.</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also prohibited from the following activities during the Financial Covenants Temporary Waiver Period (unless approval is obtained by a majority of the lenders under the Vail Holdings Credit Agreement):</w:t>
      </w:r>
    </w:p>
    <w:p>
      <w:pPr>
        <w:spacing w:after="0" w:line="62" w:lineRule="exact"/>
        <w:rPr>
          <w:sz w:val="20"/>
          <w:szCs w:val="20"/>
          <w:color w:val="auto"/>
        </w:rPr>
      </w:pPr>
    </w:p>
    <w:p>
      <w:pPr>
        <w:jc w:val="both"/>
        <w:ind w:left="420" w:hanging="412"/>
        <w:spacing w:after="0" w:line="286" w:lineRule="auto"/>
        <w:tabs>
          <w:tab w:leader="none" w:pos="4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paying any dividends or making share repurchases, unless (x) no default or potential default exists under the Vail Holdings Credit Agreement and (y) we have liquidity (as defined below) of at least $300.0 million, and the aggregate amount of dividends paid and share repurchases made by the Company during the Financial Covenants Temporary Waiver Period may not exceed $38.2 million in any fiscal quarter;</w:t>
      </w:r>
    </w:p>
    <w:p>
      <w:pPr>
        <w:spacing w:after="0" w:line="3" w:lineRule="exact"/>
        <w:rPr>
          <w:rFonts w:ascii="Arial" w:cs="Arial" w:eastAsia="Arial" w:hAnsi="Arial"/>
          <w:sz w:val="17"/>
          <w:szCs w:val="17"/>
          <w:color w:val="auto"/>
        </w:rPr>
      </w:pPr>
    </w:p>
    <w:p>
      <w:pPr>
        <w:ind w:left="400" w:hanging="392"/>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incurring indebtedness secured by the collateral under the Vail Holdings Credit Agreement in an amount in excess of $1.75 billion; and</w:t>
      </w:r>
    </w:p>
    <w:p>
      <w:pPr>
        <w:spacing w:after="0" w:line="63" w:lineRule="exact"/>
        <w:rPr>
          <w:rFonts w:ascii="Arial" w:cs="Arial" w:eastAsia="Arial" w:hAnsi="Arial"/>
          <w:sz w:val="18"/>
          <w:szCs w:val="18"/>
          <w:color w:val="auto"/>
        </w:rPr>
      </w:pPr>
    </w:p>
    <w:p>
      <w:pPr>
        <w:ind w:left="420" w:hanging="412"/>
        <w:spacing w:after="0" w:line="277" w:lineRule="auto"/>
        <w:tabs>
          <w:tab w:leader="none" w:pos="4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making certain non-ordinary course investments in similar businesses, joint ventures and unrestricted subsidiaries unless the Company has liquidity (as defined below) of at least $300.0 million.</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Fourth Amendment also removed certain restrictions under the Financial Covenants Temporary Waiver Period, including (i) removing the restriction on acquisitions so long as we have liquidity (as defined below) of at least $300.0 million and (ii) removing the $200.0 million annual limit on capital expenditures.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required to comply with a monthly minimum liquidity test (liquidity is defined as unrestricted cash and temporary cash investments of VRI and its restricted subsidiaries and available commitments under the Vail Holdings Credit Agreement revolver) of not less than $150.0 million, during the period that began July 31, 2020 and ending on the date we deliver a compliance certificate for the Company and its subsidiaries’ first fiscal quarter following the end of the Financial Covenants Temporary Waiver Period.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Financial Covenants Temporary Waiver Period, borrowings under the Vail Holdings Credit Agreement, including the term loan facility, bear interest annually at LIBOR plus 2.50% and, for amounts in excess of $400.0 million, LIBOR is subject to a floor of 0.25% (which has decreased from the floor of 0.75% that was in effect prior to the Fourth Amendment).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jc w:val="both"/>
        <w:spacing w:after="0" w:line="279" w:lineRule="auto"/>
        <w:rPr>
          <w:sz w:val="20"/>
          <w:szCs w:val="20"/>
          <w:color w:val="auto"/>
        </w:rPr>
      </w:pPr>
      <w:r>
        <w:rPr>
          <w:rFonts w:ascii="Arial" w:cs="Arial" w:eastAsia="Arial" w:hAnsi="Arial"/>
          <w:sz w:val="17"/>
          <w:szCs w:val="17"/>
          <w:color w:val="auto"/>
        </w:rPr>
        <w:t>On December 18, 2020, we completed our offering of $575.0 million in aggregate principal amount of 0.0% Convertible Notes due 2026 in a private placement conducted pursuant to Rule 144A of the Securities Act. The 0.0% Convertible Notes were issued under an Indenture dated December 18, 2020 (the “Indenture”) between us and U.S. Bank National Association, as Trustee. The 0.0% Convertible Notes do not bear regular interest and the principal amount does not accrete. The 0.0% Convertible Notes mature on January 1, 2026, unless earlier repurchased, redeemed or converted.</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0.0% Convertible Notes are our general senior unsecured obligations. The 0.0% Convertible Notes rank senior in right of payment to any future debt that is expressly subordinated, equal in right of payment with our existing and future liabilities that are not so subordinated, and are subordinated to all of our existing and future secured debt to the extent of the value of the assets securing such debt. The 0.0% Convertible Notes will also be structurally subordinated to all of the existing and future liabilities and obligations of our subsidiaries, including such subsidiaries’ guarantees of the 6.25% Notes.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conversion rate was 2.4560 shares per $1,000 principal amount of notes (the “Conversion Rate”), which represents an initial conversion price of approximately $407.17 per share (the “Conversion Price”), and is subject to adjustment upon the occurrence of certain specified events as described in the Indenture. The principal amount of the 0.0% Convertible Notes is required to be settled in cash. We will settle conversions by paying cash, delivering shares of our common stock, or a combination of the two, at our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Holders may convert their notes, at their option, only under the following circumstances:</w:t>
      </w:r>
    </w:p>
    <w:p>
      <w:pPr>
        <w:spacing w:after="0" w:line="117" w:lineRule="exact"/>
        <w:rPr>
          <w:sz w:val="20"/>
          <w:szCs w:val="20"/>
          <w:color w:val="auto"/>
        </w:rPr>
      </w:pPr>
    </w:p>
    <w:p>
      <w:pPr>
        <w:jc w:val="both"/>
        <w:ind w:left="420" w:hanging="412"/>
        <w:spacing w:after="0" w:line="263" w:lineRule="auto"/>
        <w:tabs>
          <w:tab w:leader="none" w:pos="4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75" w:lineRule="exact"/>
        <w:rPr>
          <w:rFonts w:ascii="Arial" w:cs="Arial" w:eastAsia="Arial" w:hAnsi="Arial"/>
          <w:sz w:val="18"/>
          <w:szCs w:val="18"/>
          <w:color w:val="auto"/>
        </w:rPr>
      </w:pPr>
    </w:p>
    <w:p>
      <w:pPr>
        <w:jc w:val="both"/>
        <w:ind w:left="420" w:hanging="412"/>
        <w:spacing w:after="0" w:line="311" w:lineRule="auto"/>
        <w:tabs>
          <w:tab w:leader="none" w:pos="4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40" w:lineRule="exact"/>
        <w:rPr>
          <w:rFonts w:ascii="Arial" w:cs="Arial" w:eastAsia="Arial" w:hAnsi="Arial"/>
          <w:sz w:val="16"/>
          <w:szCs w:val="16"/>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our common stock, as described in the Indenture;</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call the 0.0% Convertible Notes for redemption; or</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at any time from, and including, July 1, 2025 until the close of business on the scheduled trading day immediately before the maturity date.</w:t>
      </w: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0.0% Convertible Notes will be redeemable, in whole or in part, at our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our common stock exceeds 130% of the Conversion Price for a specified period of time. If we elect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upon the occurrence of a fundamental change (as defined in the Indenture), holders of the 0.0% Convertible Notes may require us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Indenture) occur, the Conversion Rate for the 0.0% Convertible Notes may be increased for a specified period of time.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Indenture includes customary events of default, including failure to make payment, failure to comply with the obligations set forth in the Indenture, certain defaults on certain other indebtedness, and certain events of bankruptcy, insolvency or reorganization. We may elect, at our option, that the sole remedy for an event of default relating to certain failures by the Company to comply with certain reporting covenants in the Indenture will consist exclusively of the right of the holders of the 0.0% Convertible Notes to receive additional interest on the notes for up to 360 days following such failure.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As of July 31, 2021, the Vail Holdings Credit Agreement provides for (i) a revolving loan facility in an aggregate principal amount of $500.0 million and</w:t>
      </w:r>
    </w:p>
    <w:p>
      <w:pPr>
        <w:spacing w:after="0" w:line="35" w:lineRule="exact"/>
        <w:rPr>
          <w:sz w:val="20"/>
          <w:szCs w:val="20"/>
          <w:color w:val="auto"/>
        </w:rPr>
      </w:pPr>
    </w:p>
    <w:p>
      <w:pPr>
        <w:ind w:left="5540" w:right="4260" w:hanging="5532"/>
        <w:spacing w:after="0" w:line="902" w:lineRule="auto"/>
        <w:tabs>
          <w:tab w:leader="none" w:pos="2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term loan facility of $1.1 billion. We expect that our liquidity needs in the near term will be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met by continued use of our existing cash and cash equivalents, operating cash flows and borrowings under the Vail Holdings Credit Agreement and the Whistler Credit Agreement, if needed.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debt service requirements can be impacted by changing interest rates as we had approximately $0.8 billion of net variable-rate debt outstanding as of July 31, 2021, after consideration of $400.0 million in interest rate swaps which convert variable-rate debt to fixed-rate debt. A 100-basis point change in LIBOR would cause our annual interest payments on our net variable-rate debt to change by approximately $8.4 million. Additionally, the annual payments associated with the financing of the Canyons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the flexibility of investment activities and the ability to obtain favorable future financing. We can respond to liquidity impacts of changes in the business and economic environment, including the COVID-19 pandemic, by managing our capital expenditures, variable operating expenses, the timing of new real estate development activity and the payment of cash dividends on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6, 2006, our Board of Directors initially authorized the repurchase of up to 3,000,000 shares of Vail Resorts common stock (“Vail Shares”) and later authorized additional repurchases of up to 3,000,000 additional Vail Shares (July 16, 2008) and 1,500,000 Vail Shares (December 4, 2015), for a total authorization to repurchase shares of up to 7,500,000 Vail Shares. During Fiscal 2021, we did not repurchase any Vail Shares. Since the inception of this stock repurchase program through July 31, 2021, we have repurchased 6,161,141 Vail Shares at a cost of approximately $404.4 million. As of July 31, 2021, 1,338,859 Vail Shares remained available to repurchase under the existing repurchase authorization. Pursuant to the Third Amendment and as discussed above, we are prohibited from repurchasing shares of common stock during the Financial Covenants Temporary Waiver Period unless (x) no default or potential default exists under the Vail Holdings Credit Agreement and (y) the Company has liquidity (as defined above) of at least $300.0 million, and the aggregate amount of dividends paid and share repurchases made by the Company during the Financial Covenants Temporary Waiver Period may not exceed $38.2 million in any fiscal quarter. Vail Shares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announced on April 1, 2020 that we would be suspending the declaration of our quarterly dividend in response to the COVID-19 pandemic. Additionally, pursuant to the Fourth Amendment, we are prohibited from paying any dividends during the Financial Covenants Temporary Waiver Period unless (x) no default or potential default exists under the Vail Holdings Credit Agreement and (y) the Company has liquidity (as defined above) of at least $300.0 million, and the aggregate amount of dividends paid and share repurchases made by the Company during the Financial Covenants Temporary Waiver Period may not exceed $38.2 million in any fiscal quarter. During Fiscal 2021, we did not pay cash dividends. On September 22, 2021, our Board of Directors approved a cash dividend of $0.88 per share payable on October 22, 2021 to stockholders of record as of October 5, 2021. Additionally, a Canadian dollar equivalent dividend on the Exchangeco Shares will be payable on October 22, 2021 to the shareholders of record as of October 5, 2021. We expect to fund the dividend with available cash on hand and will do so pursuant to the restrictions under the Financial Covenants Temporary Waiver Period.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must abide by certain restrictive financial covenants under our credit agreements. The most restrictive of those covenants include the following: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Fourth Amendment and as discussed above in further detail, we are exempt from complying with the restrictive financial covenants of the Vail Holdings Credit Agreement during the Financial Covenants Temporary Waiver Period, but are required to comply with a monthly minimum liquidity test during such period (as discussed above).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restrictive financial covenants in our debt instruments as of July 31, 2021. We expect that we will continue to meet all applicable financial maintenance covenants in effect in our credit agreements throughout the year ending July 31, 2022; however, there can be no assurance that we will continue to meet such financial covenants. If such covenants are not met, we would be required to seek a waiver or amendment from the banks participating in our credit agreements. There can be no assurance that such waiver or amendment would be granted, which could have a material adverse impact on our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part of our ongoing operations, we enter into arrangements that obligate us to make future payments under contracts such as debt agreements, lease agreements and construction agreements in conjunction with our resort capital expenditures. Debt obligations, which totaled $2.9 billion as of July 31, 2021, are recognized as liabilities in our Consolidated Balance Sheet. Obligations under construction contracts and other purchase commitments are not recognized as liabilities in our Consolidated Balance Sheet until services and/or goods are received which is in accordance with GAAP. A summary of our contractual obligations as of July 31, 2021 is presented below (in thousands):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Payments Due by Period</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79"/>
        </w:trPr>
        <w:tc>
          <w:tcPr>
            <w:tcW w:w="3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rPr>
              <w:t>Fiscal</w:t>
            </w:r>
          </w:p>
        </w:tc>
        <w:tc>
          <w:tcPr>
            <w:tcW w:w="380" w:type="dxa"/>
            <w:vAlign w:val="bottom"/>
          </w:tcPr>
          <w:p>
            <w:pPr>
              <w:spacing w:after="0"/>
              <w:rPr>
                <w:sz w:val="15"/>
                <w:szCs w:val="15"/>
                <w:color w:val="auto"/>
              </w:rPr>
            </w:pPr>
          </w:p>
        </w:tc>
        <w:tc>
          <w:tcPr>
            <w:tcW w:w="1040" w:type="dxa"/>
            <w:vAlign w:val="bottom"/>
          </w:tcPr>
          <w:p>
            <w:pPr>
              <w:jc w:val="right"/>
              <w:ind w:right="516"/>
              <w:spacing w:after="0"/>
              <w:rPr>
                <w:sz w:val="20"/>
                <w:szCs w:val="20"/>
                <w:color w:val="auto"/>
              </w:rPr>
            </w:pPr>
            <w:r>
              <w:rPr>
                <w:rFonts w:ascii="Arial" w:cs="Arial" w:eastAsia="Arial" w:hAnsi="Arial"/>
                <w:sz w:val="14"/>
                <w:szCs w:val="14"/>
                <w:b w:val="1"/>
                <w:bCs w:val="1"/>
                <w:color w:val="auto"/>
              </w:rPr>
              <w:t>2-3</w:t>
            </w:r>
          </w:p>
        </w:tc>
        <w:tc>
          <w:tcPr>
            <w:tcW w:w="380" w:type="dxa"/>
            <w:vAlign w:val="bottom"/>
          </w:tcPr>
          <w:p>
            <w:pPr>
              <w:spacing w:after="0"/>
              <w:rPr>
                <w:sz w:val="15"/>
                <w:szCs w:val="15"/>
                <w:color w:val="auto"/>
              </w:rPr>
            </w:pPr>
          </w:p>
        </w:tc>
        <w:tc>
          <w:tcPr>
            <w:tcW w:w="1060" w:type="dxa"/>
            <w:vAlign w:val="bottom"/>
          </w:tcPr>
          <w:p>
            <w:pPr>
              <w:jc w:val="right"/>
              <w:ind w:right="515"/>
              <w:spacing w:after="0"/>
              <w:rPr>
                <w:sz w:val="20"/>
                <w:szCs w:val="20"/>
                <w:color w:val="auto"/>
              </w:rPr>
            </w:pPr>
            <w:r>
              <w:rPr>
                <w:rFonts w:ascii="Arial" w:cs="Arial" w:eastAsia="Arial" w:hAnsi="Arial"/>
                <w:sz w:val="14"/>
                <w:szCs w:val="14"/>
                <w:b w:val="1"/>
                <w:bCs w:val="1"/>
                <w:color w:val="auto"/>
              </w:rPr>
              <w:t>4-5</w:t>
            </w:r>
          </w:p>
        </w:tc>
        <w:tc>
          <w:tcPr>
            <w:tcW w:w="360" w:type="dxa"/>
            <w:vAlign w:val="bottom"/>
          </w:tcPr>
          <w:p>
            <w:pPr>
              <w:spacing w:after="0"/>
              <w:rPr>
                <w:sz w:val="15"/>
                <w:szCs w:val="15"/>
                <w:color w:val="auto"/>
              </w:rPr>
            </w:pPr>
          </w:p>
        </w:tc>
        <w:tc>
          <w:tcPr>
            <w:tcW w:w="1240" w:type="dxa"/>
            <w:vAlign w:val="bottom"/>
          </w:tcPr>
          <w:p>
            <w:pPr>
              <w:jc w:val="right"/>
              <w:ind w:right="355"/>
              <w:spacing w:after="0"/>
              <w:rPr>
                <w:sz w:val="20"/>
                <w:szCs w:val="20"/>
                <w:color w:val="auto"/>
              </w:rPr>
            </w:pPr>
            <w:r>
              <w:rPr>
                <w:rFonts w:ascii="Arial" w:cs="Arial" w:eastAsia="Arial" w:hAnsi="Arial"/>
                <w:sz w:val="14"/>
                <w:szCs w:val="14"/>
                <w:b w:val="1"/>
                <w:bCs w:val="1"/>
                <w:color w:val="auto"/>
              </w:rPr>
              <w:t>More than</w:t>
            </w:r>
          </w:p>
        </w:tc>
      </w:tr>
      <w:tr>
        <w:trPr>
          <w:trHeight w:val="192"/>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years</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years</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5 years</w:t>
            </w:r>
          </w:p>
        </w:tc>
      </w:tr>
      <w:tr>
        <w:trPr>
          <w:trHeight w:val="229"/>
        </w:trPr>
        <w:tc>
          <w:tcPr>
            <w:tcW w:w="35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Long-Term Debt (Outstanding Principal) </w:t>
            </w:r>
            <w:r>
              <w:rPr>
                <w:rFonts w:ascii="Arial" w:cs="Arial" w:eastAsia="Arial" w:hAnsi="Arial"/>
                <w:sz w:val="23"/>
                <w:szCs w:val="23"/>
                <w:color w:val="auto"/>
                <w:vertAlign w:val="superscript"/>
              </w:rPr>
              <w:t>(1)</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2,948,514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121,345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127,538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2,174,189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525,442</w:t>
            </w:r>
          </w:p>
        </w:tc>
      </w:tr>
      <w:tr>
        <w:trPr>
          <w:trHeight w:val="230"/>
        </w:trPr>
        <w:tc>
          <w:tcPr>
            <w:tcW w:w="3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Rate Interest </w:t>
            </w:r>
            <w:r>
              <w:rPr>
                <w:rFonts w:ascii="Arial" w:cs="Arial" w:eastAsia="Arial" w:hAnsi="Arial"/>
                <w:sz w:val="23"/>
                <w:szCs w:val="23"/>
                <w:color w:val="auto"/>
                <w:vertAlign w:val="superscript"/>
              </w:rPr>
              <w:t>(1)</w:t>
            </w:r>
          </w:p>
        </w:tc>
        <w:tc>
          <w:tcPr>
            <w:tcW w:w="68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350,352</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56,388</w:t>
            </w:r>
          </w:p>
        </w:tc>
        <w:tc>
          <w:tcPr>
            <w:tcW w:w="38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112,873</w:t>
            </w:r>
          </w:p>
        </w:tc>
        <w:tc>
          <w:tcPr>
            <w:tcW w:w="3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57,790</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123,301</w:t>
            </w:r>
          </w:p>
        </w:tc>
      </w:tr>
      <w:tr>
        <w:trPr>
          <w:trHeight w:val="230"/>
        </w:trPr>
        <w:tc>
          <w:tcPr>
            <w:tcW w:w="3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Canyons Obligation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1,543,186</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30,093</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62,003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64,508</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1,386,582</w:t>
            </w:r>
          </w:p>
        </w:tc>
      </w:tr>
      <w:tr>
        <w:trPr>
          <w:trHeight w:val="229"/>
        </w:trPr>
        <w:tc>
          <w:tcPr>
            <w:tcW w:w="3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Leases and Service Contracts </w:t>
            </w:r>
            <w:r>
              <w:rPr>
                <w:rFonts w:ascii="Arial" w:cs="Arial" w:eastAsia="Arial" w:hAnsi="Arial"/>
                <w:sz w:val="23"/>
                <w:szCs w:val="23"/>
                <w:color w:val="auto"/>
                <w:vertAlign w:val="superscript"/>
              </w:rPr>
              <w:t>(3)</w:t>
            </w:r>
          </w:p>
        </w:tc>
        <w:tc>
          <w:tcPr>
            <w:tcW w:w="68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321,653</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68,273</w:t>
            </w:r>
          </w:p>
        </w:tc>
        <w:tc>
          <w:tcPr>
            <w:tcW w:w="38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79,521</w:t>
            </w:r>
          </w:p>
        </w:tc>
        <w:tc>
          <w:tcPr>
            <w:tcW w:w="3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64,796</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109,063</w:t>
            </w:r>
          </w:p>
        </w:tc>
      </w:tr>
      <w:tr>
        <w:trPr>
          <w:trHeight w:val="230"/>
        </w:trPr>
        <w:tc>
          <w:tcPr>
            <w:tcW w:w="35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Obligations and Other </w:t>
            </w:r>
            <w:r>
              <w:rPr>
                <w:rFonts w:ascii="Arial" w:cs="Arial" w:eastAsia="Arial" w:hAnsi="Arial"/>
                <w:sz w:val="23"/>
                <w:szCs w:val="23"/>
                <w:color w:val="auto"/>
                <w:vertAlign w:val="superscript"/>
              </w:rPr>
              <w:t>(4)</w:t>
            </w: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538,284</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434,269</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80,903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w:t>
            </w:r>
          </w:p>
        </w:tc>
      </w:tr>
      <w:tr>
        <w:trPr>
          <w:trHeight w:val="23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Contractual Cash Obligations</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5,701,989</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710,368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462,838</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2,361,295</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2,167,488</w:t>
            </w:r>
          </w:p>
        </w:tc>
      </w:tr>
    </w:tbl>
    <w:p>
      <w:pPr>
        <w:spacing w:after="0" w:line="283" w:lineRule="exact"/>
        <w:rPr>
          <w:sz w:val="20"/>
          <w:szCs w:val="20"/>
          <w:color w:val="auto"/>
        </w:rPr>
      </w:pPr>
    </w:p>
    <w:p>
      <w:pPr>
        <w:jc w:val="both"/>
        <w:ind w:left="340" w:hanging="8"/>
        <w:spacing w:after="0" w:line="254" w:lineRule="auto"/>
        <w:tabs>
          <w:tab w:leader="none" w:pos="7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fixed-rate interest payments (including payments that are required under interest rate swaps that we have entered into) as well as long-term debt payments, included in the table above, assume that all debt outstanding as of July 31, 2020 will be held to maturity. Interest payments associated with variable-rate debt have not been included in the table. Assuming that our approximately $0.8 billion of variable-rate long-term debt as of July 31, 2021 is held to maturity and utilizing interest rates in effect at July 31, 2021, our annual interest payments (including commitment fees and letter of credit fees) on variable rate long-term debt as of July 31, 2021 is anticipated to be approximately $23.6 million for Fiscal 2022, approximately $21.9 million for fiscal year 2023 and approximately $10.4 million for at least each of the next three years subsequent to fiscal year 2023. The future annual interest obligations noted herein are estimated only in relation to debt outstanding as of July 31, 2021 and do not reflect interest obligations on potential future debt.</w:t>
      </w:r>
    </w:p>
    <w:p>
      <w:pPr>
        <w:spacing w:after="0" w:line="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Included in Long-Term Debt (Outstanding Principal) are $11.7 million of proceeds resulting from real estate transactions accounted for as a financing arrangements. Fiscal 2022 payments shown above include approximately $6.2 million of proceeds, which are expected to be recognized on the Company’s Statement of Operations during Fiscal 2022 as a result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2" w:name="page63"/>
    <w:bookmarkEnd w:id="62"/>
    <w:p>
      <w:pPr>
        <w:ind w:left="340" w:right="20"/>
        <w:spacing w:after="0" w:line="277" w:lineRule="auto"/>
        <w:rPr>
          <w:sz w:val="20"/>
          <w:szCs w:val="20"/>
          <w:color w:val="auto"/>
        </w:rPr>
      </w:pPr>
      <w:r>
        <w:rPr>
          <w:rFonts w:ascii="Arial" w:cs="Arial" w:eastAsia="Arial" w:hAnsi="Arial"/>
          <w:sz w:val="18"/>
          <w:szCs w:val="18"/>
          <w:color w:val="auto"/>
        </w:rPr>
        <w:t>the anticipated resolution of continuing involvement, with no associated cash outflow (see Notes to Consolidated Financial Statements for additional information).</w:t>
      </w:r>
    </w:p>
    <w:p>
      <w:pPr>
        <w:spacing w:after="0" w:line="62" w:lineRule="exact"/>
        <w:rPr>
          <w:sz w:val="20"/>
          <w:szCs w:val="20"/>
          <w:color w:val="auto"/>
        </w:rPr>
      </w:pPr>
    </w:p>
    <w:p>
      <w:pPr>
        <w:jc w:val="both"/>
        <w:ind w:left="340" w:hanging="8"/>
        <w:spacing w:after="0" w:line="263" w:lineRule="auto"/>
        <w:tabs>
          <w:tab w:leader="none" w:pos="7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interest expense payments associated with the remaining lease term of the Canyons obligation, initially 50 years, assuming a 2% per annum (floor) increase in payments. Any potential increases to the annual fixed payment above the 2% floor due to inflation linked index of CPI less 1% have been excluded.</w:t>
      </w:r>
    </w:p>
    <w:p>
      <w:pPr>
        <w:spacing w:after="0" w:line="75" w:lineRule="exact"/>
        <w:rPr>
          <w:rFonts w:ascii="Arial" w:cs="Arial" w:eastAsia="Arial" w:hAnsi="Arial"/>
          <w:sz w:val="18"/>
          <w:szCs w:val="18"/>
          <w:color w:val="auto"/>
        </w:rPr>
      </w:pPr>
    </w:p>
    <w:p>
      <w:pPr>
        <w:ind w:left="340" w:hanging="8"/>
        <w:spacing w:after="0" w:line="277" w:lineRule="auto"/>
        <w:tabs>
          <w:tab w:leader="none" w:pos="7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payments under noncancelable operating leases included in the table above reflect the applicable minimum lease payments and exclude any potential contingent rent payments.</w:t>
      </w:r>
    </w:p>
    <w:p>
      <w:pPr>
        <w:spacing w:after="0" w:line="62" w:lineRule="exact"/>
        <w:rPr>
          <w:rFonts w:ascii="Arial" w:cs="Arial" w:eastAsia="Arial" w:hAnsi="Arial"/>
          <w:sz w:val="18"/>
          <w:szCs w:val="18"/>
          <w:color w:val="auto"/>
        </w:rPr>
      </w:pPr>
    </w:p>
    <w:p>
      <w:pPr>
        <w:jc w:val="both"/>
        <w:ind w:left="340" w:hanging="8"/>
        <w:spacing w:after="0" w:line="257" w:lineRule="auto"/>
        <w:tabs>
          <w:tab w:leader="none" w:pos="7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obligations and other primarily include amounts which are classified as trade payables ($98.3 million), accrued payroll and benefits ($101.7 million), accrued fees and assessments ($21.2 million), contingent consideration liability ($29.6 million), and accrued taxes (including taxes for uncertain tax positions) ($123.6 million) on our Consolidated Balance Sheet as of July 31, 2021; and, other commitments for goods and services not yet received, including construction contracts and minimum commitments under season pass alliance agreements, not included on our Consolidated Balance Sheet as of July 31, 2021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us to select appropriate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 or judgments that are complex or subjective. We have reviewed these critical accounting policies and related disclosures with our Audit Committee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Other intangible assets are evaluated for impairment only when there is evidence that events or changes in circumstances indicate that the carrying amount of these assets may not be recoverable.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Application of the goodwill and indefinite-lived intangible asset impairment test requires judgment, including the identification of reporting units, assignment of assets and liabilities to reporting units, assignment of goodwill to reporting units and determination of the estimated fair value of reporting units and indefinite-lived intangible assets. We perform a qualitative analysis to determine whether it is more likely than not that the fair value of a reporting unit or indefinite-lived intangible asset exceeds the carrying amount. If it is determined, based on qualitative factors, that the fair value of the reporting unit or indefinite-lived intangible asset may be more likely than not less than carrying amount, or if significant changes to macro-economic factors related to the reporting unit or intangible asset have occurred that could materially impact fair value since the previous quantitative analysis was performed, a quantitative impairment test would be required, in which we would determine the estimated fair value of our reporting units using a discounted cash flow analysis and determine the estimated fair value of indefinite-lived intangible assets primarily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the useful life over which cash flows will occur (including terminal multiples), determination of the respective weighted average cost of</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capital and market participant assumptions. Changes in these estimates and assumptions could materially affect the determination of estimated fair value and impairment for each reporting unit or indefinite-lived intangible asset.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and indefinite-lived intangible assets are tested for impairment at least annually as of May 1. Our testing for goodwill and indefinite-lived intangible asset impairment consists of a comparison of the estimated fair value of those assets with their net carrying values. If the net carrying value of the assets exceed their estimated fair value, an impairment will be recognized for indefinite-lived intangible assets, including goodwill, in an amount equal to that excess; otherwise, no impairment loss is recognized. During Fiscal 2021, we performed quantitative analyses of our reporting units and indefinite-lived intangible assets and determined that the estimated fair value of all material reporting units and indefinite-lived intangible assets significantly exceeded their respective carrying values.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determinations require considerable judgment and are sensitive to changes in underlying assumptions and factors. As a result, there can be no assurance that the estimates and assumptions made for purposes of the annual goodwill impairment test will prove to be an accurate prediction of the future.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(particularly with regard to the ongoing COVID-19 pandemic); and (3) volatility in the equity and debt markets which could result in a higher discount rate.</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historical performance and current expectations have generally resulted in estimated fair values of our reporting units in excess of carrying values, if our assumptions are not realized, it is possible that an impairment charge may need to be recorded in the future. However, it is not possible at this time to determine if an impairment charge would result or if such a charge would be material. As of July 31, 2021, we had $1,781.0 million of goodwill and $256.6 million of indefinite-lived intangible assets recorded on our Consolidated Balance Sheet. There can be no assurance that the estimates and assumptions made for purposes of the annual goodwill and indefinite-lived intangible asset impairment tests will prove to be an accurate prediction of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realized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estimates of our tax contingencies reserve contain uncertainty because management must use judgment to estimate the potential exposure associated with our various filing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the estimates and judgments discussed herein are reasonable and we have adequate reserves for our tax contingencies for uncertain tax positions. Our reserves for uncertain tax positions, including any income tax related interest and penalties ($74.8 million as of July 31, 2021), relate to the treatment of the Canyons lease payments obligation as payments of debt obligations and that the tax basis in Canyons goodwill is deductible. Actual results could differ and we may be exposed to increases or decreases in those reserves and tax provisions that could be material.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Depreciable Lives of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estimates of our useful lives of the assets contain uncertainty because management must use judgment to estimate the useful life of the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$24.0 million for Fiscal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the net assets acquired or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discounts rates and volatility for the respective business.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in our Consolidated Statements of Operations.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recognize the fair value of contingent consideration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 factors, that may impact the timing and amount of contingent consideration payments until the term of the agreement has expired or the contingency is resolved. Increases in the fair value of contingent consideration are recorded as losses in our Consolidated Statements of Operations, while decreases in fair value are recorded as gains.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Summary of Significant Accounting Policies within the Notes to Consolidated Financial Statements for a discussion of new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mountain and lodging operations are seasonal in nature. In particular, revenue and profits for our North America mountain and most of our lodging operations are substantially lower and historically result in losses from late spring to late fall. Conversely, peak operating seasons for our NPS concessionaire properties, our mountain resort golf courses and our Australian resorts’ ski season generally occur during the North American summer months while the North American winter months result in operating losses. Revenue and profits generated by NPS concessionaire properties summer operations, golf operations and Australian resorts’ ski operations are not sufficient to fully offset our off-season losses from our North American mountain and other lodging operations. During Fiscal 2021, approximately 82%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At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we had approximately $0.8 billion of net variable rate indebtedness (after taking into consideration $400.0 million in interest rate swaps which converts variable-rate debt to fixed-rate debt), representing approximately 28% of our total debt outstanding, at an average interest rate during Fiscal 2021 of approximately 2.8%. Based on variable-rate borrowings outstanding as of July 31, 2021, a 100-basis point (or 1.0%) change in LIBOR would result in our annual interest payments on our net variable-rate debt changing by $8.4 million. Our market risk exposure fluctuates based on changes in underlying interest rates.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ski areas are reported in Canadian dollars and Australian dollars respectively, which we then translate to U.S. dollars for inclusion in our Consolidated Financial Statements. We do not currently enter into hedging arrangements to minimize the impact of foreign currency fluctuations on our operations.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representing gains (losses), and foreign currency gain (loss) on intercompany loans recognized in comprehensive income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Year ended July 31,</w:t>
            </w: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7"/>
        </w:trPr>
        <w:tc>
          <w:tcPr>
            <w:tcW w:w="5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r>
      <w:tr>
        <w:trPr>
          <w:trHeight w:val="224"/>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(34,287)</w:t>
            </w:r>
          </w:p>
        </w:tc>
      </w:tr>
      <w:tr>
        <w:trPr>
          <w:trHeight w:val="23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gain (loss) on intercompany loans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8,282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1006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040" w:type="dxa"/>
            <w:vAlign w:val="bottom"/>
            <w:gridSpan w:val="12"/>
          </w:tcPr>
          <w:p>
            <w:pPr>
              <w:spacing w:after="0"/>
              <w:rPr>
                <w:sz w:val="20"/>
                <w:szCs w:val="20"/>
                <w:color w:val="auto"/>
              </w:rPr>
            </w:pPr>
            <w:r>
              <w:rPr>
                <w:rFonts w:ascii="Arial" w:cs="Arial" w:eastAsia="Arial" w:hAnsi="Arial"/>
                <w:sz w:val="18"/>
                <w:szCs w:val="18"/>
                <w:b w:val="1"/>
                <w:bCs w:val="1"/>
                <w:color w:val="auto"/>
              </w:rPr>
              <w:t>Vail Resorts, Inc.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1040" w:type="dxa"/>
            <w:vAlign w:val="bottom"/>
            <w:gridSpan w:val="12"/>
          </w:tcPr>
          <w:p>
            <w:pPr>
              <w:spacing w:after="0"/>
              <w:rPr>
                <w:sz w:val="20"/>
                <w:szCs w:val="20"/>
                <w:color w:val="auto"/>
              </w:rPr>
            </w:pPr>
            <w:r>
              <w:rPr>
                <w:rFonts w:ascii="Arial" w:cs="Arial" w:eastAsia="Arial" w:hAnsi="Arial"/>
                <w:sz w:val="18"/>
                <w:szCs w:val="18"/>
                <w:i w:val="1"/>
                <w:iCs w:val="1"/>
                <w:color w:val="auto"/>
              </w:rPr>
              <w:t>Consolidated Financial Statements for the Years Ended July 31, 2021, 2020 and 2019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shd w:val="clear" w:color="auto" w:fill="CCEEFF"/>
          </w:tcPr>
          <w:p>
            <w:pPr>
              <w:spacing w:after="0"/>
              <w:rPr>
                <w:sz w:val="18"/>
                <w:szCs w:val="18"/>
                <w:color w:val="auto"/>
              </w:rPr>
            </w:pPr>
          </w:p>
        </w:tc>
        <w:tc>
          <w:tcPr>
            <w:tcW w:w="11020" w:type="dxa"/>
            <w:vAlign w:val="bottom"/>
            <w:gridSpan w:val="11"/>
            <w:shd w:val="clear" w:color="auto" w:fill="CCEEFF"/>
          </w:tcPr>
          <w:p>
            <w:pPr>
              <w:spacing w:after="0" w:line="189" w:lineRule="exact"/>
              <w:rPr>
                <w:rFonts w:ascii="Arial" w:cs="Arial" w:eastAsia="Arial" w:hAnsi="Arial"/>
                <w:sz w:val="18"/>
                <w:szCs w:val="18"/>
                <w:i w:val="1"/>
                <w:iCs w:val="1"/>
                <w:color w:val="0000FF"/>
              </w:rPr>
            </w:pPr>
            <w:hyperlink w:anchor="page68">
              <w:r>
                <w:rPr>
                  <w:rFonts w:ascii="Arial" w:cs="Arial" w:eastAsia="Arial" w:hAnsi="Arial"/>
                  <w:sz w:val="18"/>
                  <w:szCs w:val="18"/>
                  <w:i w:val="1"/>
                  <w:iCs w:val="1"/>
                  <w:color w:val="0000FF"/>
                </w:rPr>
                <w:t>Management’s Report on Internal Control Over Financial Reporting</w:t>
              </w:r>
            </w:hyperlink>
          </w:p>
        </w:tc>
        <w:tc>
          <w:tcPr>
            <w:tcW w:w="180" w:type="dxa"/>
            <w:vAlign w:val="bottom"/>
            <w:shd w:val="clear" w:color="auto" w:fill="CCEEFF"/>
          </w:tcPr>
          <w:p>
            <w:pPr>
              <w:jc w:val="right"/>
              <w:spacing w:after="0" w:line="189"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67</w:t>
              </w:r>
            </w:hyperlink>
          </w:p>
        </w:tc>
        <w:tc>
          <w:tcPr>
            <w:tcW w:w="2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gridSpan w:val="2"/>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740" w:type="dxa"/>
            <w:vAlign w:val="bottom"/>
            <w:tcBorders>
              <w:top w:val="single" w:sz="8" w:color="0000FF"/>
            </w:tcBorders>
          </w:tcPr>
          <w:p>
            <w:pPr>
              <w:spacing w:after="0"/>
              <w:rPr>
                <w:sz w:val="23"/>
                <w:szCs w:val="23"/>
                <w:color w:val="auto"/>
              </w:rPr>
            </w:pPr>
          </w:p>
        </w:tc>
        <w:tc>
          <w:tcPr>
            <w:tcW w:w="60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1020" w:type="dxa"/>
            <w:vAlign w:val="bottom"/>
            <w:gridSpan w:val="11"/>
            <w:shd w:val="clear" w:color="auto" w:fill="CCEEFF"/>
          </w:tcPr>
          <w:p>
            <w:pPr>
              <w:spacing w:after="0" w:line="189" w:lineRule="exact"/>
              <w:rPr>
                <w:rFonts w:ascii="Arial" w:cs="Arial" w:eastAsia="Arial" w:hAnsi="Arial"/>
                <w:sz w:val="18"/>
                <w:szCs w:val="18"/>
                <w:i w:val="1"/>
                <w:iCs w:val="1"/>
                <w:color w:val="0000FF"/>
              </w:rPr>
            </w:pPr>
            <w:hyperlink w:anchor="page69">
              <w:r>
                <w:rPr>
                  <w:rFonts w:ascii="Arial" w:cs="Arial" w:eastAsia="Arial" w:hAnsi="Arial"/>
                  <w:sz w:val="18"/>
                  <w:szCs w:val="18"/>
                  <w:i w:val="1"/>
                  <w:iCs w:val="1"/>
                  <w:color w:val="0000FF"/>
                </w:rPr>
                <w:t>Report of Independent Registered Public Accounting Firm</w:t>
              </w:r>
            </w:hyperlink>
          </w:p>
        </w:tc>
        <w:tc>
          <w:tcPr>
            <w:tcW w:w="180" w:type="dxa"/>
            <w:vAlign w:val="bottom"/>
            <w:shd w:val="clear" w:color="auto" w:fill="CCEEFF"/>
          </w:tcPr>
          <w:p>
            <w:pPr>
              <w:jc w:val="right"/>
              <w:spacing w:after="0" w:line="189" w:lineRule="exact"/>
              <w:rPr>
                <w:rFonts w:ascii="Arial" w:cs="Arial" w:eastAsia="Arial" w:hAnsi="Arial"/>
                <w:sz w:val="18"/>
                <w:szCs w:val="18"/>
                <w:color w:val="0000FF"/>
                <w:w w:val="79"/>
              </w:rPr>
            </w:pPr>
            <w:hyperlink w:anchor="page69">
              <w:r>
                <w:rPr>
                  <w:rFonts w:ascii="Arial" w:cs="Arial" w:eastAsia="Arial" w:hAnsi="Arial"/>
                  <w:sz w:val="18"/>
                  <w:szCs w:val="18"/>
                  <w:color w:val="0000FF"/>
                  <w:w w:val="79"/>
                </w:rPr>
                <w:t>68</w:t>
              </w:r>
            </w:hyperlink>
          </w:p>
        </w:tc>
        <w:tc>
          <w:tcPr>
            <w:tcW w:w="2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gridSpan w:val="2"/>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60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1020" w:type="dxa"/>
            <w:vAlign w:val="bottom"/>
            <w:gridSpan w:val="11"/>
            <w:shd w:val="clear" w:color="auto" w:fill="CCEEFF"/>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1020" w:type="dxa"/>
            <w:vAlign w:val="bottom"/>
            <w:gridSpan w:val="11"/>
          </w:tcPr>
          <w:p>
            <w:pPr>
              <w:ind w:left="12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Consolidated Balance Sheets</w:t>
              </w:r>
            </w:hyperlink>
          </w:p>
        </w:tc>
        <w:tc>
          <w:tcPr>
            <w:tcW w:w="180" w:type="dxa"/>
            <w:vAlign w:val="bottom"/>
          </w:tcPr>
          <w:p>
            <w:pPr>
              <w:jc w:val="right"/>
              <w:spacing w:after="0" w:line="189" w:lineRule="exact"/>
              <w:rPr>
                <w:rFonts w:ascii="Arial" w:cs="Arial" w:eastAsia="Arial" w:hAnsi="Arial"/>
                <w:sz w:val="18"/>
                <w:szCs w:val="18"/>
                <w:color w:val="0000FF"/>
                <w:w w:val="79"/>
              </w:rPr>
            </w:pPr>
            <w:hyperlink w:anchor="page71">
              <w:r>
                <w:rPr>
                  <w:rFonts w:ascii="Arial" w:cs="Arial" w:eastAsia="Arial" w:hAnsi="Arial"/>
                  <w:sz w:val="18"/>
                  <w:szCs w:val="18"/>
                  <w:color w:val="0000FF"/>
                  <w:w w:val="79"/>
                </w:rPr>
                <w:t>70</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900" w:type="dxa"/>
            <w:vAlign w:val="bottom"/>
            <w:gridSpan w:val="10"/>
            <w:shd w:val="clear" w:color="auto" w:fill="CCEEFF"/>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Consolidated Statements of Operations</w:t>
              </w:r>
            </w:hyperlink>
          </w:p>
        </w:tc>
        <w:tc>
          <w:tcPr>
            <w:tcW w:w="180" w:type="dxa"/>
            <w:vAlign w:val="bottom"/>
            <w:shd w:val="clear" w:color="auto" w:fill="CCEEFF"/>
          </w:tcPr>
          <w:p>
            <w:pPr>
              <w:jc w:val="right"/>
              <w:spacing w:after="0" w:line="189" w:lineRule="exact"/>
              <w:rPr>
                <w:rFonts w:ascii="Arial" w:cs="Arial" w:eastAsia="Arial" w:hAnsi="Arial"/>
                <w:sz w:val="18"/>
                <w:szCs w:val="18"/>
                <w:color w:val="0000FF"/>
                <w:w w:val="79"/>
              </w:rPr>
            </w:pPr>
            <w:hyperlink w:anchor="page72">
              <w:r>
                <w:rPr>
                  <w:rFonts w:ascii="Arial" w:cs="Arial" w:eastAsia="Arial" w:hAnsi="Arial"/>
                  <w:sz w:val="18"/>
                  <w:szCs w:val="18"/>
                  <w:color w:val="0000FF"/>
                  <w:w w:val="79"/>
                </w:rPr>
                <w:t>71</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900" w:type="dxa"/>
            <w:vAlign w:val="bottom"/>
            <w:gridSpan w:val="10"/>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Consolidated Statements of Comprehensive Income</w:t>
              </w:r>
            </w:hyperlink>
          </w:p>
        </w:tc>
        <w:tc>
          <w:tcPr>
            <w:tcW w:w="180" w:type="dxa"/>
            <w:vAlign w:val="bottom"/>
          </w:tcPr>
          <w:p>
            <w:pPr>
              <w:jc w:val="right"/>
              <w:spacing w:after="0" w:line="189" w:lineRule="exact"/>
              <w:rPr>
                <w:rFonts w:ascii="Arial" w:cs="Arial" w:eastAsia="Arial" w:hAnsi="Arial"/>
                <w:sz w:val="18"/>
                <w:szCs w:val="18"/>
                <w:color w:val="0000FF"/>
                <w:w w:val="79"/>
              </w:rPr>
            </w:pPr>
            <w:hyperlink w:anchor="page73">
              <w:r>
                <w:rPr>
                  <w:rFonts w:ascii="Arial" w:cs="Arial" w:eastAsia="Arial" w:hAnsi="Arial"/>
                  <w:sz w:val="18"/>
                  <w:szCs w:val="18"/>
                  <w:color w:val="0000FF"/>
                  <w:w w:val="79"/>
                </w:rPr>
                <w:t>72</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90"/>
              </w:rPr>
            </w:pPr>
            <w:hyperlink w:anchor="page74">
              <w:r>
                <w:rPr>
                  <w:rFonts w:ascii="Arial" w:cs="Arial" w:eastAsia="Arial" w:hAnsi="Arial"/>
                  <w:sz w:val="18"/>
                  <w:szCs w:val="18"/>
                  <w:color w:val="0000FF"/>
                  <w:w w:val="90"/>
                </w:rPr>
                <w:t>Consolidated Statements of Stockholders’ Equity</w:t>
              </w:r>
            </w:hyperlink>
          </w:p>
        </w:tc>
        <w:tc>
          <w:tcPr>
            <w:tcW w:w="7340" w:type="dxa"/>
            <w:vAlign w:val="bottom"/>
            <w:tcBorders>
              <w:bottom w:val="single" w:sz="8" w:color="CCEEFF"/>
            </w:tcBorders>
            <w:gridSpan w:val="4"/>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74">
              <w:r>
                <w:rPr>
                  <w:rFonts w:ascii="Arial" w:cs="Arial" w:eastAsia="Arial" w:hAnsi="Arial"/>
                  <w:sz w:val="18"/>
                  <w:szCs w:val="18"/>
                  <w:color w:val="0000FF"/>
                  <w:w w:val="79"/>
                </w:rPr>
                <w:t>73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11"/>
          </w:tcPr>
          <w:p>
            <w:pPr>
              <w:ind w:left="12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Consolidated Statements of Cash Flows</w:t>
              </w:r>
            </w:hyperlink>
          </w:p>
        </w:tc>
        <w:tc>
          <w:tcPr>
            <w:tcW w:w="180" w:type="dxa"/>
            <w:vAlign w:val="bottom"/>
          </w:tcPr>
          <w:p>
            <w:pPr>
              <w:jc w:val="right"/>
              <w:spacing w:after="0" w:line="189" w:lineRule="exact"/>
              <w:rPr>
                <w:rFonts w:ascii="Arial" w:cs="Arial" w:eastAsia="Arial" w:hAnsi="Arial"/>
                <w:sz w:val="18"/>
                <w:szCs w:val="18"/>
                <w:color w:val="0000FF"/>
                <w:w w:val="79"/>
              </w:rPr>
            </w:pPr>
            <w:hyperlink w:anchor="page75">
              <w:r>
                <w:rPr>
                  <w:rFonts w:ascii="Arial" w:cs="Arial" w:eastAsia="Arial" w:hAnsi="Arial"/>
                  <w:sz w:val="18"/>
                  <w:szCs w:val="18"/>
                  <w:color w:val="0000FF"/>
                  <w:w w:val="79"/>
                </w:rPr>
                <w:t>74</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20" w:type="dxa"/>
            <w:vAlign w:val="bottom"/>
            <w:gridSpan w:val="11"/>
            <w:shd w:val="clear" w:color="auto" w:fill="CCEEFF"/>
          </w:tcPr>
          <w:p>
            <w:pPr>
              <w:ind w:left="120"/>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Notes to Consolidated Financial Statements</w:t>
              </w:r>
            </w:hyperlink>
          </w:p>
        </w:tc>
        <w:tc>
          <w:tcPr>
            <w:tcW w:w="180" w:type="dxa"/>
            <w:vAlign w:val="bottom"/>
            <w:shd w:val="clear" w:color="auto" w:fill="CCEEFF"/>
          </w:tcPr>
          <w:p>
            <w:pPr>
              <w:jc w:val="right"/>
              <w:spacing w:after="0" w:line="189" w:lineRule="exact"/>
              <w:rPr>
                <w:rFonts w:ascii="Arial" w:cs="Arial" w:eastAsia="Arial" w:hAnsi="Arial"/>
                <w:sz w:val="18"/>
                <w:szCs w:val="18"/>
                <w:color w:val="0000FF"/>
                <w:w w:val="79"/>
              </w:rPr>
            </w:pPr>
            <w:hyperlink w:anchor="page76">
              <w:r>
                <w:rPr>
                  <w:rFonts w:ascii="Arial" w:cs="Arial" w:eastAsia="Arial" w:hAnsi="Arial"/>
                  <w:sz w:val="18"/>
                  <w:szCs w:val="18"/>
                  <w:color w:val="0000FF"/>
                  <w:w w:val="79"/>
                </w:rPr>
                <w:t>75</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including the Company’s Chief Executive Officer and Chief Financial Officer, assessed the effectiveness of the Company’s internal control over financial reporting as of July 31, 2021. In making this assessment, management used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Based on this assessment, management concluded that, as of July 31, 2021, the Company’s internal control over financial reporting was effective.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independent registered public accounting firm, PricewaterhouseCoopers LLP, has issued an attestation report on the effectiveness of the Company’s internal control over financial reporting as of July 31, 2021, as stated in the Report of Independent Registered Public Accounting Firm on the following page.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Vail Resorts,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Vail Resorts, Inc. and its subsidiaries (the “Company”) as of July 31, 2021 and 2020, and the related consolidated statements of operations, of comprehensive income, of stockholders’ equity and of cash flows for each of the three years in the period ended July 31, 2021, including the related notes (collectively referred to as the “consolidated financial statements”). We also have audited the Company's internal control over financial reporting as of July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July 31, 2021 and 2020</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July 31, 2021 in conformity with accounting principles generally accepted in the United States of America. Also in our opinion, the Company maintained, in all material respects, effective internal control over financial reporting as of July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as of August 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the Contingent Consideration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10 to the consolidated financial statements, the Company has established a liability of $29.6 million as of July 31, 2021 for additional amounts that management believes are likely to be paid to the previous owner of Park City (the “Contingent Consideration”). The Company remeasures the Contingent Consideration to fair value at each reporting date until the contingency is resolved.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long-term growth factor and discounted to net present value. Fair value is estimated using an option pricing valuation model. As described by management, key assumptions in determining the fair value under this model included future period Park City EBITDA, discount rate and volatility.</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fair value measurement of the Contingent Consideration is a critical audit matter are (i) the significant judgment by management when developing the fair value measurement, which in turn led to a high degree of auditor judgment, subjectivity, and effort in performing procedures and evaluating audit evidence related to management’s significant assumptions for the future period Park City EBITDA, discount rate, and volatility; and (ii) the audit effort involved the use of professionals with specialized skill and knowledge.</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fair value measurement of the Contingent Consideration including controls over the Company’s significant assumptions. The procedures also included, among others, testing management’s process for developing the fair value measurement and evaluating the significant assumptions used by management, related to the future period Park City EBITDA, discount rate, and volatility. Evaluating management’s assumptions related to the future period Park City EBITDA, discount rate, and volatility involved evaluating whether the assumptions used by management were reasonable considering (i) the current and past period EBITDA performance of Park City;</w:t>
      </w:r>
    </w:p>
    <w:p>
      <w:pPr>
        <w:spacing w:after="0" w:line="4" w:lineRule="exact"/>
        <w:rPr>
          <w:sz w:val="20"/>
          <w:szCs w:val="20"/>
          <w:color w:val="auto"/>
        </w:rPr>
      </w:pPr>
    </w:p>
    <w:p>
      <w:pPr>
        <w:ind w:firstLine="8"/>
        <w:spacing w:after="0" w:line="290" w:lineRule="auto"/>
        <w:tabs>
          <w:tab w:leader="none" w:pos="28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consistency with external market data; and (iii) whether these assumptions were consistent with evidence obtained in other areas of the audit. Professionals with specialized skill and knowledge were used to assist in the evaluation of the Company’s discount rate and volatility assumptions.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1,243,962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390,980</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14,612</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11,106</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allowances of $7,621 and $2,484, respectively</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345,408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106,664</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Inventories, net of reserves of $2,601 and $4,447, respectively</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80,316</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101,856</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61,288</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54,482</w:t>
            </w:r>
          </w:p>
        </w:tc>
        <w:tc>
          <w:tcPr>
            <w:tcW w:w="0" w:type="dxa"/>
            <w:vAlign w:val="bottom"/>
          </w:tcPr>
          <w:p>
            <w:pPr>
              <w:spacing w:after="0"/>
              <w:rPr>
                <w:sz w:val="1"/>
                <w:szCs w:val="1"/>
                <w:color w:val="auto"/>
              </w:rPr>
            </w:pPr>
          </w:p>
        </w:tc>
      </w:tr>
      <w:tr>
        <w:trPr>
          <w:trHeight w:val="223"/>
        </w:trPr>
        <w:tc>
          <w:tcPr>
            <w:tcW w:w="77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1,745,586</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665,088</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 (Note 8)</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2,067,876</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2,192,679</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Real estate held for sale or investment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95,615</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96,844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 (Note 8)</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1,781,047</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1,709,020</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Intangible assets, net (Note 8)</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319,110</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314,776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right-of-use assets (Note 4)</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204,716</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225,744</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charges and other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37,106</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40,081</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6,251,056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5,244,232</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Accounts payable and accrued liabilities (Note 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815,472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499,108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48,812</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40,680</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Long-term debt due within one year (Note 6)</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114,117</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63,677</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978,401</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603,465</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Long-term debt, net (Note 6)</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2,736,175</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2,387,122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(Note 4)</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190,561</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217,542</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264,034</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270,245</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 (Note 11)</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252,817</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234,191</w:t>
            </w:r>
          </w:p>
        </w:tc>
        <w:tc>
          <w:tcPr>
            <w:tcW w:w="0" w:type="dxa"/>
            <w:vAlign w:val="bottom"/>
          </w:tcPr>
          <w:p>
            <w:pPr>
              <w:spacing w:after="0"/>
              <w:rPr>
                <w:sz w:val="1"/>
                <w:szCs w:val="1"/>
                <w:color w:val="auto"/>
              </w:rPr>
            </w:pPr>
          </w:p>
        </w:tc>
      </w:tr>
      <w:tr>
        <w:trPr>
          <w:trHeight w:val="223"/>
        </w:trPr>
        <w:tc>
          <w:tcPr>
            <w:tcW w:w="77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4,421,988</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3,712,565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25,000 shares authorized, no shares issued and outstanding</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00" w:type="dxa"/>
            <w:vAlign w:val="bottom"/>
          </w:tcPr>
          <w:p>
            <w:pPr>
              <w:ind w:left="140"/>
              <w:spacing w:after="0" w:line="176" w:lineRule="exact"/>
              <w:rPr>
                <w:sz w:val="20"/>
                <w:szCs w:val="20"/>
                <w:color w:val="auto"/>
              </w:rPr>
            </w:pPr>
            <w:r>
              <w:rPr>
                <w:rFonts w:ascii="Arial" w:cs="Arial" w:eastAsia="Arial" w:hAnsi="Arial"/>
                <w:sz w:val="18"/>
                <w:szCs w:val="18"/>
                <w:color w:val="auto"/>
                <w:w w:val="95"/>
              </w:rPr>
              <w:t>Common stock, $0.01 par value, 100,000 shares authorized and 46,552 and 46,350 shares issued,</w:t>
            </w:r>
          </w:p>
        </w:tc>
        <w:tc>
          <w:tcPr>
            <w:tcW w:w="4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5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4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Exchangeable shares, $0.01 par value, 34 and 36 shares issued and outstanding, respectively (Note 5)</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1,196,993</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1,131,624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27,799</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(56,837)</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773,752</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645,902</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Treasury stock, at cost; 6,161 and 6,161 shares, respectively (Note 16)</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0" w:type="dxa"/>
            <w:vAlign w:val="bottom"/>
          </w:tcPr>
          <w:p>
            <w:pPr>
              <w:spacing w:after="0"/>
              <w:rPr>
                <w:sz w:val="1"/>
                <w:szCs w:val="1"/>
                <w:color w:val="auto"/>
              </w:rPr>
            </w:pP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Total Vail Resorts, Inc. stockholders’ equity</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1,594,599</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1,316,742</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234,469</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214,925</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1,829,068</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1,531,667</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6,251,056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5,244,232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Year Ended July 31,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09"/>
        </w:trPr>
        <w:tc>
          <w:tcPr>
            <w:tcW w:w="5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Mountain and Lodging services and other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1,650,055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1,578,463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1,807,930</w:t>
            </w:r>
          </w:p>
        </w:tc>
      </w:tr>
      <w:tr>
        <w:trPr>
          <w:trHeight w:val="229"/>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Mountain and Lodging retail and dining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257,885</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380,394</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462,933</w:t>
            </w: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Resort net revenue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1,907,940</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1,958,857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2,270,863</w:t>
            </w:r>
          </w:p>
        </w:tc>
      </w:tr>
      <w:tr>
        <w:trPr>
          <w:trHeight w:val="229"/>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1,909,710</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1,963,704</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2,271,575</w:t>
            </w:r>
          </w:p>
        </w:tc>
      </w:tr>
      <w:tr>
        <w:trPr>
          <w:trHeight w:val="176"/>
        </w:trPr>
        <w:tc>
          <w:tcPr>
            <w:tcW w:w="5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Operating expense (exclusive of depreciation and amortization shown separately</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Mountain and Lodging operating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960,453</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1,019,437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1,101,670</w:t>
            </w:r>
          </w:p>
        </w:tc>
      </w:tr>
      <w:tr>
        <w:trPr>
          <w:trHeight w:val="230"/>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Mountain and Lodging retail and dining cost of products sold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112,536</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159,066</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190,044</w:t>
            </w:r>
          </w:p>
        </w:tc>
      </w:tr>
      <w:tr>
        <w:trPr>
          <w:trHeight w:val="229"/>
        </w:trPr>
        <w:tc>
          <w:tcPr>
            <w:tcW w:w="5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296,993</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278,695</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274,415</w:t>
            </w:r>
          </w:p>
        </w:tc>
      </w:tr>
      <w:tr>
        <w:trPr>
          <w:trHeight w:val="22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operating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1,369,982</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1,457,198</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1,566,129</w:t>
            </w:r>
          </w:p>
        </w:tc>
      </w:tr>
      <w:tr>
        <w:trPr>
          <w:trHeight w:val="229"/>
        </w:trPr>
        <w:tc>
          <w:tcPr>
            <w:tcW w:w="5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9,182</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r>
      <w:tr>
        <w:trPr>
          <w:trHeight w:val="22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segment operating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1,376,658</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1,466,380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1,571,738</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Other operating (expense) income:</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(252,585)</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(249,572)</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(218,117)</w:t>
            </w: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Gain on sale of real property</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29"/>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 (Notes 2 &amp; 8)</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 (Note 10)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(14,402)</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2,964</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(5,367)</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(Loss) gain on disposal of fixed assets and other,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261,016</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223,389</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476,269</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(151,399)</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(106,721)</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(79,496)</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6,698</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1,690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gain (loss) on intercompany loans (Note 6)</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125,183</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116,433</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398,965</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 (Note 11)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(75,472)</w:t>
            </w: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124,457</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109,055</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323,493</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(22,330)</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301,163</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Per share amounts (Note 5):</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net income per share attributable to Vail Resorts, Inc.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Diluted net income per share attributable to Vail Resorts, Inc.</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Cash dividends declared per share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Year Ended July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09"/>
        </w:trPr>
        <w:tc>
          <w:tcPr>
            <w:tcW w:w="6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323,493</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100,019</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(9,075)</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(34,287)</w:t>
            </w:r>
          </w:p>
        </w:tc>
      </w:tr>
      <w:tr>
        <w:trPr>
          <w:trHeight w:val="230"/>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hedging instruments,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(22,510)</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Comprehensive income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237,293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77,470</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289,206</w:t>
            </w:r>
          </w:p>
        </w:tc>
      </w:tr>
      <w:tr>
        <w:trPr>
          <w:trHeight w:val="230"/>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(17,546)</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Comprehensive income attributable to Vail Resorts, Inc.</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73,726</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271,660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Total Vail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1"/>
                <w:szCs w:val="11"/>
                <w:color w:val="auto"/>
              </w:rPr>
            </w:pPr>
          </w:p>
        </w:tc>
        <w:tc>
          <w:tcPr>
            <w:tcW w:w="10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Resorts, Inc.</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7"/>
              </w:rPr>
              <w:t>Common Stock</w:t>
            </w:r>
          </w:p>
        </w:tc>
        <w:tc>
          <w:tcPr>
            <w:tcW w:w="2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Paid in</w:t>
            </w:r>
          </w:p>
        </w:tc>
        <w:tc>
          <w:tcPr>
            <w:tcW w:w="11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6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1880" w:type="dxa"/>
            <w:vAlign w:val="bottom"/>
            <w:gridSpan w:val="4"/>
          </w:tcPr>
          <w:p>
            <w:pPr>
              <w:ind w:left="40"/>
              <w:spacing w:after="0" w:line="135" w:lineRule="exact"/>
              <w:rPr>
                <w:sz w:val="20"/>
                <w:szCs w:val="20"/>
                <w:color w:val="auto"/>
              </w:rPr>
            </w:pPr>
            <w:r>
              <w:rPr>
                <w:rFonts w:ascii="Arial" w:cs="Arial" w:eastAsia="Arial" w:hAnsi="Arial"/>
                <w:sz w:val="14"/>
                <w:szCs w:val="14"/>
                <w:b w:val="1"/>
                <w:bCs w:val="1"/>
                <w:color w:val="auto"/>
                <w:w w:val="92"/>
              </w:rPr>
              <w:t>Noncontrolling Stockholders’</w:t>
            </w:r>
          </w:p>
        </w:tc>
        <w:tc>
          <w:tcPr>
            <w:tcW w:w="0" w:type="dxa"/>
            <w:vAlign w:val="bottom"/>
          </w:tcPr>
          <w:p>
            <w:pPr>
              <w:spacing w:after="0"/>
              <w:rPr>
                <w:sz w:val="1"/>
                <w:szCs w:val="1"/>
                <w:color w:val="auto"/>
              </w:rPr>
            </w:pPr>
          </w:p>
        </w:tc>
      </w:tr>
      <w:tr>
        <w:trPr>
          <w:trHeight w:val="188"/>
        </w:trPr>
        <w:tc>
          <w:tcPr>
            <w:tcW w:w="2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(Loss)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Interests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30"/>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rPr>
              <w:t>Vail</w:t>
            </w: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1"/>
              </w:rPr>
              <w:t>Exchangeable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4"/>
              </w:rPr>
              <w:t>Resorts</w:t>
            </w:r>
          </w:p>
        </w:tc>
        <w:tc>
          <w:tcPr>
            <w:tcW w:w="94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July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$1,137,467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$726,722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$(272,989)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1,589,434</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222,229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1,811,663</w:t>
            </w:r>
          </w:p>
        </w:tc>
        <w:tc>
          <w:tcPr>
            <w:tcW w:w="0" w:type="dxa"/>
            <w:vAlign w:val="bottom"/>
          </w:tcPr>
          <w:p>
            <w:pPr>
              <w:spacing w:after="0"/>
              <w:rPr>
                <w:sz w:val="1"/>
                <w:szCs w:val="1"/>
                <w:color w:val="auto"/>
              </w:rPr>
            </w:pPr>
          </w:p>
        </w:tc>
      </w:tr>
      <w:tr>
        <w:trPr>
          <w:trHeight w:val="186"/>
        </w:trPr>
        <w:tc>
          <w:tcPr>
            <w:tcW w:w="2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301,163</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301,163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22,330</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323,493</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(29,503)</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(29,503)</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(4,784)</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(34,287)</w:t>
            </w: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comprehensive income</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271,660</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17,546</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289,206</w:t>
            </w:r>
          </w:p>
        </w:tc>
        <w:tc>
          <w:tcPr>
            <w:tcW w:w="0" w:type="dxa"/>
            <w:vAlign w:val="bottom"/>
          </w:tcPr>
          <w:p>
            <w:pPr>
              <w:spacing w:after="0"/>
              <w:rPr>
                <w:sz w:val="1"/>
                <w:szCs w:val="1"/>
                <w:color w:val="auto"/>
              </w:rPr>
            </w:pPr>
          </w:p>
        </w:tc>
      </w:tr>
      <w:tr>
        <w:trPr>
          <w:trHeight w:val="179"/>
        </w:trPr>
        <w:tc>
          <w:tcPr>
            <w:tcW w:w="2840" w:type="dxa"/>
            <w:vAlign w:val="bottom"/>
          </w:tcPr>
          <w:p>
            <w:pPr>
              <w:ind w:left="140"/>
              <w:spacing w:after="0"/>
              <w:rPr>
                <w:sz w:val="20"/>
                <w:szCs w:val="20"/>
                <w:color w:val="auto"/>
              </w:rPr>
            </w:pPr>
            <w:r>
              <w:rPr>
                <w:rFonts w:ascii="Arial" w:cs="Arial" w:eastAsia="Arial" w:hAnsi="Arial"/>
                <w:sz w:val="14"/>
                <w:szCs w:val="14"/>
                <w:color w:val="auto"/>
                <w:w w:val="93"/>
              </w:rPr>
              <w:t>Stock-based compensation expense (Note 17)</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19,856</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19,856</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19,856</w:t>
            </w:r>
          </w:p>
        </w:tc>
        <w:tc>
          <w:tcPr>
            <w:tcW w:w="0" w:type="dxa"/>
            <w:vAlign w:val="bottom"/>
          </w:tcPr>
          <w:p>
            <w:pPr>
              <w:spacing w:after="0"/>
              <w:rPr>
                <w:sz w:val="1"/>
                <w:szCs w:val="1"/>
                <w:color w:val="auto"/>
              </w:rPr>
            </w:pPr>
          </w:p>
        </w:tc>
      </w:tr>
      <w:tr>
        <w:trPr>
          <w:trHeight w:val="138"/>
        </w:trPr>
        <w:tc>
          <w:tcPr>
            <w:tcW w:w="2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Cumulative effect for adoption of revenue</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(7,517)</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(7,517)</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(7,517)</w:t>
            </w:r>
          </w:p>
        </w:tc>
        <w:tc>
          <w:tcPr>
            <w:tcW w:w="0" w:type="dxa"/>
            <w:vAlign w:val="bottom"/>
          </w:tcPr>
          <w:p>
            <w:pPr>
              <w:spacing w:after="0"/>
              <w:rPr>
                <w:sz w:val="1"/>
                <w:szCs w:val="1"/>
                <w:color w:val="auto"/>
              </w:rPr>
            </w:pPr>
          </w:p>
        </w:tc>
      </w:tr>
      <w:tr>
        <w:trPr>
          <w:trHeight w:val="109"/>
        </w:trPr>
        <w:tc>
          <w:tcPr>
            <w:tcW w:w="28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standard</w:t>
            </w:r>
          </w:p>
        </w:tc>
        <w:tc>
          <w:tcPr>
            <w:tcW w:w="14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8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140"/>
              <w:spacing w:after="0" w:line="135" w:lineRule="exact"/>
              <w:rPr>
                <w:sz w:val="20"/>
                <w:szCs w:val="20"/>
                <w:color w:val="auto"/>
              </w:rPr>
            </w:pPr>
            <w:r>
              <w:rPr>
                <w:rFonts w:ascii="Arial" w:cs="Arial" w:eastAsia="Arial" w:hAnsi="Arial"/>
                <w:sz w:val="14"/>
                <w:szCs w:val="14"/>
                <w:color w:val="auto"/>
                <w:w w:val="90"/>
              </w:rPr>
              <w:t>Issuance of shares under share award plan, net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(27,240)</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(27,239)</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(27,239)</w:t>
            </w:r>
          </w:p>
        </w:tc>
        <w:tc>
          <w:tcPr>
            <w:tcW w:w="0" w:type="dxa"/>
            <w:vAlign w:val="bottom"/>
          </w:tcPr>
          <w:p>
            <w:pPr>
              <w:spacing w:after="0"/>
              <w:rPr>
                <w:sz w:val="1"/>
                <w:szCs w:val="1"/>
                <w:color w:val="auto"/>
              </w:rPr>
            </w:pPr>
          </w:p>
        </w:tc>
      </w:tr>
      <w:tr>
        <w:trPr>
          <w:trHeight w:val="135"/>
        </w:trPr>
        <w:tc>
          <w:tcPr>
            <w:tcW w:w="2840" w:type="dxa"/>
            <w:vAlign w:val="bottom"/>
          </w:tcPr>
          <w:p>
            <w:pPr>
              <w:ind w:left="140"/>
              <w:spacing w:after="0" w:line="135" w:lineRule="exact"/>
              <w:rPr>
                <w:sz w:val="20"/>
                <w:szCs w:val="20"/>
                <w:color w:val="auto"/>
              </w:rPr>
            </w:pPr>
            <w:r>
              <w:rPr>
                <w:rFonts w:ascii="Arial" w:cs="Arial" w:eastAsia="Arial" w:hAnsi="Arial"/>
                <w:sz w:val="14"/>
                <w:szCs w:val="14"/>
                <w:color w:val="auto"/>
                <w:w w:val="98"/>
              </w:rPr>
              <w:t>of shares withheld for employee taxes (Note</w:t>
            </w: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140"/>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 (Note 16)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86"/>
        </w:trPr>
        <w:tc>
          <w:tcPr>
            <w:tcW w:w="2840" w:type="dxa"/>
            <w:vAlign w:val="bottom"/>
          </w:tcPr>
          <w:p>
            <w:pPr>
              <w:ind w:left="140"/>
              <w:spacing w:after="0"/>
              <w:rPr>
                <w:sz w:val="20"/>
                <w:szCs w:val="20"/>
                <w:color w:val="auto"/>
              </w:rPr>
            </w:pPr>
            <w:r>
              <w:rPr>
                <w:rFonts w:ascii="Arial" w:cs="Arial" w:eastAsia="Arial" w:hAnsi="Arial"/>
                <w:sz w:val="14"/>
                <w:szCs w:val="14"/>
                <w:color w:val="auto"/>
              </w:rPr>
              <w:t>Dividends (Note 5)</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(260,567)</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(260,567)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(260,567)</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 net</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(13,562)</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(13,562)</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Balance, July 31, 2019</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461</w:t>
            </w:r>
          </w:p>
        </w:tc>
        <w:tc>
          <w:tcPr>
            <w:tcW w:w="6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740" w:type="dxa"/>
            <w:vAlign w:val="bottom"/>
          </w:tcPr>
          <w:p>
            <w:pPr>
              <w:jc w:val="right"/>
              <w:spacing w:after="0"/>
              <w:rPr>
                <w:sz w:val="20"/>
                <w:szCs w:val="20"/>
                <w:color w:val="auto"/>
              </w:rPr>
            </w:pPr>
            <w:r>
              <w:rPr>
                <w:rFonts w:ascii="Arial" w:cs="Arial" w:eastAsia="Arial" w:hAnsi="Arial"/>
                <w:sz w:val="14"/>
                <w:szCs w:val="14"/>
                <w:color w:val="auto"/>
              </w:rPr>
              <w:t>1,130,083</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(31,730)</w:t>
            </w:r>
          </w:p>
        </w:tc>
        <w:tc>
          <w:tcPr>
            <w:tcW w:w="640" w:type="dxa"/>
            <w:vAlign w:val="bottom"/>
          </w:tcPr>
          <w:p>
            <w:pPr>
              <w:jc w:val="right"/>
              <w:spacing w:after="0"/>
              <w:rPr>
                <w:sz w:val="20"/>
                <w:szCs w:val="20"/>
                <w:color w:val="auto"/>
              </w:rPr>
            </w:pPr>
            <w:r>
              <w:rPr>
                <w:rFonts w:ascii="Arial" w:cs="Arial" w:eastAsia="Arial" w:hAnsi="Arial"/>
                <w:sz w:val="14"/>
                <w:szCs w:val="14"/>
                <w:color w:val="auto"/>
              </w:rPr>
              <w:t>759,801</w:t>
            </w:r>
          </w:p>
        </w:tc>
        <w:tc>
          <w:tcPr>
            <w:tcW w:w="700" w:type="dxa"/>
            <w:vAlign w:val="bottom"/>
          </w:tcPr>
          <w:p>
            <w:pPr>
              <w:jc w:val="right"/>
              <w:spacing w:after="0"/>
              <w:rPr>
                <w:sz w:val="20"/>
                <w:szCs w:val="20"/>
                <w:color w:val="auto"/>
              </w:rPr>
            </w:pPr>
            <w:r>
              <w:rPr>
                <w:rFonts w:ascii="Arial" w:cs="Arial" w:eastAsia="Arial" w:hAnsi="Arial"/>
                <w:sz w:val="14"/>
                <w:szCs w:val="14"/>
                <w:color w:val="auto"/>
              </w:rPr>
              <w:t>(357,989)</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1,500,627</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226,213</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1,726,840</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680"/>
          </w:cols>
          <w:pgMar w:left="600" w:top="1201" w:right="619" w:bottom="1440" w:gutter="0" w:footer="0" w:header="0"/>
        </w:sectPr>
      </w:pPr>
    </w:p>
    <w:p>
      <w:pPr>
        <w:ind w:left="220"/>
        <w:spacing w:after="0"/>
        <w:rPr>
          <w:sz w:val="20"/>
          <w:szCs w:val="20"/>
          <w:color w:val="auto"/>
        </w:rPr>
      </w:pPr>
      <w:r>
        <w:rPr>
          <w:rFonts w:ascii="Arial" w:cs="Arial" w:eastAsia="Arial" w:hAnsi="Arial"/>
          <w:sz w:val="14"/>
          <w:szCs w:val="14"/>
          <w:color w:val="auto"/>
        </w:rPr>
        <w:t>Net income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Foreign currency translation adjustments</w:t>
      </w:r>
    </w:p>
    <w:p>
      <w:pPr>
        <w:spacing w:after="0" w:line="40" w:lineRule="exact"/>
        <w:rPr>
          <w:sz w:val="20"/>
          <w:szCs w:val="20"/>
          <w:color w:val="auto"/>
        </w:rPr>
      </w:pPr>
    </w:p>
    <w:p>
      <w:pPr>
        <w:ind w:left="220"/>
        <w:spacing w:after="0" w:line="236" w:lineRule="auto"/>
        <w:rPr>
          <w:sz w:val="20"/>
          <w:szCs w:val="20"/>
          <w:color w:val="auto"/>
        </w:rPr>
      </w:pPr>
      <w:r>
        <w:rPr>
          <w:rFonts w:ascii="Arial" w:cs="Arial" w:eastAsia="Arial" w:hAnsi="Arial"/>
          <w:sz w:val="14"/>
          <w:szCs w:val="14"/>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98,833</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98,833</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10,222</w:t>
            </w:r>
          </w:p>
        </w:tc>
        <w:tc>
          <w:tcPr>
            <w:tcW w:w="700" w:type="dxa"/>
            <w:vAlign w:val="bottom"/>
          </w:tcPr>
          <w:p>
            <w:pPr>
              <w:jc w:val="right"/>
              <w:spacing w:after="0"/>
              <w:rPr>
                <w:sz w:val="20"/>
                <w:szCs w:val="20"/>
                <w:color w:val="auto"/>
              </w:rPr>
            </w:pPr>
            <w:r>
              <w:rPr>
                <w:rFonts w:ascii="Arial" w:cs="Arial" w:eastAsia="Arial" w:hAnsi="Arial"/>
                <w:sz w:val="14"/>
                <w:szCs w:val="14"/>
                <w:color w:val="auto"/>
              </w:rPr>
              <w:t>109,055</w:t>
            </w:r>
          </w:p>
        </w:tc>
      </w:tr>
      <w:tr>
        <w:trPr>
          <w:trHeight w:val="184"/>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(2,597)</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(2,597)</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(6,478)</w:t>
            </w:r>
          </w:p>
        </w:tc>
        <w:tc>
          <w:tcPr>
            <w:tcW w:w="700" w:type="dxa"/>
            <w:vAlign w:val="bottom"/>
          </w:tcPr>
          <w:p>
            <w:pPr>
              <w:jc w:val="right"/>
              <w:spacing w:after="0"/>
              <w:rPr>
                <w:sz w:val="20"/>
                <w:szCs w:val="20"/>
                <w:color w:val="auto"/>
              </w:rPr>
            </w:pPr>
            <w:r>
              <w:rPr>
                <w:rFonts w:ascii="Arial" w:cs="Arial" w:eastAsia="Arial" w:hAnsi="Arial"/>
                <w:sz w:val="14"/>
                <w:szCs w:val="14"/>
                <w:color w:val="auto"/>
              </w:rPr>
              <w:t>(9,075)</w:t>
            </w:r>
          </w:p>
        </w:tc>
      </w:tr>
      <w:tr>
        <w:trPr>
          <w:trHeight w:val="256"/>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(22,510)</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(22,510)</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-274320</wp:posOffset>
            </wp:positionV>
            <wp:extent cx="678942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89420" cy="12001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2640" w:space="720"/>
            <w:col w:w="7320"/>
          </w:cols>
          <w:pgMar w:left="600" w:top="1201" w:right="61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3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comprehensive income</w:t>
            </w:r>
          </w:p>
        </w:tc>
        <w:tc>
          <w:tcPr>
            <w:tcW w:w="8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73,726</w:t>
            </w:r>
          </w:p>
        </w:tc>
        <w:tc>
          <w:tcPr>
            <w:tcW w:w="8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3,744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77,470</w:t>
            </w:r>
          </w:p>
        </w:tc>
        <w:tc>
          <w:tcPr>
            <w:tcW w:w="0" w:type="dxa"/>
            <w:vAlign w:val="bottom"/>
          </w:tcPr>
          <w:p>
            <w:pPr>
              <w:spacing w:after="0"/>
              <w:rPr>
                <w:sz w:val="1"/>
                <w:szCs w:val="1"/>
                <w:color w:val="auto"/>
              </w:rPr>
            </w:pPr>
          </w:p>
        </w:tc>
      </w:tr>
      <w:tr>
        <w:trPr>
          <w:trHeight w:val="179"/>
        </w:trPr>
        <w:tc>
          <w:tcPr>
            <w:tcW w:w="3040" w:type="dxa"/>
            <w:vAlign w:val="bottom"/>
          </w:tcPr>
          <w:p>
            <w:pPr>
              <w:ind w:left="140"/>
              <w:spacing w:after="0"/>
              <w:rPr>
                <w:sz w:val="20"/>
                <w:szCs w:val="20"/>
                <w:color w:val="auto"/>
              </w:rPr>
            </w:pPr>
            <w:r>
              <w:rPr>
                <w:rFonts w:ascii="Arial" w:cs="Arial" w:eastAsia="Arial" w:hAnsi="Arial"/>
                <w:sz w:val="14"/>
                <w:szCs w:val="14"/>
                <w:color w:val="auto"/>
              </w:rPr>
              <w:t>Stock-based compensation expense (Note 17)</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21,021</w:t>
            </w: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21,021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21,021</w:t>
            </w: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7"/>
              </w:rPr>
              <w:t>Issuance of shares under share award plan, net</w:t>
            </w:r>
          </w:p>
        </w:tc>
        <w:tc>
          <w:tcPr>
            <w:tcW w:w="84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2</w:t>
            </w: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(19,480)</w:t>
            </w:r>
          </w:p>
        </w:tc>
        <w:tc>
          <w:tcPr>
            <w:tcW w:w="84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(19,478)</w:t>
            </w:r>
          </w:p>
        </w:tc>
        <w:tc>
          <w:tcPr>
            <w:tcW w:w="8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(19,478)</w:t>
            </w:r>
          </w:p>
        </w:tc>
        <w:tc>
          <w:tcPr>
            <w:tcW w:w="0" w:type="dxa"/>
            <w:vAlign w:val="bottom"/>
          </w:tcPr>
          <w:p>
            <w:pPr>
              <w:spacing w:after="0"/>
              <w:rPr>
                <w:sz w:val="1"/>
                <w:szCs w:val="1"/>
                <w:color w:val="auto"/>
              </w:rPr>
            </w:pPr>
          </w:p>
        </w:tc>
      </w:tr>
      <w:tr>
        <w:trPr>
          <w:trHeight w:val="135"/>
        </w:trPr>
        <w:tc>
          <w:tcPr>
            <w:tcW w:w="30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of shares withheld for employee taxes (Note</w:t>
            </w:r>
          </w:p>
        </w:tc>
        <w:tc>
          <w:tcPr>
            <w:tcW w:w="84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17)</w:t>
            </w:r>
          </w:p>
        </w:tc>
        <w:tc>
          <w:tcPr>
            <w:tcW w:w="8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140"/>
              <w:spacing w:after="0"/>
              <w:rPr>
                <w:sz w:val="20"/>
                <w:szCs w:val="20"/>
                <w:color w:val="auto"/>
              </w:rPr>
            </w:pPr>
            <w:r>
              <w:rPr>
                <w:rFonts w:ascii="Arial" w:cs="Arial" w:eastAsia="Arial" w:hAnsi="Arial"/>
                <w:sz w:val="14"/>
                <w:szCs w:val="14"/>
                <w:color w:val="auto"/>
              </w:rPr>
              <w:t>Exchangeable share transfers</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640" w:type="dxa"/>
            <w:vAlign w:val="bottom"/>
          </w:tcPr>
          <w:p>
            <w:pPr>
              <w:ind w:left="40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 (Note 16)</w:t>
            </w:r>
          </w:p>
        </w:tc>
        <w:tc>
          <w:tcPr>
            <w:tcW w:w="8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(46,422)</w:t>
            </w: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(46,422)</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(46,422)</w:t>
            </w:r>
          </w:p>
        </w:tc>
        <w:tc>
          <w:tcPr>
            <w:tcW w:w="0" w:type="dxa"/>
            <w:vAlign w:val="bottom"/>
          </w:tcPr>
          <w:p>
            <w:pPr>
              <w:spacing w:after="0"/>
              <w:rPr>
                <w:sz w:val="1"/>
                <w:szCs w:val="1"/>
                <w:color w:val="auto"/>
              </w:rPr>
            </w:pPr>
          </w:p>
        </w:tc>
      </w:tr>
      <w:tr>
        <w:trPr>
          <w:trHeight w:val="186"/>
        </w:trPr>
        <w:tc>
          <w:tcPr>
            <w:tcW w:w="3040" w:type="dxa"/>
            <w:vAlign w:val="bottom"/>
          </w:tcPr>
          <w:p>
            <w:pPr>
              <w:ind w:left="140"/>
              <w:spacing w:after="0"/>
              <w:rPr>
                <w:sz w:val="20"/>
                <w:szCs w:val="20"/>
                <w:color w:val="auto"/>
              </w:rPr>
            </w:pPr>
            <w:r>
              <w:rPr>
                <w:rFonts w:ascii="Arial" w:cs="Arial" w:eastAsia="Arial" w:hAnsi="Arial"/>
                <w:sz w:val="14"/>
                <w:szCs w:val="14"/>
                <w:color w:val="auto"/>
              </w:rPr>
              <w:t>Dividends (Note 5)</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(212,732)</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(212,732)</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(212,732)</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 net</w:t>
            </w:r>
          </w:p>
        </w:tc>
        <w:tc>
          <w:tcPr>
            <w:tcW w:w="8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(15,032)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(15,032)</w:t>
            </w: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rPr>
                <w:sz w:val="20"/>
                <w:szCs w:val="20"/>
                <w:color w:val="auto"/>
              </w:rPr>
            </w:pPr>
            <w:r>
              <w:rPr>
                <w:rFonts w:ascii="Arial" w:cs="Arial" w:eastAsia="Arial" w:hAnsi="Arial"/>
                <w:sz w:val="14"/>
                <w:szCs w:val="14"/>
                <w:color w:val="auto"/>
              </w:rPr>
              <w:t>Balance, July 31, 2020</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464</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w w:val="99"/>
              </w:rPr>
              <w:t>1,131,624</w:t>
            </w:r>
          </w:p>
        </w:tc>
        <w:tc>
          <w:tcPr>
            <w:tcW w:w="840" w:type="dxa"/>
            <w:vAlign w:val="bottom"/>
          </w:tcPr>
          <w:p>
            <w:pPr>
              <w:ind w:left="320"/>
              <w:spacing w:after="0"/>
              <w:rPr>
                <w:sz w:val="20"/>
                <w:szCs w:val="20"/>
                <w:color w:val="auto"/>
              </w:rPr>
            </w:pPr>
            <w:r>
              <w:rPr>
                <w:rFonts w:ascii="Arial" w:cs="Arial" w:eastAsia="Arial" w:hAnsi="Arial"/>
                <w:sz w:val="14"/>
                <w:szCs w:val="14"/>
                <w:color w:val="auto"/>
                <w:w w:val="95"/>
              </w:rPr>
              <w:t>(56,837)</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645,902</w:t>
            </w:r>
          </w:p>
        </w:tc>
        <w:tc>
          <w:tcPr>
            <w:tcW w:w="660" w:type="dxa"/>
            <w:vAlign w:val="bottom"/>
          </w:tcPr>
          <w:p>
            <w:pPr>
              <w:jc w:val="right"/>
              <w:spacing w:after="0"/>
              <w:rPr>
                <w:sz w:val="20"/>
                <w:szCs w:val="20"/>
                <w:color w:val="auto"/>
              </w:rPr>
            </w:pPr>
            <w:r>
              <w:rPr>
                <w:rFonts w:ascii="Arial" w:cs="Arial" w:eastAsia="Arial" w:hAnsi="Arial"/>
                <w:sz w:val="14"/>
                <w:szCs w:val="14"/>
                <w:color w:val="auto"/>
              </w:rPr>
              <w:t>(404,411)</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1,316,742</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214,925</w:t>
            </w:r>
          </w:p>
        </w:tc>
        <w:tc>
          <w:tcPr>
            <w:tcW w:w="780" w:type="dxa"/>
            <w:vAlign w:val="bottom"/>
          </w:tcPr>
          <w:p>
            <w:pPr>
              <w:jc w:val="right"/>
              <w:spacing w:after="0"/>
              <w:rPr>
                <w:sz w:val="20"/>
                <w:szCs w:val="20"/>
                <w:color w:val="auto"/>
              </w:rPr>
            </w:pPr>
            <w:r>
              <w:rPr>
                <w:rFonts w:ascii="Arial" w:cs="Arial" w:eastAsia="Arial" w:hAnsi="Arial"/>
                <w:sz w:val="14"/>
                <w:szCs w:val="14"/>
                <w:color w:val="auto"/>
              </w:rPr>
              <w:t>1,531,667</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8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680"/>
          </w:cols>
          <w:pgMar w:left="600" w:top="1201" w:right="6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Net income (loss)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Foreign currency translation adjustments</w:t>
      </w:r>
    </w:p>
    <w:p>
      <w:pPr>
        <w:spacing w:after="0" w:line="40" w:lineRule="exact"/>
        <w:rPr>
          <w:sz w:val="20"/>
          <w:szCs w:val="20"/>
          <w:color w:val="auto"/>
        </w:rPr>
      </w:pPr>
    </w:p>
    <w:p>
      <w:pPr>
        <w:ind w:left="220"/>
        <w:spacing w:after="0" w:line="236" w:lineRule="auto"/>
        <w:rPr>
          <w:sz w:val="20"/>
          <w:szCs w:val="20"/>
          <w:color w:val="auto"/>
        </w:rPr>
      </w:pPr>
      <w:r>
        <w:rPr>
          <w:rFonts w:ascii="Arial" w:cs="Arial" w:eastAsia="Arial" w:hAnsi="Arial"/>
          <w:sz w:val="14"/>
          <w:szCs w:val="14"/>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127,850</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127,850</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(3,393)</w:t>
            </w:r>
          </w:p>
        </w:tc>
        <w:tc>
          <w:tcPr>
            <w:tcW w:w="660" w:type="dxa"/>
            <w:vAlign w:val="bottom"/>
          </w:tcPr>
          <w:p>
            <w:pPr>
              <w:jc w:val="right"/>
              <w:spacing w:after="0"/>
              <w:rPr>
                <w:sz w:val="20"/>
                <w:szCs w:val="20"/>
                <w:color w:val="auto"/>
              </w:rPr>
            </w:pPr>
            <w:r>
              <w:rPr>
                <w:rFonts w:ascii="Arial" w:cs="Arial" w:eastAsia="Arial" w:hAnsi="Arial"/>
                <w:sz w:val="14"/>
                <w:szCs w:val="14"/>
                <w:color w:val="auto"/>
              </w:rPr>
              <w:t>124,457</w:t>
            </w:r>
          </w:p>
        </w:tc>
      </w:tr>
      <w:tr>
        <w:trPr>
          <w:trHeight w:val="184"/>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71,819</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71,819</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28,200</w:t>
            </w:r>
          </w:p>
        </w:tc>
        <w:tc>
          <w:tcPr>
            <w:tcW w:w="660" w:type="dxa"/>
            <w:vAlign w:val="bottom"/>
          </w:tcPr>
          <w:p>
            <w:pPr>
              <w:jc w:val="right"/>
              <w:spacing w:after="0"/>
              <w:rPr>
                <w:sz w:val="20"/>
                <w:szCs w:val="20"/>
                <w:color w:val="auto"/>
              </w:rPr>
            </w:pPr>
            <w:r>
              <w:rPr>
                <w:rFonts w:ascii="Arial" w:cs="Arial" w:eastAsia="Arial" w:hAnsi="Arial"/>
                <w:sz w:val="14"/>
                <w:szCs w:val="14"/>
                <w:color w:val="auto"/>
              </w:rPr>
              <w:t>100,019</w:t>
            </w:r>
          </w:p>
        </w:tc>
      </w:tr>
      <w:tr>
        <w:trPr>
          <w:trHeight w:val="257"/>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12,817</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12,817</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-274955</wp:posOffset>
            </wp:positionV>
            <wp:extent cx="678942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89420" cy="12001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2640" w:space="720"/>
            <w:col w:w="7320"/>
          </w:cols>
          <w:pgMar w:left="600" w:top="1201" w:right="61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28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comprehensive income</w:t>
            </w:r>
          </w:p>
        </w:tc>
        <w:tc>
          <w:tcPr>
            <w:tcW w:w="2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212,486</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24,807</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237,293</w:t>
            </w:r>
          </w:p>
        </w:tc>
        <w:tc>
          <w:tcPr>
            <w:tcW w:w="0" w:type="dxa"/>
            <w:vAlign w:val="bottom"/>
          </w:tcPr>
          <w:p>
            <w:pPr>
              <w:spacing w:after="0"/>
              <w:rPr>
                <w:sz w:val="1"/>
                <w:szCs w:val="1"/>
                <w:color w:val="auto"/>
              </w:rPr>
            </w:pPr>
          </w:p>
        </w:tc>
      </w:tr>
      <w:tr>
        <w:trPr>
          <w:trHeight w:val="115"/>
        </w:trPr>
        <w:tc>
          <w:tcPr>
            <w:tcW w:w="2860" w:type="dxa"/>
            <w:vAlign w:val="bottom"/>
          </w:tcPr>
          <w:p>
            <w:pPr>
              <w:ind w:left="140"/>
              <w:spacing w:after="0" w:line="115" w:lineRule="exact"/>
              <w:rPr>
                <w:sz w:val="20"/>
                <w:szCs w:val="20"/>
                <w:color w:val="auto"/>
              </w:rPr>
            </w:pPr>
            <w:r>
              <w:rPr>
                <w:rFonts w:ascii="Arial" w:cs="Arial" w:eastAsia="Arial" w:hAnsi="Arial"/>
                <w:sz w:val="13"/>
                <w:szCs w:val="13"/>
                <w:color w:val="auto"/>
              </w:rPr>
              <w:t>Equity component of 0.0% Convertible Notes,</w:t>
            </w:r>
          </w:p>
        </w:tc>
        <w:tc>
          <w:tcPr>
            <w:tcW w:w="2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80,066</w:t>
            </w:r>
          </w:p>
        </w:tc>
        <w:tc>
          <w:tcPr>
            <w:tcW w:w="3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80,066</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80,066</w:t>
            </w:r>
          </w:p>
        </w:tc>
        <w:tc>
          <w:tcPr>
            <w:tcW w:w="0" w:type="dxa"/>
            <w:vAlign w:val="bottom"/>
          </w:tcPr>
          <w:p>
            <w:pPr>
              <w:spacing w:after="0"/>
              <w:rPr>
                <w:sz w:val="1"/>
                <w:szCs w:val="1"/>
                <w:color w:val="auto"/>
              </w:rPr>
            </w:pPr>
          </w:p>
        </w:tc>
      </w:tr>
      <w:tr>
        <w:trPr>
          <w:trHeight w:val="110"/>
        </w:trPr>
        <w:tc>
          <w:tcPr>
            <w:tcW w:w="2860" w:type="dxa"/>
            <w:vAlign w:val="bottom"/>
            <w:vMerge w:val="restart"/>
          </w:tcPr>
          <w:p>
            <w:pPr>
              <w:ind w:left="140"/>
              <w:spacing w:after="0"/>
              <w:rPr>
                <w:sz w:val="20"/>
                <w:szCs w:val="20"/>
                <w:color w:val="auto"/>
              </w:rPr>
            </w:pPr>
            <w:r>
              <w:rPr>
                <w:rFonts w:ascii="Arial" w:cs="Arial" w:eastAsia="Arial" w:hAnsi="Arial"/>
                <w:sz w:val="14"/>
                <w:szCs w:val="14"/>
                <w:color w:val="auto"/>
              </w:rPr>
              <w:t>net (Note 6)</w:t>
            </w:r>
          </w:p>
        </w:tc>
        <w:tc>
          <w:tcPr>
            <w:tcW w:w="2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Stock-based compensation expense (Note 17)</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24,395</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24,395</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24,395</w:t>
            </w: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w w:val="91"/>
              </w:rPr>
              <w:t>Issuance of shares under share award plan, net</w:t>
            </w:r>
          </w:p>
        </w:tc>
        <w:tc>
          <w:tcPr>
            <w:tcW w:w="2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1"/>
                <w:szCs w:val="11"/>
                <w:color w:val="auto"/>
              </w:rPr>
            </w:pPr>
          </w:p>
        </w:tc>
        <w:tc>
          <w:tcPr>
            <w:tcW w:w="50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(39,092)</w:t>
            </w:r>
          </w:p>
        </w:tc>
        <w:tc>
          <w:tcPr>
            <w:tcW w:w="3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(39,090)</w:t>
            </w:r>
          </w:p>
        </w:tc>
        <w:tc>
          <w:tcPr>
            <w:tcW w:w="2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(39,090)</w:t>
            </w: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w w:val="98"/>
              </w:rPr>
              <w:t>of shares withheld for employee taxes (Note</w:t>
            </w: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 net</w:t>
            </w:r>
          </w:p>
        </w:tc>
        <w:tc>
          <w:tcPr>
            <w:tcW w:w="2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(5,263)</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(5,263)</w:t>
            </w:r>
          </w:p>
        </w:tc>
        <w:tc>
          <w:tcPr>
            <w:tcW w:w="0" w:type="dxa"/>
            <w:vAlign w:val="bottom"/>
          </w:tcPr>
          <w:p>
            <w:pPr>
              <w:spacing w:after="0"/>
              <w:rPr>
                <w:sz w:val="1"/>
                <w:szCs w:val="1"/>
                <w:color w:val="auto"/>
              </w:rPr>
            </w:pPr>
          </w:p>
        </w:tc>
      </w:tr>
      <w:tr>
        <w:trPr>
          <w:trHeight w:val="19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July 31, 2021</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$1,196,993</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27,799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$773,752</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7"/>
              </w:rPr>
              <w:t>$(404,411)</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1,594,599</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234,469</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1,829,068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part73of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201" w:right="619" w:bottom="1440" w:gutter="0" w:footer="0" w:header="0"/>
          <w:type w:val="continuous"/>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Year Ended July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124,457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109,055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323,493</w:t>
            </w: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252,585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249,572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218,117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impairments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Cost of real estate sales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3,684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21,021</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19,856</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Deferred income taxes,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(16,136)</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17,435</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22,419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non-cash expense (income),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Changes in assets and liabilities, net of effects of acquisitions: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(237,188)</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167,347</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(35,406)</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Inventories,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22,781</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(1,924)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(7,274)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118,979</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(82,394)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23,296</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199,410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(98,003)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35,628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payable - excess tax benefit from share award plans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(8,236)</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(12,932)</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Income taxes payable - other</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29,946</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(4,951)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38,773</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Other assets and liabilities, net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11,573</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8,743</w:t>
            </w:r>
          </w:p>
        </w:tc>
        <w:tc>
          <w:tcPr>
            <w:tcW w:w="0" w:type="dxa"/>
            <w:vAlign w:val="bottom"/>
          </w:tcPr>
          <w:p>
            <w:pPr>
              <w:spacing w:after="0"/>
              <w:rPr>
                <w:sz w:val="1"/>
                <w:szCs w:val="1"/>
                <w:color w:val="auto"/>
              </w:rPr>
            </w:pPr>
          </w:p>
        </w:tc>
      </w:tr>
      <w:tr>
        <w:trPr>
          <w:trHeight w:val="209"/>
        </w:trPr>
        <w:tc>
          <w:tcPr>
            <w:tcW w:w="5160" w:type="dxa"/>
            <w:vAlign w:val="bottom"/>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525,250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394,950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634,231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(115,097)</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(172,334)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(192,035)</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(327,555)</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(419,044)</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investing activities,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11,768</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15,045</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(103,329)</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(492,739)</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(596,034)</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Vail Holdings Credit Agreement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892,625</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543,625</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Proceeds from borrowings under Whistler Credit Agreement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27,775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209,634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26,518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0.0% Convertible Notes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Proceeds from borrowings under 6.25% Notes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600,000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borrowings under Vail Holdings Credit Agreement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(811,875)</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(235,625)</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Repayments of borrowings under Whistler Credit Agreement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(45,657)</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(204,032)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(45,060)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taxes paid for share award exercises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(27,239)</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(46,422)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(85,000)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(212,732)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(260,567)</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financing activities,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(20,866)</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(31,487)</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(16,210)</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434,662</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376,233</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(99,558)</w:t>
            </w:r>
          </w:p>
        </w:tc>
        <w:tc>
          <w:tcPr>
            <w:tcW w:w="0" w:type="dxa"/>
            <w:vAlign w:val="bottom"/>
          </w:tcPr>
          <w:p>
            <w:pPr>
              <w:spacing w:after="0"/>
              <w:rPr>
                <w:sz w:val="1"/>
                <w:szCs w:val="1"/>
                <w:color w:val="auto"/>
              </w:rPr>
            </w:pPr>
          </w:p>
        </w:tc>
      </w:tr>
      <w:tr>
        <w:trPr>
          <w:trHeight w:val="162"/>
        </w:trPr>
        <w:tc>
          <w:tcPr>
            <w:tcW w:w="5160" w:type="dxa"/>
            <w:vAlign w:val="bottom"/>
          </w:tcPr>
          <w:p>
            <w:pPr>
              <w:ind w:left="140"/>
              <w:spacing w:after="0" w:line="162" w:lineRule="exact"/>
              <w:rPr>
                <w:sz w:val="20"/>
                <w:szCs w:val="20"/>
                <w:color w:val="auto"/>
              </w:rPr>
            </w:pPr>
            <w:r>
              <w:rPr>
                <w:rFonts w:ascii="Arial" w:cs="Arial" w:eastAsia="Arial" w:hAnsi="Arial"/>
                <w:sz w:val="16"/>
                <w:szCs w:val="16"/>
                <w:color w:val="auto"/>
                <w:w w:val="96"/>
              </w:rPr>
              <w:t>Effect of exchange rate changes on cash, cash equivalents and restricted</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5,253</w:t>
            </w: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(5,290)</w:t>
            </w:r>
          </w:p>
        </w:tc>
        <w:tc>
          <w:tcPr>
            <w:tcW w:w="0" w:type="dxa"/>
            <w:vAlign w:val="bottom"/>
          </w:tcPr>
          <w:p>
            <w:pPr>
              <w:spacing w:after="0"/>
              <w:rPr>
                <w:sz w:val="1"/>
                <w:szCs w:val="1"/>
                <w:color w:val="auto"/>
              </w:rPr>
            </w:pPr>
          </w:p>
        </w:tc>
      </w:tr>
      <w:tr>
        <w:trPr>
          <w:trHeight w:val="209"/>
        </w:trPr>
        <w:tc>
          <w:tcPr>
            <w:tcW w:w="5160" w:type="dxa"/>
            <w:vAlign w:val="bottom"/>
          </w:tcPr>
          <w:p>
            <w:pPr>
              <w:ind w:left="140"/>
              <w:spacing w:after="0"/>
              <w:rPr>
                <w:sz w:val="20"/>
                <w:szCs w:val="20"/>
                <w:color w:val="auto"/>
              </w:rPr>
            </w:pPr>
            <w:r>
              <w:rPr>
                <w:rFonts w:ascii="Arial" w:cs="Arial" w:eastAsia="Arial" w:hAnsi="Arial"/>
                <w:sz w:val="16"/>
                <w:szCs w:val="16"/>
                <w:color w:val="auto"/>
              </w:rPr>
              <w:t>cash</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856,488</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283,697</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(66,651)</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118,389</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185,040</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402,086</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118,389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interest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125,667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88,398</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70,888</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Taxes paid, net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5,011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4,134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27,212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Accrued capital expenditures</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15,046</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20" w:top="1093" w:right="1019" w:bottom="1440" w:gutter="0" w:footer="0" w:header="0"/>
        </w:sectPr>
      </w:pPr>
    </w:p>
    <w:bookmarkStart w:id="76" w:name="page77"/>
    <w:bookmarkEnd w:id="76"/>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37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6445" cy="38576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ski areas,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ski areas are conducted pursuant to long-term leases and licenses on land owned by the governments of New South Wales and Victoria, Australia. Okemo, Mount Sunapee and Stowe operate on land leased from the respective states in which the resorts are located and on land owned by the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peak operating season at the Company’s Australian resorts, NPS concessionaire properties and golf courses generally occurs from June to early October.</w:t>
      </w:r>
    </w:p>
    <w:p>
      <w:pPr>
        <w:spacing w:after="0" w:line="180" w:lineRule="exact"/>
        <w:rPr>
          <w:sz w:val="20"/>
          <w:szCs w:val="20"/>
          <w:color w:val="auto"/>
        </w:rPr>
      </w:pPr>
    </w:p>
    <w:p>
      <w:pPr>
        <w:ind w:left="700" w:hanging="692"/>
        <w:spacing w:after="0"/>
        <w:tabs>
          <w:tab w:leader="none" w:pos="7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Principles of Consolidation — </w:t>
      </w:r>
      <w:r>
        <w:rPr>
          <w:rFonts w:ascii="Arial" w:cs="Arial" w:eastAsia="Arial" w:hAnsi="Arial"/>
          <w:sz w:val="16"/>
          <w:szCs w:val="16"/>
          <w:color w:val="auto"/>
        </w:rPr>
        <w:t>The accompanying Consolidated Financial Statements include the accounts of the Company and its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for which the Company has a controlling financial interest. Investments in which the Company does not have a controlling financial interest, but has significant influence, are accounted for under the equity method. All significant intercompany transactions have been eliminated in consolidation.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and Cash Equivalents — </w:t>
      </w:r>
      <w:r>
        <w:rPr>
          <w:rFonts w:ascii="Arial" w:cs="Arial" w:eastAsia="Arial" w:hAnsi="Arial"/>
          <w:sz w:val="18"/>
          <w:szCs w:val="18"/>
          <w:color w:val="auto"/>
        </w:rPr>
        <w:t>The Company considers all highly liquid investments with maturities of three months or less at the date of purchase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Cash — </w:t>
      </w:r>
      <w:r>
        <w:rPr>
          <w:rFonts w:ascii="Arial" w:cs="Arial" w:eastAsia="Arial" w:hAnsi="Arial"/>
          <w:sz w:val="18"/>
          <w:szCs w:val="18"/>
          <w:color w:val="auto"/>
        </w:rPr>
        <w:t>The Company considers cash to be restricted when withdrawal or general use is legally restricted.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Accounts receivable — </w:t>
      </w:r>
      <w:r>
        <w:rPr>
          <w:rFonts w:ascii="Arial" w:cs="Arial" w:eastAsia="Arial" w:hAnsi="Arial"/>
          <w:sz w:val="16"/>
          <w:szCs w:val="16"/>
          <w:color w:val="auto"/>
        </w:rPr>
        <w:t>The Company records trade accounts receivable in the normal course of business related to the sale of products or services. The</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The Company’s inventories consist primarily of purchased retail goods, food and beverage items and spare parts. Inventories are stated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cost or net realizable value, determined using primarily an average weighted cost method. The Company records a reserve for estimated shrinkage and obsolete or unusable inventory.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Property, Plant and Equipment — </w:t>
      </w:r>
      <w:r>
        <w:rPr>
          <w:rFonts w:ascii="Arial" w:cs="Arial" w:eastAsia="Arial" w:hAnsi="Arial"/>
          <w:sz w:val="17"/>
          <w:szCs w:val="17"/>
          <w:color w:val="auto"/>
        </w:rPr>
        <w:t>Property, plant and equipment is carried at cost net of accumulated depreciation. Repairs and maintenance are expensed</w:t>
      </w:r>
      <w:r>
        <w:rPr>
          <w:rFonts w:ascii="Arial" w:cs="Arial" w:eastAsia="Arial" w:hAnsi="Arial"/>
          <w:sz w:val="17"/>
          <w:szCs w:val="17"/>
          <w:i w:val="1"/>
          <w:iCs w:val="1"/>
          <w:color w:val="auto"/>
        </w:rPr>
        <w:t xml:space="preserve"> </w:t>
      </w:r>
      <w:r>
        <w:rPr>
          <w:rFonts w:ascii="Arial" w:cs="Arial" w:eastAsia="Arial" w:hAnsi="Arial"/>
          <w:sz w:val="17"/>
          <w:szCs w:val="17"/>
          <w:color w:val="auto"/>
        </w:rPr>
        <w:t>as incurred. Expenditures that improve the functionality of the related asset or extend the useful life are capitalized. When property, plant and equipment is retired or otherwise disposed of, the related gain or loss is included in income from operations. Leasehold improvements are amortized on the straight-line method over the shorter of the remaining lease term or estimated useful life of the asset. Depreciation is calculated on the straight-line method, including property, plant and equipment under finance leases, generally based on the following useful lives: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5080" w:type="dxa"/>
            <w:vAlign w:val="bottom"/>
          </w:tcPr>
          <w:p>
            <w:pPr>
              <w:jc w:val="center"/>
              <w:ind w:left="2495"/>
              <w:spacing w:after="0"/>
              <w:rPr>
                <w:sz w:val="20"/>
                <w:szCs w:val="20"/>
                <w:color w:val="auto"/>
              </w:rPr>
            </w:pPr>
            <w:r>
              <w:rPr>
                <w:rFonts w:ascii="Arial" w:cs="Arial" w:eastAsia="Arial" w:hAnsi="Arial"/>
                <w:sz w:val="14"/>
                <w:szCs w:val="14"/>
                <w:b w:val="1"/>
                <w:bCs w:val="1"/>
                <w:color w:val="auto"/>
                <w:w w:val="94"/>
              </w:rPr>
              <w:t>Estimated Life</w:t>
            </w:r>
          </w:p>
        </w:tc>
      </w:tr>
      <w:tr>
        <w:trPr>
          <w:trHeight w:val="188"/>
        </w:trPr>
        <w:tc>
          <w:tcPr>
            <w:tcW w:w="610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jc w:val="center"/>
              <w:ind w:left="2495"/>
              <w:spacing w:after="0"/>
              <w:rPr>
                <w:sz w:val="20"/>
                <w:szCs w:val="20"/>
                <w:color w:val="auto"/>
              </w:rPr>
            </w:pPr>
            <w:r>
              <w:rPr>
                <w:rFonts w:ascii="Arial" w:cs="Arial" w:eastAsia="Arial" w:hAnsi="Arial"/>
                <w:sz w:val="14"/>
                <w:szCs w:val="14"/>
                <w:b w:val="1"/>
                <w:bCs w:val="1"/>
                <w:color w:val="auto"/>
                <w:w w:val="91"/>
              </w:rPr>
              <w:t>in Years</w:t>
            </w:r>
          </w:p>
        </w:tc>
      </w:tr>
      <w:tr>
        <w:trPr>
          <w:trHeight w:val="224"/>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5080" w:type="dxa"/>
            <w:vAlign w:val="bottom"/>
            <w:shd w:val="clear" w:color="auto" w:fill="CCEEFF"/>
          </w:tcPr>
          <w:p>
            <w:pPr>
              <w:jc w:val="center"/>
              <w:ind w:left="2495"/>
              <w:spacing w:after="0"/>
              <w:rPr>
                <w:sz w:val="20"/>
                <w:szCs w:val="20"/>
                <w:color w:val="auto"/>
              </w:rPr>
            </w:pPr>
            <w:r>
              <w:rPr>
                <w:rFonts w:ascii="Arial" w:cs="Arial" w:eastAsia="Arial" w:hAnsi="Arial"/>
                <w:sz w:val="18"/>
                <w:szCs w:val="18"/>
                <w:color w:val="auto"/>
                <w:w w:val="91"/>
              </w:rPr>
              <w:t>10-35</w:t>
            </w: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5080" w:type="dxa"/>
            <w:vAlign w:val="bottom"/>
          </w:tcPr>
          <w:p>
            <w:pPr>
              <w:jc w:val="center"/>
              <w:ind w:left="2475"/>
              <w:spacing w:after="0"/>
              <w:rPr>
                <w:sz w:val="20"/>
                <w:szCs w:val="20"/>
                <w:color w:val="auto"/>
              </w:rPr>
            </w:pPr>
            <w:r>
              <w:rPr>
                <w:rFonts w:ascii="Arial" w:cs="Arial" w:eastAsia="Arial" w:hAnsi="Arial"/>
                <w:sz w:val="18"/>
                <w:szCs w:val="18"/>
                <w:color w:val="auto"/>
                <w:w w:val="88"/>
              </w:rPr>
              <w:t>7-30</w:t>
            </w: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080" w:type="dxa"/>
            <w:vAlign w:val="bottom"/>
            <w:shd w:val="clear" w:color="auto" w:fill="CCEEFF"/>
          </w:tcPr>
          <w:p>
            <w:pPr>
              <w:jc w:val="center"/>
              <w:ind w:left="2475"/>
              <w:spacing w:after="0"/>
              <w:rPr>
                <w:sz w:val="20"/>
                <w:szCs w:val="20"/>
                <w:color w:val="auto"/>
              </w:rPr>
            </w:pPr>
            <w:r>
              <w:rPr>
                <w:rFonts w:ascii="Arial" w:cs="Arial" w:eastAsia="Arial" w:hAnsi="Arial"/>
                <w:sz w:val="18"/>
                <w:szCs w:val="18"/>
                <w:color w:val="auto"/>
                <w:w w:val="88"/>
              </w:rPr>
              <w:t>2-30</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80" w:type="dxa"/>
            <w:vAlign w:val="bottom"/>
          </w:tcPr>
          <w:p>
            <w:pPr>
              <w:jc w:val="center"/>
              <w:ind w:left="2475"/>
              <w:spacing w:after="0"/>
              <w:rPr>
                <w:sz w:val="20"/>
                <w:szCs w:val="20"/>
                <w:color w:val="auto"/>
              </w:rPr>
            </w:pPr>
            <w:r>
              <w:rPr>
                <w:rFonts w:ascii="Arial" w:cs="Arial" w:eastAsia="Arial" w:hAnsi="Arial"/>
                <w:sz w:val="18"/>
                <w:szCs w:val="18"/>
                <w:color w:val="auto"/>
                <w:w w:val="88"/>
              </w:rPr>
              <w:t>3-10</w:t>
            </w: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080" w:type="dxa"/>
            <w:vAlign w:val="bottom"/>
            <w:shd w:val="clear" w:color="auto" w:fill="CCEEFF"/>
          </w:tcPr>
          <w:p>
            <w:pPr>
              <w:jc w:val="center"/>
              <w:ind w:left="2475"/>
              <w:spacing w:after="0"/>
              <w:rPr>
                <w:sz w:val="20"/>
                <w:szCs w:val="20"/>
                <w:color w:val="auto"/>
              </w:rPr>
            </w:pPr>
            <w:r>
              <w:rPr>
                <w:rFonts w:ascii="Arial" w:cs="Arial" w:eastAsia="Arial" w:hAnsi="Arial"/>
                <w:sz w:val="18"/>
                <w:szCs w:val="18"/>
                <w:color w:val="auto"/>
                <w:w w:val="79"/>
              </w:rPr>
              <w:t>3</w:t>
            </w:r>
          </w:p>
        </w:tc>
      </w:tr>
      <w:tr>
        <w:trPr>
          <w:trHeight w:val="229"/>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Vehicles</w:t>
            </w:r>
          </w:p>
        </w:tc>
        <w:tc>
          <w:tcPr>
            <w:tcW w:w="5080" w:type="dxa"/>
            <w:vAlign w:val="bottom"/>
            <w:tcBorders>
              <w:bottom w:val="single" w:sz="8" w:color="auto"/>
            </w:tcBorders>
          </w:tcPr>
          <w:p>
            <w:pPr>
              <w:jc w:val="center"/>
              <w:ind w:left="2475"/>
              <w:spacing w:after="0"/>
              <w:rPr>
                <w:sz w:val="20"/>
                <w:szCs w:val="20"/>
                <w:color w:val="auto"/>
              </w:rPr>
            </w:pPr>
            <w:r>
              <w:rPr>
                <w:rFonts w:ascii="Arial" w:cs="Arial" w:eastAsia="Arial" w:hAnsi="Arial"/>
                <w:sz w:val="18"/>
                <w:szCs w:val="18"/>
                <w:color w:val="auto"/>
                <w:w w:val="88"/>
              </w:rPr>
              <w:t>3-10</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Real Estate Held for Sale or Investment — </w:t>
      </w:r>
      <w:r>
        <w:rPr>
          <w:rFonts w:ascii="Arial" w:cs="Arial" w:eastAsia="Arial" w:hAnsi="Arial"/>
          <w:sz w:val="18"/>
          <w:szCs w:val="18"/>
          <w:color w:val="auto"/>
        </w:rPr>
        <w:t>The Company capitalizes as real estate held for sale or investment the original land acquisition cost, direct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and development costs, property taxes, interest recorded on costs related to real estate under development and other related costs. Sales and marketing expenses are charged against income in the period incurred.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Deferred Financing Costs — </w:t>
      </w:r>
      <w:r>
        <w:rPr>
          <w:rFonts w:ascii="Arial" w:cs="Arial" w:eastAsia="Arial" w:hAnsi="Arial"/>
          <w:sz w:val="18"/>
          <w:szCs w:val="18"/>
          <w:color w:val="auto"/>
        </w:rPr>
        <w:t>Certain costs incurred with the issuance of debt and debt securities are capitalized and included as a reduction in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 When debt is extinguished prior to its maturity date, the amortization of the remaining unamortized deferred financing costs, or pro-rata portion thereof, is charged to loss on extinguishment of debt.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i w:val="1"/>
          <w:iCs w:val="1"/>
          <w:color w:val="auto"/>
        </w:rPr>
        <w:t xml:space="preserve">Goodwill and Intangible Assets — </w:t>
      </w:r>
      <w:r>
        <w:rPr>
          <w:rFonts w:ascii="Arial" w:cs="Arial" w:eastAsia="Arial" w:hAnsi="Arial"/>
          <w:sz w:val="18"/>
          <w:szCs w:val="18"/>
          <w:color w:val="auto"/>
        </w:rPr>
        <w:t>The Company has classified as goodwill the cost in excess of estimated fair value of the net assets of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 purchase transactions. The Company’s major intangible asset classes are trademarks, water rights, customer lists, property management contracts and Forest Service permits. Goodwill and various indefinite-lived intangible assets, including certain trademarks, water rights and certain property management contracts, are not amortized but are subject to at least annual impairment testing. The Company tests these non-amortizing assets annually (or more often, if necessary) for impairment as of May 1. Amortizable intangible assets are amortized over the shorter of their contractual terms or estimated useful lives.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testing of goodwill and other indefinite-lived intangible assets for impairment, the Company may perform a qualitative analysis to determine whether it is more likely than not that the fair value of a reporting unit or indefinite-lived intangible asset exceeds the carrying amount, which includes an evaluation as to whether there have been significant changes to macro-economic factors related to the reporting unit or intangible asset that could materially impact fair value. If it is determined, based on qualitative factors, that the fair value of the reporting unit or indefinite-lived intangible asset is more likely than not less than carrying amount, or if significant changes to macro-economic factors related to the reporting unit or intangible asset have occurred that could materially impact estimated fair values since the previous quantitative analysis was performed, a quantitative impairment test would be required, in which the Company would determine the estimated fair value of its reporting units using discounted cash flow analyses and determine the estimated fair value of its indefinite-lived intangible assets using an income approach. The quantitative test for impairment consists of a comparison of the estimated fair value of the assets with their net carrying values. If the net carrying amount of the assets exceed its estimated fair value, an impairment will be recognized for indefinite-lived intangibles, including goodwill, in an amount equal to that excess. If the net carrying amount of the assets does not exceed the estimated fair value, no impairment loss is recognized.</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determined that there were no impairments of goodwill or definite and indefinite-lived assets for the years ended July 31, 2021 and 2019. As a result of COVID-19 and the impact it has had on the Company’s operations during the year ended July 31, 2020, the Company determined that the estimated fair value of its Colorado resort ground transportation company reporting unit within its Lodging segment no longer exceeded its carrying value. As further discussed in Note 8, Supplementary Balance Sheet Information, the Company recognized an impairment of approximately $28.4 million related to its Colorado resort ground transportation company during the year ended July 31, 2020, which was recorded within asset impairments on the Company’s Consolidated Statement of Operations, with a corresponding reduction to goodwill, net of $25.7 million and to intangible assets, net and property, plant and equipment, net of $2.7 million. See Note 8, Supplementary Balance Sheet Information, for additional information. The Company determined that there were no other impairments of goodwill or definite and indefinite-lived assets for the year ended July 31, 2020.</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Long-lived Assets — </w:t>
      </w:r>
      <w:r>
        <w:rPr>
          <w:rFonts w:ascii="Arial" w:cs="Arial" w:eastAsia="Arial" w:hAnsi="Arial"/>
          <w:sz w:val="16"/>
          <w:szCs w:val="16"/>
          <w:color w:val="auto"/>
        </w:rPr>
        <w:t>The Company evaluates potential impairment of long-lived assets and long-lived assets to be disposed of whenever events or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circumstances indicate that the net carrying amount of an asset may not be fully recoverable. If the sum of the expected cash flows, on an undiscounted basis, is less than the net carrying amount of the asset, an impairment loss is recognized in the amount by which the net carrying amount of the asset exceeds its estimated fair value. The Company determined that there were no impairments of long-lived assets for the years ended July 31, 2021 and 2019. As discussed above, the Company recorded an impairment to long-lived assets related to its Colorado resort ground transportation company during the year ended July 31, 2020. The Company determined that there were no other impairments of long-lived assets for the year ended July 31, 2020.</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The Company’s significant accounting policies with regard to revenue recognition are discussed in Note 3, Revenues.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Real Estate Cost of Sales — </w:t>
      </w:r>
      <w:r>
        <w:rPr>
          <w:rFonts w:ascii="Arial" w:cs="Arial" w:eastAsia="Arial" w:hAnsi="Arial"/>
          <w:sz w:val="18"/>
          <w:szCs w:val="18"/>
          <w:color w:val="auto"/>
        </w:rPr>
        <w:t>Costs of real estate transactions include direct project costs, common cost allocations (primarily determined on relative sales</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sales commission expense. The Company utilizes the relative sales value method to determine cost of sales for condominium units sold within a project when specific identification of costs cannot be reasonably determined.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Foreign Currency Translation — </w:t>
      </w:r>
      <w:r>
        <w:rPr>
          <w:rFonts w:ascii="Arial" w:cs="Arial" w:eastAsia="Arial" w:hAnsi="Arial"/>
          <w:sz w:val="17"/>
          <w:szCs w:val="17"/>
          <w:color w:val="auto"/>
        </w:rPr>
        <w:t>The functional currency of the Company’s entities operating outside of the United States is the principal currency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environment in which the entity primarily generates and expends cash, which is generally the local currency. The assets and liabilities of these foreign operations are translated at the exchange rate in effect as of the balance sheet dates. Income and expense items are translated using the weighted average exchange rate for the period. Translation adjustments from currency exchange, including intercompany transactions of a long-term nature, are recorded in accumulated other comprehensive loss as a separate component of stockholders’ equity. Intercompany transactions that are not of a long-term nature are reported as gains and losses within “segment operating expense” and for intercompany loans within foreign currency gain (loss) on intercompany loans on the Company’s Consolidated Statements of Operations.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9" w:name="page80"/>
    <w:bookmarkEnd w:id="79"/>
    <w:p>
      <w:pPr>
        <w:jc w:val="both"/>
        <w:spacing w:after="0" w:line="275" w:lineRule="auto"/>
        <w:rPr>
          <w:sz w:val="20"/>
          <w:szCs w:val="20"/>
          <w:color w:val="auto"/>
        </w:rPr>
      </w:pPr>
      <w:r>
        <w:rPr>
          <w:rFonts w:ascii="Arial" w:cs="Arial" w:eastAsia="Arial" w:hAnsi="Arial"/>
          <w:sz w:val="17"/>
          <w:szCs w:val="17"/>
          <w:i w:val="1"/>
          <w:iCs w:val="1"/>
          <w:color w:val="auto"/>
        </w:rPr>
        <w:t xml:space="preserve">Reserve Estimates — </w:t>
      </w:r>
      <w:r>
        <w:rPr>
          <w:rFonts w:ascii="Arial" w:cs="Arial" w:eastAsia="Arial" w:hAnsi="Arial"/>
          <w:sz w:val="17"/>
          <w:szCs w:val="17"/>
          <w:color w:val="auto"/>
        </w:rPr>
        <w:t>The Company uses estimates to record reserves for certain liabilities, including medical claims, workers’ compensation claims, third-party loss contingencies and property taxes,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incurred.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at the time such advertising commences. Advertising expense for the years ended July 31, 2021,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 was $38.6 million, $41.6 million and $44.6 million, respectively, and was recorded within Mountain and Lodging operating expenses on the Company’s Consolidated Statement of Operations.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Income tax expense includes U.S. tax (federal and state) and foreign income taxes. The Company’s provision for income taxes is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pre-tax income, changes in deferred tax assets and liabilities and changes in 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carrybacks or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The Company’s deferred tax assets have been reduced by a valuation allowance to the extent it is deemed to be more likely than not that some or 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11, Income Taxes, for more information.</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Fair Value of Financial Instruments — </w:t>
      </w:r>
      <w:r>
        <w:rPr>
          <w:rFonts w:ascii="Arial" w:cs="Arial" w:eastAsia="Arial" w:hAnsi="Arial"/>
          <w:sz w:val="16"/>
          <w:szCs w:val="16"/>
          <w:color w:val="auto"/>
        </w:rPr>
        <w:t>The recorded amounts for cash and cash equivalents, restricted cash, receivables, other current assets,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and accrued liabilities and the EB-5 Development Notes (as defined in Note 6, Long-Term Debt) approximate fair value due to their short-term nature. The fair value of amounts outstanding under the Company’s credit agreements and the Employee Housing Bonds (as defined in Note 6, Long-Term Debt) approximate book value due to the variable nature of the interest rate associated with the debt. The estimated fair values of the 6.25% Notes and the 0.0% Convertible Notes (each as defined in Note 6, Long-Term Debt) are based on quoted market prices (a Level 2 input). The estimated fair value of the EPR Secured Notes (as defined in Note 6, Long-Term Debt) has been estimated using an analysis based on current borrowing rates for debt with similar remaining maturities and ratings (a Level 2 input). The carrying values, including any unamortized premium or discount, and estimated fair values of the 6.25% Notes, 0.0% Convertible Notes and EPR Secured Notes as of July 31, 2021 are presented below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31, 2021</w:t>
            </w:r>
          </w:p>
        </w:tc>
        <w:tc>
          <w:tcPr>
            <w:tcW w:w="1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60" w:type="dxa"/>
            <w:vAlign w:val="bottom"/>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Carrying Value</w:t>
            </w: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5"/>
              </w:rPr>
              <w:t>Estimated Fair Value</w:t>
            </w:r>
          </w:p>
        </w:tc>
        <w:tc>
          <w:tcPr>
            <w:tcW w:w="40" w:type="dxa"/>
            <w:vAlign w:val="bottom"/>
          </w:tcPr>
          <w:p>
            <w:pPr>
              <w:spacing w:after="0"/>
              <w:rPr>
                <w:sz w:val="16"/>
                <w:szCs w:val="16"/>
                <w:color w:val="auto"/>
              </w:rPr>
            </w:pPr>
          </w:p>
        </w:tc>
      </w:tr>
      <w:tr>
        <w:trPr>
          <w:trHeight w:val="224"/>
        </w:trPr>
        <w:tc>
          <w:tcPr>
            <w:tcW w:w="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3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638,730</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0.0% Convertible Notes</w:t>
            </w:r>
          </w:p>
        </w:tc>
        <w:tc>
          <w:tcPr>
            <w:tcW w:w="3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477,755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580,583</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EPR Secured Notes</w:t>
            </w:r>
          </w:p>
        </w:tc>
        <w:tc>
          <w:tcPr>
            <w:tcW w:w="3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135,711</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206,025</w:t>
            </w:r>
          </w:p>
        </w:tc>
        <w:tc>
          <w:tcPr>
            <w:tcW w:w="40" w:type="dxa"/>
            <w:vAlign w:val="bottom"/>
          </w:tcPr>
          <w:p>
            <w:pPr>
              <w:spacing w:after="0"/>
              <w:rPr>
                <w:sz w:val="19"/>
                <w:szCs w:val="19"/>
                <w:color w:val="auto"/>
              </w:rPr>
            </w:pPr>
          </w:p>
        </w:tc>
      </w:tr>
      <w:tr>
        <w:trPr>
          <w:trHeight w:val="850"/>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40" w:type="dxa"/>
            <w:vAlign w:val="bottom"/>
          </w:tcPr>
          <w:p>
            <w:pPr>
              <w:jc w:val="right"/>
              <w:ind w:right="101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0" w:name="page81"/>
    <w:bookmarkEnd w:id="80"/>
    <w:p>
      <w:pPr>
        <w:jc w:val="both"/>
        <w:spacing w:after="0" w:line="301" w:lineRule="auto"/>
        <w:rPr>
          <w:sz w:val="20"/>
          <w:szCs w:val="20"/>
          <w:color w:val="auto"/>
        </w:rPr>
      </w:pPr>
      <w:r>
        <w:rPr>
          <w:rFonts w:ascii="Arial" w:cs="Arial" w:eastAsia="Arial" w:hAnsi="Arial"/>
          <w:sz w:val="16"/>
          <w:szCs w:val="16"/>
          <w:i w:val="1"/>
          <w:iCs w:val="1"/>
          <w:color w:val="auto"/>
        </w:rPr>
        <w:t xml:space="preserve">Stock-Based Compensation — </w:t>
      </w:r>
      <w:r>
        <w:rPr>
          <w:rFonts w:ascii="Arial" w:cs="Arial" w:eastAsia="Arial" w:hAnsi="Arial"/>
          <w:sz w:val="16"/>
          <w:szCs w:val="16"/>
          <w:color w:val="auto"/>
        </w:rPr>
        <w:t>Stock-based compensation expense is measured at the grant date based upon the estimated fair value of the award and is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as expense over the applicable vesting period of the award generally using the straight-line method (see Note 17, Stock Compensation Plan, for more information), less the amount of forfeited awards which are recorded as they occur. The following table shows total net stock-based compensation expense for the years ended July 31, 2021, 2020 and 2019 included in the Consolidated Statements of Operations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Year Ended July 31,</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09"/>
        </w:trPr>
        <w:tc>
          <w:tcPr>
            <w:tcW w:w="5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stock-based compensation expense</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Lodging stock-based compensation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3,783</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3,399</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3,219</w:t>
            </w:r>
          </w:p>
        </w:tc>
      </w:tr>
      <w:tr>
        <w:trPr>
          <w:trHeight w:val="229"/>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stock-based compensation expense</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Pre-tax stock-based compensation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24,395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21,021</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19,856</w:t>
            </w:r>
          </w:p>
        </w:tc>
      </w:tr>
      <w:tr>
        <w:trPr>
          <w:trHeight w:val="229"/>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benefit from income taxes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30"/>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stock-based compensation expense</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15,267</w:t>
            </w: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Concentration of Credit Risk — </w:t>
      </w:r>
      <w:r>
        <w:rPr>
          <w:rFonts w:ascii="Arial" w:cs="Arial" w:eastAsia="Arial" w:hAnsi="Arial"/>
          <w:sz w:val="18"/>
          <w:szCs w:val="18"/>
          <w:color w:val="auto"/>
        </w:rPr>
        <w:t>The Company’s financial instruments that are exposed to concentrations of credit risk consist primarily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restricted cash. The Company places its cash and temporary cash investments in low risk accounts with high-quality credit institutions. The Company does not enter into financial instruments for trading or speculative purposes. Concentration of credit risk with respect to accounts and notes receivables is limited due to the wide variety of customers and markets in which the Company transacts business, as well as their dispersion across many geographical areas. The Company performs ongoing credit evaluations of its customers and generally does not require collateral, but does require advance deposits on certain transactions.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Accounting for Hedging Instruments — </w:t>
      </w:r>
      <w:r>
        <w:rPr>
          <w:rFonts w:ascii="Arial" w:cs="Arial" w:eastAsia="Arial" w:hAnsi="Arial"/>
          <w:sz w:val="17"/>
          <w:szCs w:val="17"/>
          <w:color w:val="auto"/>
        </w:rPr>
        <w:t>From time to time, the Company enters into interest rate swaps to hedge the variability in cash flows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variable-rate borrowings by converting the floating interest rate to a fixed interest rate (the “Interest Rate Swaps”). As of July 31, 2021, the Company hedged the future cash flows associated with $400.0 million of the principal amount outstanding of its Vail Holdings Credit Agreement (as defined in Note 6, Long-Term Debt), which were designated as cash flow hedges. The accounting for changes in fair value of hedging instruments depends on the effectiveness of the hedge. In order to qualify for hedge accounting, the underlying hedged item must expose the Company to risks associated with market fluctuations and the financial instrument used must reduce the Company’s exposure to market fluctuation throughout the hedge period. Changes in estimated fair value of the Interest Rate Swaps are recorded within change in estimated fair value of hedging instruments on the Company’s Consolidated Statements of Comprehensive Income, and such change was recorded as a gain (loss) of $12.8 million and ($22.5) million during the years ended July 31, 2021 and 2020, respectively. Such amounts are reclassified into interest expense, net from other comprehensive income during the period in which the hedged item affects earnings. During the year ended July 31, 2021 $5.4 million was reclassified into interest expense, net from other comprehensive income. As of July 31, 2021, the estimated fair value of the Interest Rate Swaps was a liability of approximately $12.9 million and was recorded within other long-term liabilities on the Company’s Consolidated Balance Sheet, and the impact of the underlying cash flows associated with the Interest Rate Swaps are recorded within interest expense, net on the Company’s Consolidated Statements of Operations. See Note 10, Fair Value Measurements, for more information.</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Leases — </w:t>
      </w:r>
      <w:r>
        <w:rPr>
          <w:rFonts w:ascii="Arial" w:cs="Arial" w:eastAsia="Arial" w:hAnsi="Arial"/>
          <w:sz w:val="17"/>
          <w:szCs w:val="17"/>
          <w:color w:val="auto"/>
        </w:rPr>
        <w:t>The Company determines if an arrangement is or contains a lease at inception or modification of the arrangement. An arrangement is or contains</w:t>
      </w:r>
      <w:r>
        <w:rPr>
          <w:rFonts w:ascii="Arial" w:cs="Arial" w:eastAsia="Arial" w:hAnsi="Arial"/>
          <w:sz w:val="17"/>
          <w:szCs w:val="17"/>
          <w:i w:val="1"/>
          <w:iCs w:val="1"/>
          <w:color w:val="auto"/>
        </w:rPr>
        <w:t xml:space="preserve"> </w:t>
      </w:r>
      <w:r>
        <w:rPr>
          <w:rFonts w:ascii="Arial" w:cs="Arial" w:eastAsia="Arial" w:hAnsi="Arial"/>
          <w:sz w:val="17"/>
          <w:szCs w:val="17"/>
          <w:color w:val="auto"/>
        </w:rPr>
        <w:t>a lease if 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For leases with terms greater than twelve months, the associated lease right-of-use (“ROU”) assets and lease liabilities are recognized at the estimated present value of future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 payments. The Company includes options to extend a lease when it is reasonably certain that such options will be exercised. Lease expense for minimum lease payments is recognized on a straight-line basis over the lease term. See Note 4, Leases, for more information. The Company adopted Accounting Standards Update (“ASU”) No. 2016-02 on August 1, 2019, which required lessees to recognize the assets and liabilities arising from all leases on the balance sheet, using the modified retrospective transition method as provided by the standard. Accordingly, reporting periods beginning on August 1, 2019 are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1" w:name="page82"/>
    <w:bookmarkEnd w:id="81"/>
    <w:p>
      <w:pPr>
        <w:jc w:val="both"/>
        <w:ind w:right="20"/>
        <w:spacing w:after="0" w:line="277" w:lineRule="auto"/>
        <w:rPr>
          <w:sz w:val="20"/>
          <w:szCs w:val="20"/>
          <w:color w:val="auto"/>
        </w:rPr>
      </w:pPr>
      <w:r>
        <w:rPr>
          <w:rFonts w:ascii="Arial" w:cs="Arial" w:eastAsia="Arial" w:hAnsi="Arial"/>
          <w:sz w:val="18"/>
          <w:szCs w:val="18"/>
          <w:color w:val="auto"/>
        </w:rPr>
        <w:t>presented under the new standard, while prior periods were not adjusted and continue to be reported in accordance with the previously applicable accounting guidance.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(“GAAP”) 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2020, the Financial Accounting Standards Board (“FASB”) issued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is in the process of evaluating the effect that the adoption of this standard will have on its Consolidated Financial Statements, but does not expect it will have a material effect.</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ASU 2020-06, “Accounting for Convertible Instruments and Contracts in an Entity’s Own Equity” which simplifies the guidance in Accounting Standards Codifications (“ASC”) 470-20, “Debt – Debt with Conversion and Other Options” by reducing the number of accounting separation models for convertible instruments, amending the guidance in ASC 815-40, “Derivatives and Hedging – Contracts in Entity’s Own Equity” for certain contracts in an entity’s own equity that are currently accounted for as derivatives, and requiring entities to use the if-converted method for all convertible instruments in the diluted earnings per share (“EPS”) calculation. This standard will be effective for fiscal years beginning after December 15, 2021, including interim periods within those fiscal years (the Company’s first quarter of the fiscal year ending July 31, 2023). Early adoption is permitted, but no earlier than fiscal years beginning after December 15, 2020, including interim periods within those fiscal years (the Company’s first quarter of the fiscal year ending July 31, 2022). This standard allows for a modified retrospective or fully retrospective method of transition. The Company will adopt ASU 2020-06 on August 1, 2022 and expects to use the modified retrospective method, and therefore financial information for periods before August 1, 2022 will remain unchanged. As a result of the adoption of ASU 2020-06, the Company expects that it will reclassify the equity component of its 0.0% Convertible Notes (as defined in Note 6, Long-Term Debt) to long-term debt, net, and it will no longer record interest expense related to the amortization of the debt discount.</w:t>
      </w:r>
    </w:p>
    <w:p>
      <w:pPr>
        <w:spacing w:after="0" w:line="175"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197" w:lineRule="exact"/>
        <w:rPr>
          <w:sz w:val="20"/>
          <w:szCs w:val="20"/>
          <w:color w:val="auto"/>
        </w:rPr>
      </w:pPr>
    </w:p>
    <w:p>
      <w:pPr>
        <w:jc w:val="both"/>
        <w:ind w:left="660" w:hanging="328"/>
        <w:spacing w:after="0" w:line="288"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Mountain revenue is derived from a wide variety of sources, including, among other things: lift revenue, which includes sales of lift tickets and pass products;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and internet advertising revenue, municipal services and lodging and transportation operations at the Company’s Australian ski areas. Revenue is recognized over time as performance obligations are satisfied as control of the good or service (e.g.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pass products. Deferred revenue is generally recognized throughout the ski season as the Company’s performance obligations are satisfied as control of the service (e.g. access to ski areas throughout the ski season) is transferred to the customer. Transfer of</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2" w:name="page83"/>
    <w:bookmarkEnd w:id="82"/>
    <w:p>
      <w:pPr>
        <w:jc w:val="both"/>
        <w:ind w:left="660"/>
        <w:spacing w:after="0" w:line="296" w:lineRule="auto"/>
        <w:rPr>
          <w:sz w:val="20"/>
          <w:szCs w:val="20"/>
          <w:color w:val="auto"/>
        </w:rPr>
      </w:pPr>
      <w:r>
        <w:rPr>
          <w:rFonts w:ascii="Arial" w:cs="Arial" w:eastAsia="Arial" w:hAnsi="Arial"/>
          <w:sz w:val="16"/>
          <w:szCs w:val="16"/>
          <w:color w:val="auto"/>
        </w:rPr>
        <w:t>control is based on an estimated number of pass product holder visits relative to total expected visits. Total expected visits are estimated based on historical data, and the Company believes this estimate provides a faithful depiction of its customers’ pass product usage. When sufficient historical data to determine usage patterns is not available, such as in the case of new product offerings, deferred revenue is recognized on a straight-line basis throughout the ski season until sufficient historical usage patterns are available. The Company also includes other sources of revenue, primarily related to commercial leasing and employee housing leasing arrangements, within other mountain revenue.</w:t>
      </w:r>
    </w:p>
    <w:p>
      <w:pPr>
        <w:spacing w:after="0" w:line="188" w:lineRule="exact"/>
        <w:rPr>
          <w:sz w:val="20"/>
          <w:szCs w:val="20"/>
          <w:color w:val="auto"/>
        </w:rPr>
      </w:pPr>
    </w:p>
    <w:p>
      <w:pPr>
        <w:jc w:val="both"/>
        <w:ind w:left="660" w:hanging="328"/>
        <w:spacing w:after="0" w:line="290"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192"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the provisions of Topic 606 in determining whether contracts contain a financing component. The Company presents revenues in the accompanying Consolidated Statements of Operations, net of taxes, when collected from its customers that are remitted or payable to government taxing authorities, except when products are inclusive of taxes where applicable.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the COVID-19 pandemic, the Company closed its North American destination mountain resorts, regional ski areas and retail stores early during the 2019/2020 North American ski season, beginning on March 15, 2020. Subsequently, the Company announced a credit offer for all existing 2019/2020 North American ski season pass product holders to purchase 2020/2021 North American ski season pass products at a discount (the “Credit Offer”). The Credit Offer discounts ranged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The Credit Offer was considered a contract modification which constituted an option to purchase an additional pass product for 2019/2020 North American ski season guests and, as such, represented a separate performance obligation to which the Company allocated a transaction price of approximately $120.9 million. As a result, the Company deferred $120.9 million of pass product revenue, which would have otherwise been recognized as lift revenue during the year ended July 31, 2020. The Credit Offer expired on September 17, 2020 and the Company recorded $15.4 million as lift revenue during the three months ended October 31, 2020, which was the amount of Credit Offer discounts which were not redeemed. The remaining deferred revenue associated with the Credit Offer was recognized as lift revenue primarily during the 2020/2021 North American ski season, as the performance obligations were satisfied.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2020, the Company announced Epic Coverage, which is included with the purchase of all pass products for no additional charge. Epic Coverage offers refunds to pass product holders if certain qualifying personal or resort closure events occur before or during the ski season. The estimated amount of refunds reduce the amount of pass product revenue recognized by the Company. To estimate the amount of refunds under Epic Coverage, the Company considers (i) historical claims data for personal events, (ii) provincial, state, county and local COVID-19 regulations and public health orders, (iii) the ability for the Company’s pass holders to make reservations on their preferred days (for only the 2020/2021 North American ski season, during which the Company utilized a reservation system) and (iv) the Company’s operating plans for its resorts. The Company believes the estimates of refunds are reasonable; however, actual results could vary materially from such estimates, and such estimates will be remeasured at each reporting date.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for the 2020/2021 North American ski season, the Company introduced Epic Mountain Rewards, a program which provides pass product holders a discount of 20% off on-mountain food and beverage, lodging, group ski school lessons, equipment rentals and more at the Company’s North American owned and operated Resorts. Epic Mountain Rewards constitutes an option to our guests to purchase additional products and services from us at a discount and as a result, the Company allocates a portion of the pass product transaction price to these other lines of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years ended July 31, 2021, 2020 and 2019 (in thousands):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Year ended July 31,</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10"/>
        </w:trPr>
        <w:tc>
          <w:tcPr>
            <w:tcW w:w="6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Lift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1,076,578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913,091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1,033,234</w:t>
            </w:r>
          </w:p>
        </w:tc>
      </w:tr>
      <w:tr>
        <w:trPr>
          <w:trHeight w:val="229"/>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144,227</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189,131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215,060</w:t>
            </w: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90,329</w:t>
            </w:r>
          </w:p>
        </w:tc>
        <w:tc>
          <w:tcPr>
            <w:tcW w:w="2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160,763</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181,837</w:t>
            </w:r>
          </w:p>
        </w:tc>
      </w:tr>
      <w:tr>
        <w:trPr>
          <w:trHeight w:val="229"/>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227,993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270,299</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320,267</w:t>
            </w:r>
          </w:p>
        </w:tc>
      </w:tr>
      <w:tr>
        <w:trPr>
          <w:trHeight w:val="229"/>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150,751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177,159</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205,803</w:t>
            </w:r>
          </w:p>
        </w:tc>
      </w:tr>
      <w:tr>
        <w:trPr>
          <w:trHeight w:val="223"/>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1,689,878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1,710,443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1,956,201</w:t>
            </w:r>
          </w:p>
        </w:tc>
      </w:tr>
      <w:tr>
        <w:trPr>
          <w:trHeight w:val="223"/>
        </w:trPr>
        <w:tc>
          <w:tcPr>
            <w:tcW w:w="6540" w:type="dxa"/>
            <w:vAlign w:val="bottom"/>
          </w:tcPr>
          <w:p>
            <w:pPr>
              <w:ind w:left="20"/>
              <w:spacing w:after="0"/>
              <w:rPr>
                <w:sz w:val="20"/>
                <w:szCs w:val="20"/>
                <w:color w:val="auto"/>
              </w:rPr>
            </w:pPr>
            <w:r>
              <w:rPr>
                <w:rFonts w:ascii="Arial" w:cs="Arial" w:eastAsia="Arial" w:hAnsi="Arial"/>
                <w:sz w:val="18"/>
                <w:szCs w:val="18"/>
                <w:color w:val="auto"/>
              </w:rPr>
              <w:t>Lodging net revenue: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Owned hotel rooms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44,992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64,826</w:t>
            </w: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Managed condominium rooms</w:t>
            </w: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72,217</w:t>
            </w:r>
          </w:p>
        </w:tc>
        <w:tc>
          <w:tcPr>
            <w:tcW w:w="2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76,480</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86,236</w:t>
            </w: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Dining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19,068</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38,252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53,730</w:t>
            </w: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Transportation</w:t>
            </w: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9,271</w:t>
            </w:r>
          </w:p>
        </w:tc>
        <w:tc>
          <w:tcPr>
            <w:tcW w:w="2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15,796</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21,275</w:t>
            </w:r>
          </w:p>
        </w:tc>
      </w:tr>
      <w:tr>
        <w:trPr>
          <w:trHeight w:val="229"/>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20,437</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17,412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19,648</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43,007</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44,933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54,617</w:t>
            </w:r>
          </w:p>
        </w:tc>
      </w:tr>
      <w:tr>
        <w:trPr>
          <w:trHeight w:val="223"/>
        </w:trPr>
        <w:tc>
          <w:tcPr>
            <w:tcW w:w="6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211,509</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237,865</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300,332</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Payroll cost reimbursements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6,553</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10,549</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14,330</w:t>
            </w:r>
          </w:p>
        </w:tc>
      </w:tr>
      <w:tr>
        <w:trPr>
          <w:trHeight w:val="223"/>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218,062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248,414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314,662</w:t>
            </w:r>
          </w:p>
        </w:tc>
      </w:tr>
      <w:tr>
        <w:trPr>
          <w:trHeight w:val="223"/>
        </w:trPr>
        <w:tc>
          <w:tcPr>
            <w:tcW w:w="654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1,907,940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1,958,857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2,270,863</w:t>
            </w:r>
          </w:p>
        </w:tc>
      </w:tr>
      <w:tr>
        <w:trPr>
          <w:trHeight w:val="229"/>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1,770</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4,847</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net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1,909,710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1,963,704</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2,271,575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Contract liabilities are recorded primarily as deferred revenues when payments are received or due in advance of the Company’s performance, including amounts which may be refundable. The deferred revenue balance is primarily related to accounts receivable or cash payments recorded in advance of satisfying the Company’s performance obligations related to sales of pass products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pass product selling window, which generally begins in the third quarter of its fiscal year. Deferred revenue balances of a short-term nature were $456.5 million and $256.4 million as of July 31, 2021 and 2020, respectively, and the increase was primarily due to an increase in pass product sales for the 2021/2022 North American ski season as compared to the prior year from the beginning of the selling season through each respective fiscal year-end, due largely to the lack of any spring sales deadlines in fiscal year 2020 as a result of COVID-19. Deferred revenue balances of a long-term nature, comprised primarily of long-term private club initiation fee revenue, were $121.0 million and $121.9 million as of July 31, 2021 and 2020, respectively. For the year ended July 31, 2021, the Company recognized approximately $232.8 million of revenue that was included in the deferred revenue balance as of July 31, 2020. As of July 31, 2021, the weighted average remaining period over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which revenue for unsatisfied performance obligations on long-term private club contracts will be recognized was approximately 16 years.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are recorded as trade receivables when the right to consideration is unconditional. Trade receivable balances were $345.4 million and $106.7 million as of July 31, 2021 and 2020, respectively. Payments from customers are based on billing terms established in the contracts with customers, which vary by the type of customer, the location and the products or services offered. The term between invoicing and when payment is due is not significant. For certain products or services and customer types, contracts require payment before the products are delivered or services are provided to the customer. Impairment losses related to contract assets are recognized through the Company’s allowance for doubtful accounts analysis. Contract asset write-offs are evaluated on an individual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that credit card fees and sales commissions paid in order to obtain season ski pass products contracts are recoverable. Accordingly, the Company records these amounts as assets when they are paid prior to the start of the ski season. As of July 31, 2021, $3.1 million of costs to obtain contracts with customers were recorded within other current assets on the Company’s Consolidated Balance Sheet. Deferred credit card fees and sales commissions are amortized commensurate with the recognition of season ski pass revenue. The Company recorded amortization of $17.8 million, $11.0 million and $10.6 million for these costs during the years ended July 31, 2021, 2020 and 2019, respectively, which were recorded within Mountain and Lodging operating expenses on the Company’s Consolidated Statement of Operations.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Utilizing the practical expedient provided for under Topic 606, the Company has elected to expense credit card fees and sales commissions related to non-season ski pass products and services as incurred, as the amortization period is generally one year or less for the time between customer purchase and utilization. These fees are recorded within Mountain and Lodging operating expenses on the Company’s Consolidated Statements of Operations.</w:t>
      </w:r>
    </w:p>
    <w:p>
      <w:pPr>
        <w:spacing w:after="0" w:line="145"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operating leases consist primarily of commercial and retail space, office space, employee residential units, vehicles and other equipment. The Company determines if an arrangement is or contains a lease at contract inception or modification. The Company’s lease contracts generally range from 1 year to 60 years, with some lease contracts containing one or more lease extension options, exercisable at the Company’s discretion. The Company generally does not include these lease extension options in the initial lease term as it is not reasonably certain that it will exercise such options at contract inception. In addition, certain lease arrangements contain fixed and variable lease payments. The variable lease payments are primarily contingent rental payments 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in the Company’s Consolidated Statements of Operations in the same line item as the expense arising from the respective fixed lease payments. The Company’s lease agreements may also include non-lease components, such as common area maintenance and insurance, which are accounted for separately. Future lease payments that are contingent and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long-lived assets impairment guidance to determine recognition and measurement of an ROU asset impairment, if any. The Company monitors for events or changes in circumstances that require a reassessment.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The components of lease expense for the years ended July 31, 2021 and 2020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Year ended July 31,</w:t>
            </w:r>
          </w:p>
        </w:tc>
        <w:tc>
          <w:tcPr>
            <w:tcW w:w="1280" w:type="dxa"/>
            <w:vAlign w:val="bottom"/>
            <w:tcBorders>
              <w:bottom w:val="single" w:sz="8" w:color="auto"/>
            </w:tcBorders>
          </w:tcPr>
          <w:p>
            <w:pPr>
              <w:spacing w:after="0"/>
              <w:rPr>
                <w:sz w:val="16"/>
                <w:szCs w:val="16"/>
                <w:color w:val="auto"/>
              </w:rPr>
            </w:pPr>
          </w:p>
        </w:tc>
      </w:tr>
      <w:tr>
        <w:trPr>
          <w:trHeight w:val="187"/>
        </w:trPr>
        <w:tc>
          <w:tcPr>
            <w:tcW w:w="7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Amortization of the finance ROU assets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9,753</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9,753</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34,612</w:t>
            </w:r>
          </w:p>
        </w:tc>
        <w:tc>
          <w:tcPr>
            <w:tcW w:w="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expense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43,418</w:t>
            </w:r>
          </w:p>
        </w:tc>
        <w:tc>
          <w:tcPr>
            <w:tcW w:w="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43,303</w:t>
            </w:r>
          </w:p>
        </w:tc>
      </w:tr>
      <w:tr>
        <w:trPr>
          <w:trHeight w:val="229"/>
        </w:trPr>
        <w:tc>
          <w:tcPr>
            <w:tcW w:w="71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Short-term lease expense </w:t>
            </w:r>
            <w:r>
              <w:rPr>
                <w:rFonts w:ascii="Arial" w:cs="Arial" w:eastAsia="Arial" w:hAnsi="Arial"/>
                <w:sz w:val="23"/>
                <w:szCs w:val="23"/>
                <w:color w:val="auto"/>
                <w:vertAlign w:val="superscript"/>
              </w:rPr>
              <w:t>(1)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13,638</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13,943</w:t>
            </w:r>
          </w:p>
        </w:tc>
      </w:tr>
      <w:tr>
        <w:trPr>
          <w:trHeight w:val="229"/>
        </w:trPr>
        <w:tc>
          <w:tcPr>
            <w:tcW w:w="7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Variable lease expense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1,660</w:t>
            </w:r>
          </w:p>
        </w:tc>
        <w:tc>
          <w:tcPr>
            <w:tcW w:w="7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bl>
    <w:p>
      <w:pPr>
        <w:spacing w:after="0" w:line="121" w:lineRule="exact"/>
        <w:rPr>
          <w:sz w:val="20"/>
          <w:szCs w:val="20"/>
          <w:color w:val="auto"/>
        </w:rPr>
      </w:pPr>
    </w:p>
    <w:p>
      <w:pPr>
        <w:ind w:left="340" w:right="20" w:hanging="8"/>
        <w:spacing w:after="0" w:line="277" w:lineRule="auto"/>
        <w:tabs>
          <w:tab w:leader="none" w:pos="6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Short-term lease expense is attributable to leases with terms of 12 months or less which are not included within the Company’s Consolidated Balance Sheets.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supplemental cash flow information associated with the Company’s leasing activities for the years ended July 31, 2021 and 2020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4"/>
                <w:szCs w:val="14"/>
                <w:b w:val="1"/>
                <w:bCs w:val="1"/>
                <w:color w:val="auto"/>
              </w:rPr>
              <w:t>Year ended July 31,</w:t>
            </w: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7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supplemental information:</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Operating cash outflows for operating leases</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56,942</w:t>
            </w:r>
          </w:p>
        </w:tc>
        <w:tc>
          <w:tcPr>
            <w:tcW w:w="1460" w:type="dxa"/>
            <w:vAlign w:val="bottom"/>
          </w:tcPr>
          <w:p>
            <w:pPr>
              <w:jc w:val="right"/>
              <w:ind w:right="119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55,344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for finance leases</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31,429</w:t>
            </w:r>
          </w:p>
        </w:tc>
        <w:tc>
          <w:tcPr>
            <w:tcW w:w="1460" w:type="dxa"/>
            <w:vAlign w:val="bottom"/>
            <w:shd w:val="clear" w:color="auto" w:fill="CCEEFF"/>
          </w:tcPr>
          <w:p>
            <w:pPr>
              <w:jc w:val="right"/>
              <w:ind w:right="119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29,311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Financing cash outflows for finance leases</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9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5,387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supplemental information:</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ROU assets obtained in exchange for operating lease obligations</w:t>
            </w:r>
          </w:p>
        </w:tc>
        <w:tc>
          <w:tcPr>
            <w:tcW w:w="122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12,615</w:t>
            </w:r>
          </w:p>
        </w:tc>
        <w:tc>
          <w:tcPr>
            <w:tcW w:w="1460" w:type="dxa"/>
            <w:vAlign w:val="bottom"/>
            <w:tcBorders>
              <w:bottom w:val="single" w:sz="8" w:color="auto"/>
            </w:tcBorders>
          </w:tcPr>
          <w:p>
            <w:pPr>
              <w:jc w:val="right"/>
              <w:ind w:right="119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18,013</w:t>
            </w:r>
          </w:p>
        </w:tc>
        <w:tc>
          <w:tcPr>
            <w:tcW w:w="20" w:type="dxa"/>
            <w:vAlign w:val="bottom"/>
          </w:tcPr>
          <w:p>
            <w:pPr>
              <w:spacing w:after="0"/>
              <w:rPr>
                <w:sz w:val="19"/>
                <w:szCs w:val="19"/>
                <w:color w:val="auto"/>
              </w:rPr>
            </w:pPr>
          </w:p>
        </w:tc>
      </w:tr>
      <w:tr>
        <w:trPr>
          <w:trHeight w:val="520"/>
        </w:trPr>
        <w:tc>
          <w:tcPr>
            <w:tcW w:w="7240" w:type="dxa"/>
            <w:vAlign w:val="bottom"/>
            <w:gridSpan w:val="2"/>
          </w:tcPr>
          <w:p>
            <w:pPr>
              <w:spacing w:after="0"/>
              <w:rPr>
                <w:sz w:val="20"/>
                <w:szCs w:val="20"/>
                <w:color w:val="auto"/>
              </w:rPr>
            </w:pPr>
            <w:r>
              <w:rPr>
                <w:rFonts w:ascii="Arial" w:cs="Arial" w:eastAsia="Arial" w:hAnsi="Arial"/>
                <w:sz w:val="18"/>
                <w:szCs w:val="18"/>
                <w:color w:val="auto"/>
              </w:rPr>
              <w:t>Weighted-average remaining lease terms and discount rates are as follows:</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 2021</w:t>
            </w:r>
          </w:p>
        </w:tc>
        <w:tc>
          <w:tcPr>
            <w:tcW w:w="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 2020</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22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4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r>
        <w:trPr>
          <w:trHeight w:val="230"/>
        </w:trPr>
        <w:tc>
          <w:tcPr>
            <w:tcW w:w="40" w:type="dxa"/>
            <w:vAlign w:val="bottom"/>
            <w:shd w:val="clear" w:color="auto" w:fill="CCEEFF"/>
          </w:tcPr>
          <w:p>
            <w:pPr>
              <w:spacing w:after="0"/>
              <w:rPr>
                <w:sz w:val="19"/>
                <w:szCs w:val="19"/>
                <w:color w:val="auto"/>
              </w:rPr>
            </w:pP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41.9</w:t>
            </w:r>
          </w:p>
        </w:tc>
        <w:tc>
          <w:tcPr>
            <w:tcW w:w="14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r>
      <w:tr>
        <w:trPr>
          <w:trHeight w:val="229"/>
        </w:trPr>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4.5 %</w:t>
            </w:r>
          </w:p>
        </w:tc>
        <w:tc>
          <w:tcPr>
            <w:tcW w:w="14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r>
      <w:tr>
        <w:trPr>
          <w:trHeight w:val="230"/>
        </w:trPr>
        <w:tc>
          <w:tcPr>
            <w:tcW w:w="40" w:type="dxa"/>
            <w:vAlign w:val="bottom"/>
            <w:tcBorders>
              <w:bottom w:val="single" w:sz="8" w:color="auto"/>
            </w:tcBorders>
          </w:tcPr>
          <w:p>
            <w:pPr>
              <w:spacing w:after="0"/>
              <w:rPr>
                <w:sz w:val="19"/>
                <w:szCs w:val="19"/>
                <w:color w:val="auto"/>
              </w:rPr>
            </w:pPr>
          </w:p>
        </w:tc>
        <w:tc>
          <w:tcPr>
            <w:tcW w:w="7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Finance leases</w:t>
            </w: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10.0 %</w:t>
            </w:r>
          </w:p>
        </w:tc>
        <w:tc>
          <w:tcPr>
            <w:tcW w:w="1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10.0 %</w:t>
            </w:r>
          </w:p>
        </w:tc>
      </w:tr>
      <w:tr>
        <w:trPr>
          <w:trHeight w:val="858"/>
        </w:trPr>
        <w:tc>
          <w:tcPr>
            <w:tcW w:w="7240" w:type="dxa"/>
            <w:vAlign w:val="bottom"/>
            <w:gridSpan w:val="2"/>
          </w:tcPr>
          <w:p>
            <w:pPr>
              <w:jc w:val="right"/>
              <w:ind w:right="1430"/>
              <w:spacing w:after="0"/>
              <w:rPr>
                <w:sz w:val="20"/>
                <w:szCs w:val="20"/>
                <w:color w:val="auto"/>
              </w:rPr>
            </w:pPr>
            <w:r>
              <w:rPr>
                <w:rFonts w:ascii="Arial" w:cs="Arial" w:eastAsia="Arial" w:hAnsi="Arial"/>
                <w:sz w:val="18"/>
                <w:szCs w:val="18"/>
                <w:color w:val="auto"/>
              </w:rPr>
              <w:t>84</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Future fixed lease payments for operating and finance leases as of July 31, 2021 reflected by fiscal year (August 1 through July 31)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Operating Leases</w:t>
            </w: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47,036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29,394</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2023</w:t>
            </w:r>
          </w:p>
        </w:tc>
        <w:tc>
          <w:tcPr>
            <w:tcW w:w="2420" w:type="dxa"/>
            <w:vAlign w:val="bottom"/>
          </w:tcPr>
          <w:p>
            <w:pPr>
              <w:spacing w:after="0"/>
              <w:rPr>
                <w:sz w:val="19"/>
                <w:szCs w:val="19"/>
                <w:color w:val="auto"/>
              </w:rPr>
            </w:pP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40,994</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29,982</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36,452</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30,582</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2025</w:t>
            </w:r>
          </w:p>
        </w:tc>
        <w:tc>
          <w:tcPr>
            <w:tcW w:w="2420" w:type="dxa"/>
            <w:vAlign w:val="bottom"/>
          </w:tcPr>
          <w:p>
            <w:pPr>
              <w:spacing w:after="0"/>
              <w:rPr>
                <w:sz w:val="19"/>
                <w:szCs w:val="19"/>
                <w:color w:val="auto"/>
              </w:rPr>
            </w:pP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33,924</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31,193</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30,362</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31,817</w:t>
            </w:r>
          </w:p>
        </w:tc>
      </w:tr>
      <w:tr>
        <w:trPr>
          <w:trHeight w:val="229"/>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2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109,063</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1,742,038</w:t>
            </w:r>
          </w:p>
        </w:tc>
      </w:tr>
      <w:tr>
        <w:trPr>
          <w:trHeight w:val="22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future minimum lease payments</w:t>
            </w:r>
          </w:p>
        </w:tc>
        <w:tc>
          <w:tcPr>
            <w:tcW w:w="2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297,831</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1,895,006</w:t>
            </w:r>
          </w:p>
        </w:tc>
      </w:tr>
      <w:tr>
        <w:trPr>
          <w:trHeight w:val="229"/>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2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(72,249)</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(1,543,186)</w:t>
            </w:r>
          </w:p>
        </w:tc>
      </w:tr>
      <w:tr>
        <w:trPr>
          <w:trHeight w:val="230"/>
        </w:trPr>
        <w:tc>
          <w:tcPr>
            <w:tcW w:w="5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2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225,582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351,820</w:t>
            </w: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portion of operating lease liabilities of approximately $34.7 million and $36.6 million as of July 31, 2021 and 2020, respectively, are recorded within accounts payables and accrued liabilities in the Consolidated Balance Sheet. Finance lease liabilities are recorded within long-term debt, net in the Consolidated Balance Sheets.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Canyons finance lease obligation represents the only material finance lease entered into by the Company and was $351.8 million and $346.0 million as of July 31, 2021 and 2020, respectively, which represents the estimated annual fixed lease payments for the remaining initial 50 year term of the lease assuming annual increases at the floor of 2% and discounted using an interest rate of 10%. As of July 31, 2021 and 2020, respectively, the Company has recorded $108.0 million and $117.8 million of finance lease ROU assets in connection with the Canyons lease, net of $75.5 million and $65.8 million of accumulated amortization, which is included within property, plant and equipment, net in the Company’s Consolidated Balance Sheet.</w:t>
      </w:r>
    </w:p>
    <w:p>
      <w:pPr>
        <w:spacing w:after="0" w:line="15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Net Income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acquisition of Whistler Blackcomb in October 2016 (see Note 7,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the Vail Shares and are exchangeable, at any time prior to the seventh anniversary of the closing of the acquisition, into Vail Shares. The Company’s calculation of weighted-average shares outstanding includes the Exchangeco Shares.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Presented below is basic and diluted EPS for the years ended July 31, 2021, 2020 and 2019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Year Ended July 31,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09"/>
        </w:trPr>
        <w:tc>
          <w:tcPr>
            <w:tcW w:w="4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8"/>
                <w:szCs w:val="18"/>
                <w:color w:val="auto"/>
              </w:rPr>
            </w:pPr>
          </w:p>
        </w:tc>
      </w:tr>
      <w:tr>
        <w:trPr>
          <w:trHeight w:val="223"/>
        </w:trPr>
        <w:tc>
          <w:tcPr>
            <w:tcW w:w="4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Basic</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Diluted</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Basic</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Diluted</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Basic</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Diluted</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127,850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127,850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98,833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98,833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301,163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301,163</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40,266</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40,266</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40,227</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40,292</w:t>
            </w:r>
          </w:p>
        </w:tc>
      </w:tr>
      <w:tr>
        <w:trPr>
          <w:trHeight w:val="22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Exchangeco shares outstanding</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Weighted-average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40,301</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40,301</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40,349</w:t>
            </w:r>
          </w:p>
        </w:tc>
      </w:tr>
      <w:tr>
        <w:trPr>
          <w:trHeight w:val="22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r>
      <w:tr>
        <w:trPr>
          <w:trHeight w:val="223"/>
        </w:trPr>
        <w:tc>
          <w:tcPr>
            <w:tcW w:w="4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40,301</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40,828</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40,273</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40,838</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40,349</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41,158</w:t>
            </w: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bl>
    <w:p>
      <w:pPr>
        <w:spacing w:after="0" w:line="2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computes the effect of dilutive securities using the treasury stock method and average market prices during the period. The number of shares issuable on the exercise of share based awards that were excluded from the calculation of diluted net income per share because the effect of their inclusion would have been anti-dilutive totaled approximately 2,000, 2,000 and 4,000 for the years ended July 31, 2021, 2020 and 2019, respectively.</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18, 2020, the Company completed an offering of $575.0 million in aggregate principal amount of 0.0% Convertible Notes (as defined in Note 6, Long-Term Debt). The Company is required to settle the principal amount of the 0.0% Convertible Notes in cash and has the option to settle the conversion spread in cash or shares. The Company uses the treasury method to calculate diluted EPS, and if the conversion value of the 0.0% Convertible Notes exceeds their conversion price of $407.17 per share of common stock, then the Company will calculate its diluted EPS as if all the notes were converted and the Company issued shares of its common stock to settle the excess value over the conversion price. The par value of the 0.0% Convertible Notes is required to be settled in cash and therefore would not impact diluted EPS. However, if reflecting the 0.0% Convertible Notes in diluted EPS in this manner is anti-dilutive, or if the conversion value of the notes does not exceed their initial conversion amount for a reporting period, then the shares underlying the notes will not be reflected in the Company’s calculation of diluted EPS. For the year ended July 31, 2021, the average price of Vail Shares did not exceed the conversion price and therefore there was no impact to diluted EPS during those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did not pay cash dividends during the year ended July 31, 2021. During the years ended July 31, 2020 and 2019, the Company paid cash dividends of $5.28 per share ($212.7 million in the aggregate) and $6.46 per share ($260.6 million in the aggregate), respectively. On September 22, 2021 the Company’s Board of Directors approved a cash dividend of $0.88 per share payable on October 22, 2021 to stockholders of record as of October 5, 2021. Additionally, a Canadian dollar equivalent dividend on the Exchangeco Shares will be payable on October 22, 2021 to the shareholders of record on October 5,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8" w:name="page89"/>
    <w:bookmarkEnd w:id="88"/>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July 31, 2021 and 2020 is summarized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Maturity</w:t>
            </w:r>
          </w:p>
        </w:tc>
        <w:tc>
          <w:tcPr>
            <w:tcW w:w="600" w:type="dxa"/>
            <w:vAlign w:val="bottom"/>
          </w:tcPr>
          <w:p>
            <w:pPr>
              <w:spacing w:after="0"/>
              <w:rPr>
                <w:sz w:val="14"/>
                <w:szCs w:val="14"/>
                <w:color w:val="auto"/>
              </w:rPr>
            </w:pPr>
          </w:p>
        </w:tc>
        <w:tc>
          <w:tcPr>
            <w:tcW w:w="1360" w:type="dxa"/>
            <w:vAlign w:val="bottom"/>
          </w:tcPr>
          <w:p>
            <w:pPr>
              <w:jc w:val="right"/>
              <w:ind w:right="512"/>
              <w:spacing w:after="0"/>
              <w:rPr>
                <w:sz w:val="20"/>
                <w:szCs w:val="20"/>
                <w:color w:val="auto"/>
              </w:rPr>
            </w:pPr>
            <w:r>
              <w:rPr>
                <w:rFonts w:ascii="Arial" w:cs="Arial" w:eastAsia="Arial" w:hAnsi="Arial"/>
                <w:sz w:val="14"/>
                <w:szCs w:val="14"/>
                <w:b w:val="1"/>
                <w:bCs w:val="1"/>
                <w:color w:val="auto"/>
              </w:rPr>
              <w:t>July 31,</w:t>
            </w:r>
          </w:p>
        </w:tc>
        <w:tc>
          <w:tcPr>
            <w:tcW w:w="400" w:type="dxa"/>
            <w:vAlign w:val="bottom"/>
          </w:tcPr>
          <w:p>
            <w:pPr>
              <w:spacing w:after="0"/>
              <w:rPr>
                <w:sz w:val="14"/>
                <w:szCs w:val="14"/>
                <w:color w:val="auto"/>
              </w:rPr>
            </w:pPr>
          </w:p>
        </w:tc>
        <w:tc>
          <w:tcPr>
            <w:tcW w:w="1400" w:type="dxa"/>
            <w:vAlign w:val="bottom"/>
          </w:tcPr>
          <w:p>
            <w:pPr>
              <w:jc w:val="right"/>
              <w:ind w:right="552"/>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Vail Holdings Credit Agreement revolver </w:t>
            </w:r>
            <w:r>
              <w:rPr>
                <w:rFonts w:ascii="Arial" w:cs="Arial" w:eastAsia="Arial" w:hAnsi="Arial"/>
                <w:sz w:val="23"/>
                <w:szCs w:val="23"/>
                <w:color w:val="auto"/>
                <w:vertAlign w:val="superscript"/>
              </w:rPr>
              <w:t>(a)</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2024</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Vail Holdings Credit Agreement term loan </w:t>
            </w:r>
            <w:r>
              <w:rPr>
                <w:rFonts w:ascii="Arial" w:cs="Arial" w:eastAsia="Arial" w:hAnsi="Arial"/>
                <w:sz w:val="23"/>
                <w:szCs w:val="23"/>
                <w:color w:val="auto"/>
                <w:vertAlign w:val="superscript"/>
              </w:rPr>
              <w:t>(a)</w:t>
            </w:r>
          </w:p>
        </w:tc>
        <w:tc>
          <w:tcPr>
            <w:tcW w:w="1860" w:type="dxa"/>
            <w:vAlign w:val="bottom"/>
          </w:tcPr>
          <w:p>
            <w:pPr>
              <w:jc w:val="center"/>
              <w:ind w:left="492"/>
              <w:spacing w:after="0"/>
              <w:rPr>
                <w:sz w:val="20"/>
                <w:szCs w:val="20"/>
                <w:color w:val="auto"/>
              </w:rPr>
            </w:pPr>
            <w:r>
              <w:rPr>
                <w:rFonts w:ascii="Arial" w:cs="Arial" w:eastAsia="Arial" w:hAnsi="Arial"/>
                <w:sz w:val="18"/>
                <w:szCs w:val="18"/>
                <w:color w:val="auto"/>
                <w:w w:val="89"/>
              </w:rPr>
              <w:t>2024</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1,140,625</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1,203,125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6.25% Notes </w:t>
            </w:r>
            <w:r>
              <w:rPr>
                <w:rFonts w:ascii="Arial" w:cs="Arial" w:eastAsia="Arial" w:hAnsi="Arial"/>
                <w:sz w:val="23"/>
                <w:szCs w:val="23"/>
                <w:color w:val="auto"/>
                <w:vertAlign w:val="superscript"/>
              </w:rPr>
              <w:t>(b)</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2025</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0.0% Convertible Notes </w:t>
            </w:r>
            <w:r>
              <w:rPr>
                <w:rFonts w:ascii="Arial" w:cs="Arial" w:eastAsia="Arial" w:hAnsi="Arial"/>
                <w:sz w:val="23"/>
                <w:szCs w:val="23"/>
                <w:color w:val="auto"/>
                <w:vertAlign w:val="superscript"/>
              </w:rPr>
              <w:t>(c)</w:t>
            </w:r>
          </w:p>
        </w:tc>
        <w:tc>
          <w:tcPr>
            <w:tcW w:w="1860" w:type="dxa"/>
            <w:vAlign w:val="bottom"/>
          </w:tcPr>
          <w:p>
            <w:pPr>
              <w:jc w:val="center"/>
              <w:ind w:left="492"/>
              <w:spacing w:after="0"/>
              <w:rPr>
                <w:sz w:val="20"/>
                <w:szCs w:val="20"/>
                <w:color w:val="auto"/>
              </w:rPr>
            </w:pPr>
            <w:r>
              <w:rPr>
                <w:rFonts w:ascii="Arial" w:cs="Arial" w:eastAsia="Arial" w:hAnsi="Arial"/>
                <w:sz w:val="18"/>
                <w:szCs w:val="18"/>
                <w:color w:val="auto"/>
                <w:w w:val="89"/>
              </w:rPr>
              <w:t>2026</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575,000</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Whistler Credit Agreement revolver </w:t>
            </w:r>
            <w:r>
              <w:rPr>
                <w:rFonts w:ascii="Arial" w:cs="Arial" w:eastAsia="Arial" w:hAnsi="Arial"/>
                <w:sz w:val="23"/>
                <w:szCs w:val="23"/>
                <w:color w:val="auto"/>
                <w:vertAlign w:val="superscript"/>
              </w:rPr>
              <w:t>(d)</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2024</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44,891</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58,236</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EPR Secured Notes </w:t>
            </w:r>
            <w:r>
              <w:rPr>
                <w:rFonts w:ascii="Arial" w:cs="Arial" w:eastAsia="Arial" w:hAnsi="Arial"/>
                <w:sz w:val="23"/>
                <w:szCs w:val="23"/>
                <w:color w:val="auto"/>
                <w:vertAlign w:val="superscript"/>
              </w:rPr>
              <w:t>(e)</w:t>
            </w:r>
          </w:p>
        </w:tc>
        <w:tc>
          <w:tcPr>
            <w:tcW w:w="1860" w:type="dxa"/>
            <w:vAlign w:val="bottom"/>
          </w:tcPr>
          <w:p>
            <w:pPr>
              <w:jc w:val="center"/>
              <w:ind w:left="472"/>
              <w:spacing w:after="0"/>
              <w:rPr>
                <w:sz w:val="20"/>
                <w:szCs w:val="20"/>
                <w:color w:val="auto"/>
              </w:rPr>
            </w:pPr>
            <w:r>
              <w:rPr>
                <w:rFonts w:ascii="Arial" w:cs="Arial" w:eastAsia="Arial" w:hAnsi="Arial"/>
                <w:sz w:val="18"/>
                <w:szCs w:val="18"/>
                <w:color w:val="auto"/>
                <w:w w:val="90"/>
              </w:rPr>
              <w:t>2034-2036</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114,162</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114,162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EB-5 Development Notes </w:t>
            </w:r>
            <w:r>
              <w:rPr>
                <w:rFonts w:ascii="Arial" w:cs="Arial" w:eastAsia="Arial" w:hAnsi="Arial"/>
                <w:sz w:val="23"/>
                <w:szCs w:val="23"/>
                <w:color w:val="auto"/>
                <w:vertAlign w:val="superscript"/>
              </w:rPr>
              <w:t>(f)</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2021</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Employee housing bonds </w:t>
            </w:r>
            <w:r>
              <w:rPr>
                <w:rFonts w:ascii="Arial" w:cs="Arial" w:eastAsia="Arial" w:hAnsi="Arial"/>
                <w:sz w:val="23"/>
                <w:szCs w:val="23"/>
                <w:color w:val="auto"/>
                <w:vertAlign w:val="superscript"/>
              </w:rPr>
              <w:t>(g)</w:t>
            </w:r>
          </w:p>
        </w:tc>
        <w:tc>
          <w:tcPr>
            <w:tcW w:w="1860" w:type="dxa"/>
            <w:vAlign w:val="bottom"/>
          </w:tcPr>
          <w:p>
            <w:pPr>
              <w:jc w:val="center"/>
              <w:ind w:left="472"/>
              <w:spacing w:after="0"/>
              <w:rPr>
                <w:sz w:val="20"/>
                <w:szCs w:val="20"/>
                <w:color w:val="auto"/>
              </w:rPr>
            </w:pPr>
            <w:r>
              <w:rPr>
                <w:rFonts w:ascii="Arial" w:cs="Arial" w:eastAsia="Arial" w:hAnsi="Arial"/>
                <w:sz w:val="18"/>
                <w:szCs w:val="18"/>
                <w:color w:val="auto"/>
                <w:w w:val="90"/>
              </w:rPr>
              <w:t>2027-2039</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52,575</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52,575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Canyons obligation </w:t>
            </w:r>
            <w:r>
              <w:rPr>
                <w:rFonts w:ascii="Arial" w:cs="Arial" w:eastAsia="Arial" w:hAnsi="Arial"/>
                <w:sz w:val="23"/>
                <w:szCs w:val="23"/>
                <w:color w:val="auto"/>
                <w:vertAlign w:val="superscript"/>
              </w:rPr>
              <w:t>(h)</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2063</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351,820</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346,034</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8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0"/>
              </w:rPr>
              <w:t>2021-2033</w:t>
            </w: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17,941</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18,616</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2,948,514</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2,444,248</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Unamortized premiums, discounts and debt issuance costs </w:t>
            </w:r>
            <w:r>
              <w:rPr>
                <w:rFonts w:ascii="Arial" w:cs="Arial" w:eastAsia="Arial" w:hAnsi="Arial"/>
                <w:sz w:val="23"/>
                <w:szCs w:val="23"/>
                <w:color w:val="auto"/>
                <w:vertAlign w:val="superscript"/>
              </w:rPr>
              <w:t>(j)</w:t>
            </w:r>
          </w:p>
        </w:tc>
        <w:tc>
          <w:tcPr>
            <w:tcW w:w="1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98,222</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Current maturities </w:t>
            </w:r>
            <w:r>
              <w:rPr>
                <w:rFonts w:ascii="Arial" w:cs="Arial" w:eastAsia="Arial" w:hAnsi="Arial"/>
                <w:sz w:val="23"/>
                <w:szCs w:val="23"/>
                <w:color w:val="auto"/>
                <w:vertAlign w:val="superscript"/>
              </w:rPr>
              <w:t>(k)</w:t>
            </w:r>
          </w:p>
        </w:tc>
        <w:tc>
          <w:tcPr>
            <w:tcW w:w="1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114,117</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net</w:t>
            </w:r>
          </w:p>
        </w:tc>
        <w:tc>
          <w:tcPr>
            <w:tcW w:w="1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2,736,175</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2,387,122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8"/>
        <w:spacing w:after="0" w:line="284" w:lineRule="auto"/>
        <w:tabs>
          <w:tab w:leader="none" w:pos="661"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December 18, 2020, Vail Holdings, Inc. (“VHI”), certain subsidiaries of the Company, as guarantors, Bank of America, N.A., as administrative agent, and certain Lenders entered into a Fourth Amendment to the Vail Holdings Credit Agreement (the “Fourth Amendment”). Pursuant to the Fourth Amendment, among other terms, VHI is exempt from complying with the Vail Holdings Credit Agreement’s maximum leverage ratio, senior secured leverage ratio and minimum interest coverage ratio financial maintenance covenants for each of the fiscal quarters ending through January 31, 2022 (unless VHI makes a one-time irrevocable election to terminate such exemption period prior to such date) (such period, the “Financial Covenants Temporary Waiver Period”), after which VHI will again be required to comply with such covenants starting with the fiscal quarter ending April 30,</w:t>
      </w:r>
    </w:p>
    <w:p>
      <w:pPr>
        <w:spacing w:after="0" w:line="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2022 (or such earlier fiscal quarter as elected by VHI). After the expiration of the Financial Covenants Temporary Waiver Period:</w:t>
      </w:r>
    </w:p>
    <w:p>
      <w:pPr>
        <w:spacing w:after="0" w:line="264" w:lineRule="exact"/>
        <w:rPr>
          <w:rFonts w:ascii="Arial" w:cs="Arial" w:eastAsia="Arial" w:hAnsi="Arial"/>
          <w:sz w:val="16"/>
          <w:szCs w:val="16"/>
          <w:color w:val="auto"/>
        </w:rPr>
      </w:pPr>
    </w:p>
    <w:p>
      <w:pPr>
        <w:ind w:left="980" w:hanging="243"/>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maximum ratio permitted under the maximum leverage ratio financial maintenance covenant shall be 6.25 to 1.00;</w:t>
      </w:r>
    </w:p>
    <w:p>
      <w:pPr>
        <w:spacing w:after="0" w:line="23" w:lineRule="exact"/>
        <w:rPr>
          <w:rFonts w:ascii="Arial" w:cs="Arial" w:eastAsia="Arial" w:hAnsi="Arial"/>
          <w:sz w:val="18"/>
          <w:szCs w:val="18"/>
          <w:color w:val="auto"/>
        </w:rPr>
      </w:pPr>
    </w:p>
    <w:p>
      <w:pPr>
        <w:ind w:left="960" w:hanging="223"/>
        <w:spacing w:after="0" w:line="225" w:lineRule="auto"/>
        <w:tabs>
          <w:tab w:leader="none" w:pos="960" w:val="left"/>
        </w:tabs>
        <w:numPr>
          <w:ilvl w:val="1"/>
          <w:numId w:val="53"/>
        </w:numPr>
        <w:rPr>
          <w:rFonts w:ascii="Arial" w:cs="Arial" w:eastAsia="Arial" w:hAnsi="Arial"/>
          <w:sz w:val="20"/>
          <w:szCs w:val="20"/>
          <w:color w:val="auto"/>
        </w:rPr>
      </w:pPr>
      <w:r>
        <w:rPr>
          <w:rFonts w:ascii="Arial" w:cs="Arial" w:eastAsia="Arial" w:hAnsi="Arial"/>
          <w:sz w:val="18"/>
          <w:szCs w:val="18"/>
          <w:color w:val="auto"/>
        </w:rPr>
        <w:t>the maximum ratio permitted under the senior secured leverage ratio financial maintenance covenant shall be 4.00 to 1.00; and</w:t>
      </w:r>
    </w:p>
    <w:p>
      <w:pPr>
        <w:spacing w:after="0" w:line="4" w:lineRule="exact"/>
        <w:rPr>
          <w:rFonts w:ascii="Arial" w:cs="Arial" w:eastAsia="Arial" w:hAnsi="Arial"/>
          <w:sz w:val="20"/>
          <w:szCs w:val="20"/>
          <w:color w:val="auto"/>
        </w:rPr>
      </w:pPr>
    </w:p>
    <w:p>
      <w:pPr>
        <w:ind w:left="980" w:hanging="243"/>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minimum ratio permitted under the minimum interest coverage ratio financial maintenance covenant will be 2.00 to 1.00.</w:t>
      </w:r>
    </w:p>
    <w:p>
      <w:pPr>
        <w:spacing w:after="0" w:line="9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is prohibited from the following activities during the Financial Covenants Temporary Waiver Period (unless approval is obtained by a majority of the Lenders):</w:t>
      </w:r>
    </w:p>
    <w:p>
      <w:pPr>
        <w:spacing w:after="0" w:line="62" w:lineRule="exact"/>
        <w:rPr>
          <w:sz w:val="20"/>
          <w:szCs w:val="20"/>
          <w:color w:val="auto"/>
        </w:rPr>
      </w:pPr>
    </w:p>
    <w:p>
      <w:pPr>
        <w:jc w:val="both"/>
        <w:ind w:left="980" w:hanging="243"/>
        <w:spacing w:after="0" w:line="259"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paying any dividends or making share repurchases, unless (x) no default or potential default exists under the Vail Holdings Credit Agreement and (y) the Company has liquidity (as defined below) of at least $300.0 million, and the aggregate amount of dividends paid and share repurchases made by the Company during the Financial Covenants Temporary Waiver Period may not exceed $38.2 million in any fiscal quarter;</w:t>
      </w:r>
    </w:p>
    <w:p>
      <w:pPr>
        <w:spacing w:after="0" w:line="78" w:lineRule="exact"/>
        <w:rPr>
          <w:rFonts w:ascii="Arial" w:cs="Arial" w:eastAsia="Arial" w:hAnsi="Arial"/>
          <w:sz w:val="18"/>
          <w:szCs w:val="18"/>
          <w:color w:val="auto"/>
        </w:rPr>
      </w:pPr>
    </w:p>
    <w:p>
      <w:pPr>
        <w:ind w:left="980" w:hanging="243"/>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incurring indebtedness secured by the collateral under the Vail Holdings Credit Agreement in an amount in excess of $1.75 billion; and</w:t>
      </w:r>
    </w:p>
    <w:p>
      <w:pPr>
        <w:spacing w:after="0" w:line="128" w:lineRule="exact"/>
        <w:rPr>
          <w:rFonts w:ascii="Arial" w:cs="Arial" w:eastAsia="Arial" w:hAnsi="Arial"/>
          <w:sz w:val="17"/>
          <w:szCs w:val="17"/>
          <w:color w:val="auto"/>
        </w:rPr>
      </w:pPr>
    </w:p>
    <w:p>
      <w:pPr>
        <w:ind w:left="980" w:right="300" w:hanging="243"/>
        <w:spacing w:after="0" w:line="324"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making certain non-ordinary course investments in similar businesses, joint ventures and unrestricted subsidiaries unless the Company has liquidity (as defined below) of at least $300.0 million;</w:t>
      </w:r>
    </w:p>
    <w:p>
      <w:pPr>
        <w:spacing w:after="0" w:line="2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Fourth Amendment also removed certain restrictions under the Financial Covenants Temporary Waiver Period, including (i) removing the restriction on acquisitions so long as the Company has liquidity (as defined below) of at least $300.0 million and (ii) removing the $200.0 million annual limit on capital expenditures.</w:t>
      </w:r>
    </w:p>
    <w:p>
      <w:pPr>
        <w:spacing w:after="0" w:line="7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addition, VHI is required to comply with a monthly minimum liquidity test (liquidity is defined as unrestricted cash and temporary cash investments of VHI and its restricted subsidiaries and available commitments under the Vail Holdings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9" w:name="page90"/>
    <w:bookmarkEnd w:id="89"/>
    <w:p>
      <w:pPr>
        <w:jc w:val="both"/>
        <w:ind w:left="8"/>
        <w:spacing w:after="0" w:line="277" w:lineRule="auto"/>
        <w:rPr>
          <w:sz w:val="20"/>
          <w:szCs w:val="20"/>
          <w:color w:val="auto"/>
        </w:rPr>
      </w:pPr>
      <w:r>
        <w:rPr>
          <w:rFonts w:ascii="Arial" w:cs="Arial" w:eastAsia="Arial" w:hAnsi="Arial"/>
          <w:sz w:val="18"/>
          <w:szCs w:val="18"/>
          <w:color w:val="auto"/>
        </w:rPr>
        <w:t>Credit Agreement revolver) of not less than $150.0 million until the date which VHI delivers a compliance certificate for the Company and its subsidiaries’ first fiscal quarter following the end of the Financial Covenants Temporary Waiver Period.</w:t>
      </w:r>
    </w:p>
    <w:p>
      <w:pPr>
        <w:spacing w:after="0" w:line="62"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During the Financial Covenants Temporary Waiver Period, borrowings under the Vail Holdings Credit Agreement, including the term loan facility, bear interest annually at LIBOR plus 2.50% and, for amounts in excess of $400.0 million, LIBOR is subject to a floor of 0.25% (which decreased from the floor of 0.75% that was in effect prior to the Fourth Amendment).</w:t>
      </w:r>
    </w:p>
    <w:p>
      <w:pPr>
        <w:spacing w:after="0" w:line="76" w:lineRule="exact"/>
        <w:rPr>
          <w:sz w:val="20"/>
          <w:szCs w:val="20"/>
          <w:color w:val="auto"/>
        </w:rPr>
      </w:pPr>
    </w:p>
    <w:p>
      <w:pPr>
        <w:jc w:val="both"/>
        <w:ind w:left="8"/>
        <w:spacing w:after="0" w:line="286" w:lineRule="auto"/>
        <w:rPr>
          <w:sz w:val="20"/>
          <w:szCs w:val="20"/>
          <w:color w:val="auto"/>
        </w:rPr>
      </w:pPr>
      <w:r>
        <w:rPr>
          <w:rFonts w:ascii="Arial" w:cs="Arial" w:eastAsia="Arial" w:hAnsi="Arial"/>
          <w:sz w:val="16"/>
          <w:szCs w:val="16"/>
          <w:color w:val="auto"/>
        </w:rPr>
        <w:t>As of July 31, 2021, the Vail Holdings Credit Agreement consists of a $500.0 million revolving credit facility and a $1.1 billion outstanding term loan facility. The term loan facility is subject to quarterly amortization of principal of approximately $15.6 million (which began in January 2020), in equal installments, for a total of 5%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subject to the Financial Covenants Temporary Waiver Period limitations. Borrowings under the Vail Holdings Credit Agreement, including the term loan facility, bear interest annually at LIBOR plus 2.50% as of July 31, 2021 (2.59% for the first $400.0 million of borrowings, and for amounts in excess of $400.0 million for which LIBOR is subject to a floor of 0.25% during the Financial Covenants Temporary Waiver Period, 2.75%). Other than as impacted by the provisions in place during the Financial Covenants Temporary Waiver Period, interest rate margins may fluctuate based upon the ratio of the Company’s Net Funded Debt to Adjusted EBITDA on a trailing four- 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(0.4% as of July 31, 2021). During the year ended July 31, 2020, the Company entered into various interest rate swap agreements to hedge the LIBOR-based variable interest rate component of underlying cash flows of $400.0 million in principal amount of its Vail Holdings Credit Agreement for the remaining term of the agreement at an effective rate of 1.46%.</w:t>
      </w:r>
    </w:p>
    <w:p>
      <w:pPr>
        <w:spacing w:after="0" w:line="167" w:lineRule="exact"/>
        <w:rPr>
          <w:sz w:val="20"/>
          <w:szCs w:val="20"/>
          <w:color w:val="auto"/>
        </w:rPr>
      </w:pPr>
    </w:p>
    <w:p>
      <w:pPr>
        <w:jc w:val="both"/>
        <w:ind w:left="8" w:hanging="8"/>
        <w:spacing w:after="0" w:line="257" w:lineRule="auto"/>
        <w:tabs>
          <w:tab w:leader="none" w:pos="3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May 4, 2020, the Company completed its offering of $600 million aggregate principal amount of 6.25% senior notes due 2025 at par (the “6.25% Notes”), and a portion of the net proceeds were utilized to pay down the outstanding balance of the revolver component of its Vail Holdings Credit Agreement in its entirety (which will continue to be available to the Company to borrow including throughout the Financial Covenants Temporary Waiver Period) and to pay the fees and expenses associated with the offering, with the remaining net proceeds intended to be used for general corporate purposes.</w:t>
      </w:r>
    </w:p>
    <w:p>
      <w:pPr>
        <w:spacing w:after="0" w:line="80" w:lineRule="exact"/>
        <w:rPr>
          <w:sz w:val="20"/>
          <w:szCs w:val="20"/>
          <w:color w:val="auto"/>
        </w:rPr>
      </w:pPr>
    </w:p>
    <w:p>
      <w:pPr>
        <w:jc w:val="both"/>
        <w:ind w:left="8"/>
        <w:spacing w:after="0" w:line="289" w:lineRule="auto"/>
        <w:rPr>
          <w:sz w:val="20"/>
          <w:szCs w:val="20"/>
          <w:color w:val="auto"/>
        </w:rPr>
      </w:pPr>
      <w:r>
        <w:rPr>
          <w:rFonts w:ascii="Arial" w:cs="Arial" w:eastAsia="Arial" w:hAnsi="Arial"/>
          <w:sz w:val="16"/>
          <w:szCs w:val="16"/>
          <w:color w:val="auto"/>
        </w:rPr>
        <w:t>The Company pays interest on the 6.25% Notes on May 15 and November 15 of each year, which commenced on November 15, 2020. The 6.25% Notes will mature on May 15, 2025. The 6.25% Notes are redeemable, in whole or in part, at any time on or after May 15, 2022 at the redemption prices specified in an indenture dated as of May 4, 2020 (the “6.25% Indenture”) plus accrued and unpaid interest. Prior to May 15, 2022, the Company may redeem some or all of the 6.25% Notes at a redemption price of 100% of the principal amount, plus accrued and unpaid interest, plus a “make-whole” premium as specified in the 6.25% Indenture. In addition, prior to May 15, 2022, the Company may redeem up to 35% of the aggregate principal amount of the 6.25% Notes with an amount not to exceed the net cash proceeds from certain equity offerings at the redemption price of 106.25% of the principal amount of the notes to be redeemed, plus accrued and unpaid interest, if any, to, but excluding, the redemption date. The 6.25% Notes are senior unsecured obligations of the Company, are guaranteed by certain of the Company’s domestic subsidiaries, and rank equally in right of payment with existing and future senior indebtedness of the Company and the guarantors (as defined in the 6.25% Indenture).</w:t>
      </w:r>
    </w:p>
    <w:p>
      <w:pPr>
        <w:spacing w:after="0" w:line="58" w:lineRule="exact"/>
        <w:rPr>
          <w:sz w:val="20"/>
          <w:szCs w:val="20"/>
          <w:color w:val="auto"/>
        </w:rPr>
      </w:pPr>
    </w:p>
    <w:p>
      <w:pPr>
        <w:jc w:val="both"/>
        <w:ind w:left="8"/>
        <w:spacing w:after="0" w:line="273" w:lineRule="auto"/>
        <w:rPr>
          <w:sz w:val="20"/>
          <w:szCs w:val="20"/>
          <w:color w:val="auto"/>
        </w:rPr>
      </w:pPr>
      <w:r>
        <w:rPr>
          <w:rFonts w:ascii="Arial" w:cs="Arial" w:eastAsia="Arial" w:hAnsi="Arial"/>
          <w:sz w:val="17"/>
          <w:szCs w:val="17"/>
          <w:color w:val="auto"/>
        </w:rPr>
        <w:t>The 6.25% Indenture requires that, upon the occurrence of a Change of Control (as defined in the 6.25% Indenture), the Company shall offer to purchase all of the outstanding 6.25% Notes at a purchase price in cash equal to 101% of the outstanding principal amount of the 6.25%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6.25% Notes equal to the excess net cash proceeds at a purchase price of 100% of their principal amount, plus accrued and unpaid interest.</w:t>
      </w:r>
    </w:p>
    <w:p>
      <w:pPr>
        <w:spacing w:after="0" w:line="70"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The 6.25%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6.25% Indenture). The 6.25% Indenture does not contain any financial maintenance covenants. Certain of the covenants will not apply to the 6.25% Notes so long as the 6.25% Notes have investment grade ratings from two specified rating</w:t>
      </w: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03" w:right="339" w:bottom="1440" w:gutter="0" w:footer="0" w:header="0"/>
        </w:sectPr>
      </w:pPr>
    </w:p>
    <w:bookmarkStart w:id="90" w:name="page91"/>
    <w:bookmarkEnd w:id="90"/>
    <w:p>
      <w:pPr>
        <w:jc w:val="both"/>
        <w:ind w:left="8"/>
        <w:spacing w:after="0" w:line="259" w:lineRule="auto"/>
        <w:rPr>
          <w:sz w:val="20"/>
          <w:szCs w:val="20"/>
          <w:color w:val="auto"/>
        </w:rPr>
      </w:pPr>
      <w:r>
        <w:rPr>
          <w:rFonts w:ascii="Arial" w:cs="Arial" w:eastAsia="Arial" w:hAnsi="Arial"/>
          <w:sz w:val="18"/>
          <w:szCs w:val="18"/>
          <w:color w:val="auto"/>
        </w:rPr>
        <w:t>agencies and no event of default has occurred and is continuing under the 6.25% Indenture. The 6.25% Indenture includes customary events of default, including failure to make payment, failure to comply with the obligations set forth in the 6.25% Indenture, certain defaults on certain other indebtedness, certain events of bankruptcy, insolvency or reorganization, and invalidity of the guarantees of the 6.25% Notes issued pursuant to the 6.25% Indenture.</w:t>
      </w:r>
    </w:p>
    <w:p>
      <w:pPr>
        <w:spacing w:after="0" w:line="187" w:lineRule="exact"/>
        <w:rPr>
          <w:sz w:val="20"/>
          <w:szCs w:val="20"/>
          <w:color w:val="auto"/>
        </w:rPr>
      </w:pPr>
    </w:p>
    <w:p>
      <w:pPr>
        <w:jc w:val="both"/>
        <w:ind w:left="8" w:hanging="8"/>
        <w:spacing w:after="0" w:line="275" w:lineRule="auto"/>
        <w:tabs>
          <w:tab w:leader="none" w:pos="329"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 December 18, 2020, the Company completed an offering of $575.0 million in aggregate principal amount of 0.0% Convertible Notes due 2026 in a private placement conducted pursuant to Rule 144A of the Securities Act of 1933, as amended (the “0.0% Convertible Notes”). The 0.0% Convertible Notes were issued under an indenture dated December 18, 2020 (the “Convertible Indenture”) between the Company and U.S. Bank National Association, as Trustee. The 0.0% Convertible Notes do not bear regular interest and the principal amount does not accrete. The 0.0% Convertible Notes mature on January 1, 2026, unless earlier repurchased, redeemed or converted.</w:t>
      </w:r>
    </w:p>
    <w:p>
      <w:pPr>
        <w:spacing w:after="0" w:line="68"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The 0.0% Convertible Notes are general senior unsecured obligations of the Company. The 0.0% Convertible Notes rank senior in right of payment to any future debt that is expressly subordinated, equal in right of payment with the Company’s existing and future liabilities that are not so subordinated, and are subordinated to all of the Company’s existing and future secured debt to the extent of the value of the assets securing such debt. The 0.0% Convertible Notes will also be structurally subordinated to all of the existing and future liabilities and obligations of the Company’s subsidiaries, including such subsidiaries’ guarantees of the 6.25% Notes.</w:t>
      </w:r>
    </w:p>
    <w:p>
      <w:pPr>
        <w:spacing w:after="0" w:line="80"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color w:val="auto"/>
        </w:rPr>
        <w:t>The initial conversion rate was 2.4560 shares per $1,000 principal amount of notes (the “Conversion Rate”), which represents an initial conversion price of approximately $407.17 per share (the “Conversion Price”), and is subject to adjustment upon the occurrence of certain specified events as described in the Convertible Indenture. The principal amount of the 0.0% Convertible Notes is required to be settled in cash. The Company will settle conversions by paying cash, delivering shares of its common stock, or a combination of the two, at its option.</w:t>
      </w:r>
    </w:p>
    <w:p>
      <w:pPr>
        <w:spacing w:after="0" w:line="63" w:lineRule="exact"/>
        <w:rPr>
          <w:sz w:val="20"/>
          <w:szCs w:val="20"/>
          <w:color w:val="auto"/>
        </w:rPr>
      </w:pPr>
    </w:p>
    <w:p>
      <w:pPr>
        <w:ind w:left="8"/>
        <w:spacing w:after="0"/>
        <w:rPr>
          <w:sz w:val="20"/>
          <w:szCs w:val="20"/>
          <w:color w:val="auto"/>
        </w:rPr>
      </w:pPr>
      <w:r>
        <w:rPr>
          <w:rFonts w:ascii="Arial" w:cs="Arial" w:eastAsia="Arial" w:hAnsi="Arial"/>
          <w:sz w:val="18"/>
          <w:szCs w:val="18"/>
          <w:color w:val="auto"/>
        </w:rPr>
        <w:t>Holders may convert their notes, at their option, only under the following circumstances:</w:t>
      </w:r>
    </w:p>
    <w:p>
      <w:pPr>
        <w:spacing w:after="0" w:line="117" w:lineRule="exact"/>
        <w:rPr>
          <w:sz w:val="20"/>
          <w:szCs w:val="20"/>
          <w:color w:val="auto"/>
        </w:rPr>
      </w:pPr>
    </w:p>
    <w:p>
      <w:pPr>
        <w:jc w:val="both"/>
        <w:ind w:left="648" w:hanging="243"/>
        <w:spacing w:after="0" w:line="286" w:lineRule="auto"/>
        <w:tabs>
          <w:tab w:leader="none" w:pos="6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57" w:lineRule="exact"/>
        <w:rPr>
          <w:rFonts w:ascii="Arial" w:cs="Arial" w:eastAsia="Arial" w:hAnsi="Arial"/>
          <w:sz w:val="17"/>
          <w:szCs w:val="17"/>
          <w:color w:val="auto"/>
        </w:rPr>
      </w:pPr>
    </w:p>
    <w:p>
      <w:pPr>
        <w:jc w:val="both"/>
        <w:ind w:left="648" w:hanging="243"/>
        <w:spacing w:after="0" w:line="259" w:lineRule="auto"/>
        <w:tabs>
          <w:tab w:leader="none" w:pos="6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78" w:lineRule="exact"/>
        <w:rPr>
          <w:rFonts w:ascii="Arial" w:cs="Arial" w:eastAsia="Arial" w:hAnsi="Arial"/>
          <w:sz w:val="18"/>
          <w:szCs w:val="18"/>
          <w:color w:val="auto"/>
        </w:rPr>
      </w:pPr>
    </w:p>
    <w:p>
      <w:pPr>
        <w:ind w:left="648" w:hanging="243"/>
        <w:spacing w:after="0"/>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our common stock, as described in the Convertible Indenture;</w:t>
      </w:r>
    </w:p>
    <w:p>
      <w:pPr>
        <w:spacing w:after="0" w:line="117" w:lineRule="exact"/>
        <w:rPr>
          <w:rFonts w:ascii="Arial" w:cs="Arial" w:eastAsia="Arial" w:hAnsi="Arial"/>
          <w:sz w:val="18"/>
          <w:szCs w:val="18"/>
          <w:color w:val="auto"/>
        </w:rPr>
      </w:pPr>
    </w:p>
    <w:p>
      <w:pPr>
        <w:ind w:left="648" w:hanging="243"/>
        <w:spacing w:after="0"/>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Company calls the 0.0% Convertible Notes for redemption; or</w:t>
      </w:r>
    </w:p>
    <w:p>
      <w:pPr>
        <w:spacing w:after="0" w:line="117" w:lineRule="exact"/>
        <w:rPr>
          <w:rFonts w:ascii="Arial" w:cs="Arial" w:eastAsia="Arial" w:hAnsi="Arial"/>
          <w:sz w:val="18"/>
          <w:szCs w:val="18"/>
          <w:color w:val="auto"/>
        </w:rPr>
      </w:pPr>
    </w:p>
    <w:p>
      <w:pPr>
        <w:ind w:left="648" w:hanging="243"/>
        <w:spacing w:after="0"/>
        <w:tabs>
          <w:tab w:leader="none" w:pos="6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any time from, and including, July 1, 2025 until the close of business on the scheduled trading day immediately before the maturity date.</w:t>
      </w:r>
    </w:p>
    <w:p>
      <w:pPr>
        <w:spacing w:after="0" w:line="140" w:lineRule="exact"/>
        <w:rPr>
          <w:sz w:val="20"/>
          <w:szCs w:val="20"/>
          <w:color w:val="auto"/>
        </w:rPr>
      </w:pPr>
    </w:p>
    <w:p>
      <w:pPr>
        <w:jc w:val="both"/>
        <w:ind w:left="8"/>
        <w:spacing w:after="0" w:line="271" w:lineRule="auto"/>
        <w:rPr>
          <w:sz w:val="20"/>
          <w:szCs w:val="20"/>
          <w:color w:val="auto"/>
        </w:rPr>
      </w:pPr>
      <w:r>
        <w:rPr>
          <w:rFonts w:ascii="Arial" w:cs="Arial" w:eastAsia="Arial" w:hAnsi="Arial"/>
          <w:sz w:val="17"/>
          <w:szCs w:val="17"/>
          <w:color w:val="auto"/>
        </w:rPr>
        <w:t>The 0.0% Convertible Notes will be redeemable, in whole or in part, at the Company’s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the Company’s common stock exceeds 130% of the Conversion Price for a specified period of time. If the Company elects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70"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In addition, upon the occurrence of a fundamental change (as defined in the Convertible Indenture), holders of the 0.0% Convertible Notes may require the Company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Convertible Indenture) occur, the Conversion Rate for the 0.0% Convertible Notes may be increased for a specified period of time.</w:t>
      </w: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03" w:right="339" w:bottom="1440" w:gutter="0" w:footer="0" w:header="0"/>
        </w:sectPr>
      </w:pPr>
    </w:p>
    <w:bookmarkStart w:id="91" w:name="page92"/>
    <w:bookmarkEnd w:id="91"/>
    <w:p>
      <w:pPr>
        <w:jc w:val="both"/>
        <w:ind w:left="8"/>
        <w:spacing w:after="0" w:line="257" w:lineRule="auto"/>
        <w:rPr>
          <w:sz w:val="20"/>
          <w:szCs w:val="20"/>
          <w:color w:val="auto"/>
        </w:rPr>
      </w:pPr>
      <w:r>
        <w:rPr>
          <w:rFonts w:ascii="Arial" w:cs="Arial" w:eastAsia="Arial" w:hAnsi="Arial"/>
          <w:sz w:val="18"/>
          <w:szCs w:val="18"/>
          <w:color w:val="auto"/>
        </w:rPr>
        <w:t>The Convertible Indenture includes customary events of default, including failure to make payment, failure to comply with the obligations set forth in the Convertible Indenture, certain defaults on certain other indebtedness, and certain events of bankruptcy, insolvency or reorganization. The Company may elect, at its option, that the sole remedy for an event of default relating to certain failures by the Company to comply with certain reporting covenants in the Convertible Indenture will consist exclusively of the right of the holders of the 0.0% Convertible Notes to receive additional interest on the notes for up to 360 days following such failure.</w:t>
      </w:r>
    </w:p>
    <w:p>
      <w:pPr>
        <w:spacing w:after="0" w:line="80" w:lineRule="exact"/>
        <w:rPr>
          <w:sz w:val="20"/>
          <w:szCs w:val="20"/>
          <w:color w:val="auto"/>
        </w:rPr>
      </w:pPr>
    </w:p>
    <w:p>
      <w:pPr>
        <w:jc w:val="both"/>
        <w:ind w:left="8"/>
        <w:spacing w:after="0" w:line="288" w:lineRule="auto"/>
        <w:rPr>
          <w:sz w:val="20"/>
          <w:szCs w:val="20"/>
          <w:color w:val="auto"/>
        </w:rPr>
      </w:pPr>
      <w:r>
        <w:rPr>
          <w:rFonts w:ascii="Arial" w:cs="Arial" w:eastAsia="Arial" w:hAnsi="Arial"/>
          <w:sz w:val="16"/>
          <w:szCs w:val="16"/>
          <w:color w:val="auto"/>
        </w:rPr>
        <w:t>The Company separately accounts for the liability and equity components of the 0.0% Convertible Notes. The liability component at issuance was recognized at estimated fair value based on the fair value of a similar debt instrument that does not have an embedded convertible feature, and was determined to be $465.3 million and was recorded within long-term debt, net on the Company’s Consolidated Balance Sheet. The excess of the principal amount of the 0.0% Convertible Notes over the initial fair value of the liability component represents a debt discount of $109.7 million and will be amortized to interest expense, net over the term. The balance of the unamortized debt discount was $97.2 million as of July 31, 2021. The carrying amount of the equity component representing the conversion option was approximately $109.7 million and was determined by deducting the initial fair value of the liability component from the total proceeds of the 0.0% Convertible Notes of $575.0 million. Additionally, the Company recorded deferred tax liabilities of approximately $27.5 million related to the equity component of the 0.0% Convertible Notes on the date of issuance, which decreased the recorded value of the equity component. The equity component is recorded within additional paid-in capital on the Company’s Consolidated Balance Sheet and is not remeasured as long as it continues to meet the conditions for equity classification.</w:t>
      </w:r>
    </w:p>
    <w:p>
      <w:pPr>
        <w:spacing w:after="0" w:line="60" w:lineRule="exact"/>
        <w:rPr>
          <w:sz w:val="20"/>
          <w:szCs w:val="20"/>
          <w:color w:val="auto"/>
        </w:rPr>
      </w:pPr>
    </w:p>
    <w:p>
      <w:pPr>
        <w:jc w:val="both"/>
        <w:ind w:left="8"/>
        <w:spacing w:after="0" w:line="308" w:lineRule="auto"/>
        <w:rPr>
          <w:sz w:val="20"/>
          <w:szCs w:val="20"/>
          <w:color w:val="auto"/>
        </w:rPr>
      </w:pPr>
      <w:r>
        <w:rPr>
          <w:rFonts w:ascii="Arial" w:cs="Arial" w:eastAsia="Arial" w:hAnsi="Arial"/>
          <w:sz w:val="17"/>
          <w:szCs w:val="17"/>
          <w:color w:val="auto"/>
        </w:rPr>
        <w:t>Deferred financing costs related to the 0.0% Convertible Notes of approximately $14.9 million were allocated between the liability and equity components of the 0.0% Convertible Notes based on the proportion of the total proceeds allocated to the debt and equity components.</w:t>
      </w:r>
    </w:p>
    <w:p>
      <w:pPr>
        <w:spacing w:after="0" w:line="146" w:lineRule="exact"/>
        <w:rPr>
          <w:sz w:val="20"/>
          <w:szCs w:val="20"/>
          <w:color w:val="auto"/>
        </w:rPr>
      </w:pPr>
    </w:p>
    <w:p>
      <w:pPr>
        <w:jc w:val="both"/>
        <w:ind w:left="8" w:hanging="8"/>
        <w:spacing w:after="0" w:line="267" w:lineRule="auto"/>
        <w:tabs>
          <w:tab w:leader="none" w:pos="326"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and during the year ended July 31, 2020, the Company entered into an amendment of the Whistler Credit Agreement which extended the maturity date of the revolving credit facility to December 15, 2024. No other material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July 31, 2021, in the case of borrowings (i) in Canadian dollars, at the WB Partnerships’ option, either (a) at the Canadian Prime Rate plus 1.00% per annum or (b) by way of the issuance of bankers’ acceptances plus 2.00% per annum; and (ii) in U.S. dollars, at the WB Partnerships option, either at (a) the U.S. Base Rate plus 1.00% per annum or (b) Bankers Acceptance Rate plus 2.00% per annum. As of July 31, 2021, all borrowings under the Whistler Credit Agreement were made in Canadian dollars and by way of the issuance of bankers’ acceptances plus 2.00% (approximately 2.46% as of July 31, 2021). The Whistler Credit Agreement also includes a quarterly unused commitment fee based on the Consolidated Total Leverage Ratio, which as of July 31, 2021 is equal to 0.45%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185" w:lineRule="exact"/>
        <w:rPr>
          <w:rFonts w:ascii="Arial" w:cs="Arial" w:eastAsia="Arial" w:hAnsi="Arial"/>
          <w:sz w:val="17"/>
          <w:szCs w:val="17"/>
          <w:color w:val="auto"/>
        </w:rPr>
      </w:pPr>
    </w:p>
    <w:p>
      <w:pPr>
        <w:jc w:val="both"/>
        <w:ind w:left="8" w:hanging="8"/>
        <w:spacing w:after="0" w:line="286" w:lineRule="auto"/>
        <w:tabs>
          <w:tab w:leader="none" w:pos="329" w:val="left"/>
        </w:tabs>
        <w:numPr>
          <w:ilvl w:val="0"/>
          <w:numId w:val="58"/>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(see Note 7, Acquisitions),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rFonts w:ascii="Arial" w:cs="Arial" w:eastAsia="Arial" w:hAnsi="Arial"/>
          <w:sz w:val="17"/>
          <w:szCs w:val="17"/>
          <w:color w:val="auto"/>
        </w:rPr>
      </w:pPr>
    </w:p>
    <w:p>
      <w:pPr>
        <w:ind w:left="888" w:hanging="416"/>
        <w:spacing w:after="0" w:line="277" w:lineRule="auto"/>
        <w:tabs>
          <w:tab w:leader="none" w:pos="888"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July 31, 2021, interest on this note accrued at a rate of 11.38%.</w:t>
      </w:r>
    </w:p>
    <w:p>
      <w:pPr>
        <w:spacing w:after="0" w:line="200" w:lineRule="exact"/>
        <w:rPr>
          <w:sz w:val="20"/>
          <w:szCs w:val="20"/>
          <w:color w:val="auto"/>
        </w:rPr>
      </w:pPr>
    </w:p>
    <w:p>
      <w:pPr>
        <w:spacing w:after="0" w:line="3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03" w:right="339" w:bottom="1440" w:gutter="0" w:footer="0" w:header="0"/>
        </w:sectPr>
      </w:pPr>
    </w:p>
    <w:bookmarkStart w:id="92" w:name="page93"/>
    <w:bookmarkEnd w:id="92"/>
    <w:p>
      <w:pPr>
        <w:ind w:left="888" w:hanging="466"/>
        <w:spacing w:after="0" w:line="277" w:lineRule="auto"/>
        <w:tabs>
          <w:tab w:leader="none" w:pos="888"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The Boston Mills/Brandywine Secured Note. </w:t>
      </w:r>
      <w:r>
        <w:rPr>
          <w:rFonts w:ascii="Arial" w:cs="Arial" w:eastAsia="Arial" w:hAnsi="Arial"/>
          <w:sz w:val="18"/>
          <w:szCs w:val="18"/>
          <w:color w:val="auto"/>
        </w:rPr>
        <w:t>The $23.3 million Boston Mills/Brandywine Secured Note provides for interest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its maturity on December 1, 2034. As of July 31, 2021, interest on this note accrued at a rate of 10.91%.</w:t>
      </w:r>
    </w:p>
    <w:p>
      <w:pPr>
        <w:spacing w:after="0" w:line="62" w:lineRule="exact"/>
        <w:rPr>
          <w:rFonts w:ascii="Arial" w:cs="Arial" w:eastAsia="Arial" w:hAnsi="Arial"/>
          <w:sz w:val="18"/>
          <w:szCs w:val="18"/>
          <w:color w:val="auto"/>
        </w:rPr>
      </w:pPr>
    </w:p>
    <w:p>
      <w:pPr>
        <w:ind w:left="888" w:right="20" w:hanging="515"/>
        <w:spacing w:after="0" w:line="277" w:lineRule="auto"/>
        <w:tabs>
          <w:tab w:leader="none" w:pos="888"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The Jack Frost/Big Boulder Secured Note. </w:t>
      </w:r>
      <w:r>
        <w:rPr>
          <w:rFonts w:ascii="Arial" w:cs="Arial" w:eastAsia="Arial" w:hAnsi="Arial"/>
          <w:sz w:val="18"/>
          <w:szCs w:val="18"/>
          <w:color w:val="auto"/>
        </w:rPr>
        <w:t>The $14.3 million Jack Frost/Big Boulder Secured Note provides for interest payments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its maturity on December 1, 2034. As of July 31, 2021, interest on this note accrued at a rate of 10.91%.</w:t>
      </w:r>
    </w:p>
    <w:p>
      <w:pPr>
        <w:spacing w:after="0" w:line="62" w:lineRule="exact"/>
        <w:rPr>
          <w:rFonts w:ascii="Arial" w:cs="Arial" w:eastAsia="Arial" w:hAnsi="Arial"/>
          <w:sz w:val="18"/>
          <w:szCs w:val="18"/>
          <w:color w:val="auto"/>
        </w:rPr>
      </w:pPr>
    </w:p>
    <w:p>
      <w:pPr>
        <w:ind w:left="888" w:hanging="506"/>
        <w:spacing w:after="0" w:line="277" w:lineRule="auto"/>
        <w:tabs>
          <w:tab w:leader="none" w:pos="876"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July 31, 2021, interest on this note accrued at a rate of 11.96%.</w:t>
      </w:r>
    </w:p>
    <w:p>
      <w:pPr>
        <w:spacing w:after="0" w:line="62" w:lineRule="exact"/>
        <w:rPr>
          <w:rFonts w:ascii="Arial" w:cs="Arial" w:eastAsia="Arial" w:hAnsi="Arial"/>
          <w:sz w:val="18"/>
          <w:szCs w:val="18"/>
          <w:color w:val="auto"/>
        </w:rPr>
      </w:pPr>
    </w:p>
    <w:p>
      <w:pPr>
        <w:ind w:left="888" w:hanging="456"/>
        <w:spacing w:after="0" w:line="277" w:lineRule="auto"/>
        <w:tabs>
          <w:tab w:leader="none" w:pos="876"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July 31, 2021, interest on this note accrued at a rate of 8.72%.</w:t>
      </w:r>
    </w:p>
    <w:p>
      <w:pPr>
        <w:spacing w:after="0" w:line="62" w:lineRule="exact"/>
        <w:rPr>
          <w:sz w:val="20"/>
          <w:szCs w:val="20"/>
          <w:color w:val="auto"/>
        </w:rPr>
      </w:pPr>
    </w:p>
    <w:p>
      <w:pPr>
        <w:jc w:val="both"/>
        <w:ind w:left="8"/>
        <w:spacing w:after="0" w:line="284" w:lineRule="auto"/>
        <w:rPr>
          <w:sz w:val="20"/>
          <w:szCs w:val="20"/>
          <w:color w:val="auto"/>
        </w:rPr>
      </w:pPr>
      <w:r>
        <w:rPr>
          <w:rFonts w:ascii="Arial" w:cs="Arial" w:eastAsia="Arial" w:hAnsi="Arial"/>
          <w:sz w:val="16"/>
          <w:szCs w:val="16"/>
          <w:color w:val="auto"/>
        </w:rPr>
        <w:t>The EPR Secured Notes are secured by all or substantially all of the assets of Peak Resorts and its subsidiaries, including mortgages on the Alpine Valley, Boston Mills, Brandywine, Jack Frost, Big Boulder, Mount Snow and Hunter Mountain ski resorts. The EPR Secured Notes bear interest at specified interest rates, as discussed above, which are subject to increase each year by the lesser of (i) three times the percentage increase in the Consumer Price Index (“CPI”)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 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The EPR Agreements grant EPR certain other rights including (i) the option to purchase 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 (ii) a right of first refusal through 2021, subject to certain conditions, to provide all or a portion of the financing associated with any purchase, ground lease, sale/leaseback, management or financing transaction contemplated by Peak Resorts with respect to any new or existing ski resort properties; and (iii) a right of first refusal through 2021 to purchase the Company’s Attitash ski resort in the event the Company were to desire to sell the Attitash ski resort. To date, EPR has not exercised any such purchase options.</w:t>
      </w:r>
    </w:p>
    <w:p>
      <w:pPr>
        <w:spacing w:after="0" w:line="69"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In addition, Peak Resorts is required to maintain a debt service reserve account which amounts are applied to fund interest payments and other amounts due and payable to EPR. As of July 31, 2021, the Company had funded the EPR debt service reserve account in an amount equal to approximately $5.2 million, which was included in other current assets in the Company’s Consolidated Balance Sheet.</w:t>
      </w:r>
    </w:p>
    <w:p>
      <w:pPr>
        <w:spacing w:after="0" w:line="184" w:lineRule="exact"/>
        <w:rPr>
          <w:sz w:val="20"/>
          <w:szCs w:val="20"/>
          <w:color w:val="auto"/>
        </w:rPr>
      </w:pPr>
    </w:p>
    <w:p>
      <w:pPr>
        <w:jc w:val="both"/>
        <w:ind w:left="8" w:hanging="8"/>
        <w:spacing w:after="0" w:line="289" w:lineRule="auto"/>
        <w:tabs>
          <w:tab w:leader="none" w:pos="323"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Peak Resorts serves as the general partner for two limited partnerships, Carinthia Group 1, LP and Carinthia Group 2, LP (together, the “Carinthia Partnerships”), which were formed to raise $52.0 million through the Immigrant Investor Program administered by the U.S. Citizenship and Immigration Services (“USCIS”), pursuant to the Immigration and Nationality Act (the “EB-5 Program”). The EB-5 Program was created to stimulate the U.S. economy through the creation of jobs and capital investments in U.S. companies by foreign investors. The program allocates immigrant visas to qualified individuals (“EB-5 Investors”) seeking lawful permanent resident status based on their investment in a U.S commercial enterprise. On December 27, 2016, Peak Resorts borrowed $52.0 million from the Carinthia Partnerships to fund two capital projects at Mount Snow. The amounts were borrowed through two loan agreements, which provided $30.0 million and $22.0 million (together, the “EB-5 Development Notes”). Amounts outstanding under the EB-5 Development Notes accrue simple interest at a fixed rate of 1.0% per annum until the maturity date, which is December 27, 2021, subject to an extension of up to two additional years at the option of the borrowers, with lender consent. If the maturity date is extended,</w:t>
      </w:r>
    </w:p>
    <w:p>
      <w:pPr>
        <w:spacing w:after="0" w:line="200" w:lineRule="exact"/>
        <w:rPr>
          <w:sz w:val="20"/>
          <w:szCs w:val="20"/>
          <w:color w:val="auto"/>
        </w:rPr>
      </w:pPr>
    </w:p>
    <w:p>
      <w:pPr>
        <w:spacing w:after="0" w:line="3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03" w:right="339" w:bottom="1440" w:gutter="0" w:footer="0" w:header="0"/>
        </w:sectPr>
      </w:pPr>
    </w:p>
    <w:bookmarkStart w:id="93" w:name="page94"/>
    <w:bookmarkEnd w:id="93"/>
    <w:p>
      <w:pPr>
        <w:jc w:val="both"/>
        <w:ind w:left="8"/>
        <w:spacing w:after="0" w:line="293" w:lineRule="auto"/>
        <w:rPr>
          <w:sz w:val="20"/>
          <w:szCs w:val="20"/>
          <w:color w:val="auto"/>
        </w:rPr>
      </w:pPr>
      <w:r>
        <w:rPr>
          <w:rFonts w:ascii="Arial" w:cs="Arial" w:eastAsia="Arial" w:hAnsi="Arial"/>
          <w:sz w:val="16"/>
          <w:szCs w:val="16"/>
          <w:color w:val="auto"/>
        </w:rPr>
        <w:t>amounts outstanding under the EB-5 Development Notes will accrue simple interest at a fixed rate of 7.0% per annum during the first year of extension and a fixed rate of 10.0% per annum during the second year of extension. Upon an event of default (as defined), amounts outstanding under the EB-5 Development Notes shall bear interest at the rate of 5.0% per annum, subject to the extension increases. While the EB-5 Development Notes are outstanding, Peak Resorts is restricted from taking certain actions without the consent of the lenders, including, but not limited to, transferring or disposing of the properties or assets financed with loan proceeds. In addition, Peak Resorts is prohibited from prepaying outstanding amounts owed if such prepayment would jeopardize any of the EB-5 Investors from being admitted to the U.S. via the EB-5 Program.</w:t>
      </w:r>
    </w:p>
    <w:p>
      <w:pPr>
        <w:spacing w:after="0" w:line="164" w:lineRule="exact"/>
        <w:rPr>
          <w:sz w:val="20"/>
          <w:szCs w:val="20"/>
          <w:color w:val="auto"/>
        </w:rPr>
      </w:pPr>
    </w:p>
    <w:p>
      <w:pPr>
        <w:jc w:val="both"/>
        <w:ind w:left="8" w:hanging="8"/>
        <w:spacing w:after="0" w:line="301" w:lineRule="auto"/>
        <w:tabs>
          <w:tab w:leader="none" w:pos="32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Colorado mountain resorts. The Employee Housing Bonds are variable rate, interest-only instruments with interest rates tied to LIBOR plus 0% to 0.09% (0.09% to 0.18% as of July 31, 2021).</w:t>
      </w:r>
    </w:p>
    <w:p>
      <w:pPr>
        <w:spacing w:after="0" w:line="49"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2021 (in thousands):</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28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left="954"/>
              <w:spacing w:after="0"/>
              <w:rPr>
                <w:sz w:val="20"/>
                <w:szCs w:val="20"/>
                <w:color w:val="auto"/>
              </w:rPr>
            </w:pPr>
            <w:r>
              <w:rPr>
                <w:rFonts w:ascii="Arial" w:cs="Arial" w:eastAsia="Arial" w:hAnsi="Arial"/>
                <w:sz w:val="14"/>
                <w:szCs w:val="14"/>
                <w:color w:val="auto"/>
                <w:w w:val="98"/>
              </w:rPr>
              <w:t>Maturity (a)</w:t>
            </w:r>
          </w:p>
        </w:tc>
        <w:tc>
          <w:tcPr>
            <w:tcW w:w="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Tranche A</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Tranche B</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Total</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Breckenridge Terrace</w:t>
            </w:r>
          </w:p>
        </w:tc>
        <w:tc>
          <w:tcPr>
            <w:tcW w:w="2260" w:type="dxa"/>
            <w:vAlign w:val="bottom"/>
            <w:shd w:val="clear" w:color="auto" w:fill="CCEEFF"/>
          </w:tcPr>
          <w:p>
            <w:pPr>
              <w:jc w:val="center"/>
              <w:ind w:left="974"/>
              <w:spacing w:after="0"/>
              <w:rPr>
                <w:sz w:val="20"/>
                <w:szCs w:val="20"/>
                <w:color w:val="auto"/>
              </w:rPr>
            </w:pPr>
            <w:r>
              <w:rPr>
                <w:rFonts w:ascii="Arial" w:cs="Arial" w:eastAsia="Arial" w:hAnsi="Arial"/>
                <w:sz w:val="18"/>
                <w:szCs w:val="18"/>
                <w:color w:val="auto"/>
                <w:w w:val="89"/>
              </w:rPr>
              <w:t>2039</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19,980</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Tarnes</w:t>
            </w:r>
          </w:p>
        </w:tc>
        <w:tc>
          <w:tcPr>
            <w:tcW w:w="2260" w:type="dxa"/>
            <w:vAlign w:val="bottom"/>
          </w:tcPr>
          <w:p>
            <w:pPr>
              <w:jc w:val="center"/>
              <w:ind w:left="974"/>
              <w:spacing w:after="0"/>
              <w:rPr>
                <w:sz w:val="20"/>
                <w:szCs w:val="20"/>
                <w:color w:val="auto"/>
              </w:rPr>
            </w:pPr>
            <w:r>
              <w:rPr>
                <w:rFonts w:ascii="Arial" w:cs="Arial" w:eastAsia="Arial" w:hAnsi="Arial"/>
                <w:sz w:val="18"/>
                <w:szCs w:val="18"/>
                <w:color w:val="auto"/>
                <w:w w:val="89"/>
              </w:rPr>
              <w:t>2039</w:t>
            </w: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8,000</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2,410</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10,410</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 Housing</w:t>
            </w:r>
          </w:p>
        </w:tc>
        <w:tc>
          <w:tcPr>
            <w:tcW w:w="2260" w:type="dxa"/>
            <w:vAlign w:val="bottom"/>
            <w:shd w:val="clear" w:color="auto" w:fill="CCEEFF"/>
          </w:tcPr>
          <w:p>
            <w:pPr>
              <w:jc w:val="center"/>
              <w:ind w:left="974"/>
              <w:spacing w:after="0"/>
              <w:rPr>
                <w:sz w:val="20"/>
                <w:szCs w:val="20"/>
                <w:color w:val="auto"/>
              </w:rPr>
            </w:pPr>
            <w:r>
              <w:rPr>
                <w:rFonts w:ascii="Arial" w:cs="Arial" w:eastAsia="Arial" w:hAnsi="Arial"/>
                <w:sz w:val="18"/>
                <w:szCs w:val="18"/>
                <w:color w:val="auto"/>
                <w:w w:val="89"/>
              </w:rPr>
              <w:t>2027</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r>
      <w:tr>
        <w:trPr>
          <w:trHeight w:val="22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Tenderfoot</w:t>
            </w:r>
          </w:p>
        </w:tc>
        <w:tc>
          <w:tcPr>
            <w:tcW w:w="2260" w:type="dxa"/>
            <w:vAlign w:val="bottom"/>
            <w:tcBorders>
              <w:bottom w:val="single" w:sz="8" w:color="auto"/>
            </w:tcBorders>
          </w:tcPr>
          <w:p>
            <w:pPr>
              <w:jc w:val="center"/>
              <w:ind w:left="974"/>
              <w:spacing w:after="0"/>
              <w:rPr>
                <w:sz w:val="20"/>
                <w:szCs w:val="20"/>
                <w:color w:val="auto"/>
              </w:rPr>
            </w:pPr>
            <w:r>
              <w:rPr>
                <w:rFonts w:ascii="Arial" w:cs="Arial" w:eastAsia="Arial" w:hAnsi="Arial"/>
                <w:sz w:val="18"/>
                <w:szCs w:val="18"/>
                <w:color w:val="auto"/>
                <w:w w:val="89"/>
              </w:rPr>
              <w:t>2035</w:t>
            </w: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11,585</w:t>
            </w:r>
          </w:p>
        </w:tc>
      </w:tr>
      <w:tr>
        <w:trPr>
          <w:trHeight w:val="230"/>
        </w:trPr>
        <w:tc>
          <w:tcPr>
            <w:tcW w:w="2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52,575</w:t>
            </w:r>
          </w:p>
        </w:tc>
      </w:tr>
    </w:tbl>
    <w:p>
      <w:pPr>
        <w:spacing w:after="0" w:line="296" w:lineRule="exact"/>
        <w:rPr>
          <w:sz w:val="20"/>
          <w:szCs w:val="20"/>
          <w:color w:val="auto"/>
        </w:rPr>
      </w:pPr>
    </w:p>
    <w:p>
      <w:pPr>
        <w:jc w:val="both"/>
        <w:ind w:left="8" w:hanging="8"/>
        <w:spacing w:after="0" w:line="271" w:lineRule="auto"/>
        <w:tabs>
          <w:tab w:leader="none" w:pos="326" w:val="left"/>
        </w:tabs>
        <w:numPr>
          <w:ilvl w:val="0"/>
          <w:numId w:val="63"/>
        </w:numPr>
        <w:rPr>
          <w:rFonts w:ascii="Arial" w:cs="Arial" w:eastAsia="Arial" w:hAnsi="Arial"/>
          <w:sz w:val="17"/>
          <w:szCs w:val="17"/>
          <w:color w:val="auto"/>
        </w:rPr>
      </w:pPr>
      <w:r>
        <w:rPr>
          <w:rFonts w:ascii="Arial" w:cs="Arial" w:eastAsia="Arial" w:hAnsi="Arial"/>
          <w:sz w:val="17"/>
          <w:szCs w:val="17"/>
          <w:color w:val="auto"/>
        </w:rPr>
        <w:t>On May 24, 2013, VR CPC Holdings, Inc. (“VR CPC”), a wholly-owned subsidiary of the Company, entered into a transaction agreement with affiliate companies of Talisker Corporation (“Talisker”) pursuant to which the parties entered into a master lease agreement (the “Lease”) and certain ancillary transaction documents on May 29, 2013 related to the former stand-alone Canyons Resort (“Canyons”), pursuant to which the Company assumed the resort operations of the Canyons. The Lease between VR CPC and Talisker has an initial term of 50 years with six 50-year renewal options. The Lease provides for $25 million in annual payments, which increase each year by an inflation-linked index of CPI less 1% per annum, with a floor of 2%. Vail Resorts has guaranteed the payments under the Lease. The obligation at July 31, 2021 represents future lease payments for the remaining initial lease term of 50 years (including annual increases at the floor of 2%) discounted using an interest rate of 10%, and includes accumulated accreted interest expense of approximately $46.5 million.</w:t>
      </w:r>
    </w:p>
    <w:p>
      <w:pPr>
        <w:spacing w:after="0" w:line="178" w:lineRule="exact"/>
        <w:rPr>
          <w:rFonts w:ascii="Arial" w:cs="Arial" w:eastAsia="Arial" w:hAnsi="Arial"/>
          <w:sz w:val="17"/>
          <w:szCs w:val="17"/>
          <w:color w:val="auto"/>
        </w:rPr>
      </w:pPr>
    </w:p>
    <w:p>
      <w:pPr>
        <w:jc w:val="both"/>
        <w:ind w:left="8" w:hanging="8"/>
        <w:spacing w:after="0" w:line="293" w:lineRule="auto"/>
        <w:tabs>
          <w:tab w:leader="none" w:pos="326" w:val="left"/>
        </w:tabs>
        <w:numPr>
          <w:ilvl w:val="0"/>
          <w:numId w:val="63"/>
        </w:numPr>
        <w:rPr>
          <w:rFonts w:ascii="Arial" w:cs="Arial" w:eastAsia="Arial" w:hAnsi="Arial"/>
          <w:sz w:val="16"/>
          <w:szCs w:val="16"/>
          <w:color w:val="auto"/>
        </w:rPr>
      </w:pPr>
      <w:r>
        <w:rPr>
          <w:rFonts w:ascii="Arial" w:cs="Arial" w:eastAsia="Arial" w:hAnsi="Arial"/>
          <w:sz w:val="16"/>
          <w:szCs w:val="16"/>
          <w:color w:val="auto"/>
        </w:rPr>
        <w:t>During the year ended July 31, 2019, the Company completed two real estate sales transactions that were accounted for as financing arrangements as a result of the Company’s continuing involvement with the underlying assets that were sold, including but not limited to, the obligation to repurchase finished commercial space from the development projects upon completion. The Company received approximately $11.7 million of proceeds for these sales transactions through the year ended July 31, 2021, which are reflected within long-term debt, net. Other obligations also consist of a $3.3 million note outstanding to the Colorado Water Conservation Board, which matures on September 16, 2028, and other financing arrangements. Other obligations, including the Colorado Water Conservation Board note, bear interest at rates ranging from 5.1% to 5.5%.</w:t>
      </w:r>
    </w:p>
    <w:p>
      <w:pPr>
        <w:spacing w:after="0" w:line="164" w:lineRule="exact"/>
        <w:rPr>
          <w:rFonts w:ascii="Arial" w:cs="Arial" w:eastAsia="Arial" w:hAnsi="Arial"/>
          <w:sz w:val="16"/>
          <w:szCs w:val="16"/>
          <w:color w:val="auto"/>
        </w:rPr>
      </w:pPr>
    </w:p>
    <w:p>
      <w:pPr>
        <w:jc w:val="both"/>
        <w:ind w:left="8" w:hanging="8"/>
        <w:spacing w:after="0" w:line="253" w:lineRule="auto"/>
        <w:tabs>
          <w:tab w:leader="none" w:pos="32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connection with the issuance of the 0.0% Convertible Notes, the Company recorded a debt discount, which represents the excess of the principal amount of the 0.0% Convertible Notes over the fair value of the liability component, as discussed above. In connection with the acquisition of Peak Resorts, the Company estimated the acquisition date fair values of the debt instruments assumed, including the EPR Secured Notes and the EB-5 Development Notes, and recorded any difference between such estimated fair values and the par value of debt instruments as unamortized premiums and discounts, which is amortized and recorded to interest expense, net on the Company’s Consolidated Statements of Operations over the respective term of the applicable debt instruments. Additionally, certain costs incurred with regard to the issuance of debt instruments are capitalized and included as a reduction in the net carrying value of long-term debt, net of accumulated amortization, with the exception of costs incurred related to line-of-credit arrangements, which are included in deferred charges and other assets, net of accumulated amortization. Amortization of such deferred financing costs are</w:t>
      </w:r>
    </w:p>
    <w:p>
      <w:pPr>
        <w:spacing w:after="0" w:line="200" w:lineRule="exact"/>
        <w:rPr>
          <w:sz w:val="20"/>
          <w:szCs w:val="20"/>
          <w:color w:val="auto"/>
        </w:rPr>
      </w:pPr>
    </w:p>
    <w:p>
      <w:pPr>
        <w:spacing w:after="0" w:line="3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11" w:right="339" w:bottom="1440" w:gutter="0" w:footer="0" w:header="0"/>
        </w:sectPr>
      </w:pPr>
    </w:p>
    <w:bookmarkStart w:id="94" w:name="page95"/>
    <w:bookmarkEnd w:id="94"/>
    <w:p>
      <w:pPr>
        <w:ind w:left="340"/>
        <w:spacing w:after="0"/>
        <w:rPr>
          <w:sz w:val="20"/>
          <w:szCs w:val="20"/>
          <w:color w:val="auto"/>
        </w:rPr>
      </w:pPr>
      <w:r>
        <w:rPr>
          <w:rFonts w:ascii="Arial" w:cs="Arial" w:eastAsia="Arial" w:hAnsi="Arial"/>
          <w:sz w:val="16"/>
          <w:szCs w:val="16"/>
          <w:color w:val="auto"/>
        </w:rPr>
        <w:t>recorded to interest expense, net on the Company’s Consolidated Statements of Operations over the respective term of the applicable debt instruments.</w:t>
      </w:r>
    </w:p>
    <w:p>
      <w:pPr>
        <w:spacing w:after="0" w:line="248" w:lineRule="exact"/>
        <w:rPr>
          <w:sz w:val="20"/>
          <w:szCs w:val="20"/>
          <w:color w:val="auto"/>
        </w:rPr>
      </w:pPr>
    </w:p>
    <w:p>
      <w:pPr>
        <w:jc w:val="both"/>
        <w:ind w:left="340" w:hanging="8"/>
        <w:spacing w:after="0" w:line="311" w:lineRule="auto"/>
        <w:tabs>
          <w:tab w:leader="none" w:pos="658" w:val="left"/>
        </w:tabs>
        <w:numPr>
          <w:ilvl w:val="0"/>
          <w:numId w:val="64"/>
        </w:numPr>
        <w:rPr>
          <w:rFonts w:ascii="Arial" w:cs="Arial" w:eastAsia="Arial" w:hAnsi="Arial"/>
          <w:sz w:val="16"/>
          <w:szCs w:val="16"/>
          <w:color w:val="auto"/>
        </w:rPr>
      </w:pPr>
      <w:r>
        <w:rPr>
          <w:rFonts w:ascii="Arial" w:cs="Arial" w:eastAsia="Arial" w:hAnsi="Arial"/>
          <w:sz w:val="16"/>
          <w:szCs w:val="16"/>
          <w:color w:val="auto"/>
        </w:rPr>
        <w:t>Current maturities represent principal payments due in the next 12 months, and exclude approximately $6.2 million of proceeds resulting from a real estate transaction accounted for as a financing arrangement, as discussed above, which are expected to be recognized on the Company’s Statement of Operations during the year ending July 31, 2022 as a result of the anticipated resolution of continuing involvement, with no associated cash outflow.</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Aggregate maturities for debt outstanding, including finance lease obligations, as of July 31, 2021 reflected by fiscal year are as follows (in thousands):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Total</w:t>
            </w:r>
          </w:p>
        </w:tc>
      </w:tr>
      <w:tr>
        <w:trPr>
          <w:trHeight w:val="229"/>
        </w:trPr>
        <w:tc>
          <w:tcPr>
            <w:tcW w:w="518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(1)</w:t>
            </w:r>
          </w:p>
        </w:tc>
        <w:tc>
          <w:tcPr>
            <w:tcW w:w="4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121,345</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2023</w:t>
            </w:r>
          </w:p>
        </w:tc>
        <w:tc>
          <w:tcPr>
            <w:tcW w:w="4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63,740</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63,798</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2025</w:t>
            </w:r>
          </w:p>
        </w:tc>
        <w:tc>
          <w:tcPr>
            <w:tcW w:w="4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1,598,774</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575,415</w:t>
            </w:r>
          </w:p>
        </w:tc>
      </w:tr>
      <w:tr>
        <w:trPr>
          <w:trHeight w:val="22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525,442</w:t>
            </w:r>
          </w:p>
        </w:tc>
      </w:tr>
      <w:tr>
        <w:trPr>
          <w:trHeight w:val="230"/>
        </w:trPr>
        <w:tc>
          <w:tcPr>
            <w:tcW w:w="5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46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2,948,514</w:t>
            </w:r>
          </w:p>
        </w:tc>
      </w:tr>
    </w:tbl>
    <w:p>
      <w:pPr>
        <w:spacing w:after="0" w:line="283" w:lineRule="exact"/>
        <w:rPr>
          <w:sz w:val="20"/>
          <w:szCs w:val="20"/>
          <w:color w:val="auto"/>
        </w:rPr>
      </w:pPr>
    </w:p>
    <w:p>
      <w:pPr>
        <w:jc w:val="both"/>
        <w:ind w:left="340" w:hanging="8"/>
        <w:spacing w:after="0" w:line="263" w:lineRule="auto"/>
        <w:tabs>
          <w:tab w:leader="none" w:pos="6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approximately $6.2 million of proceeds resulting from a real estate transaction accounted for as a financing arrangement, as discussed above, which are expected to be recognized on the Company’s Statement of Operations during the year ending July 31, 2022 as a result of the anticipated resolution of continuing involvement, with no associated cash outflow.</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recorded interest expense of $151.4 million, $106.7 million and $79.5 million for the years ended July 31, 2021, 2020 and 2019, respectively, of which $4.9 million, $1.9 million and $1.3 million, respectively, was amortization of deferred financing costs. The Company was in compliance with all of its financial and operating covenants required to be maintained under its debt instruments for all periods presented.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$8.3 million, $(3.2) million and $(2.9) million of non-cash foreign currency gain (loss) on the intercompany loan to Whistler Blackcomb during the years ended July 31, 2021, 2020 and 2019, respectively, on the Company’s Consolidated Statements of Operations.</w:t>
      </w:r>
    </w:p>
    <w:p>
      <w:pPr>
        <w:spacing w:after="0" w:line="188"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Peak Resorts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24, 2019, the Company, through a wholly-owned subsidiary, acquired 100% of the outstanding stock of Peak Resorts, Inc. (“Peak Resorts”) at a purchase price of $11.00 per share or approximately $264.5 million. In addition, contemporaneous with the closing of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the Company borrowed approximately $335.6 million under the Vail Holdings Credit Agreement (see Note 6, Long-Term Debt) to fund the acquisition, repayment of debt instruments and lease obligations, and associated acquisition related expenses. The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Company assumed the Special Use Permits from the U.S. Forest Service for Attitash, Mount Snow and Wildcat Mountain, and assumed the land leases for Mad River and Paoli Peaks. The acquisition included the mountain operations of the resorts, including base area skier services (food and beverage, retail and rental, lift ticket offices and ski school facilities), as well as lodging operations at certain resorts.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5" w:name="page96"/>
    <w:bookmarkEnd w:id="95"/>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80" w:type="dxa"/>
            <w:vAlign w:val="bottom"/>
          </w:tcPr>
          <w:p>
            <w:pPr>
              <w:jc w:val="right"/>
              <w:ind w:right="274"/>
              <w:spacing w:after="0"/>
              <w:rPr>
                <w:sz w:val="20"/>
                <w:szCs w:val="20"/>
                <w:color w:val="auto"/>
              </w:rPr>
            </w:pPr>
            <w:r>
              <w:rPr>
                <w:rFonts w:ascii="Arial" w:cs="Arial" w:eastAsia="Arial" w:hAnsi="Arial"/>
                <w:sz w:val="14"/>
                <w:szCs w:val="14"/>
                <w:b w:val="1"/>
                <w:bCs w:val="1"/>
                <w:color w:val="auto"/>
              </w:rPr>
              <w:t>Acquisition Date</w:t>
            </w:r>
          </w:p>
        </w:tc>
      </w:tr>
      <w:tr>
        <w:trPr>
          <w:trHeight w:val="188"/>
        </w:trPr>
        <w:tc>
          <w:tcPr>
            <w:tcW w:w="58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Estimated Fair Value</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19,578</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7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427,793</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7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135,879</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7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19,221</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7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16,203</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Assumed long-term debt</w:t>
            </w:r>
          </w:p>
        </w:tc>
        <w:tc>
          <w:tcPr>
            <w:tcW w:w="37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(184,668)</w:t>
            </w:r>
          </w:p>
        </w:tc>
      </w:tr>
      <w:tr>
        <w:trPr>
          <w:trHeight w:val="229"/>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7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(99,275)</w:t>
            </w:r>
          </w:p>
        </w:tc>
      </w:tr>
      <w:tr>
        <w:trPr>
          <w:trHeight w:val="230"/>
        </w:trPr>
        <w:tc>
          <w:tcPr>
            <w:tcW w:w="5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3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334,731</w:t>
            </w:r>
          </w:p>
        </w:tc>
      </w:tr>
    </w:tbl>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Identifiable intangible assets acquired in the transaction were primarily related to trade names and property management contracts, which had acquisition date estimated fair values of approximately $15.8 million and $3.1 million, respectively. The process of estimating the fair value of the depreciable property, plant, and equipment includes the use of certain estimates and assumptions related to replacement cost.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assumed various debt obligations of Peak Resorts, which were recorded at their respective estimated fair values as of the acquisition date (see Note 6, Long-Term Debt). The Company incurred $3.1 million of acquisition related expenses associated with the transaction which were recorded within Mountain and Lodging operating expense in its Consolidated Statement of Operations for the year ended July 31, 2020. The operating results of Peak Resorts are reported within the Mountain and Lodging segments prospectively from the date of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Falls Creek and Hotham Resorts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4, 2019, the Company, through a wholly-owned subsidiary, acquired ski field leases and related infrastructure used to operate two resorts in Victoria, Australia. The Company acquired Australian Alpine Enterprises Holdings Pty. Ltd and all related corporate entities that operate the Falls Creek and Hotham resorts from Living and Leisure Australia Group, a subsidiary of Merlin Entertainments, for a cash purchase price of approximately AU$178.9 million ($127.4 million), after adjustments for certain agreed-upon terms, including an increase in the purchase price for operating losses incurred for the period from December 29, 2018 through closing. The acquisition included the mountain operations of both resorts, including base area skier services (ski school facilities, retail and rental, reservation and property management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jc w:val="right"/>
              <w:ind w:right="275"/>
              <w:spacing w:after="0"/>
              <w:rPr>
                <w:sz w:val="20"/>
                <w:szCs w:val="20"/>
                <w:color w:val="auto"/>
              </w:rPr>
            </w:pPr>
            <w:r>
              <w:rPr>
                <w:rFonts w:ascii="Arial" w:cs="Arial" w:eastAsia="Arial" w:hAnsi="Arial"/>
                <w:sz w:val="14"/>
                <w:szCs w:val="14"/>
                <w:b w:val="1"/>
                <w:bCs w:val="1"/>
                <w:color w:val="auto"/>
              </w:rPr>
              <w:t>Acquisition Date</w:t>
            </w:r>
          </w:p>
        </w:tc>
      </w:tr>
      <w:tr>
        <w:trPr>
          <w:trHeight w:val="188"/>
        </w:trPr>
        <w:tc>
          <w:tcPr>
            <w:tcW w:w="6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7"/>
              </w:rPr>
              <w:t>Estimated Fair Value</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54,889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5,833</w:t>
            </w:r>
          </w:p>
        </w:tc>
      </w:tr>
      <w:tr>
        <w:trPr>
          <w:trHeight w:val="229"/>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r>
      <w:tr>
        <w:trPr>
          <w:trHeight w:val="230"/>
        </w:trPr>
        <w:tc>
          <w:tcPr>
            <w:tcW w:w="6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127,352</w:t>
            </w: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Identifiable intangible assets acquired in the transaction were primarily related to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Falls Creek and Hotham and other factors. None of the goodwill is expected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18"/>
          <w:szCs w:val="18"/>
          <w:color w:val="auto"/>
        </w:rPr>
        <w:t>be deductible for income tax purposes under Australian tax law. The Company recognized $4.6 million of acquisition related expenses associated with the transaction, including stamp duty expense of $2.9 million, within Mountain and Lodging operating expense in its Consolidated Statement of Operations for the year ended July 31, 2019. The operating results of Falls Creek and Hotham are reported within the Mountain segment prospectively from the date of acquisition.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Triple Peaks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2018, the Company, through a wholly-owned subsidiary,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pay the remaining obligations of the leases that all three resorts had with Ski Resort Holdings, with funds provided by the Company. Accordingly, the total purchase price, including the repayment of lease obligations, was $229.1 million, for which the Company utilized cash on hand and borrowed $195.6 million under the Vail Holdings Credit Agreement term loan (see Note 6, Long-Term Debt) to fund the transaction and associated acquisition related expenses. The Company obtained a new Special Use Permit from the U.S. Forest Service for Crested Butte, and assumed the state land leases for Okemo and Mount Sunapee. The acquisition included the mountain operations of the resorts, including base area skier services (food and beverage, retail and rental, lift ticket offices and ski school facilities).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88"/>
        </w:trPr>
        <w:tc>
          <w:tcPr>
            <w:tcW w:w="58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Estimated Fair Value</w:t>
            </w: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159,799</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51,742</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27,360</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3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3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w:t>
            </w:r>
          </w:p>
        </w:tc>
        <w:tc>
          <w:tcPr>
            <w:tcW w:w="3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(18,098)</w:t>
            </w:r>
          </w:p>
        </w:tc>
      </w:tr>
      <w:tr>
        <w:trPr>
          <w:trHeight w:val="23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assets acquired</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229,093</w:t>
            </w:r>
          </w:p>
        </w:tc>
      </w:tr>
    </w:tbl>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Identifiable intangible assets acquired in the transaction were primarily related to property management contracts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the resorts and other factors, and is expected to be deductible for income tax purposes. The Company recognized $2.8 million of acquisition related expenses associated with the transaction within Mountain and Lodging operating expense in its Consolidated Statement of Operations for the year ended July 31, 2019. The operating results of Triple Peaks are reported within the Mountain and Lodging segments prospectively from the date of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15, 2018, the Company, through a wholly-owned subsidiary, acquired Stevens Pass Resort in the State of Washington from Ski Resort Holdings, LLC, an affiliate of Oz Real Estate (“Ski Resort Holdings”), for total cash consideration of $64.0 million, after adjustments for certain agreed-upon terms. The Company borrowed $70.0 million on August 15, 2018 under its Vail Holdings Credit Agreement term loan (see Note 6, Long-Term Debt) to fund the transaction and associated acquisition related expenses. The acquisition included the mountain operations of the resort, including base area skier services (food and beverage, retail and rental, lift ticket offices and ski school facilities).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7" w:name="page98"/>
    <w:bookmarkEnd w:id="97"/>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88"/>
        </w:trPr>
        <w:tc>
          <w:tcPr>
            <w:tcW w:w="58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Estimated Fair Value</w:t>
            </w: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34,865</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28,878</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2,680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3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3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w:t>
            </w:r>
          </w:p>
        </w:tc>
        <w:tc>
          <w:tcPr>
            <w:tcW w:w="3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w:t>
            </w:r>
          </w:p>
        </w:tc>
      </w:tr>
      <w:tr>
        <w:trPr>
          <w:trHeight w:val="23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assets acquired</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64,032</w:t>
            </w:r>
          </w:p>
        </w:tc>
      </w:tr>
    </w:tbl>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Stevens Pass and other factors, and is expected to be deductible for income tax purposes. The Company recognized $1.2 million of acquisition related expenses associated with the transaction within Mountain and Lodging operating expense in its Consolidated Statement of Operations for the year ended July 31, 2019. The operating results of Stevens Pass are reported within the Mountain segment prospectively from the date of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presents the unaudited pro forma consolidated financial information of the Company as if the acquisitions of Peak Resorts, Falls Creek and Hotham, Triple Peaks and Stevens Pass were completed at the beginning of the fiscal year preceding the respective fiscal year in which each acquisition occurred. The following unaudited pro forma financial information includes adjustments for (i) depreciation on acquired property, plant and equipment; (ii) amortization of intangible assets recorded at the date of the transactions; (iii) lease expenses incurred by the prior owners which the Company will not be subject to; (iv) transaction and business integration related costs; and (v) interest expense associated with financing the transactions. This unaudited pro forma financial information is presented for informational purposes only and does not purport to be indicative of the results of future operations or the results that would have occurred had the transaction taken place at the beginning of the fiscal year preceding the fiscal year in which each acquisition occurred (in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9"/>
              </w:rPr>
              <w:t>Year Ended July 31, 2020</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2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1,970,363</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Pro forma net income attributable to Vail Resorts, Inc.</w:t>
            </w:r>
          </w:p>
        </w:tc>
        <w:tc>
          <w:tcPr>
            <w:tcW w:w="2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100,205</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2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2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8" w:name="page99"/>
    <w:bookmarkEnd w:id="98"/>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Supplementary Balance Sheet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including finance lease assets, follows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Borders>
              <w:bottom w:val="single" w:sz="8" w:color="auto"/>
            </w:tcBorders>
          </w:tcPr>
          <w:p>
            <w:pPr>
              <w:spacing w:after="0"/>
              <w:rPr>
                <w:sz w:val="16"/>
                <w:szCs w:val="16"/>
                <w:color w:val="auto"/>
              </w:rPr>
            </w:pPr>
          </w:p>
        </w:tc>
      </w:tr>
      <w:tr>
        <w:trPr>
          <w:trHeight w:val="210"/>
        </w:trPr>
        <w:tc>
          <w:tcPr>
            <w:tcW w:w="7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756,517</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750,714</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1,496,402</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1,475,661</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1,417,705</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1,361,178</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308,432</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308,267</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104,223</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Vehicles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80,328</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80,510</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67,710</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81,967</w:t>
            </w:r>
          </w:p>
        </w:tc>
      </w:tr>
      <w:tr>
        <w:trPr>
          <w:trHeight w:val="223"/>
        </w:trPr>
        <w:tc>
          <w:tcPr>
            <w:tcW w:w="7700" w:type="dxa"/>
            <w:vAlign w:val="bottom"/>
          </w:tcPr>
          <w:p>
            <w:pPr>
              <w:ind w:left="140"/>
              <w:spacing w:after="0"/>
              <w:rPr>
                <w:sz w:val="20"/>
                <w:szCs w:val="20"/>
                <w:color w:val="auto"/>
              </w:rPr>
            </w:pPr>
            <w:r>
              <w:rPr>
                <w:rFonts w:ascii="Arial" w:cs="Arial" w:eastAsia="Arial" w:hAnsi="Arial"/>
                <w:sz w:val="18"/>
                <w:szCs w:val="18"/>
                <w:color w:val="auto"/>
              </w:rPr>
              <w:t>Gross property, plant and equipment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4,249,872</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4,162,520</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(2,181,996)</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(1,969,841)</w:t>
            </w:r>
          </w:p>
        </w:tc>
      </w:tr>
      <w:tr>
        <w:trPr>
          <w:trHeight w:val="230"/>
        </w:trPr>
        <w:tc>
          <w:tcPr>
            <w:tcW w:w="7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2,067,876</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2,192,679</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which included depreciation of assets recorded under finance leases, for the years ended July 31, 2021, 2020 and 2019 totaled $247.2 million, $243.1 million, and $210.7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composition of property, plant and equipment recorded under finance leases as of July 31, 2021 and 2020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1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60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3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49,228</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49,228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3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Machinery and equipment</w:t>
            </w:r>
          </w:p>
        </w:tc>
        <w:tc>
          <w:tcPr>
            <w:tcW w:w="3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60,384</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property, plant and equipment</w:t>
            </w:r>
          </w:p>
        </w:tc>
        <w:tc>
          <w:tcPr>
            <w:tcW w:w="3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183,590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depreciation</w:t>
            </w:r>
          </w:p>
        </w:tc>
        <w:tc>
          <w:tcPr>
            <w:tcW w:w="3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(75,545)</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(65,792)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4600" w:type="dxa"/>
            <w:vAlign w:val="bottom"/>
            <w:tcBorders>
              <w:bottom w:val="single" w:sz="8" w:color="auto"/>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108,045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117,798</w:t>
            </w:r>
          </w:p>
        </w:tc>
        <w:tc>
          <w:tcPr>
            <w:tcW w:w="2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540" w:type="dxa"/>
            <w:vAlign w:val="bottom"/>
          </w:tcPr>
          <w:p>
            <w:pPr>
              <w:jc w:val="right"/>
              <w:ind w:right="1910"/>
              <w:spacing w:after="0"/>
              <w:rPr>
                <w:sz w:val="20"/>
                <w:szCs w:val="20"/>
                <w:color w:val="auto"/>
              </w:rPr>
            </w:pPr>
            <w:r>
              <w:rPr>
                <w:rFonts w:ascii="Arial" w:cs="Arial" w:eastAsia="Arial" w:hAnsi="Arial"/>
                <w:sz w:val="18"/>
                <w:szCs w:val="18"/>
                <w:color w:val="auto"/>
              </w:rPr>
              <w:t>97</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composition of goodwill and intangible assets follows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Borders>
              <w:bottom w:val="single" w:sz="8" w:color="auto"/>
            </w:tcBorders>
          </w:tcPr>
          <w:p>
            <w:pPr>
              <w:spacing w:after="0"/>
              <w:rPr>
                <w:sz w:val="16"/>
                <w:szCs w:val="16"/>
                <w:color w:val="auto"/>
              </w:rPr>
            </w:pPr>
          </w:p>
        </w:tc>
      </w:tr>
      <w:tr>
        <w:trPr>
          <w:trHeight w:val="209"/>
        </w:trPr>
        <w:tc>
          <w:tcPr>
            <w:tcW w:w="7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Goodwill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1,824,089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1,752,062</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(17,354)</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(17,354)</w:t>
            </w:r>
          </w:p>
        </w:tc>
      </w:tr>
      <w:tr>
        <w:trPr>
          <w:trHeight w:val="230"/>
        </w:trPr>
        <w:tc>
          <w:tcPr>
            <w:tcW w:w="7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Goodwill,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1,781,047</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1,709,020</w:t>
            </w:r>
          </w:p>
        </w:tc>
      </w:tr>
      <w:tr>
        <w:trPr>
          <w:trHeight w:val="486"/>
        </w:trPr>
        <w:tc>
          <w:tcPr>
            <w:tcW w:w="7700" w:type="dxa"/>
            <w:vAlign w:val="bottom"/>
          </w:tcPr>
          <w:p>
            <w:pPr>
              <w:ind w:left="20"/>
              <w:spacing w:after="0"/>
              <w:rPr>
                <w:sz w:val="20"/>
                <w:szCs w:val="20"/>
                <w:color w:val="auto"/>
              </w:rPr>
            </w:pPr>
            <w:r>
              <w:rPr>
                <w:rFonts w:ascii="Arial" w:cs="Arial" w:eastAsia="Arial" w:hAnsi="Arial"/>
                <w:sz w:val="18"/>
                <w:szCs w:val="18"/>
                <w:i w:val="1"/>
                <w:iCs w:val="1"/>
                <w:color w:val="auto"/>
              </w:rPr>
              <w:t>Indefinite-lived intangible assets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239,786</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41,667</w:t>
            </w:r>
          </w:p>
        </w:tc>
      </w:tr>
      <w:tr>
        <w:trPr>
          <w:trHeight w:val="22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gross indefinite-lived intangible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281,347</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271,667</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w:t>
            </w:r>
          </w:p>
        </w:tc>
      </w:tr>
      <w:tr>
        <w:trPr>
          <w:trHeight w:val="230"/>
        </w:trPr>
        <w:tc>
          <w:tcPr>
            <w:tcW w:w="7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Indefinite-lived intangible assets,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256,634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246,954</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i w:val="1"/>
                <w:iCs w:val="1"/>
                <w:color w:val="auto"/>
              </w:rPr>
              <w:t>Amortizable intangible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38,208</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69,397</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70,772</w:t>
            </w: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gross amortizable intangible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107,405</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108,980</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(44,929)</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(41,158)</w:t>
            </w:r>
          </w:p>
        </w:tc>
      </w:tr>
      <w:tr>
        <w:trPr>
          <w:trHeight w:val="230"/>
        </w:trPr>
        <w:tc>
          <w:tcPr>
            <w:tcW w:w="7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Amortizable intangible assets, net</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62,476</w:t>
            </w:r>
          </w:p>
        </w:tc>
        <w:tc>
          <w:tcPr>
            <w:tcW w:w="5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67,822</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Total gross intangible assets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388,752</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380,647</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accumulated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(69,642)</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(65,871)</w:t>
            </w:r>
          </w:p>
        </w:tc>
      </w:tr>
      <w:tr>
        <w:trPr>
          <w:trHeight w:val="230"/>
        </w:trPr>
        <w:tc>
          <w:tcPr>
            <w:tcW w:w="7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intangible assets, net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319,110</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314,776</w:t>
            </w: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expense for intangible assets subject to amortization for the years ended July 31, 2021, 2020 and 2019 totaled $5.4 million, $6.5 million and $7.4 million, respectively, and is estimated to be approximately $4.1 million annually, on average, for the next five fiscal years.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years ended July 31, 2021 and 2020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Mountain</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Lodging</w:t>
            </w: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Goodwill, net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2019</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1,540,307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1,608,206</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Acquisitions (including measurement period adjustments)</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135,987</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135,987</w:t>
            </w:r>
          </w:p>
        </w:tc>
        <w:tc>
          <w:tcPr>
            <w:tcW w:w="0" w:type="dxa"/>
            <w:vAlign w:val="bottom"/>
          </w:tcPr>
          <w:p>
            <w:pPr>
              <w:spacing w:after="0"/>
              <w:rPr>
                <w:sz w:val="1"/>
                <w:szCs w:val="1"/>
                <w:color w:val="auto"/>
              </w:rPr>
            </w:pPr>
          </w:p>
        </w:tc>
      </w:tr>
      <w:tr>
        <w:trPr>
          <w:trHeight w:val="324"/>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16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30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0" w:type="dxa"/>
            <w:vAlign w:val="bottom"/>
          </w:tcPr>
          <w:p>
            <w:pPr>
              <w:spacing w:after="0"/>
              <w:rPr>
                <w:sz w:val="1"/>
                <w:szCs w:val="1"/>
                <w:color w:val="auto"/>
              </w:rPr>
            </w:pPr>
          </w:p>
        </w:tc>
      </w:tr>
      <w:tr>
        <w:trPr>
          <w:trHeight w:val="81"/>
        </w:trPr>
        <w:tc>
          <w:tcPr>
            <w:tcW w:w="5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5140" w:type="dxa"/>
            <w:vAlign w:val="bottom"/>
          </w:tcPr>
          <w:p>
            <w:pPr>
              <w:ind w:left="140"/>
              <w:spacing w:after="0"/>
              <w:rPr>
                <w:sz w:val="20"/>
                <w:szCs w:val="20"/>
                <w:color w:val="auto"/>
              </w:rPr>
            </w:pPr>
            <w:r>
              <w:rPr>
                <w:rFonts w:ascii="Arial" w:cs="Arial" w:eastAsia="Arial" w:hAnsi="Arial"/>
                <w:sz w:val="18"/>
                <w:szCs w:val="18"/>
                <w:color w:val="auto"/>
              </w:rPr>
              <w:t>Effects of changes in foreign currency exchange rates</w:t>
            </w:r>
          </w:p>
        </w:tc>
        <w:tc>
          <w:tcPr>
            <w:tcW w:w="1160" w:type="dxa"/>
            <w:vAlign w:val="bottom"/>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(9,485)</w:t>
            </w:r>
          </w:p>
        </w:tc>
        <w:tc>
          <w:tcPr>
            <w:tcW w:w="3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81"/>
        </w:trPr>
        <w:tc>
          <w:tcPr>
            <w:tcW w:w="5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2020</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1,666,809</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42,211</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1,709,020</w:t>
            </w:r>
          </w:p>
        </w:tc>
        <w:tc>
          <w:tcPr>
            <w:tcW w:w="0" w:type="dxa"/>
            <w:vAlign w:val="bottom"/>
          </w:tcPr>
          <w:p>
            <w:pPr>
              <w:spacing w:after="0"/>
              <w:rPr>
                <w:sz w:val="1"/>
                <w:szCs w:val="1"/>
                <w:color w:val="auto"/>
              </w:rPr>
            </w:pPr>
          </w:p>
        </w:tc>
      </w:tr>
      <w:tr>
        <w:trPr>
          <w:trHeight w:val="324"/>
        </w:trPr>
        <w:tc>
          <w:tcPr>
            <w:tcW w:w="5140" w:type="dxa"/>
            <w:vAlign w:val="bottom"/>
          </w:tcPr>
          <w:p>
            <w:pPr>
              <w:ind w:left="140"/>
              <w:spacing w:after="0"/>
              <w:rPr>
                <w:sz w:val="20"/>
                <w:szCs w:val="20"/>
                <w:color w:val="auto"/>
              </w:rPr>
            </w:pPr>
            <w:r>
              <w:rPr>
                <w:rFonts w:ascii="Arial" w:cs="Arial" w:eastAsia="Arial" w:hAnsi="Arial"/>
                <w:sz w:val="18"/>
                <w:szCs w:val="18"/>
                <w:color w:val="auto"/>
              </w:rPr>
              <w:t>Effects of changes in foreign currency exchange rates</w:t>
            </w:r>
          </w:p>
        </w:tc>
        <w:tc>
          <w:tcPr>
            <w:tcW w:w="1160" w:type="dxa"/>
            <w:vAlign w:val="bottom"/>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72,027</w:t>
            </w:r>
          </w:p>
        </w:tc>
        <w:tc>
          <w:tcPr>
            <w:tcW w:w="3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72,027</w:t>
            </w:r>
          </w:p>
        </w:tc>
        <w:tc>
          <w:tcPr>
            <w:tcW w:w="0" w:type="dxa"/>
            <w:vAlign w:val="bottom"/>
          </w:tcPr>
          <w:p>
            <w:pPr>
              <w:spacing w:after="0"/>
              <w:rPr>
                <w:sz w:val="1"/>
                <w:szCs w:val="1"/>
                <w:color w:val="auto"/>
              </w:rPr>
            </w:pPr>
          </w:p>
        </w:tc>
      </w:tr>
      <w:tr>
        <w:trPr>
          <w:trHeight w:val="81"/>
        </w:trPr>
        <w:tc>
          <w:tcPr>
            <w:tcW w:w="5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2021</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1,738,836</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1,781,047</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asset impairments during the year ended July 31, 2020 of $28.4 million, with corresponding reductions to goodwill, net of $25.7 million and intangible assets, net and property, plant and equipment, net of $2.7 million. These asset impairments encompassed various estimates and assumptions about fair value, which were based predominately on significant unobservable inputs.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COVID-19 and the impact it had on the Company’s operations during the year ended July 31, 2020, the Company determined that the estimated fair value of its Colorado resort ground transportation company reporting unit within its Lodging</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00" w:name="page101"/>
    <w:bookmarkEnd w:id="100"/>
    <w:p>
      <w:pPr>
        <w:jc w:val="both"/>
        <w:spacing w:after="0" w:line="259" w:lineRule="auto"/>
        <w:rPr>
          <w:sz w:val="20"/>
          <w:szCs w:val="20"/>
          <w:color w:val="auto"/>
        </w:rPr>
      </w:pPr>
      <w:r>
        <w:rPr>
          <w:rFonts w:ascii="Arial" w:cs="Arial" w:eastAsia="Arial" w:hAnsi="Arial"/>
          <w:sz w:val="18"/>
          <w:szCs w:val="18"/>
          <w:color w:val="auto"/>
        </w:rPr>
        <w:t>segment no longer exceeded its carrying value. Additionally, the Company determined that certain long-lived assets of its Colorado resort ground transportation company were not recoverable. As a result, the Company recognized impairments of goodwill of approximately $25.7 million and intangible assets and long-lived assets of $2.7 million, which were recorded within asset impairments on the Company’s Consolidated Statement of Operations during the year ended July 31, 2020.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estimated the fair value of its Colorado resort ground transportation company reporting unit based on an analysis of the present value of future cash flows (an income approach). The significant estimates used in the discounted cash flow model included the Company’s weighted average cost of capital for the reporting unit, projected cash flows and the long-term rate of growth, all of which are significant unobservable (Level 3) inputs. The Company’s assumptions were based on the actual historical performance of the reporting unit, taking into account the weakening of operating results and the expected continuation of operating results for transportation services. As a result of this impairment, the Company’s Colorado ground transportation company had no remaining goodwill recorded as of July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July 31,</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456,457</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256,402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deferred compensation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54,286</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47,368</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34,668</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36,604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accruals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89,169</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accounts payable and accrued liabilities</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815,472</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499,108</w:t>
            </w:r>
          </w:p>
        </w:tc>
        <w:tc>
          <w:tcPr>
            <w:tcW w:w="0" w:type="dxa"/>
            <w:vAlign w:val="bottom"/>
          </w:tcPr>
          <w:p>
            <w:pPr>
              <w:spacing w:after="0"/>
              <w:rPr>
                <w:sz w:val="1"/>
                <w:szCs w:val="1"/>
                <w:color w:val="auto"/>
              </w:rPr>
            </w:pPr>
          </w:p>
        </w:tc>
      </w:tr>
      <w:tr>
        <w:trPr>
          <w:trHeight w:val="51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9.  Investments in Affiliates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The Company held the following investments in equity method affiliates as of July 31, 2021:</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Equity Method Affiliates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7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Slifer, Smith, and Frampton/Vail Associates Real Estate, LLC (“SSF/VARE”)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KRED</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center"/>
              <w:ind w:right="294"/>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Clinton Ditch and Reservoir Company</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294"/>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total net investments in equity method affiliates of $10.6 million and $10.2 million as of July 31, 2021 and 2020, respectively, included within deferred charges and other assets in the accompanying Consolidated Balance Sheets. The amount of retained earnings that represent undistributed earnings of 50% or less owned entities accounted for by the equity method was $6.8 million and $6.5 million as of July 31, 2021 and 2020, respectively. During the years ended July 31, 2021, 2020 and 2019, distributions in the amounts of $6.4 million, $0.7 million and $1.0 million, respectively, were received from equity method affiliates.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utilizes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measured at their estimated fair values (all other assets and liabilities measured at fair value are immaterial)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Estimated Fair Value Measurement as of July 31, 2021</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88"/>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Description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Level 3</w:t>
            </w:r>
          </w:p>
        </w:tc>
      </w:tr>
      <w:tr>
        <w:trPr>
          <w:trHeight w:val="224"/>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253,782</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2"/>
              </w:rPr>
              <w:t>253,782 $</w:t>
            </w:r>
          </w:p>
        </w:tc>
        <w:tc>
          <w:tcPr>
            <w:tcW w:w="176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259,945</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259,945</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12,942</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12,942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76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r>
      <w:tr>
        <w:trPr>
          <w:trHeight w:val="433"/>
        </w:trPr>
        <w:tc>
          <w:tcPr>
            <w:tcW w:w="42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Estimated Fair Value Measurement as of July 31, 2020</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88"/>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Description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Level 3</w:t>
            </w:r>
          </w:p>
        </w:tc>
      </w:tr>
      <w:tr>
        <w:trPr>
          <w:trHeight w:val="224"/>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203,158</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2"/>
              </w:rPr>
              <w:t>203,158 $</w:t>
            </w:r>
          </w:p>
        </w:tc>
        <w:tc>
          <w:tcPr>
            <w:tcW w:w="176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8,208</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8,208</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22,510</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22,510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76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r>
    </w:tbl>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cash equivalents, other current assets and Interest Rate Swaps are measured utilizing quoted market prices or pricing models whereby all significant inputs are either observable or corroborated by observable market data. The Company entered into the Interest Rate Swaps to hedge the LIBOR-based variable interest rate component of $400.0 million in principal amount of its Vail Holdings Credit Agreement. Changes in the estimated fair value are recognized in change in estimated fair value of hedging instruments on the Company’s Consolidated Statements of Comprehensive Income. Such amounts are reclassified into interest expense, net from other comprehensive income during the period in which the hedged item affects earnings. During the year ended July 31, 2021 $5.4 million was reclassified into interest expense, net from other comprehensive income. The estimated fair value of the Interest Rate Swaps are included within other long-term liabilities on the Company’s Consolidated Balance Sheets as of July 31, 2021 and July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years ended July 31, 2021 and 2020 were as follows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2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2"/>
          </w:tcPr>
          <w:p>
            <w:pPr>
              <w:ind w:left="3620"/>
              <w:spacing w:after="0"/>
              <w:rPr>
                <w:sz w:val="20"/>
                <w:szCs w:val="20"/>
                <w:color w:val="auto"/>
              </w:rPr>
            </w:pPr>
            <w:r>
              <w:rPr>
                <w:rFonts w:ascii="Arial" w:cs="Arial" w:eastAsia="Arial" w:hAnsi="Arial"/>
                <w:sz w:val="14"/>
                <w:szCs w:val="14"/>
                <w:b w:val="1"/>
                <w:bCs w:val="1"/>
                <w:color w:val="auto"/>
                <w:w w:val="95"/>
              </w:rPr>
              <w:t>Contingent Consideration</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418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27,200</w:t>
            </w:r>
          </w:p>
        </w:tc>
      </w:tr>
      <w:tr>
        <w:trPr>
          <w:trHeight w:val="229"/>
        </w:trPr>
        <w:tc>
          <w:tcPr>
            <w:tcW w:w="5920" w:type="dxa"/>
            <w:vAlign w:val="bottom"/>
          </w:tcPr>
          <w:p>
            <w:pPr>
              <w:ind w:left="180"/>
              <w:spacing w:after="0"/>
              <w:rPr>
                <w:sz w:val="20"/>
                <w:szCs w:val="20"/>
                <w:color w:val="auto"/>
              </w:rPr>
            </w:pPr>
            <w:r>
              <w:rPr>
                <w:rFonts w:ascii="Arial" w:cs="Arial" w:eastAsia="Arial" w:hAnsi="Arial"/>
                <w:sz w:val="18"/>
                <w:szCs w:val="18"/>
                <w:color w:val="auto"/>
              </w:rPr>
              <w:t>Payment</w:t>
            </w:r>
          </w:p>
        </w:tc>
        <w:tc>
          <w:tcPr>
            <w:tcW w:w="4180" w:type="dxa"/>
            <w:vAlign w:val="bottom"/>
          </w:tcPr>
          <w:p>
            <w:pPr>
              <w:spacing w:after="0"/>
              <w:rPr>
                <w:sz w:val="19"/>
                <w:szCs w:val="19"/>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w w:val="91"/>
              </w:rPr>
              <w:t>(6,436)</w:t>
            </w:r>
          </w:p>
        </w:tc>
      </w:tr>
      <w:tr>
        <w:trPr>
          <w:trHeight w:val="230"/>
        </w:trPr>
        <w:tc>
          <w:tcPr>
            <w:tcW w:w="5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Change in estimated fair value</w:t>
            </w:r>
          </w:p>
        </w:tc>
        <w:tc>
          <w:tcPr>
            <w:tcW w:w="4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1"/>
              </w:rPr>
              <w:t>(2,964)</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Balance as of July 31,2020</w:t>
            </w:r>
          </w:p>
        </w:tc>
        <w:tc>
          <w:tcPr>
            <w:tcW w:w="418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Arial" w:cs="Arial" w:eastAsia="Arial" w:hAnsi="Arial"/>
                <w:sz w:val="18"/>
                <w:szCs w:val="18"/>
                <w:color w:val="auto"/>
                <w:w w:val="98"/>
              </w:rPr>
              <w:t>17,800</w:t>
            </w: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4180" w:type="dxa"/>
            <w:vAlign w:val="bottom"/>
            <w:shd w:val="clear" w:color="auto" w:fill="CCEEFF"/>
          </w:tcPr>
          <w:p>
            <w:pPr>
              <w:spacing w:after="0"/>
              <w:rPr>
                <w:sz w:val="19"/>
                <w:szCs w:val="19"/>
                <w:color w:val="auto"/>
              </w:rPr>
            </w:pP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(2,602)</w:t>
            </w:r>
          </w:p>
        </w:tc>
      </w:tr>
      <w:tr>
        <w:trPr>
          <w:trHeight w:val="230"/>
        </w:trPr>
        <w:tc>
          <w:tcPr>
            <w:tcW w:w="5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 in estimated fair value</w:t>
            </w:r>
          </w:p>
        </w:tc>
        <w:tc>
          <w:tcPr>
            <w:tcW w:w="4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8"/>
              </w:rPr>
              <w:t>14,402</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41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29,600</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2" w:name="page103"/>
    <w:bookmarkEnd w:id="102"/>
    <w:p>
      <w:pPr>
        <w:jc w:val="both"/>
        <w:spacing w:after="0" w:line="291" w:lineRule="auto"/>
        <w:rPr>
          <w:sz w:val="20"/>
          <w:szCs w:val="20"/>
          <w:color w:val="auto"/>
        </w:rPr>
      </w:pPr>
      <w:r>
        <w:rPr>
          <w:rFonts w:ascii="Arial" w:cs="Arial" w:eastAsia="Arial" w:hAnsi="Arial"/>
          <w:sz w:val="16"/>
          <w:szCs w:val="16"/>
          <w:color w:val="auto"/>
        </w:rPr>
        <w:t>estimated fair value of Contingent Consideration includes the future period resort operations of Park City in the calculation of EBITDA on which participating contingent payments are made, which is determined on the basis of estimated subsequent performance, escalated by an assumed long-term growth factor and discounted to net present value. The Company estimated the fair value of the Contingent Consideration payments using an option pricing valuation model. Key assumptions included a discount rate of 11.0%,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$3.8 million to $5.3 million.</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Contingent Consideration is classified as a liability in our Consolidated Balance Sheets and is remeasured to an estimated fair value at each reporting date until the contingency is resolved. During the year ended July 31, 2021, the Company made a payment to the landlord for Contingent Consideration of approximately $2.6 million and recorded an increase in the estimated fair value of approximately $14.4 million primarily related to improved performance compared to estimated results for Park City in the year ended July 31, 2021, resulting in an increase in the expected payment for the year, as well as accretion resulting from the passage of time, resulting in an estimated fair value of the Contingent Consideration of $29.6 million as of July 31, 2021, which is reflected in accounts payable and accrued liabilities and other long-term liabilities in the Consolidated Balance Sheet.</w:t>
      </w:r>
    </w:p>
    <w:p>
      <w:pPr>
        <w:spacing w:after="0" w:line="160"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taxation in U.S. federal, state, and local jurisdictions and various non-U.S. jurisdictions, including Australia and Canada. The Company’s effective tax rate is impacted by the tax laws, regulations, practices and interpretations in the jurisdictions in which it operates and may fluctuate significantly from period to period depending on, among other things, the geographic mix of the Company’s profits and losses, changes in tax laws and regulations or their application and interpretation, the outcome of tax audits and changes in valuation allowances associated with the Company’s deferred tax assets.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in response to the COVID-19 pandemic, the U.S. government enacted legislation commonly referred to as the Coronavirus Aid, Relief, and Economic Security Act (the “CARES Act”). The CARES Act includes various amendments to the U.S. tax code that impacted the Company’s accounting and reporting for income taxes during the years ended July 31, 2021 and 2020, and the Company expects these amendments will continue to impact its accounting and reporting for income taxes in the future. The primary provisions of the CARES Act that the Company has been impacted by include:</w:t>
      </w:r>
    </w:p>
    <w:p>
      <w:pPr>
        <w:spacing w:after="0" w:line="80" w:lineRule="exact"/>
        <w:rPr>
          <w:sz w:val="20"/>
          <w:szCs w:val="20"/>
          <w:color w:val="auto"/>
        </w:rPr>
      </w:pPr>
    </w:p>
    <w:p>
      <w:pPr>
        <w:jc w:val="both"/>
        <w:ind w:left="660" w:hanging="328"/>
        <w:spacing w:after="0" w:line="255"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allowing a carryback of the entire amount of eligible Federal net operating losses (“NOLs”) generated in calendar years 2018, 2019 and 2020 for up to five years prior to when such losses were incurred, representing a change from previous rules under the Tax Cuts &amp; Jobs Act of 2017 (the “TCJA”), in which NOLs could not be carried back to prior years and utilization was limited to 80% of taxable income in future years. Under the CARES Act, the Company was permitted to carry back its pre-existing NOLs to tax years prior to the enactment of the TCJA and obtain an incremental benefit of $3.8 million in the year ended July 31, 2020 related to the differential in federal tax rates between years that NOLs were generated and years that the NOLs were carried back to;</w:t>
      </w:r>
    </w:p>
    <w:p>
      <w:pPr>
        <w:spacing w:after="0" w:line="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treatment of certain qualified improvement property (“QIP”) as 15-year property and allowing such QIP placed in service after December 31, 2017 to be eligible for bonus depreciation;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increases in the allowable business interest deduction from 30% of adjusted taxable income to 50% of adjusted taxable income for calendar years 2020.</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CARES Act also provides refundable employee retention credits and defers the requirement to remit the employer-paid portion of social security payroll taxes. As a result, during the year ended July 31, 2020, the Company recorded a benefit of approximately $9.6 million, which primarily offset Mountain and Lodging operating expense as a result of wages paid to employees who were not providing services. Additionally, the Company deferred payment of the employer-paid portion of social security payroll taxes through the end of calendar year 2020 and will remit such amounts in equal installments during calendar years 2021 and 2022.</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recognized benefits of approximately $30.8 million and $8.5 million during the years ended July 31, 2021 and 2020, respectively, as a result of the recent Canada Emergency Wage Subsidy and Australian JobKeeper legislation for its Canadian and Australian employees, which primarily offset Mountain and Lodging operating expense.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U.S. and foreign components of income (loss) before provision for income taxes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8"/>
              </w:rPr>
              <w:t>Year Ended July 31,</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5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148,898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89,838</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306,323</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(23,715)</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26,595</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92,642</w:t>
            </w:r>
          </w:p>
        </w:tc>
      </w:tr>
      <w:tr>
        <w:trPr>
          <w:trHeight w:val="230"/>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125,183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116,433</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398,965</w:t>
            </w:r>
          </w:p>
        </w:tc>
      </w:tr>
    </w:tbl>
    <w:p>
      <w:pPr>
        <w:spacing w:after="0" w:line="31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Borders>
              <w:bottom w:val="single" w:sz="8" w:color="auto"/>
            </w:tcBorders>
          </w:tcPr>
          <w:p>
            <w:pPr>
              <w:spacing w:after="0"/>
              <w:rPr>
                <w:sz w:val="16"/>
                <w:szCs w:val="16"/>
                <w:color w:val="auto"/>
              </w:rPr>
            </w:pPr>
          </w:p>
        </w:tc>
      </w:tr>
      <w:tr>
        <w:trPr>
          <w:trHeight w:val="209"/>
        </w:trPr>
        <w:tc>
          <w:tcPr>
            <w:tcW w:w="7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204,714</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216,016</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100,751</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86,509</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right of use assets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47,915</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53,727</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w:t>
            </w: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392,279</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369,961</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10,335</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10,313</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Partnerships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Deferred compensation and other accrued benefits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13,887</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9,918</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Net operating loss carryforwards and other tax credits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12,182</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13,205</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53,755</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60,838</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27,206</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21,712</w:t>
            </w: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148,460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147,851</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 for deferred income taxes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w:t>
            </w:r>
          </w:p>
        </w:tc>
      </w:tr>
      <w:tr>
        <w:trPr>
          <w:trHeight w:val="223"/>
        </w:trPr>
        <w:tc>
          <w:tcPr>
            <w:tcW w:w="7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 assets, net of 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142,521</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142,521</w:t>
            </w:r>
          </w:p>
        </w:tc>
      </w:tr>
      <w:tr>
        <w:trPr>
          <w:trHeight w:val="230"/>
        </w:trPr>
        <w:tc>
          <w:tcPr>
            <w:tcW w:w="7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Net deferred income tax liability</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249,758</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227,440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income taxes recognized in the Consolidated Balance Sheets are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July 31,</w:t>
            </w:r>
          </w:p>
        </w:tc>
        <w:tc>
          <w:tcPr>
            <w:tcW w:w="1600" w:type="dxa"/>
            <w:vAlign w:val="bottom"/>
            <w:tcBorders>
              <w:bottom w:val="single" w:sz="8" w:color="auto"/>
            </w:tcBorders>
          </w:tcPr>
          <w:p>
            <w:pPr>
              <w:spacing w:after="0"/>
              <w:rPr>
                <w:sz w:val="16"/>
                <w:szCs w:val="16"/>
                <w:color w:val="auto"/>
              </w:rPr>
            </w:pPr>
          </w:p>
        </w:tc>
      </w:tr>
      <w:tr>
        <w:trPr>
          <w:trHeight w:val="187"/>
        </w:trPr>
        <w:tc>
          <w:tcPr>
            <w:tcW w:w="6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2020</w:t>
            </w:r>
          </w:p>
        </w:tc>
      </w:tr>
      <w:tr>
        <w:trPr>
          <w:trHeight w:val="224"/>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1360" w:type="dxa"/>
            <w:vAlign w:val="bottom"/>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w:t>
            </w:r>
          </w:p>
        </w:tc>
      </w:tr>
      <w:tr>
        <w:trPr>
          <w:trHeight w:val="229"/>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 liability</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252,817</w:t>
            </w:r>
          </w:p>
        </w:tc>
        <w:tc>
          <w:tcPr>
            <w:tcW w:w="6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234,191</w:t>
            </w:r>
          </w:p>
        </w:tc>
      </w:tr>
      <w:tr>
        <w:trPr>
          <w:trHeight w:val="230"/>
        </w:trPr>
        <w:tc>
          <w:tcPr>
            <w:tcW w:w="6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deferred income tax liability</w:t>
            </w:r>
          </w:p>
        </w:tc>
        <w:tc>
          <w:tcPr>
            <w:tcW w:w="1360" w:type="dxa"/>
            <w:vAlign w:val="bottom"/>
            <w:tcBorders>
              <w:bottom w:val="single" w:sz="8" w:color="auto"/>
            </w:tcBorders>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249,758</w:t>
            </w:r>
          </w:p>
        </w:tc>
        <w:tc>
          <w:tcPr>
            <w:tcW w:w="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Significant components of the provision for income taxes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Year Ended July 31,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09"/>
        </w:trPr>
        <w:tc>
          <w:tcPr>
            <w:tcW w:w="5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Federal</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20,387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(13,467)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24,309</w:t>
            </w: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w:t>
            </w:r>
          </w:p>
        </w:tc>
      </w:tr>
      <w:tr>
        <w:trPr>
          <w:trHeight w:val="229"/>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20,205</w:t>
            </w:r>
          </w:p>
        </w:tc>
      </w:tr>
      <w:tr>
        <w:trPr>
          <w:trHeight w:val="223"/>
        </w:trPr>
        <w:tc>
          <w:tcPr>
            <w:tcW w:w="5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16,862</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53,053</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(16,289)</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16,983</w:t>
            </w: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State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(2,423)</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4,266</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5,282</w:t>
            </w:r>
          </w:p>
        </w:tc>
      </w:tr>
      <w:tr>
        <w:trPr>
          <w:trHeight w:val="229"/>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5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deferred</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(16,136)</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17,435</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22,419</w:t>
            </w:r>
          </w:p>
        </w:tc>
      </w:tr>
      <w:tr>
        <w:trPr>
          <w:trHeight w:val="230"/>
        </w:trPr>
        <w:tc>
          <w:tcPr>
            <w:tcW w:w="59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75,472</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income tax provision for continuing operations and the amount computed by applying the United States federal statutory income tax rate to income before income taxes is as follows:</w:t>
      </w:r>
    </w:p>
    <w:p>
      <w:pPr>
        <w:spacing w:after="0" w:line="94"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auto"/>
            </w:tcBorders>
          </w:tcPr>
          <w:p>
            <w:pPr>
              <w:ind w:left="648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072"/>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U.S. federal income tax rate</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21.0 %</w:t>
            </w:r>
          </w:p>
        </w:tc>
        <w:tc>
          <w:tcPr>
            <w:tcW w:w="18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21.0 %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4.2 %</w:t>
            </w:r>
          </w:p>
        </w:tc>
        <w:tc>
          <w:tcPr>
            <w:tcW w:w="1840" w:type="dxa"/>
            <w:vAlign w:val="bottom"/>
          </w:tcPr>
          <w:p>
            <w:pPr>
              <w:jc w:val="right"/>
              <w:ind w:right="312"/>
              <w:spacing w:after="0"/>
              <w:rPr>
                <w:sz w:val="20"/>
                <w:szCs w:val="20"/>
                <w:color w:val="auto"/>
              </w:rPr>
            </w:pPr>
            <w:r>
              <w:rPr>
                <w:rFonts w:ascii="Arial" w:cs="Arial" w:eastAsia="Arial" w:hAnsi="Arial"/>
                <w:sz w:val="18"/>
                <w:szCs w:val="18"/>
                <w:color w:val="auto"/>
              </w:rPr>
              <w:t>3.5 %</w:t>
            </w:r>
          </w:p>
        </w:tc>
        <w:tc>
          <w:tcPr>
            <w:tcW w:w="148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uncertain tax positions</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w:t>
            </w:r>
          </w:p>
        </w:tc>
        <w:tc>
          <w:tcPr>
            <w:tcW w:w="18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Excess tax benefits related to stock-based compensation</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(14.3)%</w:t>
            </w:r>
          </w:p>
        </w:tc>
        <w:tc>
          <w:tcPr>
            <w:tcW w:w="1840" w:type="dxa"/>
            <w:vAlign w:val="bottom"/>
          </w:tcPr>
          <w:p>
            <w:pPr>
              <w:jc w:val="right"/>
              <w:ind w:right="312"/>
              <w:spacing w:after="0"/>
              <w:rPr>
                <w:sz w:val="20"/>
                <w:szCs w:val="20"/>
                <w:color w:val="auto"/>
              </w:rPr>
            </w:pPr>
            <w:r>
              <w:rPr>
                <w:rFonts w:ascii="Arial" w:cs="Arial" w:eastAsia="Arial" w:hAnsi="Arial"/>
                <w:sz w:val="18"/>
                <w:szCs w:val="18"/>
                <w:color w:val="auto"/>
              </w:rPr>
              <w:t>(7.1)%</w:t>
            </w: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Impacts of the Tax Act and other legislative changes</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8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0.8 %</w:t>
            </w:r>
          </w:p>
        </w:tc>
        <w:tc>
          <w:tcPr>
            <w:tcW w:w="1840" w:type="dxa"/>
            <w:vAlign w:val="bottom"/>
          </w:tcPr>
          <w:p>
            <w:pPr>
              <w:jc w:val="right"/>
              <w:ind w:right="312"/>
              <w:spacing w:after="0"/>
              <w:rPr>
                <w:sz w:val="20"/>
                <w:szCs w:val="20"/>
                <w:color w:val="auto"/>
              </w:rPr>
            </w:pPr>
            <w:r>
              <w:rPr>
                <w:rFonts w:ascii="Arial" w:cs="Arial" w:eastAsia="Arial" w:hAnsi="Arial"/>
                <w:sz w:val="18"/>
                <w:szCs w:val="18"/>
                <w:color w:val="auto"/>
              </w:rPr>
              <w:t>(2.4)%</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c>
          <w:tcPr>
            <w:tcW w:w="18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Taxes related to prior year filings</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(2.9)%</w:t>
            </w:r>
          </w:p>
        </w:tc>
        <w:tc>
          <w:tcPr>
            <w:tcW w:w="1840" w:type="dxa"/>
            <w:vAlign w:val="bottom"/>
          </w:tcPr>
          <w:p>
            <w:pPr>
              <w:jc w:val="right"/>
              <w:ind w:right="312"/>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0.3 %</w:t>
            </w:r>
          </w:p>
        </w:tc>
        <w:tc>
          <w:tcPr>
            <w:tcW w:w="18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0.7 %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30"/>
        </w:trPr>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Effective tax rate</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0.6 %</w:t>
            </w:r>
          </w:p>
        </w:tc>
        <w:tc>
          <w:tcPr>
            <w:tcW w:w="1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6.3 %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18.9 %</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Year Ended July 31,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09"/>
        </w:trPr>
        <w:tc>
          <w:tcPr>
            <w:tcW w:w="5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70,299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856"/>
              <w:spacing w:after="0"/>
              <w:rPr>
                <w:sz w:val="20"/>
                <w:szCs w:val="20"/>
                <w:color w:val="auto"/>
              </w:rPr>
            </w:pPr>
            <w:r>
              <w:rPr>
                <w:rFonts w:ascii="Arial" w:cs="Arial" w:eastAsia="Arial" w:hAnsi="Arial"/>
                <w:sz w:val="18"/>
                <w:szCs w:val="18"/>
                <w:color w:val="auto"/>
                <w:w w:val="90"/>
              </w:rPr>
              <w:t>72,222</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7"/>
              </w:rPr>
              <w:t>78,242</w:t>
            </w: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0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16,754</w:t>
            </w:r>
          </w:p>
        </w:tc>
        <w:tc>
          <w:tcPr>
            <w:tcW w:w="180" w:type="dxa"/>
            <w:vAlign w:val="bottom"/>
          </w:tcPr>
          <w:p>
            <w:pPr>
              <w:spacing w:after="0"/>
              <w:rPr>
                <w:sz w:val="19"/>
                <w:szCs w:val="19"/>
                <w:color w:val="auto"/>
              </w:rPr>
            </w:pPr>
          </w:p>
        </w:tc>
        <w:tc>
          <w:tcPr>
            <w:tcW w:w="1560" w:type="dxa"/>
            <w:vAlign w:val="bottom"/>
          </w:tcPr>
          <w:p>
            <w:pPr>
              <w:jc w:val="center"/>
              <w:ind w:left="856"/>
              <w:spacing w:after="0"/>
              <w:rPr>
                <w:sz w:val="20"/>
                <w:szCs w:val="20"/>
                <w:color w:val="auto"/>
              </w:rPr>
            </w:pPr>
            <w:r>
              <w:rPr>
                <w:rFonts w:ascii="Arial" w:cs="Arial" w:eastAsia="Arial" w:hAnsi="Arial"/>
                <w:sz w:val="18"/>
                <w:szCs w:val="18"/>
                <w:color w:val="auto"/>
                <w:w w:val="90"/>
              </w:rPr>
              <w:t>16,654</w:t>
            </w:r>
          </w:p>
        </w:tc>
        <w:tc>
          <w:tcPr>
            <w:tcW w:w="440" w:type="dxa"/>
            <w:vAlign w:val="bottom"/>
          </w:tcPr>
          <w:p>
            <w:pPr>
              <w:spacing w:after="0"/>
              <w:rPr>
                <w:sz w:val="19"/>
                <w:szCs w:val="19"/>
                <w:color w:val="auto"/>
              </w:rPr>
            </w:pPr>
          </w:p>
        </w:tc>
        <w:tc>
          <w:tcPr>
            <w:tcW w:w="1340" w:type="dxa"/>
            <w:vAlign w:val="bottom"/>
          </w:tcPr>
          <w:p>
            <w:pPr>
              <w:jc w:val="center"/>
              <w:ind w:left="614"/>
              <w:spacing w:after="0"/>
              <w:rPr>
                <w:sz w:val="20"/>
                <w:szCs w:val="20"/>
                <w:color w:val="auto"/>
              </w:rPr>
            </w:pPr>
            <w:r>
              <w:rPr>
                <w:rFonts w:ascii="Arial" w:cs="Arial" w:eastAsia="Arial" w:hAnsi="Arial"/>
                <w:sz w:val="18"/>
                <w:szCs w:val="18"/>
                <w:color w:val="auto"/>
                <w:w w:val="87"/>
              </w:rPr>
              <w:t>11,520</w:t>
            </w:r>
          </w:p>
        </w:tc>
      </w:tr>
      <w:tr>
        <w:trPr>
          <w:trHeight w:val="229"/>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Lapse of statute of limitations</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(19,196)</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836"/>
              <w:spacing w:after="0"/>
              <w:rPr>
                <w:sz w:val="20"/>
                <w:szCs w:val="20"/>
                <w:color w:val="auto"/>
              </w:rPr>
            </w:pPr>
            <w:r>
              <w:rPr>
                <w:rFonts w:ascii="Arial" w:cs="Arial" w:eastAsia="Arial" w:hAnsi="Arial"/>
                <w:sz w:val="18"/>
                <w:szCs w:val="18"/>
                <w:color w:val="auto"/>
                <w:w w:val="89"/>
              </w:rPr>
              <w:t>(18,577)</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color w:val="auto"/>
                <w:w w:val="92"/>
              </w:rPr>
              <w:t>(17,540)</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67,857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center"/>
              <w:ind w:left="856"/>
              <w:spacing w:after="0"/>
              <w:rPr>
                <w:sz w:val="20"/>
                <w:szCs w:val="20"/>
                <w:color w:val="auto"/>
              </w:rPr>
            </w:pPr>
            <w:r>
              <w:rPr>
                <w:rFonts w:ascii="Arial" w:cs="Arial" w:eastAsia="Arial" w:hAnsi="Arial"/>
                <w:sz w:val="18"/>
                <w:szCs w:val="18"/>
                <w:color w:val="auto"/>
                <w:w w:val="90"/>
              </w:rPr>
              <w:t>70,299</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87"/>
              </w:rPr>
              <w:t>72,222</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July 31, 2021,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July 31, 2021, the Company experienced a reduction in the uncertain tax positions due to the lapse of the statute of limitations of $19.2 million, which was partially offset with an increase to the uncertain tax position of $16.8 million. Interest and penalties associated with the statute of limitations lapse were approximately $3.4 million. The Company is not aware of any tax positions for which it is reasonably possible that the total amounts of unrecognized tax benefits will change materially in the next twelve months. Additionally, the Company expects a reduction to its uncertain tax positions for the fiscal year ending July 31, 2022, due to the lapse of the statute of limitations. As of July 31, 2021 and 2020, accrued interest and penalties, net of tax, was $6.9 million and $6.2 million, respectively. For the years ended July 31, 2021, 2020 and 2019, the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5" w:name="page106"/>
    <w:bookmarkEnd w:id="105"/>
    <w:p>
      <w:pPr>
        <w:jc w:val="both"/>
        <w:spacing w:after="0" w:line="277" w:lineRule="auto"/>
        <w:rPr>
          <w:sz w:val="20"/>
          <w:szCs w:val="20"/>
          <w:color w:val="auto"/>
        </w:rPr>
      </w:pPr>
      <w:r>
        <w:rPr>
          <w:rFonts w:ascii="Arial" w:cs="Arial" w:eastAsia="Arial" w:hAnsi="Arial"/>
          <w:sz w:val="18"/>
          <w:szCs w:val="18"/>
          <w:color w:val="auto"/>
        </w:rPr>
        <w:t>Company recognized income tax expense (benefit) of $0.7 million, $(0.1) million and $1.1 million related to interest expense (benefit) and penalties, net of tax,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major tax jurisdictions in which it files income tax returns are the U.S. federal jurisdiction, various state jurisdictions, Australia, and Canada. The Company is no longer subject to U.S. federal examinations for tax years prior to 2016. With few exceptions, the Company is no longer subject to examination by various U.S. state jurisdictions for tax years prior to 2015. Additionally, the Company is no longer subject to audits for the tax years prior to 2016 for Australia and Canada.</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NOL carryforwards totaling $48.2 million, primarily comprised of $44.4 million of federal and state NOLs as a result of the acquisition of Peak Resorts in September 2019 that will expire beginning July 31, 2031 and non-U.S. NOLs of $3.9 million that will carry forward indefinitely. In connection with Peak Resorts’ initial public offering in November 2014, as well as the Company’s acquisition of Peak Resorts in September 2019, Peak Resorts had two ownership changes pursuant to the provisions of the Tax Reform Act of 1986. As a result, the Company’s usage of its eligible Federal NOL carryforwards will be limited each year by these ownership changes; however, management believes the full benefit of those carryforwards will be realized prior to their respective expiration dates. As of July 31, 2021, the Company has recorded a valuation allowance on $3.9 million of the historical non-U.S. NOL carryforwards, as the Company has determined that it is more likely than not that the associated NOL carryforwards will not be realized. Additionally, the Company has foreign tax credit carryforwards of $4.2 million, which expire by the year ending July 31, 2028. As of July 31, 2021, the Company has recorded a valuation allowance of $4.2 million on foreign tax credit carryforwards, as the Company has determined that it is more likely than not that these foreign tax credit carryforwards will not be realized. During the year ended July 31, 2021 the Company generated $2.7 million of capital losses; however the Company also recorded a valuation allowance of $2.7 million as the Company determined it is more likely than not that the capital loss will not be realized.</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be required to record additional valuation allowances if, among other things, adverse economic conditions, including those caused by the COVID-19 pandemic, negatively impact the Company’s ability to realize its deferred tax assets. Evaluating and estimating the Company’s tax provision, current and deferred tax assets and liabilities and other tax accruals requires significant management judgment. The Company intends to indefinitely reinvest undistributed earnings, if any, in its Canadian foreign subsidiaries. It is not practical at this time to determine the income tax liability related to any remaining undistributed earnings.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the right to appoint four of nine directors of the Beaver Creek Resort Company of Colorado (“BCRC”), a non-profit entity formed for the benefit of property owners and certain others in Beaver Creek. The Company has a management agreement with the BCRC, renewable for one-year periods, to provide management services on a fixed fee basis. Management fees and reimbursement of operating expenses paid to the Company under its agreement with the BCRC during the years ended July 31, 2021, 2020 and 2019 were $6.5 million, $8.3 million and $9.6 million, respectively.</w:t>
      </w:r>
    </w:p>
    <w:p>
      <w:pPr>
        <w:spacing w:after="0" w:line="1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Red Sky Ranch Metropolitan District (“RSRMD”) until RSRMD’s revenue streams from property taxes are sufficient to meet debt service requirements under HCMD’s bonds. The Company recorded a liability of $2.0 million and $2.1 million, primarily within other long-term liabilities in the accompanying Consolidated Balance Sheets, as of July 31, 2021 and 2020, respectively, with respect to the estimated present value of future RSRMD capital improvement fees. The Company estimates that it will make capital improvement fee payments under this arrangement through the year ending July 31, 2031.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31, 2021, the Company had various other letters of credit outstanding totaling $76.7 million, consisting of $53.4 million to support the Employee Housing Bonds and $23.3 million primarily for workers’ compensation, a wind energy purchase agreement and insurance-related deductibles. The Company also had surety bonds of $13.2 million as of July 31, 2021, primarily to provide collateral for its U.S. workers compensation self-insurance programs.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p>
      <w:pPr>
        <w:jc w:val="both"/>
        <w:spacing w:after="0" w:line="257" w:lineRule="auto"/>
        <w:rPr>
          <w:sz w:val="20"/>
          <w:szCs w:val="20"/>
          <w:color w:val="auto"/>
        </w:rPr>
      </w:pPr>
      <w:r>
        <w:rPr>
          <w:rFonts w:ascii="Arial" w:cs="Arial" w:eastAsia="Arial" w:hAnsi="Arial"/>
          <w:sz w:val="18"/>
          <w:szCs w:val="18"/>
          <w:color w:val="auto"/>
        </w:rPr>
        <w:t>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operations of Northstar are conducted on land and with operating assets owned by affiliates of EPR Properties, a real-estate investment trust, primarily under operating leases which were assumed in the acquisition of Northstar by the Company. The leases provide for the payment of a minimum annual base rent over the lease term which is recognized on a straight-line basis over the remaining lease term from the date of assumption. In addition, the leases provide for the payment of percentage rent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which initially commenced in 2008, and which the Company assumed in its acquisition of Perisher. The lease and license has a term that expires in fiscal 2048 and allows for an option to renew for an additional 20 years. The lease and license provide for the payment of an initial minimum annual base rent, with annual CPI increases, and percentage rent of certain gross revenue generated at the property. The operations of Falls Creek and Hotham are conducted on land under leases granted by the Governor of the State of Victoria, Australia and its dependencies, which initially commenced in 1991 and 1992, respectively, which the Company assumed in its acquisition of Falls Creek and Hotham in April 2019. The leases have terms that expire in fiscal 2041 for Falls Creek and fiscal 2058 for Hotham, and provide for the payment of rent with both a fixed and variable component. The operations of Mad River Mountain is conducted on land under a lease granted by EPT Mad River, Inc., which initially commenced in 2005, which the Company assumed in its acquisition of Peak Resorts in September 2019. The lease has a term that expires in the year ending July 31, 2035, and provides for the payment of an initial minimum annual base rent, with annual CPI increases, and percentage rent of certain gross revenue generated at the property. Additionally, the Company has entered into strategic long-term season pass alliance agreements with third-party mountain resorts in which the Company has committed to pay minimum revenue guarantees over the remaining terms of these agreements.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executed or assumed as lessee other operating leases for the rental of office and commercial space, employee residential units and land primarily through fiscal 2079. Certain of these leases have renewal terms at the Company’s option, escalation clauses, rent holidays and leasehold improvement incentives. 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2021, 2020 and 2019, the Company recorded lease expense (including Northstar, Perisher, Falls Creek &amp; Hotham and Mad River Mountain), excluding executory costs, related to these agreements of $58.7 million, $58.8 million and $57.8 million, respectively, which is included in the accompanying Consolidated Statements of Operations. See Note 4, Leases, for additional information regarding the Company’s leasing arrangements.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Employment-Related Litigation</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From October 2020, several named plaintiffs filed respective complaints against the Company on behalf of the same or similar purported classes of current and former employees of the Company. The complaints generally allege violations of federal and state laws governing employee wage and hours practices, and seek damages in the form of unpaid wages, related penalties and other damages. The Company has proposed a settlement agreement to resolve these complaints, which is pending finalization and court approval. As a result, the Company recorded a charge of $13.2 million during the year ended July 31, 2021, which is included in general and administrative expense on the Company’s Consolidated Statement of Operations.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also a party to various lawsuits arising in the ordinary course of business. Management believes the Company has adequate insurance coverage and/or has accrued for all loss contingencies for asserted and unasserted matters deemed to be probable losses and reasonably estimable. As of July 31, 2021 and 2020, the accruals for the above loss contingencies (excluding the employment-related litigation) were not material individually or in the aggregate.</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and Geographic Area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Financial Statements as indicators of financial performance or liquidity.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8" w:name="page109"/>
    <w:bookmarkEnd w:id="108"/>
    <w:p>
      <w:pPr>
        <w:spacing w:after="0" w:line="277" w:lineRule="auto"/>
        <w:rPr>
          <w:sz w:val="20"/>
          <w:szCs w:val="20"/>
          <w:color w:val="auto"/>
        </w:rPr>
      </w:pPr>
      <w:r>
        <w:rPr>
          <w:rFonts w:ascii="Arial" w:cs="Arial" w:eastAsia="Arial" w:hAnsi="Arial"/>
          <w:sz w:val="18"/>
          <w:szCs w:val="18"/>
          <w:color w:val="auto"/>
        </w:rPr>
        <w:t>Following is key financial information by reportable segment which is used by management in evaluating performance and allocating resources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Year ended July 31,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10"/>
        </w:trPr>
        <w:tc>
          <w:tcPr>
            <w:tcW w:w="5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Mountain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1,689,878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1,710,443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1,956,201</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Lodging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218,062</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248,414</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314,662</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1,907,940</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1,958,857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2,270,863</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1,909,710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1,963,704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2,271,575</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Mountain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1,146,187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1,212,053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1,279,567</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Lodging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223,795</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245,145</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286,562</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Total Resort operating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1,369,982</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1,457,198</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1,566,129</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segment operating expense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1,376,658</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1,466,380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1,571,738</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1,690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Mountain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550,389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500,080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678,594</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Lodging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28,100</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Resort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544,656</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503,349</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706,694</w:t>
            </w:r>
          </w:p>
        </w:tc>
      </w:tr>
      <w:tr>
        <w:trPr>
          <w:trHeight w:val="229"/>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Reported EBITDA</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540,074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499,221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702,377</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held for sale or investment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101,021</w:t>
            </w:r>
          </w:p>
        </w:tc>
      </w:tr>
      <w:tr>
        <w:trPr>
          <w:trHeight w:val="175"/>
        </w:trPr>
        <w:tc>
          <w:tcPr>
            <w:tcW w:w="5960" w:type="dxa"/>
            <w:vAlign w:val="bottom"/>
          </w:tcPr>
          <w:p>
            <w:pPr>
              <w:ind w:left="20"/>
              <w:spacing w:after="0" w:line="176" w:lineRule="exact"/>
              <w:rPr>
                <w:sz w:val="20"/>
                <w:szCs w:val="20"/>
                <w:color w:val="auto"/>
              </w:rPr>
            </w:pPr>
            <w:r>
              <w:rPr>
                <w:rFonts w:ascii="Arial" w:cs="Arial" w:eastAsia="Arial" w:hAnsi="Arial"/>
                <w:sz w:val="18"/>
                <w:szCs w:val="18"/>
                <w:color w:val="auto"/>
                <w:w w:val="94"/>
              </w:rPr>
              <w:t>Reconciliation of net income attributable to Vail Resorts, Inc. to Total Reported</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EBITDA:</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301,163</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22,330</w:t>
            </w: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124,457</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109,055</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323,493</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75,472</w:t>
            </w: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125,183</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116,433</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398,965</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252,585</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249,572</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218,117</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Loss (gain) on disposal of fixed assets and other,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5,373</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(838)</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Investment income and other,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(1,305)</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(3,086)</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151,399</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106,721</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79,496</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Reported EBITDA</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540,074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499,221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auto"/>
        </w:rPr>
        <w:t>Geographic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revenue and property, plant and equipment, net by geographic region are as follows (in thousands):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 ended July 31,</w:t>
            </w:r>
          </w:p>
        </w:tc>
        <w:tc>
          <w:tcPr>
            <w:tcW w:w="1560" w:type="dxa"/>
            <w:vAlign w:val="bottom"/>
            <w:tcBorders>
              <w:bottom w:val="single" w:sz="8" w:color="auto"/>
            </w:tcBorders>
          </w:tcPr>
          <w:p>
            <w:pPr>
              <w:spacing w:after="0"/>
              <w:rPr>
                <w:sz w:val="16"/>
                <w:szCs w:val="16"/>
                <w:color w:val="auto"/>
              </w:rPr>
            </w:pPr>
          </w:p>
        </w:tc>
      </w:tr>
      <w:tr>
        <w:trPr>
          <w:trHeight w:val="197"/>
        </w:trPr>
        <w:tc>
          <w:tcPr>
            <w:tcW w:w="5840" w:type="dxa"/>
            <w:vAlign w:val="bottom"/>
          </w:tcPr>
          <w:p>
            <w:pPr>
              <w:spacing w:after="0"/>
              <w:rPr>
                <w:sz w:val="20"/>
                <w:szCs w:val="20"/>
                <w:color w:val="auto"/>
              </w:rPr>
            </w:pPr>
            <w:r>
              <w:rPr>
                <w:rFonts w:ascii="Arial" w:cs="Arial" w:eastAsia="Arial" w:hAnsi="Arial"/>
                <w:sz w:val="16"/>
                <w:szCs w:val="16"/>
                <w:b w:val="1"/>
                <w:bCs w:val="1"/>
                <w:color w:val="auto"/>
              </w:rPr>
              <w:t>Net revenue</w:t>
            </w:r>
          </w:p>
        </w:tc>
        <w:tc>
          <w:tcPr>
            <w:tcW w:w="15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220" w:type="dxa"/>
            <w:vAlign w:val="bottom"/>
          </w:tcPr>
          <w:p>
            <w:pPr>
              <w:jc w:val="right"/>
              <w:ind w:right="888"/>
              <w:spacing w:after="0"/>
              <w:rPr>
                <w:sz w:val="20"/>
                <w:szCs w:val="20"/>
                <w:color w:val="auto"/>
              </w:rPr>
            </w:pPr>
            <w:r>
              <w:rPr>
                <w:rFonts w:ascii="Arial" w:cs="Arial" w:eastAsia="Arial" w:hAnsi="Arial"/>
                <w:sz w:val="14"/>
                <w:szCs w:val="14"/>
                <w:b w:val="1"/>
                <w:bCs w:val="1"/>
                <w:color w:val="auto"/>
              </w:rPr>
              <w:t>2020</w:t>
            </w:r>
          </w:p>
        </w:tc>
        <w:tc>
          <w:tcPr>
            <w:tcW w:w="1560" w:type="dxa"/>
            <w:vAlign w:val="bottom"/>
          </w:tcPr>
          <w:p>
            <w:pPr>
              <w:jc w:val="right"/>
              <w:ind w:right="688"/>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9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1,717,270</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1,655,961</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1,865,062</w:t>
            </w:r>
          </w:p>
        </w:tc>
      </w:tr>
      <w:tr>
        <w:trPr>
          <w:trHeight w:val="229"/>
        </w:trPr>
        <w:tc>
          <w:tcPr>
            <w:tcW w:w="44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(1)</w:t>
            </w:r>
          </w:p>
        </w:tc>
        <w:tc>
          <w:tcPr>
            <w:tcW w:w="19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192,440</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307,743</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406,513</w:t>
            </w:r>
          </w:p>
        </w:tc>
      </w:tr>
      <w:tr>
        <w:trPr>
          <w:trHeight w:val="230"/>
        </w:trPr>
        <w:tc>
          <w:tcPr>
            <w:tcW w:w="4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net revenue</w:t>
            </w:r>
          </w:p>
        </w:tc>
        <w:tc>
          <w:tcPr>
            <w:tcW w:w="19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1,909,710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1,963,704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2,271,575</w:t>
            </w:r>
          </w:p>
        </w:tc>
      </w:tr>
      <w:tr>
        <w:trPr>
          <w:trHeight w:val="439"/>
        </w:trPr>
        <w:tc>
          <w:tcPr>
            <w:tcW w:w="4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300" w:type="dxa"/>
            <w:vAlign w:val="bottom"/>
            <w:tcBorders>
              <w:bottom w:val="single" w:sz="8" w:color="auto"/>
            </w:tcBorders>
          </w:tcPr>
          <w:p>
            <w:pPr>
              <w:spacing w:after="0"/>
              <w:rPr>
                <w:sz w:val="24"/>
                <w:szCs w:val="24"/>
                <w:color w:val="auto"/>
              </w:rPr>
            </w:pPr>
          </w:p>
        </w:tc>
      </w:tr>
      <w:tr>
        <w:trPr>
          <w:trHeight w:val="20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1,646,097</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1,759,692</w:t>
            </w:r>
          </w:p>
        </w:tc>
      </w:tr>
      <w:tr>
        <w:trPr>
          <w:trHeight w:val="229"/>
        </w:trPr>
        <w:tc>
          <w:tcPr>
            <w:tcW w:w="44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9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421,779</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432,987</w:t>
            </w:r>
          </w:p>
        </w:tc>
      </w:tr>
      <w:tr>
        <w:trPr>
          <w:trHeight w:val="230"/>
        </w:trPr>
        <w:tc>
          <w:tcPr>
            <w:tcW w:w="4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19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2,067,876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2,192,679</w:t>
            </w:r>
          </w:p>
        </w:tc>
      </w:tr>
    </w:tbl>
    <w:p>
      <w:pPr>
        <w:spacing w:after="0" w:line="283" w:lineRule="exact"/>
        <w:rPr>
          <w:sz w:val="20"/>
          <w:szCs w:val="20"/>
          <w:color w:val="auto"/>
        </w:rPr>
      </w:pPr>
    </w:p>
    <w:p>
      <w:pPr>
        <w:jc w:val="both"/>
        <w:ind w:left="340" w:hanging="8"/>
        <w:spacing w:after="0" w:line="286" w:lineRule="auto"/>
        <w:tabs>
          <w:tab w:leader="none" w:pos="597" w:val="left"/>
        </w:tabs>
        <w:numPr>
          <w:ilvl w:val="1"/>
          <w:numId w:val="69"/>
        </w:numPr>
        <w:rPr>
          <w:rFonts w:ascii="Arial" w:cs="Arial" w:eastAsia="Arial" w:hAnsi="Arial"/>
          <w:sz w:val="17"/>
          <w:szCs w:val="17"/>
          <w:color w:val="auto"/>
        </w:rPr>
      </w:pPr>
      <w:r>
        <w:rPr>
          <w:rFonts w:ascii="Arial" w:cs="Arial" w:eastAsia="Arial" w:hAnsi="Arial"/>
          <w:sz w:val="17"/>
          <w:szCs w:val="17"/>
          <w:color w:val="auto"/>
        </w:rPr>
        <w:t>No individual international country (i.e. except the U.S.) accounted for more than 10% of the Company’s revenue for the year ended July 31, 2021. The only individual international country to account for more than 10% of the Company’s revenue for the years ended July 31, 2020 and 2019 was Canada. Canada accounted for $223.3 million and $308.1 million of revenue for the years ended July 31, 2020 and 2019, respectively.</w:t>
      </w:r>
    </w:p>
    <w:p>
      <w:pPr>
        <w:spacing w:after="0" w:line="165" w:lineRule="exact"/>
        <w:rPr>
          <w:rFonts w:ascii="Arial" w:cs="Arial" w:eastAsia="Arial" w:hAnsi="Arial"/>
          <w:sz w:val="17"/>
          <w:szCs w:val="17"/>
          <w:color w:val="auto"/>
        </w:rPr>
      </w:pPr>
    </w:p>
    <w:p>
      <w:pPr>
        <w:ind w:left="340" w:hanging="8"/>
        <w:spacing w:after="0" w:line="308" w:lineRule="auto"/>
        <w:tabs>
          <w:tab w:leader="none" w:pos="602"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only individual international country to account for more than 10% of the Company’s property plant and equipment, net was Canada. Canada accounted for $288.4 million and $291.7 million of property, plant and equipment, net as of July 31, 2021 and 2020, respectively.</w:t>
      </w:r>
    </w:p>
    <w:p>
      <w:pPr>
        <w:spacing w:after="0" w:line="142" w:lineRule="exact"/>
        <w:rPr>
          <w:rFonts w:ascii="Arial" w:cs="Arial" w:eastAsia="Arial" w:hAnsi="Arial"/>
          <w:sz w:val="17"/>
          <w:szCs w:val="17"/>
          <w:color w:val="auto"/>
        </w:rPr>
      </w:pPr>
    </w:p>
    <w:p>
      <w:pPr>
        <w:ind w:left="420" w:hanging="412"/>
        <w:spacing w:after="0"/>
        <w:tabs>
          <w:tab w:leader="none" w:pos="4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left="716"/>
              <w:spacing w:after="0"/>
              <w:rPr>
                <w:sz w:val="20"/>
                <w:szCs w:val="20"/>
                <w:color w:val="auto"/>
              </w:rPr>
            </w:pPr>
            <w:r>
              <w:rPr>
                <w:rFonts w:ascii="Arial" w:cs="Arial" w:eastAsia="Arial" w:hAnsi="Arial"/>
                <w:sz w:val="14"/>
                <w:szCs w:val="14"/>
                <w:b w:val="1"/>
                <w:bCs w:val="1"/>
                <w:color w:val="auto"/>
                <w:w w:val="91"/>
              </w:rPr>
              <w:t>Year ended July 31, 2021</w:t>
            </w:r>
          </w:p>
        </w:tc>
        <w:tc>
          <w:tcPr>
            <w:tcW w:w="1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per share amounts)</w:t>
            </w:r>
          </w:p>
        </w:tc>
        <w:tc>
          <w:tcPr>
            <w:tcW w:w="280" w:type="dxa"/>
            <w:vAlign w:val="bottom"/>
          </w:tcPr>
          <w:p>
            <w:pPr>
              <w:spacing w:after="0"/>
              <w:rPr>
                <w:sz w:val="11"/>
                <w:szCs w:val="11"/>
                <w:color w:val="auto"/>
              </w:rPr>
            </w:pPr>
          </w:p>
        </w:tc>
        <w:tc>
          <w:tcPr>
            <w:tcW w:w="11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Full Year</w:t>
            </w:r>
          </w:p>
        </w:tc>
        <w:tc>
          <w:tcPr>
            <w:tcW w:w="400" w:type="dxa"/>
            <w:vAlign w:val="bottom"/>
          </w:tcPr>
          <w:p>
            <w:pPr>
              <w:spacing w:after="0"/>
              <w:rPr>
                <w:sz w:val="11"/>
                <w:szCs w:val="11"/>
                <w:color w:val="auto"/>
              </w:rPr>
            </w:pPr>
          </w:p>
        </w:tc>
        <w:tc>
          <w:tcPr>
            <w:tcW w:w="108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1"/>
                <w:szCs w:val="11"/>
                <w:color w:val="auto"/>
              </w:rPr>
            </w:pPr>
          </w:p>
        </w:tc>
        <w:tc>
          <w:tcPr>
            <w:tcW w:w="112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1"/>
                <w:szCs w:val="11"/>
                <w:color w:val="auto"/>
              </w:rPr>
            </w:pPr>
          </w:p>
        </w:tc>
        <w:tc>
          <w:tcPr>
            <w:tcW w:w="114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w w:val="98"/>
              </w:rPr>
              <w:t>First</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1,909,710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204,202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889,078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684,644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131,786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261,016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(170,444)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387,705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207,716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(163,961)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(144,942)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277,290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(157,021)</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127,850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(140,811)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274,629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147,798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(153,766)</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Basic net income (loss) per share attributable to Vail</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Resorts, Inc.</w:t>
            </w: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4"/>
              </w:rPr>
              <w:t>Diluted net income (loss) per share attributable to Vail</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3.13</w:t>
            </w: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6.72</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3.62</w:t>
            </w: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Resorts, Inc.</w:t>
            </w:r>
          </w:p>
        </w:tc>
        <w:tc>
          <w:tcPr>
            <w:tcW w:w="2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4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left="716"/>
              <w:spacing w:after="0"/>
              <w:rPr>
                <w:sz w:val="20"/>
                <w:szCs w:val="20"/>
                <w:color w:val="auto"/>
              </w:rPr>
            </w:pPr>
            <w:r>
              <w:rPr>
                <w:rFonts w:ascii="Arial" w:cs="Arial" w:eastAsia="Arial" w:hAnsi="Arial"/>
                <w:sz w:val="14"/>
                <w:szCs w:val="14"/>
                <w:b w:val="1"/>
                <w:bCs w:val="1"/>
                <w:color w:val="auto"/>
                <w:w w:val="91"/>
              </w:rPr>
              <w:t>Year ended July 31, 2020</w:t>
            </w: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8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per share amounts)</w:t>
            </w:r>
          </w:p>
        </w:tc>
        <w:tc>
          <w:tcPr>
            <w:tcW w:w="280" w:type="dxa"/>
            <w:vAlign w:val="bottom"/>
          </w:tcPr>
          <w:p>
            <w:pPr>
              <w:spacing w:after="0"/>
              <w:rPr>
                <w:sz w:val="11"/>
                <w:szCs w:val="11"/>
                <w:color w:val="auto"/>
              </w:rPr>
            </w:pPr>
          </w:p>
        </w:tc>
        <w:tc>
          <w:tcPr>
            <w:tcW w:w="11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Full Year</w:t>
            </w:r>
          </w:p>
        </w:tc>
        <w:tc>
          <w:tcPr>
            <w:tcW w:w="400" w:type="dxa"/>
            <w:vAlign w:val="bottom"/>
          </w:tcPr>
          <w:p>
            <w:pPr>
              <w:spacing w:after="0"/>
              <w:rPr>
                <w:sz w:val="11"/>
                <w:szCs w:val="11"/>
                <w:color w:val="auto"/>
              </w:rPr>
            </w:pPr>
          </w:p>
        </w:tc>
        <w:tc>
          <w:tcPr>
            <w:tcW w:w="108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1"/>
                <w:szCs w:val="11"/>
                <w:color w:val="auto"/>
              </w:rPr>
            </w:pPr>
          </w:p>
        </w:tc>
        <w:tc>
          <w:tcPr>
            <w:tcW w:w="112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1"/>
                <w:szCs w:val="11"/>
                <w:color w:val="auto"/>
              </w:rPr>
            </w:pPr>
          </w:p>
        </w:tc>
        <w:tc>
          <w:tcPr>
            <w:tcW w:w="114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w w:val="98"/>
              </w:rPr>
              <w:t>First</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1,963,704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694,087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924,638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267,770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223,389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(170,046)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218,232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310,733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(135,530)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217,018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(109,829)</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98,833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(153,608)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152,546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206,370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(106,475)</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Basic net income (loss) per share attributable to Vail</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Resorts, Inc.</w:t>
            </w: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4"/>
              </w:rPr>
              <w:t>Diluted net income (loss) per share attributable to Vail</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2.42</w:t>
            </w: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3.74</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5.04</w:t>
            </w: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Resorts, Inc.</w:t>
            </w:r>
          </w:p>
        </w:tc>
        <w:tc>
          <w:tcPr>
            <w:tcW w:w="2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108</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0" w:name="page111"/>
    <w:bookmarkEnd w:id="110"/>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Share Repurchase Program</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did not repurchase any Vail Shares during the year ended July 31, 2021. During the year ended July 31, 2020, the Company repurchased 256,418 Vail Shares (at a total cost of $46.4 million). During the year ended July 31, 2019, the Company repurchased 353,007 Vail Shares (at a total cost of $85.0 million). Since inception of this stock repurchase program through July 31, 2021, the Company has repurchased 6,161,141 shares at a cost of approximately $404.4 million. As of July 31, 2021, 1,338,859 Vail Shares remained available to repurchase under the existing share repurchase program, which has no expiration date. Vail Shares purchased pursuant to the repurchase program will be held as treasury shares and may be used for issuance under the Company’s employee share award plan.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Stock Compensation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a share award plan (the “Plan”) which has been approved by the Company’s stockholders. Under the Plan, up to 4.4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of Directors.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Directors of the Company) under the Plan. At July 31, 2021, approximately 2.8 million share based awards were available to be granted under the Plan.</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stock-settled stock appreciation rights (“SARs”) granted in the years ended July 31, 2021, 2020 and 2019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Year ended July 31,</w:t>
            </w:r>
          </w:p>
        </w:tc>
        <w:tc>
          <w:tcPr>
            <w:tcW w:w="1620" w:type="dxa"/>
            <w:vAlign w:val="bottom"/>
            <w:tcBorders>
              <w:bottom w:val="single" w:sz="8" w:color="auto"/>
            </w:tcBorders>
          </w:tcPr>
          <w:p>
            <w:pPr>
              <w:spacing w:after="0"/>
              <w:rPr>
                <w:sz w:val="16"/>
                <w:szCs w:val="16"/>
                <w:color w:val="auto"/>
              </w:rPr>
            </w:pPr>
          </w:p>
        </w:tc>
      </w:tr>
      <w:tr>
        <w:trPr>
          <w:trHeight w:val="209"/>
        </w:trPr>
        <w:tc>
          <w:tcPr>
            <w:tcW w:w="5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b w:val="1"/>
                <w:bCs w:val="1"/>
                <w:color w:val="auto"/>
                <w:w w:val="89"/>
              </w:rPr>
              <w:t>2021</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6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2019</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3"/>
              </w:rPr>
              <w:t>30.7%</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29.7%</w:t>
            </w:r>
          </w:p>
        </w:tc>
        <w:tc>
          <w:tcPr>
            <w:tcW w:w="16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0"/>
              </w:rPr>
              <w:t>38.6%</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620" w:type="dxa"/>
            <w:vAlign w:val="bottom"/>
          </w:tcPr>
          <w:p>
            <w:pPr>
              <w:jc w:val="center"/>
              <w:ind w:left="54"/>
              <w:spacing w:after="0"/>
              <w:rPr>
                <w:sz w:val="20"/>
                <w:szCs w:val="20"/>
                <w:color w:val="auto"/>
              </w:rPr>
            </w:pPr>
            <w:r>
              <w:rPr>
                <w:rFonts w:ascii="Arial" w:cs="Arial" w:eastAsia="Arial" w:hAnsi="Arial"/>
                <w:sz w:val="18"/>
                <w:szCs w:val="18"/>
                <w:color w:val="auto"/>
                <w:w w:val="87"/>
              </w:rPr>
              <w:t>3.0%</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2.8%</w:t>
            </w:r>
          </w:p>
        </w:tc>
        <w:tc>
          <w:tcPr>
            <w:tcW w:w="1620" w:type="dxa"/>
            <w:vAlign w:val="bottom"/>
          </w:tcPr>
          <w:p>
            <w:pPr>
              <w:jc w:val="center"/>
              <w:ind w:right="74"/>
              <w:spacing w:after="0"/>
              <w:rPr>
                <w:sz w:val="20"/>
                <w:szCs w:val="20"/>
                <w:color w:val="auto"/>
              </w:rPr>
            </w:pPr>
            <w:r>
              <w:rPr>
                <w:rFonts w:ascii="Arial" w:cs="Arial" w:eastAsia="Arial" w:hAnsi="Arial"/>
                <w:sz w:val="18"/>
                <w:szCs w:val="18"/>
                <w:color w:val="auto"/>
                <w:w w:val="92"/>
              </w:rPr>
              <w:t>2.1%</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(average in years)</w:t>
            </w:r>
          </w:p>
        </w:tc>
        <w:tc>
          <w:tcPr>
            <w:tcW w:w="162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2"/>
              </w:rPr>
              <w:t>6.6-6.9</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6.5-7.1</w:t>
            </w:r>
          </w:p>
        </w:tc>
        <w:tc>
          <w:tcPr>
            <w:tcW w:w="16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2"/>
              </w:rPr>
              <w:t>6.0-6.6</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Risk-free rate</w:t>
            </w:r>
          </w:p>
        </w:tc>
        <w:tc>
          <w:tcPr>
            <w:tcW w:w="162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91"/>
              </w:rPr>
              <w:t>0.1-0.6%</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1.8-2.0%</w:t>
            </w:r>
          </w:p>
        </w:tc>
        <w:tc>
          <w:tcPr>
            <w:tcW w:w="162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color w:val="auto"/>
                <w:w w:val="91"/>
              </w:rPr>
              <w:t>2.4-2.9%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actual forfeitures related to unvested awards upon employee terminations.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1" w:name="page112"/>
    <w:bookmarkEnd w:id="111"/>
    <w:p>
      <w:pPr>
        <w:jc w:val="both"/>
        <w:spacing w:after="0" w:line="277" w:lineRule="auto"/>
        <w:rPr>
          <w:sz w:val="20"/>
          <w:szCs w:val="20"/>
          <w:color w:val="auto"/>
        </w:rPr>
      </w:pPr>
      <w:r>
        <w:rPr>
          <w:rFonts w:ascii="Arial" w:cs="Arial" w:eastAsia="Arial" w:hAnsi="Arial"/>
          <w:sz w:val="18"/>
          <w:szCs w:val="18"/>
          <w:color w:val="auto"/>
        </w:rPr>
        <w:t>A summary of aggregate SARs award activity under the Plan as of July 31, 2021, 2020 and 2019, and changes during the years then ended is presented below (in thousands, except exercise price and contractual term):</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w w:val="99"/>
              </w:rPr>
              <w:t>Weighted-Average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480" w:type="dxa"/>
            <w:vAlign w:val="bottom"/>
          </w:tcPr>
          <w:p>
            <w:pPr>
              <w:spacing w:after="0"/>
              <w:rPr>
                <w:sz w:val="14"/>
                <w:szCs w:val="14"/>
                <w:color w:val="auto"/>
              </w:rPr>
            </w:pPr>
          </w:p>
        </w:tc>
        <w:tc>
          <w:tcPr>
            <w:tcW w:w="1440" w:type="dxa"/>
            <w:vAlign w:val="bottom"/>
          </w:tcPr>
          <w:p>
            <w:pPr>
              <w:jc w:val="center"/>
              <w:ind w:right="25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30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Awards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1"/>
                <w:szCs w:val="11"/>
                <w:color w:val="auto"/>
              </w:rPr>
            </w:pPr>
          </w:p>
        </w:tc>
        <w:tc>
          <w:tcPr>
            <w:tcW w:w="144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3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Exercise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August 1, 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91.01</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293.82</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49.09</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 or expired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217.58</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July 31, 2019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111.12</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245.26</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67.19</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 or expired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252.75</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July 31, 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138.59</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233.01</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84.20</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 or expired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236.31</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31, 2021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181.17</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 years</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108,910</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Vested and expected to vest at July 31, 2021</w:t>
            </w:r>
          </w:p>
        </w:tc>
        <w:tc>
          <w:tcPr>
            <w:tcW w:w="560" w:type="dxa"/>
            <w:vAlign w:val="bottom"/>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179.67</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5.8 years</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107,567</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Exercisable at July 31, 2021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149.21</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 years</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89,531</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weighted-average grant-date estimated fair value of SARs granted during the years ended July 31, 2021, 2020 and 2019 was $52.30, $58.25 and $98.19, respectively. The total intrinsic value of SARs exercised during the years ended July 31, 2021, 2020 and 2019 was $82.0 million, $35.0 million and $41.2 million, respectively. The Company had 96,000, 91,000 and 131,000 SARs that vested during the years ended July 31, 2021, 2020 and 2019, respectively. These awards had a total estimated fair value of $0.1 million, $2.6 million and $15.2 million at the date of vesting for the years ended July 31, 2021, 2020 and 2019, respectively.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status of the Company’s nonvested SARs as of July 31, 2021 and changes during the year then ended is presented below (in thousands, except fair value amounts):</w:t>
      </w:r>
    </w:p>
    <w:tbl>
      <w:tblPr>
        <w:tblLayout w:type="fixed"/>
        <w:tblInd w:w="0" w:type="dxa"/>
        <w:tblCellMar>
          <w:top w:w="0" w:type="dxa"/>
          <w:left w:w="0" w:type="dxa"/>
          <w:bottom w:w="0" w:type="dxa"/>
          <w:right w:w="0" w:type="dxa"/>
        </w:tblCellMar>
      </w:tblPr>
      <w:tr>
        <w:trPr>
          <w:trHeight w:val="144"/>
        </w:trPr>
        <w:tc>
          <w:tcPr>
            <w:tcW w:w="50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tcPr>
          <w:p>
            <w:pPr>
              <w:jc w:val="center"/>
              <w:ind w:right="197"/>
              <w:spacing w:after="0" w:line="145"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388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Awards</w:t>
            </w:r>
          </w:p>
        </w:tc>
        <w:tc>
          <w:tcPr>
            <w:tcW w:w="640" w:type="dxa"/>
            <w:vAlign w:val="bottom"/>
          </w:tcPr>
          <w:p>
            <w:pPr>
              <w:spacing w:after="0"/>
              <w:rPr>
                <w:sz w:val="11"/>
                <w:szCs w:val="11"/>
                <w:color w:val="auto"/>
              </w:rPr>
            </w:pPr>
          </w:p>
        </w:tc>
        <w:tc>
          <w:tcPr>
            <w:tcW w:w="170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50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July 31, 2020</w:t>
            </w:r>
          </w:p>
        </w:tc>
        <w:tc>
          <w:tcPr>
            <w:tcW w:w="3880" w:type="dxa"/>
            <w:vAlign w:val="bottom"/>
            <w:shd w:val="clear" w:color="auto" w:fill="CCEEFF"/>
          </w:tcPr>
          <w:p>
            <w:pPr>
              <w:jc w:val="center"/>
              <w:ind w:left="2553"/>
              <w:spacing w:after="0"/>
              <w:rPr>
                <w:sz w:val="20"/>
                <w:szCs w:val="20"/>
                <w:color w:val="auto"/>
              </w:rPr>
            </w:pPr>
            <w:r>
              <w:rPr>
                <w:rFonts w:ascii="Arial" w:cs="Arial" w:eastAsia="Arial" w:hAnsi="Arial"/>
                <w:sz w:val="18"/>
                <w:szCs w:val="18"/>
                <w:color w:val="auto"/>
                <w:w w:val="93"/>
              </w:rPr>
              <w:t>215</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Granted</w:t>
            </w:r>
          </w:p>
        </w:tc>
        <w:tc>
          <w:tcPr>
            <w:tcW w:w="3880" w:type="dxa"/>
            <w:vAlign w:val="bottom"/>
          </w:tcPr>
          <w:p>
            <w:pPr>
              <w:jc w:val="center"/>
              <w:ind w:left="2553"/>
              <w:spacing w:after="0"/>
              <w:rPr>
                <w:sz w:val="20"/>
                <w:szCs w:val="20"/>
                <w:color w:val="auto"/>
              </w:rPr>
            </w:pPr>
            <w:r>
              <w:rPr>
                <w:rFonts w:ascii="Arial" w:cs="Arial" w:eastAsia="Arial" w:hAnsi="Arial"/>
                <w:sz w:val="18"/>
                <w:szCs w:val="18"/>
                <w:color w:val="auto"/>
                <w:w w:val="93"/>
              </w:rPr>
              <w:t>205</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880" w:type="dxa"/>
            <w:vAlign w:val="bottom"/>
            <w:shd w:val="clear" w:color="auto" w:fill="CCEEFF"/>
          </w:tcPr>
          <w:p>
            <w:pPr>
              <w:jc w:val="center"/>
              <w:ind w:left="2573"/>
              <w:spacing w:after="0"/>
              <w:rPr>
                <w:sz w:val="20"/>
                <w:szCs w:val="20"/>
                <w:color w:val="auto"/>
              </w:rPr>
            </w:pPr>
            <w:r>
              <w:rPr>
                <w:rFonts w:ascii="Arial" w:cs="Arial" w:eastAsia="Arial" w:hAnsi="Arial"/>
                <w:sz w:val="18"/>
                <w:szCs w:val="18"/>
                <w:color w:val="auto"/>
                <w:w w:val="93"/>
              </w:rPr>
              <w:t>(96)</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3880" w:type="dxa"/>
            <w:vAlign w:val="bottom"/>
            <w:tcBorders>
              <w:bottom w:val="single" w:sz="8" w:color="auto"/>
            </w:tcBorders>
          </w:tcPr>
          <w:p>
            <w:pPr>
              <w:jc w:val="center"/>
              <w:ind w:left="2573"/>
              <w:spacing w:after="0"/>
              <w:rPr>
                <w:sz w:val="20"/>
                <w:szCs w:val="20"/>
                <w:color w:val="auto"/>
              </w:rPr>
            </w:pPr>
            <w:r>
              <w:rPr>
                <w:rFonts w:ascii="Arial" w:cs="Arial" w:eastAsia="Arial" w:hAnsi="Arial"/>
                <w:sz w:val="18"/>
                <w:szCs w:val="18"/>
                <w:color w:val="auto"/>
                <w:w w:val="93"/>
              </w:rPr>
              <w:t>(22)</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July 31, 2021</w:t>
            </w:r>
          </w:p>
        </w:tc>
        <w:tc>
          <w:tcPr>
            <w:tcW w:w="3880" w:type="dxa"/>
            <w:vAlign w:val="bottom"/>
            <w:tcBorders>
              <w:bottom w:val="single" w:sz="8" w:color="auto"/>
            </w:tcBorders>
            <w:shd w:val="clear" w:color="auto" w:fill="CCEEFF"/>
          </w:tcPr>
          <w:p>
            <w:pPr>
              <w:jc w:val="center"/>
              <w:ind w:left="2553"/>
              <w:spacing w:after="0"/>
              <w:rPr>
                <w:sz w:val="20"/>
                <w:szCs w:val="20"/>
                <w:color w:val="auto"/>
              </w:rPr>
            </w:pPr>
            <w:r>
              <w:rPr>
                <w:rFonts w:ascii="Arial" w:cs="Arial" w:eastAsia="Arial" w:hAnsi="Arial"/>
                <w:sz w:val="18"/>
                <w:szCs w:val="18"/>
                <w:color w:val="auto"/>
                <w:w w:val="93"/>
              </w:rPr>
              <w:t>302</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status of the Company’s nonvested restricted share units as of July 31, 2021 and changes during the year then ended is presented below (in thousands, except fair value amounts):</w:t>
      </w:r>
    </w:p>
    <w:tbl>
      <w:tblPr>
        <w:tblLayout w:type="fixed"/>
        <w:tblInd w:w="20" w:type="dxa"/>
        <w:tblCellMar>
          <w:top w:w="0" w:type="dxa"/>
          <w:left w:w="0" w:type="dxa"/>
          <w:bottom w:w="0" w:type="dxa"/>
          <w:right w:w="0" w:type="dxa"/>
        </w:tblCellMar>
      </w:tblPr>
      <w:tr>
        <w:trPr>
          <w:trHeight w:val="144"/>
        </w:trPr>
        <w:tc>
          <w:tcPr>
            <w:tcW w:w="50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tcPr>
          <w:p>
            <w:pPr>
              <w:jc w:val="center"/>
              <w:ind w:right="177"/>
              <w:spacing w:after="0" w:line="145"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386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Awards</w:t>
            </w:r>
          </w:p>
        </w:tc>
        <w:tc>
          <w:tcPr>
            <w:tcW w:w="640" w:type="dxa"/>
            <w:vAlign w:val="bottom"/>
          </w:tcPr>
          <w:p>
            <w:pPr>
              <w:spacing w:after="0"/>
              <w:rPr>
                <w:sz w:val="11"/>
                <w:szCs w:val="11"/>
                <w:color w:val="auto"/>
              </w:rPr>
            </w:pPr>
          </w:p>
        </w:tc>
        <w:tc>
          <w:tcPr>
            <w:tcW w:w="170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50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July 31, 2020</w:t>
            </w:r>
          </w:p>
        </w:tc>
        <w:tc>
          <w:tcPr>
            <w:tcW w:w="3860" w:type="dxa"/>
            <w:vAlign w:val="bottom"/>
            <w:shd w:val="clear" w:color="auto" w:fill="CCEEFF"/>
          </w:tcPr>
          <w:p>
            <w:pPr>
              <w:jc w:val="center"/>
              <w:ind w:left="2553"/>
              <w:spacing w:after="0"/>
              <w:rPr>
                <w:sz w:val="20"/>
                <w:szCs w:val="20"/>
                <w:color w:val="auto"/>
              </w:rPr>
            </w:pPr>
            <w:r>
              <w:rPr>
                <w:rFonts w:ascii="Arial" w:cs="Arial" w:eastAsia="Arial" w:hAnsi="Arial"/>
                <w:sz w:val="18"/>
                <w:szCs w:val="18"/>
                <w:color w:val="auto"/>
                <w:w w:val="86"/>
              </w:rPr>
              <w:t>130</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228.77</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3860" w:type="dxa"/>
            <w:vAlign w:val="bottom"/>
          </w:tcPr>
          <w:p>
            <w:pPr>
              <w:jc w:val="center"/>
              <w:ind w:left="2553"/>
              <w:spacing w:after="0"/>
              <w:rPr>
                <w:sz w:val="20"/>
                <w:szCs w:val="20"/>
                <w:color w:val="auto"/>
              </w:rPr>
            </w:pPr>
            <w:r>
              <w:rPr>
                <w:rFonts w:ascii="Arial" w:cs="Arial" w:eastAsia="Arial" w:hAnsi="Arial"/>
                <w:sz w:val="18"/>
                <w:szCs w:val="18"/>
                <w:color w:val="auto"/>
                <w:w w:val="89"/>
              </w:rPr>
              <w:t>94</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222.17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860" w:type="dxa"/>
            <w:vAlign w:val="bottom"/>
            <w:shd w:val="clear" w:color="auto" w:fill="CCEEFF"/>
          </w:tcPr>
          <w:p>
            <w:pPr>
              <w:jc w:val="center"/>
              <w:ind w:left="2553"/>
              <w:spacing w:after="0"/>
              <w:rPr>
                <w:sz w:val="20"/>
                <w:szCs w:val="20"/>
                <w:color w:val="auto"/>
              </w:rPr>
            </w:pPr>
            <w:r>
              <w:rPr>
                <w:rFonts w:ascii="Arial" w:cs="Arial" w:eastAsia="Arial" w:hAnsi="Arial"/>
                <w:sz w:val="18"/>
                <w:szCs w:val="18"/>
                <w:color w:val="auto"/>
                <w:w w:val="93"/>
              </w:rPr>
              <w:t>(66)</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229.41</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3860" w:type="dxa"/>
            <w:vAlign w:val="bottom"/>
            <w:tcBorders>
              <w:bottom w:val="single" w:sz="8" w:color="auto"/>
            </w:tcBorders>
          </w:tcPr>
          <w:p>
            <w:pPr>
              <w:jc w:val="center"/>
              <w:ind w:left="2553"/>
              <w:spacing w:after="0"/>
              <w:rPr>
                <w:sz w:val="20"/>
                <w:szCs w:val="20"/>
                <w:color w:val="auto"/>
              </w:rPr>
            </w:pPr>
            <w:r>
              <w:rPr>
                <w:rFonts w:ascii="Arial" w:cs="Arial" w:eastAsia="Arial" w:hAnsi="Arial"/>
                <w:sz w:val="18"/>
                <w:szCs w:val="18"/>
                <w:color w:val="auto"/>
                <w:w w:val="93"/>
              </w:rPr>
              <w:t>(15)</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224.60</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July 31, 2021</w:t>
            </w:r>
          </w:p>
        </w:tc>
        <w:tc>
          <w:tcPr>
            <w:tcW w:w="3860" w:type="dxa"/>
            <w:vAlign w:val="bottom"/>
            <w:tcBorders>
              <w:bottom w:val="single" w:sz="8" w:color="auto"/>
            </w:tcBorders>
            <w:shd w:val="clear" w:color="auto" w:fill="CCEEFF"/>
          </w:tcPr>
          <w:p>
            <w:pPr>
              <w:jc w:val="center"/>
              <w:ind w:left="2553"/>
              <w:spacing w:after="0"/>
              <w:rPr>
                <w:sz w:val="20"/>
                <w:szCs w:val="20"/>
                <w:color w:val="auto"/>
              </w:rPr>
            </w:pPr>
            <w:r>
              <w:rPr>
                <w:rFonts w:ascii="Arial" w:cs="Arial" w:eastAsia="Arial" w:hAnsi="Arial"/>
                <w:sz w:val="18"/>
                <w:szCs w:val="18"/>
                <w:color w:val="auto"/>
                <w:w w:val="86"/>
              </w:rPr>
              <w:t>143</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224.94</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94,000 restricted share units during the year ended July 31, 2021 with a weighted-average grant-date estimated fair value of $222.17.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83,000 restricted share units during the year ended July 31, 2020 with a weighted-average grant-date estimated fair value of $217.46.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68,000 restricted share units during the year ended July 31, 2019 with a weighted-average grant-date estimated fair value of $264.44.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66,000, 63,000</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12" w:name="page113"/>
    <w:bookmarkEnd w:id="112"/>
    <w:p>
      <w:pPr>
        <w:jc w:val="both"/>
        <w:ind w:right="20"/>
        <w:spacing w:after="0" w:line="308" w:lineRule="auto"/>
        <w:rPr>
          <w:sz w:val="20"/>
          <w:szCs w:val="20"/>
          <w:color w:val="auto"/>
        </w:rPr>
      </w:pPr>
      <w:r>
        <w:rPr>
          <w:rFonts w:ascii="Arial" w:cs="Arial" w:eastAsia="Arial" w:hAnsi="Arial"/>
          <w:sz w:val="17"/>
          <w:szCs w:val="17"/>
          <w:color w:val="auto"/>
        </w:rPr>
        <w:t>and 102,000 restricted share units that vested during the years ended July 31, 2021, 2020 and 2019, respectively. These units had a total estimated fair value of $15.0 million, $14.8 million and $28.8 million at the date of vesting for the years ended July 31, 2021, 2020 and 2019, respectively.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July 31, 2021, there was $28.2 million of total unrecognized compensation expense related to nonvested share-based compensation arrangements granted under the Plan, of which $17.1 million, $9.7 million and $1.4 million of expense is expected to be recognized in the years ending July 31, 2022, 2023 and 2024, respectively, assuming no share-based awards are granted in the future or forfeited. The tax benefit realized or expected to be realized from SARs exercised and restricted stock units vested was $24.0 million, $12.3 million and $16.3 million for the years ended July 31, 2021, 2020 and 2019,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policy of using either authorized and unissued shares or treasury shares, including shares acquired by purchase in the open market, to satisfy equity award exercises.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Retirement and Profit Sharing Plans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maintains a defined contribution retirement plan (the “Retirement Plan”), qualified under Section 401(k) of the Internal Revenue Code, for its U.S. employees. Under this Retirement Plan, U.S. employees are eligible to make before-tax contributions on the first day of the calendar month following the later of: (i) their employment commencement date or (ii) the date they turn 21. Participants may contribute up to 100% of their qualifying annual compensation up to the annual maximum specified by the Internal Revenue Code. When the Company participates in 401(k) contribution matching, it matches an amount equal to 50% of each participant’s contribution up to 6% of a participant’s bi-weekly qualifying compensation starting the pay period containing the first day of the month after obtaining the later of: (i) 12 months of employment with at least 1,000 service hours from the commencement date or (ii) if 1,000 hours within the first 12 months was not completed, then after the employee completed a cumulative 1,500 service hours. In April 2020, the Company announced a temporary six month suspension of its 401(k) contribution matching as a result of the impacts of COVID-19 and resulting resort closures, which subsequently resumed in October 2020. The Company’s matching contribution is entirely discretionary and may be reduced or eliminated at any time.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Retirement Plan expense recognized by the Company for the years ended July 31, 2021, 2020 and 2019 was $6.5 million, $5.8 million and $7.9 million, respectively.</w:t>
      </w: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3" w:name="page114"/>
    <w:bookmarkEnd w:id="113"/>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 of management required by this item is contained in Item 8. of this Form 10-K under the caption “Management’s Report on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attestation report required by this item is contained in Item 8. of this Form 10-K under the caption “Report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July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file with the SEC in October 2021 (and, in any event, not later than 120 days after the close of our last fiscal year), a definitive Proxy Statement, pursuant to SEC Regulation 14A in connection with our Annual Meeting of Shareholders to be held in December 2021.</w:t>
      </w: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2021 annual meeting of stockholders under the sections entitled “Information with Respect to Nominees,” “Management” and “Corporate Governance.”</w:t>
      </w: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2021 annual meeting of stockholders under the section entitled “Executive Compensation.”</w:t>
      </w:r>
    </w:p>
    <w:p>
      <w:pPr>
        <w:spacing w:after="0" w:line="200" w:lineRule="exact"/>
        <w:rPr>
          <w:sz w:val="20"/>
          <w:szCs w:val="20"/>
          <w:color w:val="auto"/>
        </w:rPr>
      </w:pPr>
    </w:p>
    <w:p>
      <w:pPr>
        <w:spacing w:after="0" w:line="209"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2021 annual meeting of stockholders under the sections entitled “Security Ownership of Directors and Executive Officers,” “Information as to Certain Stockholders” and “Executive Compensation - Securities Authorized for Issuance under Equity Compensation Plans.”</w:t>
      </w:r>
    </w:p>
    <w:p>
      <w:pPr>
        <w:spacing w:after="0" w:line="200" w:lineRule="exact"/>
        <w:rPr>
          <w:sz w:val="20"/>
          <w:szCs w:val="20"/>
          <w:color w:val="auto"/>
        </w:rPr>
      </w:pPr>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2021 annual meeting of stockholders under the sections entitled “Determinations Regarding Independence” and “Transactions with Related Persons.”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4" w:name="page115"/>
    <w:bookmarkEnd w:id="114"/>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the Company’s definitive Proxy Statement for the 2021 annual meeting of stockholders under the section entitled “Proposal 2. Ratification of the Selection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00" w:lineRule="exact"/>
        <w:rPr>
          <w:sz w:val="20"/>
          <w:szCs w:val="20"/>
          <w:color w:val="auto"/>
        </w:rPr>
      </w:pPr>
    </w:p>
    <w:p>
      <w:pPr>
        <w:spacing w:after="0" w:line="218"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Index to Financial Statements.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See Item 8. “Financial Statements and Supplementary Data” for the index to the Financial Statements.</w:t>
      </w:r>
    </w:p>
    <w:p>
      <w:pPr>
        <w:spacing w:after="0" w:line="117" w:lineRule="exact"/>
        <w:rPr>
          <w:rFonts w:ascii="Arial" w:cs="Arial" w:eastAsia="Arial" w:hAnsi="Arial"/>
          <w:sz w:val="18"/>
          <w:szCs w:val="18"/>
          <w:color w:val="auto"/>
        </w:rPr>
      </w:pPr>
    </w:p>
    <w:p>
      <w:pPr>
        <w:ind w:left="1460" w:hanging="642"/>
        <w:spacing w:after="0" w:line="277" w:lineRule="auto"/>
        <w:tabs>
          <w:tab w:leader="none" w:pos="1454" w:val="left"/>
        </w:tabs>
        <w:numPr>
          <w:ilvl w:val="1"/>
          <w:numId w:val="71"/>
        </w:numPr>
        <w:rPr>
          <w:rFonts w:ascii="Arial" w:cs="Arial" w:eastAsia="Arial" w:hAnsi="Arial"/>
          <w:sz w:val="18"/>
          <w:szCs w:val="18"/>
          <w:color w:val="auto"/>
        </w:rPr>
      </w:pPr>
      <w:r>
        <w:rPr>
          <w:rFonts w:ascii="Arial" w:cs="Arial" w:eastAsia="Arial" w:hAnsi="Arial"/>
          <w:sz w:val="18"/>
          <w:szCs w:val="18"/>
          <w:color w:val="auto"/>
        </w:rPr>
        <w:t>Schedules have been omitted because they are not required or not applicable, or the required information is shown in the financial statements or notes to the financial statements.</w:t>
      </w:r>
    </w:p>
    <w:p>
      <w:pPr>
        <w:spacing w:after="0" w:line="62" w:lineRule="exact"/>
        <w:rPr>
          <w:rFonts w:ascii="Arial" w:cs="Arial" w:eastAsia="Arial" w:hAnsi="Arial"/>
          <w:sz w:val="18"/>
          <w:szCs w:val="18"/>
          <w:color w:val="auto"/>
        </w:rPr>
      </w:pPr>
    </w:p>
    <w:p>
      <w:pPr>
        <w:ind w:left="1460" w:hanging="642"/>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See the Index to Exhibits below.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Posted</w:t>
      </w:r>
    </w:p>
    <w:p>
      <w:pPr>
        <w:ind w:left="240"/>
        <w:spacing w:after="0" w:line="203" w:lineRule="auto"/>
        <w:tabs>
          <w:tab w:leader="none" w:pos="57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ind w:left="20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4800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6285" cy="480060"/>
                    </a:xfrm>
                    <a:prstGeom prst="rect">
                      <a:avLst/>
                    </a:prstGeom>
                    <a:noFill/>
                  </pic:spPr>
                </pic:pic>
              </a:graphicData>
            </a:graphic>
          </wp:anchor>
        </w:drawing>
      </w:r>
    </w:p>
    <w:p>
      <w:pPr>
        <w:jc w:val="both"/>
        <w:ind w:left="1160" w:right="40" w:hanging="737"/>
        <w:spacing w:after="0" w:line="219"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137">
        <w:r>
          <w:rPr>
            <w:rFonts w:ascii="Arial" w:cs="Arial" w:eastAsia="Arial" w:hAnsi="Arial"/>
            <w:sz w:val="18"/>
            <w:szCs w:val="18"/>
            <w:u w:val="single" w:color="auto"/>
            <w:color w:val="0000FF"/>
          </w:rPr>
          <w:t>Transaction Agreement, dated as of May 24, 2013, between VR CPC Holdings, Inc. and ASC Utah LLC, Talisker Land Holdings, LLC,</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Talisker Canyons Lands LLC, Talisker Canyons Leaseco LLC, American Skiing Company Resort Properties LLC, Talisker Canyons</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Propco LLC and Talisker Canyons Finance Co LLC. (Incorporated by reference to Exhibit 2.1 on Form 8-K of Vail Resorts, Inc. filed on</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May 30, 2013) (File No. 001-09614).</w:t>
        </w:r>
      </w:hyperlink>
    </w:p>
    <w:p>
      <w:pPr>
        <w:spacing w:after="0" w:line="1" w:lineRule="exact"/>
        <w:rPr>
          <w:rFonts w:ascii="Arial" w:cs="Arial" w:eastAsia="Arial" w:hAnsi="Arial"/>
          <w:sz w:val="18"/>
          <w:szCs w:val="18"/>
          <w:u w:val="single" w:color="auto"/>
          <w:color w:val="0000FF"/>
        </w:rPr>
      </w:pPr>
    </w:p>
    <w:p>
      <w:pPr>
        <w:jc w:val="both"/>
        <w:ind w:left="1160" w:right="40" w:hanging="737"/>
        <w:spacing w:after="0" w:line="224"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138">
        <w:r>
          <w:rPr>
            <w:rFonts w:ascii="Arial" w:cs="Arial" w:eastAsia="Arial" w:hAnsi="Arial"/>
            <w:sz w:val="18"/>
            <w:szCs w:val="18"/>
            <w:u w:val="single" w:color="auto"/>
            <w:color w:val="0000FF"/>
          </w:rPr>
          <w:t>Purchase and Sale Agreement, dated as of September 11, 2014, between VR CPC Holdings, Inc. and Greater Park City Company, Powdr</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Corp., Greater Properties, Inc., Park Properties, Inc. and Powdr Development Company. (Incorporated by reference to Exhibit 2.1 on Form</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10-Q of Vail Resorts, Inc. for the quarter ended October 31, 2014)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257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jc w:val="both"/>
        <w:ind w:left="1160" w:right="40" w:hanging="737"/>
        <w:spacing w:after="0" w:line="264" w:lineRule="auto"/>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2.3</w:t>
      </w:r>
      <w:r>
        <w:rPr>
          <w:sz w:val="20"/>
          <w:szCs w:val="20"/>
          <w:color w:val="auto"/>
        </w:rPr>
        <w:tab/>
      </w:r>
      <w:hyperlink r:id="rId140">
        <w:r>
          <w:rPr>
            <w:rFonts w:ascii="Arial" w:cs="Arial" w:eastAsia="Arial" w:hAnsi="Arial"/>
            <w:sz w:val="16"/>
            <w:szCs w:val="16"/>
            <w:u w:val="single" w:color="auto"/>
            <w:color w:val="0000FF"/>
          </w:rPr>
          <w:t>Arrangement Agreement, dated as of August 5, 2016, between Vail Resorts, Inc., 1068877 B.C. Ltd. and Whistler Blackcomb Holdings</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Inc. (Incorporated by reference to Exhibit 2.1 on Form 8-K of Vail Resorts, Inc. filed on August 8, 2016) (File No. 001-09614).</w:t>
        </w:r>
      </w:hyperlink>
    </w:p>
    <w:p>
      <w:pPr>
        <w:jc w:val="both"/>
        <w:ind w:left="1160" w:right="40" w:hanging="737"/>
        <w:spacing w:after="0" w:line="224"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hyperlink r:id="rId141">
        <w:r>
          <w:rPr>
            <w:rFonts w:ascii="Arial" w:cs="Arial" w:eastAsia="Arial" w:hAnsi="Arial"/>
            <w:sz w:val="18"/>
            <w:szCs w:val="18"/>
            <w:u w:val="single" w:color="auto"/>
            <w:color w:val="0000FF"/>
          </w:rPr>
          <w:t>Agreement and Plan of Merger, dated as of July 20, 2019, by and among Vail Holdings, Inc., VRAD Holdings, Inc. and Peak Resorts, Inc.,</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and solely with respect to Section 9.14, Vail Resorts, Inc. (Incorporated by reference to Exhibit 2.1 on Form 8-K of Vail Resorts, Inc. filed</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on July 22, 2019)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257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jc w:val="both"/>
        <w:ind w:left="1160" w:right="40" w:hanging="737"/>
        <w:spacing w:after="0" w:line="234"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43">
        <w:r>
          <w:rPr>
            <w:rFonts w:ascii="Arial" w:cs="Arial" w:eastAsia="Arial" w:hAnsi="Arial"/>
            <w:sz w:val="18"/>
            <w:szCs w:val="18"/>
            <w:u w:val="single" w:color="auto"/>
            <w:color w:val="0000FF"/>
          </w:rPr>
          <w:t>Amended and Restated Certificate of Incorporation of Vail Resorts, Inc., dated January 5, 2005. (Incorporated by reference to Exhibit 3.1</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on Form 10-Q of Vail Resorts, Inc. for the quarter ended January 31, 2005)(File No. 001-09614).</w:t>
        </w:r>
      </w:hyperlink>
    </w:p>
    <w:p>
      <w:pPr>
        <w:ind w:left="420"/>
        <w:spacing w:after="0" w:line="235" w:lineRule="auto"/>
        <w:tabs>
          <w:tab w:leader="none" w:pos="1140" w:val="left"/>
        </w:tabs>
        <w:rPr>
          <w:rFonts w:ascii="Arial" w:cs="Arial" w:eastAsia="Arial" w:hAnsi="Arial"/>
          <w:sz w:val="17"/>
          <w:szCs w:val="17"/>
          <w:u w:val="single" w:color="auto"/>
          <w:color w:val="0000FF"/>
        </w:rPr>
      </w:pPr>
      <w:r>
        <w:rPr>
          <w:rFonts w:ascii="Arial" w:cs="Arial" w:eastAsia="Arial" w:hAnsi="Arial"/>
          <w:sz w:val="18"/>
          <w:szCs w:val="18"/>
          <w:color w:val="auto"/>
        </w:rPr>
        <w:t>3.2</w:t>
      </w:r>
      <w:r>
        <w:rPr>
          <w:sz w:val="20"/>
          <w:szCs w:val="20"/>
          <w:color w:val="auto"/>
        </w:rPr>
        <w:tab/>
      </w:r>
      <w:hyperlink r:id="rId144">
        <w:r>
          <w:rPr>
            <w:rFonts w:ascii="Arial" w:cs="Arial" w:eastAsia="Arial" w:hAnsi="Arial"/>
            <w:sz w:val="17"/>
            <w:szCs w:val="17"/>
            <w:u w:val="single" w:color="auto"/>
            <w:color w:val="0000FF"/>
          </w:rPr>
          <w:t>Certificate of Amendment of Amended and Restated Certificate of Incorporation of Vail Resorts, Inc., dated December 7, 2011.</w:t>
        </w:r>
      </w:hyperlink>
    </w:p>
    <w:p>
      <w:pPr>
        <w:spacing w:after="0" w:line="1" w:lineRule="exact"/>
        <w:rPr>
          <w:sz w:val="20"/>
          <w:szCs w:val="20"/>
          <w:color w:val="auto"/>
        </w:rPr>
      </w:pPr>
    </w:p>
    <w:p>
      <w:pPr>
        <w:ind w:left="1160"/>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(Incorporated by reference to Exhibit 3.1 on Form 8-K of Vail Resorts, Inc. filed on December 8, 2011)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257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jc w:val="both"/>
        <w:ind w:left="1160" w:right="40" w:hanging="737"/>
        <w:spacing w:after="0" w:line="234"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146">
        <w:r>
          <w:rPr>
            <w:rFonts w:ascii="Arial" w:cs="Arial" w:eastAsia="Arial" w:hAnsi="Arial"/>
            <w:sz w:val="18"/>
            <w:szCs w:val="18"/>
            <w:u w:val="single" w:color="auto"/>
            <w:color w:val="0000FF"/>
          </w:rPr>
          <w:t>Certificate of Designations of Special Voting Preferred Stock of Vail Resorts, Inc., dated October 17, 2016. (Incorporated by reference to</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Exhibit 3.1 on Form 8-K of Vail Resorts, Inc. filed on October 17, 2016) (File No. 001-09614).</w:t>
        </w:r>
      </w:hyperlink>
    </w:p>
    <w:p>
      <w:pPr>
        <w:spacing w:after="0" w:line="1" w:lineRule="exact"/>
        <w:rPr>
          <w:sz w:val="20"/>
          <w:szCs w:val="20"/>
          <w:color w:val="auto"/>
        </w:rPr>
      </w:pPr>
    </w:p>
    <w:p>
      <w:pPr>
        <w:jc w:val="both"/>
        <w:ind w:left="1160" w:right="40" w:hanging="737"/>
        <w:spacing w:after="0" w:line="234"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147">
        <w:r>
          <w:rPr>
            <w:rFonts w:ascii="Arial" w:cs="Arial" w:eastAsia="Arial" w:hAnsi="Arial"/>
            <w:sz w:val="18"/>
            <w:szCs w:val="18"/>
            <w:u w:val="single" w:color="auto"/>
            <w:color w:val="0000FF"/>
          </w:rPr>
          <w:t>Amended and Restated Bylaws of Vail Resorts, Inc., dated December 7, 2011. (Incorporated by reference to Exhibit 3.2 on Form 8-K of</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Vail Resorts, Inc. filed on December 8, 2011)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257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jc w:val="both"/>
        <w:ind w:left="1160" w:right="40" w:hanging="737"/>
        <w:spacing w:after="0" w:line="248" w:lineRule="auto"/>
        <w:tabs>
          <w:tab w:leader="none" w:pos="1140" w:val="left"/>
        </w:tabs>
        <w:rPr>
          <w:rFonts w:ascii="Arial" w:cs="Arial" w:eastAsia="Arial" w:hAnsi="Arial"/>
          <w:sz w:val="17"/>
          <w:szCs w:val="17"/>
          <w:u w:val="single" w:color="auto"/>
          <w:color w:val="0000FF"/>
        </w:rPr>
      </w:pPr>
      <w:r>
        <w:rPr>
          <w:rFonts w:ascii="Arial" w:cs="Arial" w:eastAsia="Arial" w:hAnsi="Arial"/>
          <w:sz w:val="18"/>
          <w:szCs w:val="18"/>
          <w:color w:val="auto"/>
        </w:rPr>
        <w:t>4.1</w:t>
      </w:r>
      <w:r>
        <w:rPr>
          <w:sz w:val="20"/>
          <w:szCs w:val="20"/>
          <w:color w:val="auto"/>
        </w:rPr>
        <w:tab/>
      </w:r>
      <w:hyperlink r:id="rId149">
        <w:r>
          <w:rPr>
            <w:rFonts w:ascii="Arial" w:cs="Arial" w:eastAsia="Arial" w:hAnsi="Arial"/>
            <w:sz w:val="17"/>
            <w:szCs w:val="17"/>
            <w:u w:val="single" w:color="auto"/>
            <w:color w:val="0000FF"/>
          </w:rPr>
          <w:t>Indenture, dated May 4, 2020, by and among Vail Resorts, Inc., the Guarantors named therein and U.S. Bank National Association, as</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Trustee (Incorporated by reference to Exhibit 4.1 of Form 8-K of Vail Resorts, Inc. filed on May 4, 2020) (File No. 001-09614).</w:t>
        </w:r>
      </w:hyperlink>
    </w:p>
    <w:p>
      <w:pPr>
        <w:ind w:left="42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150">
        <w:r>
          <w:rPr>
            <w:rFonts w:ascii="Arial" w:cs="Arial" w:eastAsia="Arial" w:hAnsi="Arial"/>
            <w:sz w:val="16"/>
            <w:szCs w:val="16"/>
            <w:u w:val="single" w:color="auto"/>
            <w:color w:val="0000FF"/>
          </w:rPr>
          <w:t>Indenture, dated December 18, 2020, by and between Vail Resorts, Inc. and U.S. Bank National Association, as Trustee (including the form</w:t>
        </w:r>
      </w:hyperlink>
    </w:p>
    <w:p>
      <w:pPr>
        <w:spacing w:after="0" w:line="1" w:lineRule="exact"/>
        <w:rPr>
          <w:sz w:val="20"/>
          <w:szCs w:val="20"/>
          <w:color w:val="auto"/>
        </w:rPr>
      </w:pPr>
    </w:p>
    <w:p>
      <w:pPr>
        <w:ind w:left="1160" w:right="760"/>
        <w:spacing w:after="0" w:line="233"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of 0.00% Convertible Senior Note due 2026). (Incorporated by reference to Exhibit 4.1 on Form 8-K of Vail Resorts, Inc. filed on</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December 18, 2020) (File No. 001-09614).</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15" w:name="page116"/>
    <w:bookmarkEnd w:id="115"/>
    <w:p>
      <w:pPr>
        <w:ind w:left="80"/>
        <w:spacing w:after="0"/>
        <w:rPr>
          <w:sz w:val="20"/>
          <w:szCs w:val="20"/>
          <w:color w:val="auto"/>
        </w:rPr>
      </w:pPr>
      <w:r>
        <w:rPr>
          <w:rFonts w:ascii="Arial" w:cs="Arial" w:eastAsia="Arial" w:hAnsi="Arial"/>
          <w:sz w:val="18"/>
          <w:szCs w:val="18"/>
          <w:b w:val="1"/>
          <w:bCs w:val="1"/>
          <w:color w:val="auto"/>
        </w:rPr>
        <w:t>Posted</w:t>
      </w:r>
    </w:p>
    <w:p>
      <w:pPr>
        <w:ind w:left="40"/>
        <w:spacing w:after="0" w:line="203" w:lineRule="auto"/>
        <w:tabs>
          <w:tab w:leader="none" w:pos="55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4445</wp:posOffset>
            </wp:positionV>
            <wp:extent cx="7106285"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06285" cy="274320"/>
                    </a:xfrm>
                    <a:prstGeom prst="rect">
                      <a:avLst/>
                    </a:prstGeom>
                    <a:noFill/>
                  </pic:spPr>
                </pic:pic>
              </a:graphicData>
            </a:graphic>
          </wp:anchor>
        </w:drawing>
      </w:r>
    </w:p>
    <w:p>
      <w:pPr>
        <w:ind w:left="22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153">
        <w:r>
          <w:rPr>
            <w:rFonts w:ascii="Arial" w:cs="Arial" w:eastAsia="Arial" w:hAnsi="Arial"/>
            <w:sz w:val="16"/>
            <w:szCs w:val="16"/>
            <w:u w:val="single" w:color="auto"/>
            <w:color w:val="0000FF"/>
          </w:rPr>
          <w:t>Description of Securities (Incorporated by reference to Exhibit 4.1 on Form 10-Q of Vail Resorts, Inc. for the quarter ended October 31,</w:t>
        </w:r>
      </w:hyperlink>
    </w:p>
    <w:p>
      <w:pPr>
        <w:ind w:left="960"/>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2020 (File No. 001-09614)</w:t>
        </w:r>
      </w:hyperlink>
    </w:p>
    <w:p>
      <w:pPr>
        <w:spacing w:after="0" w:line="20" w:lineRule="exact"/>
        <w:rPr>
          <w:sz w:val="20"/>
          <w:szCs w:val="20"/>
          <w:color w:val="auto"/>
        </w:rPr>
      </w:pPr>
    </w:p>
    <w:p>
      <w:pPr>
        <w:ind w:left="18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154">
        <w:r>
          <w:rPr>
            <w:rFonts w:ascii="Arial" w:cs="Arial" w:eastAsia="Arial" w:hAnsi="Arial"/>
            <w:sz w:val="16"/>
            <w:szCs w:val="16"/>
            <w:u w:val="single" w:color="auto"/>
            <w:color w:val="0000FF"/>
          </w:rPr>
          <w:t>Forest Service Unified Permit for Heavenly ski area, dated April 29,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14605</wp:posOffset>
            </wp:positionV>
            <wp:extent cx="7106285"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10.2(a)</w:t>
      </w:r>
      <w:r>
        <w:rPr>
          <w:sz w:val="20"/>
          <w:szCs w:val="20"/>
          <w:color w:val="auto"/>
        </w:rPr>
        <w:tab/>
      </w:r>
      <w:hyperlink r:id="rId156">
        <w:r>
          <w:rPr>
            <w:rFonts w:ascii="Arial" w:cs="Arial" w:eastAsia="Arial" w:hAnsi="Arial"/>
            <w:sz w:val="18"/>
            <w:szCs w:val="18"/>
            <w:u w:val="single" w:color="auto"/>
            <w:color w:val="0000FF"/>
          </w:rPr>
          <w:t>Forest Service Unified Permit for Keystone ski area, dated December 30, 1996. (Incorporated by reference to Exhibit 99.2(a) on Form 10-</w:t>
        </w:r>
      </w:hyperlink>
      <w:hyperlink r:id="rId156">
        <w:r>
          <w:rPr>
            <w:rFonts w:ascii="Arial" w:cs="Arial" w:eastAsia="Arial" w:hAnsi="Arial"/>
            <w:sz w:val="18"/>
            <w:szCs w:val="18"/>
            <w:u w:val="single" w:color="auto"/>
            <w:color w:val="0000FF"/>
          </w:rPr>
          <w:t>Q of Vail Resorts, Inc. for the quarter ended October 31, 2002) (File No. 001-09614).</w:t>
        </w:r>
      </w:hyperlink>
    </w:p>
    <w:p>
      <w:pPr>
        <w:spacing w:after="0" w:line="1" w:lineRule="exact"/>
        <w:rPr>
          <w:sz w:val="20"/>
          <w:szCs w:val="20"/>
          <w:color w:val="auto"/>
        </w:rPr>
      </w:pPr>
    </w:p>
    <w:p>
      <w:pPr>
        <w:ind w:left="960" w:hanging="88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10.2(b)</w:t>
      </w:r>
      <w:r>
        <w:rPr>
          <w:sz w:val="20"/>
          <w:szCs w:val="20"/>
          <w:color w:val="auto"/>
        </w:rPr>
        <w:tab/>
      </w:r>
      <w:hyperlink r:id="rId157">
        <w:r>
          <w:rPr>
            <w:rFonts w:ascii="Arial" w:cs="Arial" w:eastAsia="Arial" w:hAnsi="Arial"/>
            <w:sz w:val="18"/>
            <w:szCs w:val="18"/>
            <w:u w:val="single" w:color="auto"/>
            <w:color w:val="0000FF"/>
          </w:rPr>
          <w:t>Amendment No. 2 to Forest Service Unified Permit for Keystone ski area. (Incorporated by reference to Exhibit 99.2(b) on Form 10-Q of</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635</wp:posOffset>
            </wp:positionV>
            <wp:extent cx="7106285"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10.2(c)</w:t>
      </w:r>
      <w:r>
        <w:rPr>
          <w:sz w:val="20"/>
          <w:szCs w:val="20"/>
          <w:color w:val="auto"/>
        </w:rPr>
        <w:tab/>
      </w:r>
      <w:hyperlink r:id="rId159">
        <w:r>
          <w:rPr>
            <w:rFonts w:ascii="Arial" w:cs="Arial" w:eastAsia="Arial" w:hAnsi="Arial"/>
            <w:sz w:val="18"/>
            <w:szCs w:val="18"/>
            <w:u w:val="single" w:color="auto"/>
            <w:color w:val="0000FF"/>
          </w:rPr>
          <w:t>Amendment No. 3 to Forest Service Unified Permit for Keystone ski area. (Incorporated by reference to Exhibit 10.3 (c) on Form 10-K of</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Vail Resorts, Inc. for the year ended July 31, 2005) (File No. 001-09614).</w:t>
        </w:r>
      </w:hyperlink>
    </w:p>
    <w:p>
      <w:pPr>
        <w:spacing w:after="0" w:line="1" w:lineRule="exact"/>
        <w:rPr>
          <w:sz w:val="20"/>
          <w:szCs w:val="20"/>
          <w:color w:val="auto"/>
        </w:rPr>
      </w:pPr>
    </w:p>
    <w:p>
      <w:pPr>
        <w:ind w:left="960" w:hanging="88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10.2(d)</w:t>
      </w:r>
      <w:r>
        <w:rPr>
          <w:sz w:val="20"/>
          <w:szCs w:val="20"/>
          <w:color w:val="auto"/>
        </w:rPr>
        <w:tab/>
      </w:r>
      <w:hyperlink r:id="rId160">
        <w:r>
          <w:rPr>
            <w:rFonts w:ascii="Arial" w:cs="Arial" w:eastAsia="Arial" w:hAnsi="Arial"/>
            <w:sz w:val="18"/>
            <w:szCs w:val="18"/>
            <w:u w:val="single" w:color="auto"/>
            <w:color w:val="0000FF"/>
          </w:rPr>
          <w:t>Amendment No. 4 to Forest Service Unified Permit for Keystone ski area. (Incorporated by reference to Exhibit 10.3 (d) on Form 10-K of</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635</wp:posOffset>
            </wp:positionV>
            <wp:extent cx="7106285"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10.2(e)</w:t>
      </w:r>
      <w:r>
        <w:rPr>
          <w:sz w:val="20"/>
          <w:szCs w:val="20"/>
          <w:color w:val="auto"/>
        </w:rPr>
        <w:tab/>
      </w:r>
      <w:hyperlink r:id="rId162">
        <w:r>
          <w:rPr>
            <w:rFonts w:ascii="Arial" w:cs="Arial" w:eastAsia="Arial" w:hAnsi="Arial"/>
            <w:sz w:val="18"/>
            <w:szCs w:val="18"/>
            <w:u w:val="single" w:color="auto"/>
            <w:color w:val="0000FF"/>
          </w:rPr>
          <w:t>Amendment No. 5 to Forest Service Unified Permit for Keystone ski area. (Incorporated by reference to Exhibit 10.3 (e) on Form 10-K of</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Vail Resorts, Inc. for the year ended July 31, 2005) (File No. 001-09614).</w:t>
        </w:r>
      </w:hyperlink>
    </w:p>
    <w:p>
      <w:pPr>
        <w:ind w:left="8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10.3(a)</w:t>
      </w:r>
      <w:r>
        <w:rPr>
          <w:sz w:val="20"/>
          <w:szCs w:val="20"/>
          <w:color w:val="auto"/>
        </w:rPr>
        <w:tab/>
      </w:r>
      <w:hyperlink r:id="rId163">
        <w:r>
          <w:rPr>
            <w:rFonts w:ascii="Arial" w:cs="Arial" w:eastAsia="Arial" w:hAnsi="Arial"/>
            <w:sz w:val="16"/>
            <w:szCs w:val="16"/>
            <w:u w:val="single" w:color="auto"/>
            <w:color w:val="0000FF"/>
          </w:rPr>
          <w:t>Forest Service Unified Permit for Breckenridge ski area, dated December 31, 1996. (Incorporated by reference to Exhibit 99.3(a) on Form</w:t>
        </w:r>
      </w:hyperlink>
    </w:p>
    <w:p>
      <w:pPr>
        <w:spacing w:after="0" w:line="1" w:lineRule="exact"/>
        <w:rPr>
          <w:sz w:val="20"/>
          <w:szCs w:val="20"/>
          <w:color w:val="auto"/>
        </w:rPr>
      </w:pPr>
    </w:p>
    <w:p>
      <w:pPr>
        <w:ind w:left="960"/>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10-Q of 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4445</wp:posOffset>
            </wp:positionV>
            <wp:extent cx="7106285"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8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10.3(b)</w:t>
      </w:r>
      <w:r>
        <w:rPr>
          <w:sz w:val="20"/>
          <w:szCs w:val="20"/>
          <w:color w:val="auto"/>
        </w:rPr>
        <w:tab/>
      </w:r>
      <w:hyperlink r:id="rId165">
        <w:r>
          <w:rPr>
            <w:rFonts w:ascii="Arial" w:cs="Arial" w:eastAsia="Arial" w:hAnsi="Arial"/>
            <w:sz w:val="18"/>
            <w:szCs w:val="18"/>
            <w:u w:val="single" w:color="auto"/>
            <w:color w:val="0000FF"/>
          </w:rPr>
          <w:t>Amendment No. 1 to Forest Service Unified Permit for Breckenridge ski area. (Incorporated by reference to Exhibit 99.3(b) on Form 10-Q</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of Vail Resorts, Inc. for the quarter ended October 31, 2002) (File No. 001-09614).</w:t>
        </w:r>
      </w:hyperlink>
    </w:p>
    <w:p>
      <w:pPr>
        <w:spacing w:after="0" w:line="1" w:lineRule="exact"/>
        <w:rPr>
          <w:sz w:val="20"/>
          <w:szCs w:val="20"/>
          <w:color w:val="auto"/>
        </w:rPr>
      </w:pP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10.3(c)</w:t>
      </w:r>
      <w:r>
        <w:rPr>
          <w:sz w:val="20"/>
          <w:szCs w:val="20"/>
          <w:color w:val="auto"/>
        </w:rPr>
        <w:tab/>
      </w:r>
      <w:hyperlink r:id="rId166">
        <w:r>
          <w:rPr>
            <w:rFonts w:ascii="Arial" w:cs="Arial" w:eastAsia="Arial" w:hAnsi="Arial"/>
            <w:sz w:val="18"/>
            <w:szCs w:val="18"/>
            <w:u w:val="single" w:color="auto"/>
            <w:color w:val="0000FF"/>
          </w:rPr>
          <w:t>Amendment No. 2 to Forest Service Unified Permit for Breckenridge ski area. (Incorporated by reference to Exhibit 10.4 (c) on Form 10-K</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635</wp:posOffset>
            </wp:positionV>
            <wp:extent cx="7106285"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8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10.3(d)</w:t>
      </w:r>
      <w:r>
        <w:rPr>
          <w:sz w:val="20"/>
          <w:szCs w:val="20"/>
          <w:color w:val="auto"/>
        </w:rPr>
        <w:tab/>
      </w:r>
      <w:hyperlink r:id="rId168">
        <w:r>
          <w:rPr>
            <w:rFonts w:ascii="Arial" w:cs="Arial" w:eastAsia="Arial" w:hAnsi="Arial"/>
            <w:sz w:val="18"/>
            <w:szCs w:val="18"/>
            <w:u w:val="single" w:color="auto"/>
            <w:color w:val="0000FF"/>
          </w:rPr>
          <w:t>Amendment No. 3 to Forest Service Unified Permit for Breckenridge ski area. (Incorporated by reference to Exhibit 10.4 (d) on Form 10-K</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of Vail Resorts, Inc. for the year ended July 31, 2005) (File No. 001-09614).</w:t>
        </w:r>
      </w:hyperlink>
    </w:p>
    <w:p>
      <w:pPr>
        <w:spacing w:after="0" w:line="1" w:lineRule="exact"/>
        <w:rPr>
          <w:sz w:val="20"/>
          <w:szCs w:val="20"/>
          <w:color w:val="auto"/>
        </w:rPr>
      </w:pP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10.3(e)</w:t>
      </w:r>
      <w:r>
        <w:rPr>
          <w:sz w:val="20"/>
          <w:szCs w:val="20"/>
          <w:color w:val="auto"/>
        </w:rPr>
        <w:tab/>
      </w:r>
      <w:hyperlink r:id="rId169">
        <w:r>
          <w:rPr>
            <w:rFonts w:ascii="Arial" w:cs="Arial" w:eastAsia="Arial" w:hAnsi="Arial"/>
            <w:sz w:val="18"/>
            <w:szCs w:val="18"/>
            <w:u w:val="single" w:color="auto"/>
            <w:color w:val="0000FF"/>
          </w:rPr>
          <w:t>Amendment No. 4 to Forest Service Unified Permit for Breckenridge ski area. (Incorporated by reference to Exhibit 10.4 (e) on Form 10-K</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635</wp:posOffset>
            </wp:positionV>
            <wp:extent cx="7106285"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right="20" w:hanging="87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10.3(f)</w:t>
      </w:r>
      <w:r>
        <w:rPr>
          <w:sz w:val="20"/>
          <w:szCs w:val="20"/>
          <w:color w:val="auto"/>
        </w:rPr>
        <w:tab/>
      </w:r>
      <w:hyperlink r:id="rId171">
        <w:r>
          <w:rPr>
            <w:rFonts w:ascii="Arial" w:cs="Arial" w:eastAsia="Arial" w:hAnsi="Arial"/>
            <w:sz w:val="18"/>
            <w:szCs w:val="18"/>
            <w:u w:val="single" w:color="auto"/>
            <w:color w:val="0000FF"/>
          </w:rPr>
          <w:t>Amendment No. 5 to Forest Service Unified Permit for Breckenridge ski area. (Incorporated by reference to Exhibit 10.4(f) on Form 10-Q</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of Vail Resorts, Inc. for the quarter ended January 31, 2006) (File No. 001-09614).</w:t>
        </w:r>
      </w:hyperlink>
    </w:p>
    <w:p>
      <w:pPr>
        <w:ind w:left="8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10.4(a)</w:t>
      </w:r>
      <w:r>
        <w:rPr>
          <w:sz w:val="20"/>
          <w:szCs w:val="20"/>
          <w:color w:val="auto"/>
        </w:rPr>
        <w:tab/>
      </w:r>
      <w:hyperlink r:id="rId172">
        <w:r>
          <w:rPr>
            <w:rFonts w:ascii="Arial" w:cs="Arial" w:eastAsia="Arial" w:hAnsi="Arial"/>
            <w:sz w:val="16"/>
            <w:szCs w:val="16"/>
            <w:u w:val="single" w:color="auto"/>
            <w:color w:val="0000FF"/>
          </w:rPr>
          <w:t>Forest Service Unified Permit for Beaver Creek ski area. (Incorporated by reference to Exhibit 99.4(a) on Form 10-Q of Vail Resorts, Inc.</w:t>
        </w:r>
      </w:hyperlink>
    </w:p>
    <w:p>
      <w:pPr>
        <w:spacing w:after="0" w:line="1" w:lineRule="exact"/>
        <w:rPr>
          <w:sz w:val="20"/>
          <w:szCs w:val="20"/>
          <w:color w:val="auto"/>
        </w:rPr>
      </w:pPr>
    </w:p>
    <w:p>
      <w:pPr>
        <w:ind w:left="960"/>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4445</wp:posOffset>
            </wp:positionV>
            <wp:extent cx="7106285"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8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10.4(b)</w:t>
      </w:r>
      <w:r>
        <w:rPr>
          <w:sz w:val="20"/>
          <w:szCs w:val="20"/>
          <w:color w:val="auto"/>
        </w:rPr>
        <w:tab/>
      </w:r>
      <w:hyperlink r:id="rId174">
        <w:r>
          <w:rPr>
            <w:rFonts w:ascii="Arial" w:cs="Arial" w:eastAsia="Arial" w:hAnsi="Arial"/>
            <w:sz w:val="18"/>
            <w:szCs w:val="18"/>
            <w:u w:val="single" w:color="auto"/>
            <w:color w:val="0000FF"/>
          </w:rPr>
          <w:t>Exhibits to Forest Service Unified Permit for Beaver Creek ski area. (Incorporated by reference to Exhibit 99.4(b) on Form 10-Q of Vail</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Resorts, Inc. for the quarter ended October 31, 2002) (File No. 001-09614).</w:t>
        </w:r>
      </w:hyperlink>
    </w:p>
    <w:p>
      <w:pPr>
        <w:spacing w:after="0" w:line="1" w:lineRule="exact"/>
        <w:rPr>
          <w:sz w:val="20"/>
          <w:szCs w:val="20"/>
          <w:color w:val="auto"/>
        </w:rPr>
      </w:pP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10.4(c)</w:t>
      </w:r>
      <w:r>
        <w:rPr>
          <w:sz w:val="20"/>
          <w:szCs w:val="20"/>
          <w:color w:val="auto"/>
        </w:rPr>
        <w:tab/>
      </w:r>
      <w:hyperlink r:id="rId175">
        <w:r>
          <w:rPr>
            <w:rFonts w:ascii="Arial" w:cs="Arial" w:eastAsia="Arial" w:hAnsi="Arial"/>
            <w:sz w:val="18"/>
            <w:szCs w:val="18"/>
            <w:u w:val="single" w:color="auto"/>
            <w:color w:val="0000FF"/>
          </w:rPr>
          <w:t>Amendment No. 1 to Forest Service Unified Permit for Beaver Creek ski area. (Incorporated by reference to Exhibit 10.5(c) on Form 10-K</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635</wp:posOffset>
            </wp:positionV>
            <wp:extent cx="7106285"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8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10.4(d)</w:t>
      </w:r>
      <w:r>
        <w:rPr>
          <w:sz w:val="20"/>
          <w:szCs w:val="20"/>
          <w:color w:val="auto"/>
        </w:rPr>
        <w:tab/>
      </w:r>
      <w:hyperlink r:id="rId177">
        <w:r>
          <w:rPr>
            <w:rFonts w:ascii="Arial" w:cs="Arial" w:eastAsia="Arial" w:hAnsi="Arial"/>
            <w:sz w:val="18"/>
            <w:szCs w:val="18"/>
            <w:u w:val="single" w:color="auto"/>
            <w:color w:val="0000FF"/>
          </w:rPr>
          <w:t>Amendment No. 2 to Forest Service Unified Permit for Beaver Creek ski area. (Incorporated by reference to Exhibit 10.5(d) on Form 10-K</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of Vail Resorts, Inc. for the year ended July 31, 2005) (File No. 001-09614).</w:t>
        </w:r>
      </w:hyperlink>
    </w:p>
    <w:p>
      <w:pPr>
        <w:spacing w:after="0" w:line="1" w:lineRule="exact"/>
        <w:rPr>
          <w:sz w:val="20"/>
          <w:szCs w:val="20"/>
          <w:color w:val="auto"/>
        </w:rPr>
      </w:pPr>
    </w:p>
    <w:p>
      <w:pPr>
        <w:ind w:left="960" w:right="2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10.4(e)</w:t>
      </w:r>
      <w:r>
        <w:rPr>
          <w:sz w:val="20"/>
          <w:szCs w:val="20"/>
          <w:color w:val="auto"/>
        </w:rPr>
        <w:tab/>
      </w:r>
      <w:hyperlink r:id="rId178">
        <w:r>
          <w:rPr>
            <w:rFonts w:ascii="Arial" w:cs="Arial" w:eastAsia="Arial" w:hAnsi="Arial"/>
            <w:sz w:val="18"/>
            <w:szCs w:val="18"/>
            <w:u w:val="single" w:color="auto"/>
            <w:color w:val="0000FF"/>
          </w:rPr>
          <w:t>Amendment to Forest Service Unified Permit for Beaver Creek ski area. (Incorporated by reference to Exhibit 10.5(e) on Form 10-K of</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635</wp:posOffset>
            </wp:positionV>
            <wp:extent cx="7106285" cy="25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7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10.4(f)</w:t>
      </w:r>
      <w:r>
        <w:rPr>
          <w:sz w:val="20"/>
          <w:szCs w:val="20"/>
          <w:color w:val="auto"/>
        </w:rPr>
        <w:tab/>
      </w:r>
      <w:hyperlink r:id="rId180">
        <w:r>
          <w:rPr>
            <w:rFonts w:ascii="Arial" w:cs="Arial" w:eastAsia="Arial" w:hAnsi="Arial"/>
            <w:sz w:val="18"/>
            <w:szCs w:val="18"/>
            <w:u w:val="single" w:color="auto"/>
            <w:color w:val="0000FF"/>
          </w:rPr>
          <w:t>Amendment No. 3 to Forest Service Unified Permit for Beaver Creek ski area. (Incorporated by reference to Exhibit 10.4(f) on Form 10-K</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of Vail Resorts, Inc. for the year ended July 31, 2008) (File No. 001-09614).</w:t>
        </w:r>
      </w:hyperlink>
    </w:p>
    <w:p>
      <w:pPr>
        <w:spacing w:after="0" w:line="1" w:lineRule="exact"/>
        <w:rPr>
          <w:sz w:val="20"/>
          <w:szCs w:val="20"/>
          <w:color w:val="auto"/>
        </w:rPr>
      </w:pP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10.5(a)</w:t>
      </w:r>
      <w:r>
        <w:rPr>
          <w:sz w:val="20"/>
          <w:szCs w:val="20"/>
          <w:color w:val="auto"/>
        </w:rPr>
        <w:tab/>
      </w:r>
      <w:hyperlink r:id="rId181">
        <w:r>
          <w:rPr>
            <w:rFonts w:ascii="Arial" w:cs="Arial" w:eastAsia="Arial" w:hAnsi="Arial"/>
            <w:sz w:val="18"/>
            <w:szCs w:val="18"/>
            <w:u w:val="single" w:color="auto"/>
            <w:color w:val="0000FF"/>
          </w:rPr>
          <w:t>Forest Service Unified Permit for Vail ski area, dated November 23, 1993. (Incorporated by reference to Exhibit 99.5(a) on Form 10-Q of</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635</wp:posOffset>
            </wp:positionV>
            <wp:extent cx="7106285" cy="2571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8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10.5(b)</w:t>
      </w:r>
      <w:r>
        <w:rPr>
          <w:sz w:val="20"/>
          <w:szCs w:val="20"/>
          <w:color w:val="auto"/>
        </w:rPr>
        <w:tab/>
      </w:r>
      <w:hyperlink r:id="rId183">
        <w:r>
          <w:rPr>
            <w:rFonts w:ascii="Arial" w:cs="Arial" w:eastAsia="Arial" w:hAnsi="Arial"/>
            <w:sz w:val="18"/>
            <w:szCs w:val="18"/>
            <w:u w:val="single" w:color="auto"/>
            <w:color w:val="0000FF"/>
          </w:rPr>
          <w:t>Exhibits to Forest Service Unified Permit for Vail ski area. (Incorporated by reference to Exhibit 99.5(b) on Form 10-Q of Vail Resorts,</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Inc. for the quarter ended October 31, 2002) (File No. 001-09614).</w:t>
        </w:r>
      </w:hyperlink>
    </w:p>
    <w:p>
      <w:pPr>
        <w:spacing w:after="0" w:line="1" w:lineRule="exact"/>
        <w:rPr>
          <w:sz w:val="20"/>
          <w:szCs w:val="20"/>
          <w:color w:val="auto"/>
        </w:rPr>
      </w:pP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10.5(c)</w:t>
      </w:r>
      <w:r>
        <w:rPr>
          <w:sz w:val="20"/>
          <w:szCs w:val="20"/>
          <w:color w:val="auto"/>
        </w:rPr>
        <w:tab/>
      </w:r>
      <w:hyperlink r:id="rId184">
        <w:r>
          <w:rPr>
            <w:rFonts w:ascii="Arial" w:cs="Arial" w:eastAsia="Arial" w:hAnsi="Arial"/>
            <w:sz w:val="18"/>
            <w:szCs w:val="18"/>
            <w:u w:val="single" w:color="auto"/>
            <w:color w:val="0000FF"/>
          </w:rPr>
          <w:t>Amendment No. 2 to Forest Service Unified Permit for Vail ski area. (Incorporated by reference to Exhibit 99.5(c) on Form 10-Q of Vail</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635</wp:posOffset>
            </wp:positionV>
            <wp:extent cx="7106285" cy="257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8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10.5(d)</w:t>
      </w:r>
      <w:r>
        <w:rPr>
          <w:sz w:val="20"/>
          <w:szCs w:val="20"/>
          <w:color w:val="auto"/>
        </w:rPr>
        <w:tab/>
      </w:r>
      <w:hyperlink r:id="rId186">
        <w:r>
          <w:rPr>
            <w:rFonts w:ascii="Arial" w:cs="Arial" w:eastAsia="Arial" w:hAnsi="Arial"/>
            <w:sz w:val="18"/>
            <w:szCs w:val="18"/>
            <w:u w:val="single" w:color="auto"/>
            <w:color w:val="0000FF"/>
          </w:rPr>
          <w:t>Amendment No. 3 to Forest Service Unified Permit for Vail ski area. (Incorporated by reference to Exhibit 10.6 (d) on Form 10-K of Vail</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Resorts, Inc. for the year ended July 31, 2005) (File No. 001-09614).</w:t>
        </w:r>
      </w:hyperlink>
    </w:p>
    <w:p>
      <w:pPr>
        <w:spacing w:after="0" w:line="1" w:lineRule="exact"/>
        <w:rPr>
          <w:sz w:val="20"/>
          <w:szCs w:val="20"/>
          <w:color w:val="auto"/>
        </w:rPr>
      </w:pP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10.5(e)</w:t>
      </w:r>
      <w:r>
        <w:rPr>
          <w:sz w:val="20"/>
          <w:szCs w:val="20"/>
          <w:color w:val="auto"/>
        </w:rPr>
        <w:tab/>
      </w:r>
      <w:hyperlink r:id="rId187">
        <w:r>
          <w:rPr>
            <w:rFonts w:ascii="Arial" w:cs="Arial" w:eastAsia="Arial" w:hAnsi="Arial"/>
            <w:sz w:val="18"/>
            <w:szCs w:val="18"/>
            <w:u w:val="single" w:color="auto"/>
            <w:color w:val="0000FF"/>
          </w:rPr>
          <w:t>Amendment No. 4 to Forest Service Unified Permit for Vail ski area. (Incorporated by reference to Exhibit 10.6 (e) on Form 10-K of Vail</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635</wp:posOffset>
            </wp:positionV>
            <wp:extent cx="7106285" cy="2571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right="20" w:hanging="82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89">
        <w:r>
          <w:rPr>
            <w:rFonts w:ascii="Arial" w:cs="Arial" w:eastAsia="Arial" w:hAnsi="Arial"/>
            <w:sz w:val="18"/>
            <w:szCs w:val="18"/>
            <w:u w:val="single" w:color="auto"/>
            <w:color w:val="0000FF"/>
          </w:rPr>
          <w:t>Vail Resorts, Inc. Amended and Restated 2002 Long Term Incentive and Share Award Plan. (Incorporated by reference to Exhibit 99.1 on</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Form 8-K of Vail Resorts, Inc. filed on December 10, 2009) (File No. 001-09614).</w:t>
        </w:r>
      </w:hyperlink>
    </w:p>
    <w:p>
      <w:pPr>
        <w:ind w:left="12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190">
        <w:r>
          <w:rPr>
            <w:rFonts w:ascii="Arial" w:cs="Arial" w:eastAsia="Arial" w:hAnsi="Arial"/>
            <w:sz w:val="16"/>
            <w:szCs w:val="16"/>
            <w:u w:val="single" w:color="auto"/>
            <w:color w:val="0000FF"/>
          </w:rPr>
          <w:t>Form of Restricted Share Unit Agreement. (Incorporated by reference to Exhibit 10.2 on Form 8-K of Vail Resorts, Inc. filed on December</w:t>
        </w:r>
      </w:hyperlink>
    </w:p>
    <w:p>
      <w:pPr>
        <w:spacing w:after="0" w:line="1" w:lineRule="exact"/>
        <w:rPr>
          <w:sz w:val="20"/>
          <w:szCs w:val="20"/>
          <w:color w:val="auto"/>
        </w:rPr>
      </w:pPr>
    </w:p>
    <w:p>
      <w:pPr>
        <w:ind w:left="960"/>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7, 2015)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4445</wp:posOffset>
            </wp:positionV>
            <wp:extent cx="7106285" cy="257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960" w:hanging="82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92">
        <w:r>
          <w:rPr>
            <w:rFonts w:ascii="Arial" w:cs="Arial" w:eastAsia="Arial" w:hAnsi="Arial"/>
            <w:sz w:val="18"/>
            <w:szCs w:val="18"/>
            <w:u w:val="single" w:color="auto"/>
            <w:color w:val="0000FF"/>
          </w:rPr>
          <w:t>Form of Share Appreciation Rights Agreement. (Incorporated by reference to Exhibit 10.3 on Form 8-K of Vail Resorts, Inc. filed on</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December 7, 2015) (File Number 001-09614)</w:t>
        </w:r>
      </w:hyperlink>
    </w:p>
    <w:p>
      <w:pPr>
        <w:spacing w:after="0" w:line="1" w:lineRule="exact"/>
        <w:rPr>
          <w:sz w:val="20"/>
          <w:szCs w:val="20"/>
          <w:color w:val="auto"/>
        </w:rPr>
      </w:pPr>
    </w:p>
    <w:p>
      <w:pPr>
        <w:ind w:left="960" w:hanging="827"/>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93">
        <w:r>
          <w:rPr>
            <w:rFonts w:ascii="Arial" w:cs="Arial" w:eastAsia="Arial" w:hAnsi="Arial"/>
            <w:sz w:val="18"/>
            <w:szCs w:val="18"/>
            <w:u w:val="single" w:color="auto"/>
            <w:color w:val="0000FF"/>
          </w:rPr>
          <w:t>Vail Resorts Deferred Compensation Plan, effective as of January 1, 2005. (Incorporated by reference to Exhibit 10.22 on Form 10-K of</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Vail Resorts, Inc. for the year ended July 31, 2009) (File No. 001-09614).</w:t>
        </w:r>
      </w:hyperlink>
    </w:p>
    <w:p>
      <w:pPr>
        <w:sectPr>
          <w:pgSz w:w="11900" w:h="16838" w:orient="portrait"/>
          <w:cols w:equalWidth="0" w:num="1">
            <w:col w:w="11000"/>
          </w:cols>
          <w:pgMar w:left="520" w:top="1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1122" w:right="37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3"/>
              </w:rPr>
              <w:t>Posted</w:t>
            </w: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220" w:type="dxa"/>
            <w:vAlign w:val="bottom"/>
            <w:gridSpan w:val="12"/>
            <w:vMerge w:val="restart"/>
          </w:tcPr>
          <w:p>
            <w:pPr>
              <w:ind w:left="6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6"/>
              </w:rPr>
              <w:t>Exhibit</w:t>
            </w: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22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Number</w:t>
            </w: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4"/>
              </w:rPr>
              <w:t>10.10(a)*</w:t>
            </w:r>
          </w:p>
        </w:tc>
        <w:tc>
          <w:tcPr>
            <w:tcW w:w="10180" w:type="dxa"/>
            <w:vAlign w:val="bottom"/>
            <w:gridSpan w:val="15"/>
            <w:shd w:val="clear" w:color="auto" w:fill="CCEEFF"/>
          </w:tcPr>
          <w:p>
            <w:pPr>
              <w:spacing w:after="0" w:line="189" w:lineRule="exact"/>
              <w:rPr>
                <w:rFonts w:ascii="Arial" w:cs="Arial" w:eastAsia="Arial" w:hAnsi="Arial"/>
                <w:sz w:val="18"/>
                <w:szCs w:val="18"/>
                <w:color w:val="0000FF"/>
                <w:w w:val="97"/>
              </w:rPr>
            </w:pPr>
            <w:hyperlink r:id="rId195">
              <w:r>
                <w:rPr>
                  <w:rFonts w:ascii="Arial" w:cs="Arial" w:eastAsia="Arial" w:hAnsi="Arial"/>
                  <w:sz w:val="18"/>
                  <w:szCs w:val="18"/>
                  <w:color w:val="0000FF"/>
                  <w:w w:val="97"/>
                </w:rPr>
                <w:t>Executive Employment Agreement made and entered into October 15, 2008 by and between Vail Resorts, Inc. and Robert A. Katz.</w:t>
              </w:r>
            </w:hyperlink>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120" w:type="dxa"/>
            <w:vAlign w:val="bottom"/>
            <w:tcBorders>
              <w:top w:val="single" w:sz="8" w:color="0000FF"/>
              <w:bottom w:val="single" w:sz="8" w:color="0000FF"/>
            </w:tcBorders>
            <w:gridSpan w:val="12"/>
            <w:shd w:val="clear" w:color="auto" w:fill="CCEEFF"/>
          </w:tcPr>
          <w:p>
            <w:pPr>
              <w:spacing w:after="0" w:line="156" w:lineRule="exact"/>
              <w:rPr>
                <w:rFonts w:ascii="Arial" w:cs="Arial" w:eastAsia="Arial" w:hAnsi="Arial"/>
                <w:sz w:val="18"/>
                <w:szCs w:val="18"/>
                <w:color w:val="0000FF"/>
                <w:w w:val="93"/>
              </w:rPr>
            </w:pPr>
            <w:hyperlink r:id="rId195">
              <w:r>
                <w:rPr>
                  <w:rFonts w:ascii="Arial" w:cs="Arial" w:eastAsia="Arial" w:hAnsi="Arial"/>
                  <w:sz w:val="18"/>
                  <w:szCs w:val="18"/>
                  <w:color w:val="0000FF"/>
                  <w:w w:val="93"/>
                </w:rPr>
                <w:t>(Incorporated by reference to Exhibit 10.1 of the report on Form 10-Q of Vail Resorts, Inc. for the quarter ended October 31, 2008) (File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shd w:val="clear" w:color="auto" w:fill="CCEEFF"/>
          </w:tcPr>
          <w:p>
            <w:pPr>
              <w:spacing w:after="0"/>
              <w:rPr>
                <w:sz w:val="13"/>
                <w:szCs w:val="13"/>
                <w:color w:val="auto"/>
              </w:rPr>
            </w:pPr>
          </w:p>
        </w:tc>
        <w:tc>
          <w:tcPr>
            <w:tcW w:w="10140" w:type="dxa"/>
            <w:vAlign w:val="bottom"/>
            <w:gridSpan w:val="13"/>
            <w:shd w:val="clear" w:color="auto" w:fill="CCEEFF"/>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No. 001-09614).</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4"/>
              </w:rPr>
              <w:t>10.10(b)*</w:t>
            </w:r>
          </w:p>
        </w:tc>
        <w:tc>
          <w:tcPr>
            <w:tcW w:w="10180" w:type="dxa"/>
            <w:vAlign w:val="bottom"/>
            <w:gridSpan w:val="15"/>
          </w:tcPr>
          <w:p>
            <w:pPr>
              <w:spacing w:after="0" w:line="189" w:lineRule="exact"/>
              <w:rPr>
                <w:rFonts w:ascii="Arial" w:cs="Arial" w:eastAsia="Arial" w:hAnsi="Arial"/>
                <w:sz w:val="18"/>
                <w:szCs w:val="18"/>
                <w:color w:val="0000FF"/>
                <w:w w:val="92"/>
              </w:rPr>
            </w:pPr>
            <w:hyperlink r:id="rId196">
              <w:r>
                <w:rPr>
                  <w:rFonts w:ascii="Arial" w:cs="Arial" w:eastAsia="Arial" w:hAnsi="Arial"/>
                  <w:sz w:val="18"/>
                  <w:szCs w:val="18"/>
                  <w:color w:val="0000FF"/>
                  <w:w w:val="92"/>
                </w:rPr>
                <w:t>First Amendment to Executive Employment Agreement, dated September 30, 2011, by and between Vail Resorts, Inc. and Robert A. Katz</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(Incorporated by reference to Exhibit 10.1 on Form 8-K of Vail Resorts, Inc. filed September 30, 2011) (File No. 001-09614).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362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5"/>
              </w:rPr>
              <w:t>10.10(c)*</w:t>
            </w:r>
          </w:p>
        </w:tc>
        <w:tc>
          <w:tcPr>
            <w:tcW w:w="10180" w:type="dxa"/>
            <w:vAlign w:val="bottom"/>
            <w:gridSpan w:val="15"/>
            <w:shd w:val="clear" w:color="auto" w:fill="CCEEFF"/>
          </w:tcPr>
          <w:p>
            <w:pPr>
              <w:spacing w:after="0" w:line="189" w:lineRule="exact"/>
              <w:rPr>
                <w:rFonts w:ascii="Arial" w:cs="Arial" w:eastAsia="Arial" w:hAnsi="Arial"/>
                <w:sz w:val="18"/>
                <w:szCs w:val="18"/>
                <w:color w:val="0000FF"/>
                <w:w w:val="94"/>
              </w:rPr>
            </w:pPr>
            <w:hyperlink r:id="rId197">
              <w:r>
                <w:rPr>
                  <w:rFonts w:ascii="Arial" w:cs="Arial" w:eastAsia="Arial" w:hAnsi="Arial"/>
                  <w:sz w:val="18"/>
                  <w:szCs w:val="18"/>
                  <w:color w:val="0000FF"/>
                  <w:w w:val="94"/>
                </w:rPr>
                <w:t>Second Amendment to Executive Employment Agreement, dated April 11, 2013, by and between Vail Resorts, Inc. and Robert A. Katz.</w:t>
              </w:r>
            </w:hyperlink>
          </w:p>
        </w:tc>
        <w:tc>
          <w:tcPr>
            <w:tcW w:w="0" w:type="dxa"/>
            <w:vAlign w:val="bottom"/>
          </w:tcPr>
          <w:p>
            <w:pPr>
              <w:spacing w:after="0"/>
              <w:rPr>
                <w:sz w:val="1"/>
                <w:szCs w:val="1"/>
                <w:color w:val="auto"/>
              </w:rPr>
            </w:pPr>
          </w:p>
        </w:tc>
      </w:tr>
      <w:tr>
        <w:trPr>
          <w:trHeight w:val="176"/>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9920" w:type="dxa"/>
            <w:vAlign w:val="bottom"/>
            <w:tcBorders>
              <w:top w:val="single" w:sz="8" w:color="0000FF"/>
              <w:bottom w:val="single" w:sz="8" w:color="0000FF"/>
            </w:tcBorders>
            <w:gridSpan w:val="6"/>
            <w:shd w:val="clear" w:color="auto" w:fill="CCEEFF"/>
          </w:tcPr>
          <w:p>
            <w:pPr>
              <w:spacing w:after="0" w:line="156"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(Incorporated by reference to Exhibit 10.1 on Form 10-Q of Vail Resorts, Inc. for the quarter ended April 30, 2013) (File No. 001-09614).</w:t>
              </w:r>
            </w:hyperlink>
          </w:p>
        </w:tc>
        <w:tc>
          <w:tcPr>
            <w:tcW w:w="14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5"/>
              </w:rPr>
              <w:t>10.11*</w:t>
            </w:r>
          </w:p>
        </w:tc>
        <w:tc>
          <w:tcPr>
            <w:tcW w:w="10180" w:type="dxa"/>
            <w:vAlign w:val="bottom"/>
            <w:gridSpan w:val="15"/>
          </w:tcPr>
          <w:p>
            <w:pPr>
              <w:spacing w:after="0" w:line="189" w:lineRule="exact"/>
              <w:rPr>
                <w:rFonts w:ascii="Arial" w:cs="Arial" w:eastAsia="Arial" w:hAnsi="Arial"/>
                <w:sz w:val="18"/>
                <w:szCs w:val="18"/>
                <w:color w:val="0000FF"/>
                <w:w w:val="95"/>
              </w:rPr>
            </w:pPr>
            <w:hyperlink r:id="rId198">
              <w:r>
                <w:rPr>
                  <w:rFonts w:ascii="Arial" w:cs="Arial" w:eastAsia="Arial" w:hAnsi="Arial"/>
                  <w:sz w:val="18"/>
                  <w:szCs w:val="18"/>
                  <w:color w:val="0000FF"/>
                  <w:w w:val="95"/>
                </w:rPr>
                <w:t>Form of Indemnification Agreement. (Incorporated by reference to Exhibit 10.8 of the report on Form 10-Q of Vail Resorts, Inc. for the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quarter ended October 31, 2008) (File No. 001-09614).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3"/>
              </w:rPr>
              <w:t>10.12</w:t>
            </w:r>
          </w:p>
        </w:tc>
        <w:tc>
          <w:tcPr>
            <w:tcW w:w="10180" w:type="dxa"/>
            <w:vAlign w:val="bottom"/>
            <w:gridSpan w:val="15"/>
            <w:shd w:val="clear" w:color="auto" w:fill="CCEEFF"/>
          </w:tcPr>
          <w:p>
            <w:pPr>
              <w:spacing w:after="0" w:line="189" w:lineRule="exact"/>
              <w:rPr>
                <w:rFonts w:ascii="Arial" w:cs="Arial" w:eastAsia="Arial" w:hAnsi="Arial"/>
                <w:sz w:val="18"/>
                <w:szCs w:val="18"/>
                <w:color w:val="0000FF"/>
                <w:w w:val="93"/>
              </w:rPr>
            </w:pPr>
            <w:hyperlink r:id="rId199">
              <w:r>
                <w:rPr>
                  <w:rFonts w:ascii="Arial" w:cs="Arial" w:eastAsia="Arial" w:hAnsi="Arial"/>
                  <w:sz w:val="18"/>
                  <w:szCs w:val="18"/>
                  <w:color w:val="0000FF"/>
                  <w:w w:val="93"/>
                </w:rPr>
                <w:t>Master Agreement of Lease, dated May 29, 2013, between VR CPC Holdings, Inc. and Talisker Canyons Leaseco LLC. (Incorporated by</w:t>
              </w:r>
            </w:hyperlink>
          </w:p>
        </w:tc>
        <w:tc>
          <w:tcPr>
            <w:tcW w:w="0" w:type="dxa"/>
            <w:vAlign w:val="bottom"/>
          </w:tcPr>
          <w:p>
            <w:pPr>
              <w:spacing w:after="0"/>
              <w:rPr>
                <w:sz w:val="1"/>
                <w:szCs w:val="1"/>
                <w:color w:val="auto"/>
              </w:rPr>
            </w:pPr>
          </w:p>
        </w:tc>
      </w:tr>
      <w:tr>
        <w:trPr>
          <w:trHeight w:val="176"/>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758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2"/>
              </w:rPr>
            </w:pPr>
            <w:hyperlink r:id="rId199">
              <w:r>
                <w:rPr>
                  <w:rFonts w:ascii="Arial" w:cs="Arial" w:eastAsia="Arial" w:hAnsi="Arial"/>
                  <w:sz w:val="18"/>
                  <w:szCs w:val="18"/>
                  <w:color w:val="0000FF"/>
                  <w:w w:val="92"/>
                </w:rPr>
                <w:t>reference to Exhibit 10.1 on Form 8-K of Vail Resorts, Inc. filed on May 30, 2013) (File No. 001-09614).</w:t>
              </w:r>
            </w:hyperlink>
          </w:p>
        </w:tc>
        <w:tc>
          <w:tcPr>
            <w:tcW w:w="258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50"/>
              <w:spacing w:after="0"/>
              <w:rPr>
                <w:sz w:val="20"/>
                <w:szCs w:val="20"/>
                <w:color w:val="auto"/>
              </w:rPr>
            </w:pPr>
            <w:r>
              <w:rPr>
                <w:rFonts w:ascii="Arial" w:cs="Arial" w:eastAsia="Arial" w:hAnsi="Arial"/>
                <w:sz w:val="18"/>
                <w:szCs w:val="18"/>
                <w:color w:val="auto"/>
                <w:w w:val="93"/>
              </w:rPr>
              <w:t>10.13</w:t>
            </w:r>
          </w:p>
        </w:tc>
        <w:tc>
          <w:tcPr>
            <w:tcW w:w="10180" w:type="dxa"/>
            <w:vAlign w:val="bottom"/>
            <w:gridSpan w:val="15"/>
          </w:tcPr>
          <w:p>
            <w:pPr>
              <w:spacing w:after="0"/>
              <w:rPr>
                <w:rFonts w:ascii="Arial" w:cs="Arial" w:eastAsia="Arial" w:hAnsi="Arial"/>
                <w:sz w:val="18"/>
                <w:szCs w:val="18"/>
                <w:color w:val="0000FF"/>
                <w:w w:val="94"/>
              </w:rPr>
            </w:pPr>
            <w:hyperlink r:id="rId200">
              <w:r>
                <w:rPr>
                  <w:rFonts w:ascii="Arial" w:cs="Arial" w:eastAsia="Arial" w:hAnsi="Arial"/>
                  <w:sz w:val="18"/>
                  <w:szCs w:val="18"/>
                  <w:color w:val="0000FF"/>
                  <w:w w:val="94"/>
                </w:rPr>
                <w:t>Guaranty of Vail Resorts, Inc., dated May 29, 2013, in connection with the Master Agreement of Lease between VR CPC Holdings, Inc.</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100" w:type="dxa"/>
            <w:vAlign w:val="bottom"/>
            <w:tcBorders>
              <w:top w:val="single" w:sz="8" w:color="0000FF"/>
            </w:tcBorders>
            <w:gridSpan w:val="11"/>
          </w:tcPr>
          <w:p>
            <w:pPr>
              <w:spacing w:after="0" w:line="156" w:lineRule="exact"/>
              <w:rPr>
                <w:rFonts w:ascii="Arial" w:cs="Arial" w:eastAsia="Arial" w:hAnsi="Arial"/>
                <w:sz w:val="18"/>
                <w:szCs w:val="18"/>
                <w:color w:val="0000FF"/>
                <w:w w:val="93"/>
              </w:rPr>
            </w:pPr>
            <w:hyperlink r:id="rId200">
              <w:r>
                <w:rPr>
                  <w:rFonts w:ascii="Arial" w:cs="Arial" w:eastAsia="Arial" w:hAnsi="Arial"/>
                  <w:sz w:val="18"/>
                  <w:szCs w:val="18"/>
                  <w:color w:val="0000FF"/>
                  <w:w w:val="93"/>
                </w:rPr>
                <w:t>and Talisker Canyons Leaseco LLC. (Incorporated by reference to Exhibit 10.2 on Form 8-K of Vail Resorts, Inc. filed on May 30, 2013)</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200">
              <w:r>
                <w:rPr>
                  <w:rFonts w:ascii="Arial" w:cs="Arial" w:eastAsia="Arial" w:hAnsi="Arial"/>
                  <w:sz w:val="18"/>
                  <w:szCs w:val="18"/>
                  <w:color w:val="0000FF"/>
                  <w:w w:val="91"/>
                </w:rPr>
                <w:t>(File No. 001-09614).</w:t>
              </w:r>
            </w:hyperlink>
          </w:p>
        </w:tc>
        <w:tc>
          <w:tcPr>
            <w:tcW w:w="8460" w:type="dxa"/>
            <w:vAlign w:val="bottom"/>
            <w:tcBorders>
              <w:top w:val="single" w:sz="8" w:color="0000FF"/>
            </w:tcBorders>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10.14*</w:t>
            </w:r>
          </w:p>
        </w:tc>
        <w:tc>
          <w:tcPr>
            <w:tcW w:w="10060" w:type="dxa"/>
            <w:vAlign w:val="bottom"/>
            <w:gridSpan w:val="3"/>
            <w:shd w:val="clear" w:color="auto" w:fill="CCEEFF"/>
          </w:tcPr>
          <w:p>
            <w:pPr>
              <w:spacing w:after="0"/>
              <w:rPr>
                <w:rFonts w:ascii="Arial" w:cs="Arial" w:eastAsia="Arial" w:hAnsi="Arial"/>
                <w:sz w:val="18"/>
                <w:szCs w:val="18"/>
                <w:color w:val="0000FF"/>
                <w:w w:val="91"/>
              </w:rPr>
            </w:pPr>
            <w:hyperlink r:id="rId201">
              <w:r>
                <w:rPr>
                  <w:rFonts w:ascii="Arial" w:cs="Arial" w:eastAsia="Arial" w:hAnsi="Arial"/>
                  <w:sz w:val="18"/>
                  <w:szCs w:val="18"/>
                  <w:color w:val="0000FF"/>
                  <w:w w:val="91"/>
                </w:rPr>
                <w:t>Vail Resorts, Inc. Management Incentive Plan (Incorporated by reference to Exhibit 10.1 on Form 10-Q of Vail Resorts, Inc. for the quarter</w:t>
              </w:r>
            </w:hyperlink>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ended October 31, 2020) (File No. 001-09614).</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15"/>
        </w:trPr>
        <w:tc>
          <w:tcPr>
            <w:tcW w:w="1120" w:type="dxa"/>
            <w:vAlign w:val="bottom"/>
            <w:tcBorders>
              <w:top w:val="single" w:sz="8" w:color="CCEEFF"/>
            </w:tcBorders>
            <w:shd w:val="clear" w:color="auto" w:fill="CCEEFF"/>
          </w:tcPr>
          <w:p>
            <w:pPr>
              <w:spacing w:after="0"/>
              <w:rPr>
                <w:sz w:val="10"/>
                <w:szCs w:val="10"/>
                <w:color w:val="auto"/>
              </w:rPr>
            </w:pPr>
          </w:p>
        </w:tc>
        <w:tc>
          <w:tcPr>
            <w:tcW w:w="3400" w:type="dxa"/>
            <w:vAlign w:val="bottom"/>
            <w:tcBorders>
              <w:top w:val="single" w:sz="8" w:color="0000FF"/>
            </w:tcBorders>
            <w:shd w:val="clear" w:color="auto" w:fill="CCEEFF"/>
          </w:tcPr>
          <w:p>
            <w:pPr>
              <w:spacing w:after="0"/>
              <w:rPr>
                <w:sz w:val="10"/>
                <w:szCs w:val="10"/>
                <w:color w:val="auto"/>
              </w:rPr>
            </w:pPr>
          </w:p>
        </w:tc>
        <w:tc>
          <w:tcPr>
            <w:tcW w:w="66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bl>
    <w:p>
      <w:pPr>
        <w:spacing w:after="0" w:line="1" w:lineRule="exact"/>
        <w:rPr>
          <w:sz w:val="20"/>
          <w:szCs w:val="20"/>
          <w:color w:val="auto"/>
        </w:rPr>
      </w:pPr>
    </w:p>
    <w:p>
      <w:pPr>
        <w:sectPr>
          <w:pgSz w:w="11900" w:h="16838" w:orient="portrait"/>
          <w:cols w:equalWidth="0" w:num="1">
            <w:col w:w="11180"/>
          </w:cols>
          <w:pgMar w:left="360" w:top="1107" w:right="359" w:bottom="1440" w:gutter="0" w:footer="0" w:header="0"/>
        </w:sectPr>
      </w:pPr>
    </w:p>
    <w:p>
      <w:pPr>
        <w:ind w:left="240"/>
        <w:spacing w:after="0"/>
        <w:rPr>
          <w:sz w:val="20"/>
          <w:szCs w:val="20"/>
          <w:color w:val="auto"/>
        </w:rPr>
      </w:pPr>
      <w:r>
        <w:rPr>
          <w:rFonts w:ascii="Arial" w:cs="Arial" w:eastAsia="Arial" w:hAnsi="Arial"/>
          <w:sz w:val="18"/>
          <w:szCs w:val="18"/>
          <w:color w:val="auto"/>
        </w:rPr>
        <w:t>10.15*</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10.16*</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10.17*</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10.18(a)</w:t>
      </w:r>
    </w:p>
    <w:p>
      <w:pPr>
        <w:spacing w:after="0" w:line="20" w:lineRule="exact"/>
        <w:rPr>
          <w:sz w:val="20"/>
          <w:szCs w:val="20"/>
          <w:color w:val="auto"/>
        </w:rPr>
      </w:pPr>
      <w:r>
        <w:rPr>
          <w:sz w:val="20"/>
          <w:szCs w:val="20"/>
          <w:color w:val="auto"/>
        </w:rPr>
        <w:br w:type="column"/>
      </w:r>
    </w:p>
    <w:p>
      <w:pPr>
        <w:jc w:val="both"/>
        <w:ind w:right="20"/>
        <w:spacing w:after="0" w:line="234" w:lineRule="auto"/>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Vail Resorts, Inc. 2015 Omnibus Incentive Plan (Incorporated by reference to Exhibit 10.1 on Form 8-K of Vail Resorts, Inc. filed on</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December 7, 2015)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635</wp:posOffset>
            </wp:positionV>
            <wp:extent cx="7106285"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jc w:val="both"/>
        <w:ind w:right="20"/>
        <w:spacing w:after="0" w:line="234"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Form of Restricted Share Unit Agreement (effective September 23, 2020) (Incorporated by reference to Exhibit 10.17 on Form 10-K of</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Vail Resorts, Inc. for the year ended July 31, 2020) (File Number 001-09614).</w:t>
        </w:r>
      </w:hyperlink>
    </w:p>
    <w:p>
      <w:pPr>
        <w:spacing w:after="0" w:line="1" w:lineRule="exact"/>
        <w:rPr>
          <w:sz w:val="20"/>
          <w:szCs w:val="20"/>
          <w:color w:val="auto"/>
        </w:rPr>
      </w:pPr>
    </w:p>
    <w:p>
      <w:pPr>
        <w:jc w:val="both"/>
        <w:ind w:right="20"/>
        <w:spacing w:after="0" w:line="234"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Form of Share Appreciation Rights Agreement (effective September 23, 2020) (Incorporated by reference to Exhibit 10.18 on Form 10-K</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of Vail Resorts, Inc. for the year ended July 31, 2020)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635</wp:posOffset>
            </wp:positionV>
            <wp:extent cx="7106285" cy="5911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7106285" cy="591185"/>
                    </a:xfrm>
                    <a:prstGeom prst="rect">
                      <a:avLst/>
                    </a:prstGeom>
                    <a:noFill/>
                  </pic:spPr>
                </pic:pic>
              </a:graphicData>
            </a:graphic>
          </wp:anchor>
        </w:drawing>
      </w:r>
    </w:p>
    <w:p>
      <w:pPr>
        <w:spacing w:after="0" w:line="62" w:lineRule="exact"/>
        <w:rPr>
          <w:sz w:val="20"/>
          <w:szCs w:val="20"/>
          <w:color w:val="auto"/>
        </w:rPr>
      </w:pPr>
    </w:p>
    <w:p>
      <w:pPr>
        <w:jc w:val="both"/>
        <w:ind w:right="20"/>
        <w:spacing w:after="0" w:line="219" w:lineRule="auto"/>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Eighth Amended and Restated Credit Agreement, Annex A to that certain Amendment Agreement, dated as of August 15, 2018, among</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Vail Holdings, Inc., as borrower, Bank of America, N.A., as administrative agent, U.S. Bank National Association and Wells Fargo,</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National Association, as co-syndication Agents, and the Lenders party thereto (Incorporated by reference to Exhibit 10.1 on Form 10-Q of</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Vail Resorts, Inc. for the quarter ended October 31, 2018) (File No. 001-09614).</w:t>
        </w:r>
      </w:hyperlink>
    </w:p>
    <w:p>
      <w:pPr>
        <w:spacing w:after="0" w:line="95" w:lineRule="exact"/>
        <w:rPr>
          <w:rFonts w:ascii="Arial" w:cs="Arial" w:eastAsia="Arial" w:hAnsi="Arial"/>
          <w:sz w:val="18"/>
          <w:szCs w:val="18"/>
          <w:u w:val="single" w:color="auto"/>
          <w:color w:val="0000FF"/>
        </w:rPr>
      </w:pPr>
    </w:p>
    <w:p>
      <w:pPr>
        <w:sectPr>
          <w:pgSz w:w="11900" w:h="16838" w:orient="portrait"/>
          <w:cols w:equalWidth="0" w:num="2">
            <w:col w:w="800" w:space="320"/>
            <w:col w:w="10060"/>
          </w:cols>
          <w:pgMar w:left="360" w:top="1107" w:right="359" w:bottom="1440" w:gutter="0" w:footer="0" w:header="0"/>
          <w:type w:val="continuous"/>
        </w:sectPr>
      </w:pPr>
    </w:p>
    <w:tbl>
      <w:tblPr>
        <w:tblLayout w:type="fixed"/>
        <w:tblInd w:w="18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10.18(b)</w:t>
            </w:r>
          </w:p>
        </w:tc>
        <w:tc>
          <w:tcPr>
            <w:tcW w:w="10040" w:type="dxa"/>
            <w:vAlign w:val="bottom"/>
            <w:gridSpan w:val="3"/>
            <w:vMerge w:val="restart"/>
          </w:tcPr>
          <w:p>
            <w:pPr>
              <w:spacing w:after="0"/>
              <w:rPr>
                <w:rFonts w:ascii="Arial" w:cs="Arial" w:eastAsia="Arial" w:hAnsi="Arial"/>
                <w:sz w:val="18"/>
                <w:szCs w:val="18"/>
                <w:color w:val="0000FF"/>
                <w:w w:val="96"/>
              </w:rPr>
            </w:pPr>
            <w:hyperlink r:id="rId208">
              <w:r>
                <w:rPr>
                  <w:rFonts w:ascii="Arial" w:cs="Arial" w:eastAsia="Arial" w:hAnsi="Arial"/>
                  <w:sz w:val="18"/>
                  <w:szCs w:val="18"/>
                  <w:color w:val="0000FF"/>
                  <w:w w:val="96"/>
                </w:rPr>
                <w:t>First Amendment to the Eighth Amended and Restated Credit Agreement, dated as of April 15, 2019, among Vail Holdings, Inc., as</w:t>
              </w:r>
            </w:hyperlink>
          </w:p>
        </w:tc>
        <w:tc>
          <w:tcPr>
            <w:tcW w:w="0" w:type="dxa"/>
            <w:vAlign w:val="bottom"/>
          </w:tcPr>
          <w:p>
            <w:pPr>
              <w:spacing w:after="0"/>
              <w:rPr>
                <w:sz w:val="1"/>
                <w:szCs w:val="1"/>
                <w:color w:val="auto"/>
              </w:rPr>
            </w:pPr>
          </w:p>
        </w:tc>
      </w:tr>
      <w:tr>
        <w:trPr>
          <w:trHeight w:val="45"/>
        </w:trPr>
        <w:tc>
          <w:tcPr>
            <w:tcW w:w="940" w:type="dxa"/>
            <w:vAlign w:val="bottom"/>
          </w:tcPr>
          <w:p>
            <w:pPr>
              <w:spacing w:after="0"/>
              <w:rPr>
                <w:sz w:val="3"/>
                <w:szCs w:val="3"/>
                <w:color w:val="auto"/>
              </w:rPr>
            </w:pPr>
          </w:p>
        </w:tc>
        <w:tc>
          <w:tcPr>
            <w:tcW w:w="10040" w:type="dxa"/>
            <w:vAlign w:val="bottom"/>
            <w:tcBorders>
              <w:bottom w:val="single" w:sz="8" w:color="0000FF"/>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040" w:type="dxa"/>
            <w:vAlign w:val="bottom"/>
            <w:gridSpan w:val="3"/>
          </w:tcPr>
          <w:p>
            <w:pPr>
              <w:spacing w:after="0" w:line="15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borrower, and Bank of America, N.A., as administrative agent, on its own behalf and on behalf of the Lenders party thereto (Incorporated</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8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by reference to Exhibit 10.1 on Form 10-Q of Vail Resorts, Inc. for the quarter ended April 30, 2019) (File No. 001-09614).</w:t>
              </w:r>
            </w:hyperlink>
          </w:p>
        </w:tc>
        <w:tc>
          <w:tcPr>
            <w:tcW w:w="1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180"/>
          </w:cols>
          <w:pgMar w:left="360" w:top="1107" w:right="35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10.18(c)</w:t>
      </w: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10.18(d)</w:t>
      </w:r>
    </w:p>
    <w:p>
      <w:pPr>
        <w:spacing w:after="0" w:line="3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10.18(e)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10.19(a)</w:t>
      </w:r>
    </w:p>
    <w:p>
      <w:pPr>
        <w:spacing w:after="0" w:line="20" w:lineRule="exact"/>
        <w:rPr>
          <w:sz w:val="20"/>
          <w:szCs w:val="20"/>
          <w:color w:val="auto"/>
        </w:rPr>
      </w:pPr>
      <w:r>
        <w:rPr>
          <w:sz w:val="20"/>
          <w:szCs w:val="20"/>
          <w:color w:val="auto"/>
        </w:rPr>
        <w:br w:type="column"/>
      </w:r>
    </w:p>
    <w:p>
      <w:pPr>
        <w:jc w:val="both"/>
        <w:ind w:right="20"/>
        <w:spacing w:after="0" w:line="219"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Second Amendment to the Eighth Amended and Restated Credit Agreement, dated as of September 23, 2019, among Vail Holdings, Inc.,</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as borrower, and Bank of America, N.A., as administrative agent, on its own behalf and on behalf of the Lenders party thereto.</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(Incorporated by reference to Exhibit 10.1 on Form 10-Q of Vail Resorts, Inc. for the quarter ended October 31, 2019) (File No. 001-</w:t>
        </w:r>
      </w:hyperlink>
      <w:hyperlink r:id="rId209">
        <w:r>
          <w:rPr>
            <w:rFonts w:ascii="Arial" w:cs="Arial" w:eastAsia="Arial" w:hAnsi="Arial"/>
            <w:sz w:val="18"/>
            <w:szCs w:val="18"/>
            <w:u w:val="single" w:color="auto"/>
            <w:color w:val="0000FF"/>
          </w:rPr>
          <w:t>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-713740</wp:posOffset>
            </wp:positionH>
            <wp:positionV relativeFrom="paragraph">
              <wp:posOffset>-478790</wp:posOffset>
            </wp:positionV>
            <wp:extent cx="7106285" cy="4800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06285" cy="480060"/>
                    </a:xfrm>
                    <a:prstGeom prst="rect">
                      <a:avLst/>
                    </a:prstGeom>
                    <a:noFill/>
                  </pic:spPr>
                </pic:pic>
              </a:graphicData>
            </a:graphic>
          </wp:anchor>
        </w:drawing>
      </w:r>
    </w:p>
    <w:p>
      <w:pPr>
        <w:jc w:val="both"/>
        <w:ind w:right="20"/>
        <w:spacing w:after="0" w:line="252" w:lineRule="auto"/>
        <w:rPr>
          <w:rFonts w:ascii="Arial" w:cs="Arial" w:eastAsia="Arial" w:hAnsi="Arial"/>
          <w:sz w:val="16"/>
          <w:szCs w:val="16"/>
          <w:u w:val="single" w:color="auto"/>
          <w:color w:val="0000FF"/>
        </w:rPr>
      </w:pPr>
      <w:hyperlink r:id="rId211">
        <w:r>
          <w:rPr>
            <w:rFonts w:ascii="Arial" w:cs="Arial" w:eastAsia="Arial" w:hAnsi="Arial"/>
            <w:sz w:val="16"/>
            <w:szCs w:val="16"/>
            <w:u w:val="single" w:color="auto"/>
            <w:color w:val="0000FF"/>
          </w:rPr>
          <w:t>Third Amendment to the Eighth Amended and Restated Credit Agreement, dated as of April 28, 2020, among Vail Holdings, Inc., as</w:t>
        </w:r>
      </w:hyperlink>
      <w:r>
        <w:rPr>
          <w:rFonts w:ascii="Arial" w:cs="Arial" w:eastAsia="Arial" w:hAnsi="Arial"/>
          <w:sz w:val="16"/>
          <w:szCs w:val="16"/>
          <w:u w:val="single" w:color="auto"/>
          <w:color w:val="0000FF"/>
        </w:rPr>
        <w:t xml:space="preserve"> </w:t>
      </w:r>
      <w:hyperlink r:id="rId211">
        <w:r>
          <w:rPr>
            <w:rFonts w:ascii="Arial" w:cs="Arial" w:eastAsia="Arial" w:hAnsi="Arial"/>
            <w:sz w:val="16"/>
            <w:szCs w:val="16"/>
            <w:u w:val="single" w:color="auto"/>
            <w:color w:val="0000FF"/>
          </w:rPr>
          <w:t>borrower, and Bank of America, N.A., as administrative agent, on its own behalf and on behalf of the Lenders party thereto (Incorporated</w:t>
        </w:r>
      </w:hyperlink>
      <w:r>
        <w:rPr>
          <w:rFonts w:ascii="Arial" w:cs="Arial" w:eastAsia="Arial" w:hAnsi="Arial"/>
          <w:sz w:val="16"/>
          <w:szCs w:val="16"/>
          <w:u w:val="single" w:color="auto"/>
          <w:color w:val="0000FF"/>
        </w:rPr>
        <w:t xml:space="preserve"> </w:t>
      </w:r>
      <w:hyperlink r:id="rId211">
        <w:r>
          <w:rPr>
            <w:rFonts w:ascii="Arial" w:cs="Arial" w:eastAsia="Arial" w:hAnsi="Arial"/>
            <w:sz w:val="16"/>
            <w:szCs w:val="16"/>
            <w:u w:val="single" w:color="auto"/>
            <w:color w:val="0000FF"/>
          </w:rPr>
          <w:t>by reference to Exhibit 10.1 on Form 10-Q of Vail Resorts, Inc. for the quarter ended April 30, 2020) (File No. 001-09614).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-713740</wp:posOffset>
            </wp:positionH>
            <wp:positionV relativeFrom="paragraph">
              <wp:posOffset>635</wp:posOffset>
            </wp:positionV>
            <wp:extent cx="7106285" cy="514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106285" cy="514350"/>
                    </a:xfrm>
                    <a:prstGeom prst="rect">
                      <a:avLst/>
                    </a:prstGeom>
                    <a:noFill/>
                  </pic:spPr>
                </pic:pic>
              </a:graphicData>
            </a:graphic>
          </wp:anchor>
        </w:drawing>
      </w:r>
    </w:p>
    <w:p>
      <w:pPr>
        <w:jc w:val="both"/>
        <w:ind w:right="20"/>
        <w:spacing w:after="0" w:line="230"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Fourth Amendment to the Eighth Amended and Restated Credit Agreement, dated as of December 18, 2020, between Vail Holdings, Inc.,</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as borrower, Vail Resorts, Inc. and certain subsidiaries of Vail Resorts, Inc., as guarantors, and Bank of America, N.A., as administrative</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agent, on its own behalf and on the behalf of the Lenders party thereto. (Incorporated by reference to Exhibit 10.1 on Form 8-K of Vail</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Resorts, Inc. filed on December 18, 2020) (File No. 001-09614).</w:t>
        </w:r>
      </w:hyperlink>
    </w:p>
    <w:p>
      <w:pPr>
        <w:spacing w:after="0" w:line="97" w:lineRule="exact"/>
        <w:rPr>
          <w:rFonts w:ascii="Arial" w:cs="Arial" w:eastAsia="Arial" w:hAnsi="Arial"/>
          <w:sz w:val="18"/>
          <w:szCs w:val="18"/>
          <w:u w:val="single" w:color="auto"/>
          <w:color w:val="0000FF"/>
        </w:rPr>
      </w:pPr>
    </w:p>
    <w:p>
      <w:pPr>
        <w:jc w:val="both"/>
        <w:ind w:right="20"/>
        <w:spacing w:after="0" w:line="214"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Amended and Restated Credit Agreement and the amendments thereto, dated as of November 12, 2013, among Whistler Mountain Resort</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Limited Partnership and Blackcomb Skiing Enterprises Limited Partnership, as borrowers, the Guarantors Party thereto, the Financial</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Institutions named therein, The Toronto-Dominion Bank, as administrative agent, TD Securities, as lead arranger and sole bookrunner, and</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Royal Bank of Canada, Bank of Montreal, Wells Fargo Bank, N.A., Canadian Branch, and Bank of America, N.A., Canadian Branch, as</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co-documentation agents (Incorporated by reference to Exhibit 10.3 on Form 10-Q of Vail Resorts, Inc. for the quarter ended October 30,</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2016) (File No. 001-09614).</w:t>
        </w:r>
      </w:hyperlink>
    </w:p>
    <w:p>
      <w:pPr>
        <w:spacing w:after="0" w:line="94" w:lineRule="exact"/>
        <w:rPr>
          <w:rFonts w:ascii="Arial" w:cs="Arial" w:eastAsia="Arial" w:hAnsi="Arial"/>
          <w:sz w:val="18"/>
          <w:szCs w:val="18"/>
          <w:u w:val="single" w:color="auto"/>
          <w:color w:val="0000FF"/>
        </w:rPr>
      </w:pPr>
    </w:p>
    <w:p>
      <w:pPr>
        <w:sectPr>
          <w:pgSz w:w="11900" w:h="16838" w:orient="portrait"/>
          <w:cols w:equalWidth="0" w:num="2">
            <w:col w:w="800" w:space="320"/>
            <w:col w:w="10060"/>
          </w:cols>
          <w:pgMar w:left="360" w:top="1107" w:right="359" w:bottom="1440" w:gutter="0" w:footer="0" w:header="0"/>
          <w:type w:val="continuous"/>
        </w:sectPr>
      </w:pPr>
    </w:p>
    <w:p>
      <w:pPr>
        <w:jc w:val="both"/>
        <w:ind w:left="1120" w:right="20" w:hanging="932"/>
        <w:spacing w:after="0" w:line="219"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10.19(b)</w:t>
      </w:r>
      <w:r>
        <w:rPr>
          <w:sz w:val="20"/>
          <w:szCs w:val="20"/>
          <w:color w:val="auto"/>
        </w:rPr>
        <w:tab/>
      </w:r>
      <w:hyperlink r:id="rId215">
        <w:r>
          <w:rPr>
            <w:rFonts w:ascii="Arial" w:cs="Arial" w:eastAsia="Arial" w:hAnsi="Arial"/>
            <w:sz w:val="18"/>
            <w:szCs w:val="18"/>
            <w:u w:val="single" w:color="auto"/>
            <w:color w:val="0000FF"/>
          </w:rPr>
          <w:t>Third Amending Agreement, dated as of February 10, 2017, among Whistler Mountain Resort Limited Partnership and Blackcomb Skiing</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Enterprises Limited Partnership, as borrowers, the Guarantors Party thereto, and The Toronto-Dominion Bank, as administrative agent, on</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its own behalf and on behalf of the Lenders (Incorporated by reference to Exhibit 10.1 on Form 10-Q of Vail Resorts, Inc. for the quarter</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ended January 31, 2017)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-478790</wp:posOffset>
            </wp:positionV>
            <wp:extent cx="7106285" cy="480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7106285" cy="48006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2" w:lineRule="exact"/>
        <w:rPr>
          <w:rFonts w:ascii="Arial" w:cs="Arial" w:eastAsia="Arial" w:hAnsi="Arial"/>
          <w:sz w:val="18"/>
          <w:szCs w:val="18"/>
          <w:u w:val="single" w:color="auto"/>
          <w:color w:val="0000FF"/>
        </w:rPr>
      </w:pPr>
    </w:p>
    <w:p>
      <w:pPr>
        <w:jc w:val="center"/>
        <w:ind w:right="20"/>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07" w:right="359" w:bottom="1440" w:gutter="0" w:footer="0" w:header="0"/>
          <w:type w:val="continuous"/>
        </w:sectPr>
      </w:pPr>
    </w:p>
    <w:bookmarkStart w:id="117" w:name="page118"/>
    <w:bookmarkEnd w:id="117"/>
    <w:p>
      <w:pPr>
        <w:ind w:left="280"/>
        <w:spacing w:after="0"/>
        <w:rPr>
          <w:sz w:val="20"/>
          <w:szCs w:val="20"/>
          <w:color w:val="auto"/>
        </w:rPr>
      </w:pPr>
      <w:r>
        <w:rPr>
          <w:rFonts w:ascii="Arial" w:cs="Arial" w:eastAsia="Arial" w:hAnsi="Arial"/>
          <w:sz w:val="16"/>
          <w:szCs w:val="16"/>
          <w:b w:val="1"/>
          <w:bCs w:val="1"/>
          <w:color w:val="auto"/>
        </w:rPr>
        <w:t>Posted</w:t>
      </w:r>
    </w:p>
    <w:p>
      <w:pPr>
        <w:ind w:left="240"/>
        <w:spacing w:after="0" w:line="229" w:lineRule="auto"/>
        <w:rPr>
          <w:sz w:val="20"/>
          <w:szCs w:val="20"/>
          <w:color w:val="auto"/>
        </w:rPr>
      </w:pPr>
      <w:r>
        <w:rPr>
          <w:rFonts w:ascii="Arial" w:cs="Arial" w:eastAsia="Arial" w:hAnsi="Arial"/>
          <w:sz w:val="17"/>
          <w:szCs w:val="17"/>
          <w:b w:val="1"/>
          <w:bCs w:val="1"/>
          <w:color w:val="auto"/>
        </w:rPr>
        <w:t>Exhibit</w:t>
      </w:r>
    </w:p>
    <w:p>
      <w:pPr>
        <w:ind w:left="200"/>
        <w:spacing w:after="0"/>
        <w:rPr>
          <w:sz w:val="20"/>
          <w:szCs w:val="20"/>
          <w:color w:val="auto"/>
        </w:rPr>
      </w:pPr>
      <w:r>
        <w:rPr>
          <w:rFonts w:ascii="Arial" w:cs="Arial" w:eastAsia="Arial" w:hAnsi="Arial"/>
          <w:sz w:val="16"/>
          <w:szCs w:val="16"/>
          <w:b w:val="1"/>
          <w:bCs w:val="1"/>
          <w:color w:val="auto"/>
        </w:rPr>
        <w:t>Number</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10.19(c)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w:t>
      </w:r>
    </w:p>
    <w:p>
      <w:pPr>
        <w:spacing w:after="0" w:line="283" w:lineRule="exact"/>
        <w:rPr>
          <w:sz w:val="20"/>
          <w:szCs w:val="20"/>
          <w:color w:val="auto"/>
        </w:rPr>
      </w:pPr>
    </w:p>
    <w:p>
      <w:pPr>
        <w:jc w:val="both"/>
        <w:ind w:right="20"/>
        <w:spacing w:after="0" w:line="219" w:lineRule="auto"/>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Fourth Amending Agreement, dated as of November 30, 2018, among Whistler Mountain Resort Limited Partnership and Blackcomb</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Skiing Enterprises Limited Partnership, as borrowers, the Guarantors Party thereto, and The Toronto-Dominion Bank, as administrative</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agent, on its own behalf and on behalf of the lenders (Incorporated by reference to Exhibit 10.1 on Form 10-Q of Vail Resorts, Inc. for the</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quarter ended January 31, 2019) (File No. 001-09614).</w:t>
        </w:r>
      </w:hyperlink>
    </w:p>
    <w:p>
      <w:pPr>
        <w:spacing w:after="0" w:line="95" w:lineRule="exact"/>
        <w:rPr>
          <w:rFonts w:ascii="Arial" w:cs="Arial" w:eastAsia="Arial" w:hAnsi="Arial"/>
          <w:sz w:val="18"/>
          <w:szCs w:val="18"/>
          <w:u w:val="single" w:color="auto"/>
          <w:color w:val="0000FF"/>
        </w:rPr>
      </w:pPr>
    </w:p>
    <w:p>
      <w:pPr>
        <w:sectPr>
          <w:pgSz w:w="11900" w:h="16838" w:orient="portrait"/>
          <w:cols w:equalWidth="0" w:num="2">
            <w:col w:w="840" w:space="320"/>
            <w:col w:w="10060"/>
          </w:cols>
          <w:pgMar w:left="320" w:top="1134" w:right="359" w:bottom="1440" w:gutter="0" w:footer="0" w:header="0"/>
        </w:sectPr>
      </w:pPr>
    </w:p>
    <w:p>
      <w:pPr>
        <w:ind w:left="220"/>
        <w:spacing w:after="0"/>
        <w:rPr>
          <w:sz w:val="20"/>
          <w:szCs w:val="20"/>
          <w:color w:val="auto"/>
        </w:rPr>
      </w:pPr>
      <w:r>
        <w:rPr>
          <w:rFonts w:ascii="Arial" w:cs="Arial" w:eastAsia="Arial" w:hAnsi="Arial"/>
          <w:sz w:val="16"/>
          <w:szCs w:val="16"/>
          <w:color w:val="auto"/>
        </w:rPr>
        <w:t>10.19(d)</w:t>
      </w:r>
    </w:p>
    <w:p>
      <w:pPr>
        <w:spacing w:after="0" w:line="200" w:lineRule="exact"/>
        <w:rPr>
          <w:rFonts w:ascii="Arial" w:cs="Arial" w:eastAsia="Arial" w:hAnsi="Arial"/>
          <w:sz w:val="18"/>
          <w:szCs w:val="18"/>
          <w:u w:val="single" w:color="auto"/>
          <w:color w:val="0000FF"/>
        </w:rPr>
      </w:pPr>
    </w:p>
    <w:p>
      <w:pPr>
        <w:spacing w:after="0" w:line="372"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8"/>
          <w:szCs w:val="18"/>
          <w:color w:val="auto"/>
        </w:rPr>
        <w:t>10.20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ind w:right="20"/>
        <w:spacing w:after="0" w:line="219" w:lineRule="auto"/>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Fifth Amending Agreement, dated as of November 21, 2019, among Whistler Mountain Resort Limited Partnership and Blackcomb Skiing</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Enterprises Limited Partnership, as borrowers, the Guarantors Party thereto, and The Toronto-Dominion Bank, as administrative agent, on</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its own behalf and on behalf of the Lenders (Incorporated by reference to Exhibit 10.1 on Form 10-Q of Vail Resorts, Inc. for the quarter</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ended January 31, 2019)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-713740</wp:posOffset>
            </wp:positionH>
            <wp:positionV relativeFrom="paragraph">
              <wp:posOffset>-478790</wp:posOffset>
            </wp:positionV>
            <wp:extent cx="7106285" cy="4800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7106285" cy="480060"/>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jc w:val="both"/>
        <w:ind w:right="20"/>
        <w:spacing w:after="0" w:line="224" w:lineRule="auto"/>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Whistler Mountain Master Development Agreement, dated as of February 23, 2017, between Her Majesty the Queen in Right of the</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Province of British Columbia and Whistler Mountain Resort Limited Partnership (Incorporated by reference to Exhibit 10.1 on Form 8-K</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of Vail Resorts, Inc. filed on February 27, 2017) (File No. 001-09614).</w:t>
        </w:r>
      </w:hyperlink>
    </w:p>
    <w:p>
      <w:pPr>
        <w:spacing w:after="0" w:line="95" w:lineRule="exact"/>
        <w:rPr>
          <w:rFonts w:ascii="Arial" w:cs="Arial" w:eastAsia="Arial" w:hAnsi="Arial"/>
          <w:sz w:val="18"/>
          <w:szCs w:val="18"/>
          <w:u w:val="single" w:color="auto"/>
          <w:color w:val="0000FF"/>
        </w:rPr>
      </w:pPr>
    </w:p>
    <w:p>
      <w:pPr>
        <w:sectPr>
          <w:pgSz w:w="11900" w:h="16838" w:orient="portrait"/>
          <w:cols w:equalWidth="0" w:num="2">
            <w:col w:w="840" w:space="320"/>
            <w:col w:w="10060"/>
          </w:cols>
          <w:pgMar w:left="320" w:top="1134" w:right="359" w:bottom="1440" w:gutter="0" w:footer="0" w:header="0"/>
          <w:type w:val="continuous"/>
        </w:sectPr>
      </w:pPr>
    </w:p>
    <w:p>
      <w:pPr>
        <w:jc w:val="both"/>
        <w:ind w:left="1160" w:right="20" w:hanging="827"/>
        <w:spacing w:after="0" w:line="224"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222">
        <w:r>
          <w:rPr>
            <w:rFonts w:ascii="Arial" w:cs="Arial" w:eastAsia="Arial" w:hAnsi="Arial"/>
            <w:sz w:val="18"/>
            <w:szCs w:val="18"/>
            <w:u w:val="single" w:color="auto"/>
            <w:color w:val="0000FF"/>
          </w:rPr>
          <w:t>Blackcomb Mountain Master Development Agreement, dated as of February 23, 2017, between Her Majesty the Queen in Right of the</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Province of British Columbia and Blackcomb Skiing Enterprises Limited Partnership (Incorporated by reference to Exhibit 10.2 on Form</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8-K of Vail Resorts, Inc. filed on February 27, 2017)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-367030</wp:posOffset>
            </wp:positionV>
            <wp:extent cx="7106285" cy="3689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7106285" cy="368935"/>
                    </a:xfrm>
                    <a:prstGeom prst="rect">
                      <a:avLst/>
                    </a:prstGeom>
                    <a:noFill/>
                  </pic:spPr>
                </pic:pic>
              </a:graphicData>
            </a:graphic>
          </wp:anchor>
        </w:drawing>
      </w:r>
    </w:p>
    <w:p>
      <w:pPr>
        <w:ind w:left="1160" w:hanging="722"/>
        <w:spacing w:after="0"/>
        <w:tabs>
          <w:tab w:leader="none" w:pos="1160" w:val="left"/>
        </w:tabs>
        <w:numPr>
          <w:ilvl w:val="0"/>
          <w:numId w:val="72"/>
        </w:numPr>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Subsidiaries of Vail Resorts,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1160" w:hanging="722"/>
        <w:spacing w:after="0"/>
        <w:tabs>
          <w:tab w:leader="none" w:pos="1160" w:val="left"/>
        </w:tabs>
        <w:numPr>
          <w:ilvl w:val="0"/>
          <w:numId w:val="73"/>
        </w:numPr>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Consent of Independent Registered Public Accounting Firm.</w:t>
        </w:r>
      </w:hyperlink>
    </w:p>
    <w:p>
      <w:pPr>
        <w:spacing w:after="0" w:line="22" w:lineRule="exact"/>
        <w:rPr>
          <w:rFonts w:ascii="Arial" w:cs="Arial" w:eastAsia="Arial" w:hAnsi="Arial"/>
          <w:sz w:val="18"/>
          <w:szCs w:val="18"/>
          <w:u w:val="single" w:color="auto"/>
          <w:color w:val="0000FF"/>
        </w:rPr>
      </w:pPr>
    </w:p>
    <w:p>
      <w:pPr>
        <w:ind w:left="1160" w:hanging="722"/>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Power of Attorney. Included on signature pages hereto.</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38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39">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23" w:lineRule="exact"/>
        <w:rPr>
          <w:rFonts w:ascii="Arial" w:cs="Arial" w:eastAsia="Arial" w:hAnsi="Arial"/>
          <w:sz w:val="18"/>
          <w:szCs w:val="18"/>
          <w:u w:val="single" w:color="auto"/>
          <w:color w:val="0000FF"/>
        </w:rPr>
      </w:pPr>
    </w:p>
    <w:p>
      <w:pPr>
        <w:ind w:left="38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40">
        <w:r>
          <w:rPr>
            <w:rFonts w:ascii="Arial" w:cs="Arial" w:eastAsia="Arial" w:hAnsi="Arial"/>
            <w:sz w:val="16"/>
            <w:szCs w:val="16"/>
            <w:u w:val="single" w:color="auto"/>
            <w:color w:val="0000FF"/>
          </w:rPr>
          <w:t>Certification of Chief Financial Officer pursuant to Section 302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1160" w:right="20" w:hanging="722"/>
        <w:spacing w:after="0" w:line="234" w:lineRule="auto"/>
        <w:tabs>
          <w:tab w:leader="none" w:pos="1160" w:val="left"/>
        </w:tabs>
        <w:numPr>
          <w:ilvl w:val="0"/>
          <w:numId w:val="74"/>
        </w:numPr>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141">
        <w:r>
          <w:rPr>
            <w:rFonts w:ascii="Arial" w:cs="Arial" w:eastAsia="Arial" w:hAnsi="Arial"/>
            <w:sz w:val="18"/>
            <w:szCs w:val="18"/>
            <w:u w:val="single" w:color="auto"/>
            <w:color w:val="0000FF"/>
          </w:rPr>
          <w:t>906 of the Sarbanes-Oxley Act of 2002.</w:t>
        </w:r>
      </w:hyperlink>
    </w:p>
    <w:tbl>
      <w:tblPr>
        <w:tblLayout w:type="fixed"/>
        <w:tblInd w:w="40" w:type="dxa"/>
        <w:tblCellMar>
          <w:top w:w="0" w:type="dxa"/>
          <w:left w:w="0" w:type="dxa"/>
          <w:bottom w:w="0" w:type="dxa"/>
          <w:right w:w="0" w:type="dxa"/>
        </w:tblCellMar>
      </w:tblPr>
      <w:tr>
        <w:trPr>
          <w:trHeight w:val="177"/>
        </w:trPr>
        <w:tc>
          <w:tcPr>
            <w:tcW w:w="960" w:type="dxa"/>
            <w:vAlign w:val="bottom"/>
          </w:tcPr>
          <w:p>
            <w:pPr>
              <w:jc w:val="center"/>
              <w:spacing w:after="0" w:line="177" w:lineRule="exact"/>
              <w:rPr>
                <w:sz w:val="20"/>
                <w:szCs w:val="20"/>
                <w:color w:val="auto"/>
              </w:rPr>
            </w:pPr>
            <w:r>
              <w:rPr>
                <w:rFonts w:ascii="Arial" w:cs="Arial" w:eastAsia="Arial" w:hAnsi="Arial"/>
                <w:sz w:val="18"/>
                <w:szCs w:val="18"/>
                <w:color w:val="auto"/>
                <w:w w:val="95"/>
              </w:rPr>
              <w:t>101.INS</w:t>
            </w:r>
          </w:p>
        </w:tc>
        <w:tc>
          <w:tcPr>
            <w:tcW w:w="10220" w:type="dxa"/>
            <w:vAlign w:val="bottom"/>
          </w:tcPr>
          <w:p>
            <w:pPr>
              <w:ind w:left="160"/>
              <w:spacing w:after="0" w:line="177"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as its XBRL tags are embedded within the</w:t>
            </w:r>
          </w:p>
        </w:tc>
      </w:tr>
      <w:tr>
        <w:trPr>
          <w:trHeight w:val="230"/>
        </w:trPr>
        <w:tc>
          <w:tcPr>
            <w:tcW w:w="960" w:type="dxa"/>
            <w:vAlign w:val="bottom"/>
          </w:tcPr>
          <w:p>
            <w:pPr>
              <w:spacing w:after="0"/>
              <w:rPr>
                <w:sz w:val="19"/>
                <w:szCs w:val="19"/>
                <w:color w:val="auto"/>
              </w:rPr>
            </w:pPr>
          </w:p>
        </w:tc>
        <w:tc>
          <w:tcPr>
            <w:tcW w:w="10220" w:type="dxa"/>
            <w:vAlign w:val="bottom"/>
          </w:tcPr>
          <w:p>
            <w:pPr>
              <w:ind w:left="160"/>
              <w:spacing w:after="0"/>
              <w:rPr>
                <w:sz w:val="20"/>
                <w:szCs w:val="20"/>
                <w:color w:val="auto"/>
              </w:rPr>
            </w:pPr>
            <w:r>
              <w:rPr>
                <w:rFonts w:ascii="Arial" w:cs="Arial" w:eastAsia="Arial" w:hAnsi="Arial"/>
                <w:sz w:val="18"/>
                <w:szCs w:val="18"/>
                <w:color w:val="auto"/>
              </w:rPr>
              <w:t>inline XBRL document.</w:t>
            </w:r>
          </w:p>
        </w:tc>
      </w:tr>
      <w:tr>
        <w:trPr>
          <w:trHeight w:val="230"/>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Schema Document.</w:t>
            </w:r>
          </w:p>
        </w:tc>
      </w:tr>
      <w:tr>
        <w:trPr>
          <w:trHeight w:val="229"/>
        </w:trPr>
        <w:tc>
          <w:tcPr>
            <w:tcW w:w="96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Calculation Linkbase Document.</w:t>
            </w:r>
          </w:p>
        </w:tc>
      </w:tr>
      <w:tr>
        <w:trPr>
          <w:trHeight w:val="230"/>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10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Definition Linkbase Document.</w:t>
            </w: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101.PRE</w:t>
            </w:r>
          </w:p>
        </w:tc>
        <w:tc>
          <w:tcPr>
            <w:tcW w:w="10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ind w:right="4080" w:firstLine="393"/>
        <w:spacing w:after="0" w:line="480" w:lineRule="auto"/>
        <w:tabs>
          <w:tab w:leader="none" w:pos="11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cover page from this Annual Report on Form 10-K, formatted in inline XBRL. *Management contracts and compensatory plans and arrangements.</w:t>
      </w:r>
    </w:p>
    <w:p>
      <w:pPr>
        <w:spacing w:after="0" w:line="112" w:lineRule="exact"/>
        <w:rPr>
          <w:rFonts w:ascii="Arial" w:cs="Arial" w:eastAsia="Arial" w:hAnsi="Arial"/>
          <w:sz w:val="18"/>
          <w:szCs w:val="18"/>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Date: September 23, 2021</w:t>
            </w: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499"/>
        </w:trPr>
        <w:tc>
          <w:tcPr>
            <w:tcW w:w="4640" w:type="dxa"/>
            <w:vAlign w:val="bottom"/>
          </w:tcPr>
          <w:p>
            <w:pPr>
              <w:ind w:left="41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22"/>
        </w:trPr>
        <w:tc>
          <w:tcPr>
            <w:tcW w:w="4640" w:type="dxa"/>
            <w:vAlign w:val="bottom"/>
          </w:tcPr>
          <w:p>
            <w:pPr>
              <w:spacing w:after="0"/>
              <w:rPr>
                <w:sz w:val="19"/>
                <w:szCs w:val="19"/>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4"/>
              </w:rPr>
              <w:t>Michael Z. Barkin</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Arial" w:cs="Arial" w:eastAsia="Arial" w:hAnsi="Arial"/>
                <w:sz w:val="18"/>
                <w:szCs w:val="18"/>
                <w:color w:val="auto"/>
                <w:w w:val="89"/>
              </w:rPr>
              <w:t>Executive Vice President and</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46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99"/>
        </w:trPr>
        <w:tc>
          <w:tcPr>
            <w:tcW w:w="4640" w:type="dxa"/>
            <w:vAlign w:val="bottom"/>
          </w:tcPr>
          <w:p>
            <w:pPr>
              <w:spacing w:after="0"/>
              <w:rPr>
                <w:sz w:val="20"/>
                <w:szCs w:val="20"/>
                <w:color w:val="auto"/>
              </w:rPr>
            </w:pPr>
            <w:r>
              <w:rPr>
                <w:rFonts w:ascii="Arial" w:cs="Arial" w:eastAsia="Arial" w:hAnsi="Arial"/>
                <w:sz w:val="18"/>
                <w:szCs w:val="18"/>
                <w:color w:val="auto"/>
              </w:rPr>
              <w:t>Date: September 23, 2021</w:t>
            </w: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499"/>
        </w:trPr>
        <w:tc>
          <w:tcPr>
            <w:tcW w:w="4640" w:type="dxa"/>
            <w:vAlign w:val="bottom"/>
          </w:tcPr>
          <w:p>
            <w:pPr>
              <w:ind w:left="41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Nathan Gronberg</w:t>
            </w:r>
          </w:p>
        </w:tc>
      </w:tr>
      <w:tr>
        <w:trPr>
          <w:trHeight w:val="222"/>
        </w:trPr>
        <w:tc>
          <w:tcPr>
            <w:tcW w:w="4640" w:type="dxa"/>
            <w:vAlign w:val="bottom"/>
          </w:tcPr>
          <w:p>
            <w:pPr>
              <w:spacing w:after="0"/>
              <w:rPr>
                <w:sz w:val="19"/>
                <w:szCs w:val="19"/>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Nathan Gronberg</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Arial" w:cs="Arial" w:eastAsia="Arial" w:hAnsi="Arial"/>
                <w:sz w:val="18"/>
                <w:szCs w:val="18"/>
                <w:color w:val="auto"/>
                <w:w w:val="91"/>
              </w:rPr>
              <w:t>Vice President, Controller and</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Accounting Officer</w:t>
            </w:r>
          </w:p>
        </w:tc>
      </w:tr>
      <w:tr>
        <w:trPr>
          <w:trHeight w:val="230"/>
        </w:trPr>
        <w:tc>
          <w:tcPr>
            <w:tcW w:w="46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person whose signature appears below hereby constitutes and appoints Michael Z. Barkin or Nathan Gronberg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September 23,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3"/>
              </w:rPr>
              <w:t>/s/ Robert A. Katz</w:t>
            </w:r>
          </w:p>
        </w:tc>
        <w:tc>
          <w:tcPr>
            <w:tcW w:w="60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2"/>
              </w:rPr>
              <w:t>Chief Executive Officer and Chairman of the Board</w:t>
            </w: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93"/>
              </w:rPr>
              <w:t>Robert A. Katz</w:t>
            </w:r>
          </w:p>
        </w:tc>
        <w:tc>
          <w:tcPr>
            <w:tcW w:w="6080" w:type="dxa"/>
            <w:vAlign w:val="bottom"/>
          </w:tcPr>
          <w:p>
            <w:pPr>
              <w:jc w:val="center"/>
              <w:ind w:left="29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99"/>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94"/>
              </w:rPr>
              <w:t>/s/ Michael Z. Barkin</w:t>
            </w:r>
          </w:p>
        </w:tc>
        <w:tc>
          <w:tcPr>
            <w:tcW w:w="6080" w:type="dxa"/>
            <w:vAlign w:val="bottom"/>
            <w:vMerge w:val="restart"/>
          </w:tcPr>
          <w:p>
            <w:pPr>
              <w:jc w:val="center"/>
              <w:ind w:left="310"/>
              <w:spacing w:after="0"/>
              <w:rPr>
                <w:sz w:val="20"/>
                <w:szCs w:val="20"/>
                <w:color w:val="auto"/>
              </w:rPr>
            </w:pPr>
            <w:r>
              <w:rPr>
                <w:rFonts w:ascii="Arial" w:cs="Arial" w:eastAsia="Arial" w:hAnsi="Arial"/>
                <w:sz w:val="18"/>
                <w:szCs w:val="18"/>
                <w:color w:val="auto"/>
                <w:w w:val="92"/>
              </w:rPr>
              <w:t>Executive Vice President and Chief Financial Officer</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48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94"/>
              </w:rPr>
              <w:t>Michael Z. Barkin</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499"/>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89"/>
              </w:rPr>
              <w:t>/s/ Nathan Gronberg</w:t>
            </w:r>
          </w:p>
        </w:tc>
        <w:tc>
          <w:tcPr>
            <w:tcW w:w="6080" w:type="dxa"/>
            <w:vAlign w:val="bottom"/>
            <w:vMerge w:val="restart"/>
          </w:tcPr>
          <w:p>
            <w:pPr>
              <w:jc w:val="center"/>
              <w:ind w:left="290"/>
              <w:spacing w:after="0"/>
              <w:rPr>
                <w:sz w:val="20"/>
                <w:szCs w:val="20"/>
                <w:color w:val="auto"/>
              </w:rPr>
            </w:pPr>
            <w:r>
              <w:rPr>
                <w:rFonts w:ascii="Arial" w:cs="Arial" w:eastAsia="Arial" w:hAnsi="Arial"/>
                <w:sz w:val="18"/>
                <w:szCs w:val="18"/>
                <w:color w:val="auto"/>
                <w:w w:val="92"/>
              </w:rPr>
              <w:t>Vice President, Controller and Chief Accounting Officer</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48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89"/>
              </w:rPr>
              <w:t>Nathan Gronberg</w:t>
            </w:r>
          </w:p>
        </w:tc>
        <w:tc>
          <w:tcPr>
            <w:tcW w:w="6080" w:type="dxa"/>
            <w:vAlign w:val="bottom"/>
          </w:tcPr>
          <w:p>
            <w:pPr>
              <w:jc w:val="center"/>
              <w:ind w:left="290"/>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/s/ Susan L. Decker</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90"/>
              </w:rPr>
              <w:t>Susan L. Decker</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1"/>
              </w:rPr>
              <w:t>/s/ Nadia Rawlinson</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91"/>
              </w:rPr>
              <w:t>Nadia Rawlinson</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99"/>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8"/>
              </w:rPr>
              <w:t>/s/ John T. Redmond</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89"/>
              </w:rPr>
              <w:t>John T. Redmond</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99"/>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2"/>
              </w:rPr>
              <w:t>/s/ Michele Romanow</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93"/>
              </w:rPr>
              <w:t>Michele Romanow</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3"/>
              </w:rPr>
              <w:t>/s/ Hilary A. Schneider</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93"/>
              </w:rPr>
              <w:t>Hilary A. Schneider</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99"/>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2"/>
              </w:rPr>
              <w:t>/s/ D. Bruce Sewell</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92"/>
              </w:rPr>
              <w:t>D. Bruce Sewell</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7"/>
              </w:rPr>
              <w:t>/s/ John F. Sorte</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86"/>
              </w:rPr>
              <w:t>John F. Sorte</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/s/ Peter A. Vaughn</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89"/>
              </w:rPr>
              <w:t>Peter A. Vaughn</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560"/>
          </w:cols>
          <w:pgMar w:left="660" w:top="1435" w:right="67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21</w:t>
      </w:r>
    </w:p>
    <w:p>
      <w:pPr>
        <w:spacing w:after="0" w:line="112"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 xml:space="preserve">SUBSIDIARIES </w:t>
      </w:r>
      <w:r>
        <w:rPr>
          <w:rFonts w:ascii="Arial" w:cs="Arial" w:eastAsia="Arial" w:hAnsi="Arial"/>
          <w:sz w:val="11"/>
          <w:szCs w:val="11"/>
          <w:b w:val="1"/>
          <w:bCs w:val="1"/>
          <w:color w:val="auto"/>
        </w:rPr>
        <w:t>1</w:t>
      </w:r>
    </w:p>
    <w:p>
      <w:pPr>
        <w:spacing w:after="0" w:line="112"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OF</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VAIL RESORTS, INC</w:t>
      </w:r>
      <w:r>
        <w:rPr>
          <w:rFonts w:ascii="Arial" w:cs="Arial" w:eastAsia="Arial" w:hAnsi="Arial"/>
          <w:sz w:val="22"/>
          <w:szCs w:val="22"/>
          <w:color w:val="auto"/>
        </w:rPr>
        <w:t>.</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420" w:type="dxa"/>
            <w:vAlign w:val="bottom"/>
            <w:tcBorders>
              <w:top w:val="single" w:sz="8" w:color="auto"/>
              <w:left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NAME</w:t>
            </w:r>
          </w:p>
        </w:tc>
        <w:tc>
          <w:tcPr>
            <w:tcW w:w="212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STATE OF</w:t>
            </w:r>
          </w:p>
        </w:tc>
        <w:tc>
          <w:tcPr>
            <w:tcW w:w="4660" w:type="dxa"/>
            <w:vAlign w:val="bottom"/>
            <w:tcBorders>
              <w:top w:val="single" w:sz="8" w:color="auto"/>
              <w:right w:val="single" w:sz="8" w:color="auto"/>
            </w:tcBorders>
          </w:tcPr>
          <w:p>
            <w:pPr>
              <w:ind w:left="60"/>
              <w:spacing w:after="0" w:line="198" w:lineRule="exact"/>
              <w:rPr>
                <w:sz w:val="20"/>
                <w:szCs w:val="20"/>
                <w:color w:val="auto"/>
              </w:rPr>
            </w:pPr>
            <w:r>
              <w:rPr>
                <w:rFonts w:ascii="Arial" w:cs="Arial" w:eastAsia="Arial" w:hAnsi="Arial"/>
                <w:sz w:val="18"/>
                <w:szCs w:val="18"/>
                <w:b w:val="1"/>
                <w:bCs w:val="1"/>
                <w:color w:val="auto"/>
              </w:rPr>
              <w:t>DOING BUSINESS AS</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INCORPORATION/</w:t>
            </w:r>
          </w:p>
        </w:tc>
        <w:tc>
          <w:tcPr>
            <w:tcW w:w="466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FORMATION</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1016563 B.C.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43"/>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1089881 B.C. Ltd.</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right w:val="single" w:sz="8" w:color="auto"/>
            </w:tcBorders>
          </w:tcPr>
          <w:p>
            <w:pPr>
              <w:spacing w:after="0"/>
              <w:rPr>
                <w:sz w:val="21"/>
                <w:szCs w:val="21"/>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17402 HIDDEN VALLEY,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2006 CIMARRON,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AFFINITY SNOWSPORTS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ALL MEDIA ASSOCIATES,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ALL MEDIA HOLDINGS,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AQUIA PTY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ARRABELLE AT VAIL SQUARE,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AUSTRALIAN ALPINE ENTERPRISES PTY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80"/>
              <w:spacing w:after="0" w:line="188" w:lineRule="exact"/>
              <w:rPr>
                <w:sz w:val="20"/>
                <w:szCs w:val="20"/>
                <w:color w:val="auto"/>
              </w:rPr>
            </w:pPr>
            <w:r>
              <w:rPr>
                <w:rFonts w:ascii="Arial" w:cs="Arial" w:eastAsia="Arial" w:hAnsi="Arial"/>
                <w:sz w:val="18"/>
                <w:szCs w:val="18"/>
                <w:color w:val="auto"/>
              </w:rPr>
              <w:t>AUSTRALIAN ALPINE RESERVATION CENTRES</w:t>
            </w:r>
          </w:p>
        </w:tc>
        <w:tc>
          <w:tcPr>
            <w:tcW w:w="21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4"/>
              </w:rPr>
              <w:t>Australia</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PTY LTD</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AVON PARTNERS II LIMITED LIABILITY COMPANY</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BBJFLQ,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BCRP,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BEAVER CREEK ASSOCIATES,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BEANO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HAY MEADOW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LATIGO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MCCOY PARK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 TAIL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SPRUCE SADDLE RESTAURANT</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STRAWBERRY PARK AT BEAVER CREEK</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BEAVER CREEK CONSULTANTS,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BEAVER CREEK FOOD SERVICES,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BACHELOR GULCH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BEANO’S CABIN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CREPES AND COOKIES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CANDY CABIN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GUNDER’S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TALONS</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BLACK DIAMOND INSURANCE,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Arizona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BLACKCOMB MOUNTAIN DEVELOPMENT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80"/>
              <w:spacing w:after="0" w:line="188" w:lineRule="exact"/>
              <w:rPr>
                <w:sz w:val="20"/>
                <w:szCs w:val="20"/>
                <w:color w:val="auto"/>
              </w:rPr>
            </w:pPr>
            <w:r>
              <w:rPr>
                <w:rFonts w:ascii="Arial" w:cs="Arial" w:eastAsia="Arial" w:hAnsi="Arial"/>
                <w:sz w:val="18"/>
                <w:szCs w:val="18"/>
                <w:color w:val="auto"/>
              </w:rPr>
              <w:t>BLACKCOMB SKIING ENTERPRISES LIMITED</w:t>
            </w:r>
          </w:p>
        </w:tc>
        <w:tc>
          <w:tcPr>
            <w:tcW w:w="21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4"/>
              </w:rPr>
              <w:t>British Columbia</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BLACKCOMB SKIING ENTERPRISES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BLC OPERATORS,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BOOTH CREEK SKI HOLDINGS,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49" w:right="339" w:bottom="1440" w:gutter="0" w:footer="0" w:header="0"/>
        </w:sectPr>
      </w:pPr>
    </w:p>
    <w:bookmarkStart w:id="121" w:name="page122"/>
    <w:bookmarkEnd w:id="1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BOSTON MILLS SKI RESORT, INC.</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46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BOSTON MILLS SKI RESORT</w:t>
            </w: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BOULDER VIEW TAVERN,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BRANDYWINE SKI RESORT,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BRECKENRIDGE RESORT PROPERTIES,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RESORT PROPERTIES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RESORTS PROPERTY MANAGEMENT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BRECKENRIDGE TERRACE,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CARINTHIA GROUP 1, LP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Vermont</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CARINTHIA GROUP 2, LP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Vermont</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CARINTHIA RESIDENTIAL PHASE 1, LP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Vermont</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CARINTHIA SKI LODGE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Vermont</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CB COMMERCIAL PROPERTIES,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COLORADO MOUNTAIN EXPRESS,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CME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CMECOUPONS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CMECOUPONS.COM</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CME DESTINATIONS WEST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CME PARTNERS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CME PREMIER COLORADO MOUNTAIN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DESTINATIONS WEST EPIC MOUNTAIN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PREMIER VIP TRANSPORTATION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RESORT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ART GUIDE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DINING GUIDE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SKIER'S CONNECTION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TRANSPORTATION MANAGEMENT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SYSTEMS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WHEELS OF FORTUNE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COLTER BAY CONVENIENCE STORE,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COLTER BAY GENERAL STORE,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16" w:right="339" w:bottom="1440" w:gutter="0" w:footer="0" w:header="0"/>
        </w:sectPr>
      </w:pPr>
    </w:p>
    <w:bookmarkStart w:id="122" w:name="page123"/>
    <w:bookmarkEnd w:id="1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CRESTED BUTTE, LLC</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CBMR PROPERTIES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CBMR SKI AND RIDE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SKI AREA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SKI RENTAL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VACATIONS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GENERAL STORE –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HALL OF FAME BAR &amp;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ICE BAR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KIDS WORLD –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OUTPOST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PARADISE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RESORT COMMUNICATIONS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RUSTICA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TRACKERS –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WOODSTONE GRILLE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CAMP CB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 CONFERENCE SERVICES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CBMR LIFT TICKETS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GRAND LODGE HOTEL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GRAND LODGE RETAIL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JEFE’S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LODGE AT MOUNTAINEER SQUARE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LOGO’D AT CB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TEN PEAKS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THIN AIR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TREASURY CENTER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WHITE ROOM</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 MOUNTAIN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ULEY’S CABIN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 ADVENTURES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CBMR WHOLESALE DEPARTMENT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WHOLESALE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TRAVEL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COAL BREAKERS – CRESTED BUTTE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ELEVATION RETAIL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ATMOSPHERE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BUTTE 66</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BUTTE 66 BBQ ROADHOUSE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CROTCHED MOUNTAIN PROPERTIES,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New Hampshire</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CRYSTAL PEAK LODGE OF BRECKENRIDGE,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CRYSTAL PEAK LODGE</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DELTRECS,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16" w:right="339" w:bottom="1440" w:gutter="0" w:footer="0" w:header="0"/>
        </w:sectPr>
      </w:pPr>
    </w:p>
    <w:bookmarkStart w:id="123" w:name="page124"/>
    <w:bookmarkEnd w:id="1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DTPC, LLC</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EPICSKI,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Montana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EVER VAIL,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FIRST CHAIR HOUSING TRUSTEE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FLAGG RANCH COMPANY</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FROSTY LAND,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New York</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FOREST RIDGE HOLDINGS,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GARIBALDI LIFTS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GILLETT BROADCASTING,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GORE CREEK PLACE,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GRAND TETON LODGE COMPANY</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GREAT NORTH REGIONAL CENTER,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Vermont</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GREATER PARK CITY COMPANY</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Utah</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GREATER PARK CITY CORPORATION</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MOUNTAIN RESORT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GREATER PROPERTIES,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GROS VENTRE UTILITY COMPANY</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HEAVENLY VALLEY, LIMITED PARTNERSHIP</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BUB'S PUB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EXPEDITION KIRKWOOD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CENTRAL RESERVATIONS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GENERAL STORE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INN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MOUNTAIN OUTFITTERS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SERVICE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SKI AND SUMMER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SKI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MONTE WOLFS MOUNTAIN KITCHEN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OFF THE WALL BAR AND GRILL</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TIMBER CREEK</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HIDDEN VALLEY GOLF AND SKI,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HIDDEN VALLEY SKI AREA</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HPK,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HUNKIDORI LAND COMPANY,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ACQUISITION,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BASE LODGE,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New York</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FESTIVALS,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New York</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RENTALS,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New York</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SKI BOWL,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New York</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RESORT VACATIONS,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New York</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HVLP KIRKWOOD SERVICES,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16" w:right="339" w:bottom="1440" w:gutter="0" w:footer="0" w:header="0"/>
        </w:sectPr>
      </w:pPr>
    </w:p>
    <w:bookmarkStart w:id="124" w:name="page125"/>
    <w:bookmarkEnd w:id="1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JACKSON HOLE GOLF AND TENNIS CLUB, INC.</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JACKSON LAKE LODGE CORPORATION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JENNY LAKE LODGE,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JENNY LAKE STORE,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JFBB LQ,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JFBB SKI AREAS,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JHL&amp;S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 CONFERENCE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 DEVELOPMENT SALES,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 FOOD AND BEVERAGE COMPANY</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9280'</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ALPENTOP DELI</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DERCUM SQUARE ICE RINK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CORPORATE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LODGE &amp; SPA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MINER’S CART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ONE SKI HILL PLACE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PIONEER CROSSING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DRIFTER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CROW'S NEST</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OVERLOOK</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183"/>
        </w:trPr>
        <w:tc>
          <w:tcPr>
            <w:tcW w:w="4420" w:type="dxa"/>
            <w:vAlign w:val="bottom"/>
            <w:tcBorders>
              <w:left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KEYSTONE RESORT PROPERTY MANAGEMENT</w:t>
            </w:r>
          </w:p>
        </w:tc>
        <w:tc>
          <w:tcPr>
            <w:tcW w:w="21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KEYSTONE CENTRAL RESERVATIONS</w:t>
            </w:r>
          </w:p>
        </w:tc>
      </w:tr>
      <w:tr>
        <w:trPr>
          <w:trHeight w:val="256"/>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2120" w:type="dxa"/>
            <w:vAlign w:val="bottom"/>
            <w:tcBorders>
              <w:right w:val="single" w:sz="8" w:color="auto"/>
            </w:tcBorders>
          </w:tcPr>
          <w:p>
            <w:pPr>
              <w:spacing w:after="0"/>
              <w:rPr>
                <w:sz w:val="22"/>
                <w:szCs w:val="22"/>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MOUNTAIN RESERVATIONS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PROPERTY MANAGEMENT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KEYSTONE/INTRAWEST,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KEYSTONE REAL ESTATE DEVELOPMENTS</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KEYSTONE/INTRAWEST REAL ESTATE,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 POSADA BEVERAGE SERVICE,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LAKE TAHOE LODGING COMPANY</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ACCOMMODATION STATION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TAHOE LODGING</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ZALANTA</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LARKSPUR RESTAURANT &amp; BAR,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LBO HOLDING,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Maine</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LODGE PROPERTIES,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LODGE AT VAIL</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LODGE REALTY,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MAD RIVER MOUNTAIN,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MHSC DP PTY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MHSC HOTELS PTY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MHSC PROPERTIES PTY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MHSC TRANSPORTATION SERVICES PTY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80"/>
              <w:spacing w:after="0" w:line="188" w:lineRule="exact"/>
              <w:rPr>
                <w:sz w:val="20"/>
                <w:szCs w:val="20"/>
                <w:color w:val="auto"/>
              </w:rPr>
            </w:pPr>
            <w:r>
              <w:rPr>
                <w:rFonts w:ascii="Arial" w:cs="Arial" w:eastAsia="Arial" w:hAnsi="Arial"/>
                <w:sz w:val="18"/>
                <w:szCs w:val="18"/>
                <w:color w:val="auto"/>
              </w:rPr>
              <w:t>MOUNT HOTHAM MANAGEMENT AND</w:t>
            </w:r>
          </w:p>
        </w:tc>
        <w:tc>
          <w:tcPr>
            <w:tcW w:w="21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4"/>
              </w:rPr>
              <w:t>Australia</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RESERVATION PTY LTD</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MOUNT HOTHAM SKIING COMPANY PTY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MOUNTAIN THUNDER,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16" w:right="339" w:bottom="1440" w:gutter="0" w:footer="0" w:header="0"/>
        </w:sectPr>
      </w:pPr>
    </w:p>
    <w:bookmarkStart w:id="125" w:name="page126"/>
    <w:bookmarkEnd w:id="1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MT CB REAL ESTATE, LLC</w:t>
            </w:r>
          </w:p>
        </w:tc>
        <w:tc>
          <w:tcPr>
            <w:tcW w:w="212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top w:val="single" w:sz="8" w:color="auto"/>
              <w:bottom w:val="single" w:sz="8" w:color="auto"/>
              <w:right w:val="single" w:sz="8" w:color="auto"/>
            </w:tcBorders>
          </w:tcPr>
          <w:p>
            <w:pPr>
              <w:spacing w:after="0"/>
              <w:rPr>
                <w:sz w:val="21"/>
                <w:szCs w:val="21"/>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NATIONAL PARK HOSPITALITY COMPANY</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80"/>
              <w:spacing w:after="0" w:line="188" w:lineRule="exact"/>
              <w:rPr>
                <w:sz w:val="20"/>
                <w:szCs w:val="20"/>
                <w:color w:val="auto"/>
              </w:rPr>
            </w:pPr>
            <w:r>
              <w:rPr>
                <w:rFonts w:ascii="Arial" w:cs="Arial" w:eastAsia="Arial" w:hAnsi="Arial"/>
                <w:sz w:val="18"/>
                <w:szCs w:val="18"/>
                <w:color w:val="auto"/>
                <w:w w:val="98"/>
              </w:rPr>
              <w:t>NORTHSTAR GROUP COMMERCIAL PROPERTIES,</w:t>
            </w:r>
          </w:p>
        </w:tc>
        <w:tc>
          <w:tcPr>
            <w:tcW w:w="212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18"/>
                <w:szCs w:val="18"/>
                <w:color w:val="auto"/>
              </w:rPr>
              <w:t>Delaware</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color w:val="auto"/>
                <w:w w:val="98"/>
              </w:rPr>
              <w:t>NORTHSTAR GROUP RESTAURANT PROPERTIES,</w:t>
            </w:r>
          </w:p>
        </w:tc>
        <w:tc>
          <w:tcPr>
            <w:tcW w:w="2120" w:type="dxa"/>
            <w:vAlign w:val="bottom"/>
            <w:tcBorders>
              <w:right w:val="single" w:sz="8" w:color="auto"/>
            </w:tcBorders>
          </w:tcPr>
          <w:p>
            <w:pPr>
              <w:ind w:left="720"/>
              <w:spacing w:after="0" w:line="189" w:lineRule="exact"/>
              <w:rPr>
                <w:sz w:val="20"/>
                <w:szCs w:val="20"/>
                <w:color w:val="auto"/>
              </w:rPr>
            </w:pPr>
            <w:r>
              <w:rPr>
                <w:rFonts w:ascii="Arial" w:cs="Arial" w:eastAsia="Arial" w:hAnsi="Arial"/>
                <w:sz w:val="18"/>
                <w:szCs w:val="18"/>
                <w:color w:val="auto"/>
              </w:rPr>
              <w:t>Delaware</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229"/>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OKEMO LIMITED LIABILITY COMPANY</w:t>
            </w:r>
          </w:p>
        </w:tc>
        <w:tc>
          <w:tcPr>
            <w:tcW w:w="21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CAMP GOKEMO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COUNTRY CLUB AT OKEMO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GORE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GORE AT OKEMO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GORE COUNTRY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ENGLAND’S SKI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HEALTH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LODGE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LODGING BUREAU</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LODGING SERVICE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RENTAL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RESERVATION SERVICE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RESORT PROPERTIES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SKI RENTAL AND REPAIR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RENTAL SERVICE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SKI AND RIDE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SPA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SPORTS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VALLEY GOLF ACADEMY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VALLEY GOLF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VALLEY GOLF COURSE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VALLEY NORDIC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STARS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TRACKS LEARNING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SOLITUDE VILLAGE SPORTS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GOLF ACADEMY AT OKEMO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ICE 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MEETING 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OKEMO VALLEY GOLF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SPA AT OKEMO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SPORTS CENTER AT OKEMO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SPRING 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VILLAGE AT JACKSON GORE</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WOMEN’S SKI SPREE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00"/>
          </w:cols>
          <w:pgMar w:left="360" w:top="916" w:right="339" w:bottom="1440" w:gutter="0" w:footer="0" w:header="0"/>
        </w:sectPr>
      </w:pPr>
    </w:p>
    <w:bookmarkStart w:id="126" w:name="page127"/>
    <w:bookmarkEnd w:id="1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OKEMO MOUNTAIN FOOD AND BEVERAGE, INC.</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EPIC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GORE INN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SIENA AT JACKSON GORE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SKY BAR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SMOKEY JOE’S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COLEMAN BROOK TAVERN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CORNER STORE AT JACKSON GORE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INN AT JACKSON GORE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SITTING BULL LOUNGE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VERMONT PIZZA AT OKEMO</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WILLIE DUNN’S GRILLE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 RIVER RUN,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 SKI HILL PLACE,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PAOLI PEAKS,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PARK PROPERTIES,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PEAK TO CREEK HOLDINGS CORP.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PEAK TO CREEK LODGING COMPANY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LODGING OVATIONS</w:t>
            </w: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PEAK RESORTS,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PERISHER BLUE PTY LIMITED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660" w:type="dxa"/>
            <w:vAlign w:val="bottom"/>
            <w:tcBorders>
              <w:bottom w:val="single" w:sz="8" w:color="auto"/>
              <w:right w:val="single" w:sz="8" w:color="auto"/>
            </w:tcBorders>
          </w:tcPr>
          <w:p>
            <w:pPr>
              <w:spacing w:after="0"/>
              <w:rPr>
                <w:sz w:val="20"/>
                <w:szCs w:val="20"/>
                <w:color w:val="auto"/>
              </w:rPr>
            </w:pPr>
          </w:p>
        </w:tc>
      </w:tr>
      <w:tr>
        <w:trPr>
          <w:trHeight w:val="189"/>
        </w:trPr>
        <w:tc>
          <w:tcPr>
            <w:tcW w:w="442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PROPERTY MANAGEMENT ACQUISITION CORP.,</w:t>
            </w:r>
          </w:p>
        </w:tc>
        <w:tc>
          <w:tcPr>
            <w:tcW w:w="21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3"/>
              </w:rPr>
              <w:t>Tennessee</w:t>
            </w: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ROCKY MOUNTAIN RESORT LODGING</w:t>
            </w:r>
          </w:p>
        </w:tc>
      </w:tr>
      <w:tr>
        <w:trPr>
          <w:trHeight w:val="270"/>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2120" w:type="dxa"/>
            <w:vAlign w:val="bottom"/>
            <w:tcBorders>
              <w:right w:val="single" w:sz="8" w:color="auto"/>
            </w:tcBorders>
          </w:tcPr>
          <w:p>
            <w:pPr>
              <w:spacing w:after="0"/>
              <w:rPr>
                <w:sz w:val="23"/>
                <w:szCs w:val="23"/>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RCR VAIL,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ROCKY MOUNTAIN RESIDENCES, LLC</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ARRABELLE,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80"/>
              <w:spacing w:after="0" w:line="188" w:lineRule="exact"/>
              <w:rPr>
                <w:sz w:val="20"/>
                <w:szCs w:val="20"/>
                <w:color w:val="auto"/>
              </w:rPr>
            </w:pPr>
            <w:r>
              <w:rPr>
                <w:rFonts w:ascii="Arial" w:cs="Arial" w:eastAsia="Arial" w:hAnsi="Arial"/>
                <w:sz w:val="18"/>
                <w:szCs w:val="18"/>
                <w:color w:val="auto"/>
              </w:rPr>
              <w:t>ROCKRESORTS CORDILLERA LODGE COMPANY,</w:t>
            </w:r>
          </w:p>
        </w:tc>
        <w:tc>
          <w:tcPr>
            <w:tcW w:w="21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COSTA RICA S.R.L.</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Costa Rica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DR,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EQUINOX,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Vermont</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HOTEL JEROME,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INTERNATIONAL,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189"/>
        </w:trPr>
        <w:tc>
          <w:tcPr>
            <w:tcW w:w="442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ROCKRESORTS INTERNATIONAL MANAGEMENT</w:t>
            </w:r>
          </w:p>
        </w:tc>
        <w:tc>
          <w:tcPr>
            <w:tcW w:w="21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ROCKRESORTS INTERNATIONAL</w:t>
            </w:r>
          </w:p>
        </w:tc>
      </w:tr>
      <w:tr>
        <w:trPr>
          <w:trHeight w:val="270"/>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2120" w:type="dxa"/>
            <w:vAlign w:val="bottom"/>
            <w:tcBorders>
              <w:right w:val="single" w:sz="8" w:color="auto"/>
            </w:tcBorders>
          </w:tcPr>
          <w:p>
            <w:pPr>
              <w:spacing w:after="0"/>
              <w:rPr>
                <w:sz w:val="23"/>
                <w:szCs w:val="23"/>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MANAGEMENT COMPANY, LLC</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JAMAICA LIMITED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Jamaica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SKI TIP,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(ST. LUCIA)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 Lucia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THIRD TURTLE,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Turks &amp; Caicos Islands</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WYOMING,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SKI LIBERTY OPERATING CORP.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SKI ROUNDTOP OPERATING CORP.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SKIINFO AS</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Norway</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16" w:right="339" w:bottom="1440" w:gutter="0" w:footer="0" w:header="0"/>
        </w:sectPr>
      </w:pPr>
    </w:p>
    <w:bookmarkStart w:id="127" w:name="page128"/>
    <w:bookmarkEnd w:id="1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42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SLIFER SMITH &amp; FRAMPTON/VAIL ASSOCIATES</w:t>
            </w:r>
          </w:p>
        </w:tc>
        <w:tc>
          <w:tcPr>
            <w:tcW w:w="2120" w:type="dxa"/>
            <w:vAlign w:val="bottom"/>
            <w:tcBorders>
              <w:top w:val="single" w:sz="8" w:color="auto"/>
              <w:right w:val="single" w:sz="8" w:color="auto"/>
            </w:tcBorders>
          </w:tcPr>
          <w:p>
            <w:pPr>
              <w:ind w:left="720"/>
              <w:spacing w:after="0" w:line="202" w:lineRule="exact"/>
              <w:rPr>
                <w:sz w:val="20"/>
                <w:szCs w:val="20"/>
                <w:color w:val="auto"/>
              </w:rPr>
            </w:pPr>
            <w:r>
              <w:rPr>
                <w:rFonts w:ascii="Arial" w:cs="Arial" w:eastAsia="Arial" w:hAnsi="Arial"/>
                <w:sz w:val="18"/>
                <w:szCs w:val="18"/>
                <w:color w:val="auto"/>
              </w:rPr>
              <w:t>Colorado</w:t>
            </w:r>
          </w:p>
        </w:tc>
        <w:tc>
          <w:tcPr>
            <w:tcW w:w="466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SLIFER, SMITH &amp; FRAMPTON REAL</w:t>
            </w:r>
          </w:p>
        </w:tc>
      </w:tr>
      <w:tr>
        <w:trPr>
          <w:trHeight w:val="256"/>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REAL ESTATE, LLC</w:t>
            </w:r>
          </w:p>
        </w:tc>
        <w:tc>
          <w:tcPr>
            <w:tcW w:w="2120" w:type="dxa"/>
            <w:vAlign w:val="bottom"/>
            <w:tcBorders>
              <w:right w:val="single" w:sz="8" w:color="auto"/>
            </w:tcBorders>
          </w:tcPr>
          <w:p>
            <w:pPr>
              <w:spacing w:after="0"/>
              <w:rPr>
                <w:sz w:val="22"/>
                <w:szCs w:val="22"/>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ESTATE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SLIFER, SMITH &amp; FRAMPTON/VAIL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ASSOCIATES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SLIFER, SMITH &amp; FRAMPTON/VAIL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ASSOCIATES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LIONSHEAD REAL ESTATE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BROKERS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VAIL-LIONSHEAD REAL ESTATE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BROKERS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VAIL-LIONSHEAD REAL ESTATE CO.</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SOHO DEVELOPMENT, LLC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SNH DEVELOPMENT, INC.</w:t>
            </w:r>
          </w:p>
        </w:tc>
        <w:tc>
          <w:tcPr>
            <w:tcW w:w="212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Missouri</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SNOW CREEK, INC.</w:t>
            </w:r>
          </w:p>
        </w:tc>
        <w:tc>
          <w:tcPr>
            <w:tcW w:w="212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Missouri</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SNOW TIME ACQUISITION, INC.</w:t>
            </w:r>
          </w:p>
        </w:tc>
        <w:tc>
          <w:tcPr>
            <w:tcW w:w="212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Missouri</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SNOW TIME, INC.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Delaware</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16" w:right="339" w:bottom="1440" w:gutter="0" w:footer="0" w:header="0"/>
        </w:sectPr>
      </w:pPr>
    </w:p>
    <w:bookmarkStart w:id="128" w:name="page129"/>
    <w:bookmarkEnd w:id="1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SSI VENTURE, INC.</w:t>
            </w:r>
          </w:p>
        </w:tc>
        <w:tc>
          <w:tcPr>
            <w:tcW w:w="212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Utah</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ALL MOUNTAIN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ALTERNATIVE EDGE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ANY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ASPEN SPORTS AT SNOWMASS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ASPEN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FLY FISHER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SIGNATURE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BICYCLE VILLAGE OF COLORADO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BOARDER CROSS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BOARDER CROSSING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BOARDER X-ING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BOARDINGHOUSE CECILS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BOOTSIE LACY B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BOULDER SKI AND BIKE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BOULDER SKI AND BIKE DEALS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BOULDER SKI DEALS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BREEZE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BREEZE SKI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BREEZE SKI &amp; SPORT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BUTTERBOX</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BUTTERBOX RENTAL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BUYSKIS.COM</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 MOUNTAIN OUTFITTERS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COLORADO SKI AND BIKE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COLORADO SKI &amp; GOLF</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COLORADO SNOWBOARDS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COPPER MOUNTAIN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COPPER VILLAGE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RENTAL &amp; DEMO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DEPOT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DEPOT SKI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EFLIN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EPIC MOUNTAIN GEAR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EPIC MOUNTAIN RENATLS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FRISCO SPORTS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GRAND WEST OUTFITTERS</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00"/>
          </w:cols>
          <w:pgMar w:left="360" w:top="916" w:right="339" w:bottom="1440" w:gutter="0" w:footer="0" w:header="0"/>
        </w:sectPr>
      </w:pPr>
    </w:p>
    <w:bookmarkStart w:id="129" w:name="page130"/>
    <w:bookmarkEnd w:id="1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SSI VENTURE, INC. (Continued)</w:t>
            </w:r>
          </w:p>
        </w:tc>
        <w:tc>
          <w:tcPr>
            <w:tcW w:w="212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GONDOLA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GORE CREEK FLY FISHERMAN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HAPPY THOUGHTS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BOULDER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LAKELAND VILLAGE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SPORTS - CECILS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STAGECOACH</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TAMARACK LODGE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HOIGAARD’S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HS GONDOLA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MOUNTAIN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VILLAGE DEMOS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VILLAGE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LAKE TAHOE RESORT HOTEL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LIONSHEAD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LOGO’D AT GRAND LODGE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MAIN LODGE RENTAL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MAIN LODGE RETAIL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MAIN STREET OUTLET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MID MOUNTAIN RETAIL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MAX SNOWBOARD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MINE CHILDREN’S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 BASICS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 SPORTS OUTLET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MOUNTAINSPORT TELLURIDE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 ADVENTURE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ADVENTURE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LOGO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LOGO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ON MTN DEMOS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ONE TRACK MIND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MOUNTAIN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PEAK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PERFORMANCE SKI &amp; BOARD DEMO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RENTBOARDS.COM</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RENTSKIS.COM</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RENTSKIS GOLDRITZ RENTAL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RIVER RUN SPORTSROCKY MOUNTAIN EYES AND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TEES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EYES AND T'S</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00"/>
          </w:cols>
          <w:pgMar w:left="360" w:top="916" w:right="339" w:bottom="1440" w:gutter="0" w:footer="0" w:header="0"/>
        </w:sectPr>
      </w:pPr>
    </w:p>
    <w:bookmarkStart w:id="130" w:name="page131"/>
    <w:bookmarkEnd w:id="1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SSI VENTURE, INC. (Continued)</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ROCKY MOUNTAIN EYEWEAR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EYEWEAR LTD.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SAN MIGUEL ANGLERS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SKI &amp; BOARD RENTAL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SKI DEPOT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SKI DEPOT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SKI DEPOT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SNOWMASS SPORT STALKER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SPECIALTY SPORTS NETWORK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SPECIALTY SPORTS VENTURE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STEAMBOAT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TAYLOR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TAYLOR CREEK ANGLING SERVICES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TAYLOR CREEK FLY SHOPS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TAYLOR CREEK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TELLURIDE ADVENTURES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TELLURIDE MOUNTAIN BIKE HEADQUARTERS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TELLURIDE MOUNTAINCRAFT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TELLURIDE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TEN MILE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BOARDING 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DEPOT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SKI DOCTOR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TIMBER CREEK KW RETAIL\RENTAL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TRUE NORTH</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FISHING GUIDES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FLY-FISHING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FLY-FISHING OUTFITTERS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RESORTS RETAIL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SPORTS KIDS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4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WINTER PARK SKI RENTALS</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WINTER PARK SKI SWAP</w:t>
            </w:r>
          </w:p>
        </w:tc>
      </w:tr>
      <w:tr>
        <w:trPr>
          <w:trHeight w:val="237"/>
        </w:trPr>
        <w:tc>
          <w:tcPr>
            <w:tcW w:w="44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ZEPHYR LODGE NORTHSTAR</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SSV HOLDINGS,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NEVE SPORTS</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SSV ONLINE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Wisconsin</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OUTDOOR OUTLET</w:t>
            </w: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SSV ONLINE HOLDINGS,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STAGECOACH DEVELOPMENT,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STAMPEDE CANTEEN,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SUMMIT SKI LIMITED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SYCAMORE LAKE,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4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ALPINE VALLEY</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TCRM COMPANY</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TENDERFOOT SEASONAL HOUSING,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TETON HOSPITALITY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CANYONS GOLF CLUB,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CHALETS AT THE LODGE AT VAIL,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LODGE AT VAIL CHALETS</w:t>
            </w:r>
          </w:p>
        </w:tc>
      </w:tr>
    </w:tbl>
    <w:p>
      <w:pPr>
        <w:sectPr>
          <w:pgSz w:w="11900" w:h="16838" w:orient="portrait"/>
          <w:cols w:equalWidth="0" w:num="1">
            <w:col w:w="11200"/>
          </w:cols>
          <w:pgMar w:left="360" w:top="916" w:right="339" w:bottom="1440" w:gutter="0" w:footer="0" w:header="0"/>
        </w:sectPr>
      </w:pPr>
    </w:p>
    <w:bookmarkStart w:id="131" w:name="page132"/>
    <w:bookmarkEnd w:id="1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SUNAPEE DIFFERENCE LLC</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New Hampshire</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MOUNT SUNAPEE CUTTING EDGE LEARNING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CUTTING EDGE SKI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LODGING BUREAU</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LODGING SERVICE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NEW HAMPSHIRE’S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RENTAL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RESERVATION BUREAU MOUNT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SUNAPEE RESERVATION SERVICE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SKI AND SNOWBOARD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SKI AREA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SKI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SKI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SNOWSPORTS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HAMPSHIRE’S BEST CORDUROY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PROS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VILLAGE AT MOUNT SUNAPEE</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WHISK AROUND THE MOUNTAIN</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22"/>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VAIL CORPORATION</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ARROWHEAD ALPINE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ASPEN GROVE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AVAIL ADVENTURE OUTFITTERS, LTD.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BACHELOR GULCH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BACHELOR GULCH</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PASSPORT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PRATER LANE PLAY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 SKY GOLF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 SKY GOLF CLUB GUEST CLUBHOUSE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 SKY GOLF CLUB MEMBER PRO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ARRABELLE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OSPREY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PASSPORT CLUBHOUSE AT GOLDEN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PEAK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YOUNGER GENERATION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ASSOCIATES,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CONSULTANTS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HIKING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RESORTS MANAGEMENT COMPANY</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SNOWBOARD SUPPLY</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00"/>
          </w:cols>
          <w:pgMar w:left="360" w:top="916" w:right="339" w:bottom="1440" w:gutter="0" w:footer="0" w:header="0"/>
        </w:sectPr>
      </w:pPr>
    </w:p>
    <w:bookmarkStart w:id="132" w:name="page133"/>
    <w:bookmarkEnd w:id="1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42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VILLAGE AT BRECKENRIDGE ACQUISITION</w:t>
            </w:r>
          </w:p>
        </w:tc>
        <w:tc>
          <w:tcPr>
            <w:tcW w:w="212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3"/>
              </w:rPr>
              <w:t>Tennessee</w:t>
            </w:r>
          </w:p>
        </w:tc>
        <w:tc>
          <w:tcPr>
            <w:tcW w:w="466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BRECKENRIDGE MOUNTAIN LODGE</w:t>
            </w:r>
          </w:p>
        </w:tc>
      </w:tr>
      <w:tr>
        <w:trPr>
          <w:trHeight w:val="256"/>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CORP., INC.</w:t>
            </w:r>
          </w:p>
        </w:tc>
        <w:tc>
          <w:tcPr>
            <w:tcW w:w="2120" w:type="dxa"/>
            <w:vAlign w:val="bottom"/>
            <w:tcBorders>
              <w:right w:val="single" w:sz="8" w:color="auto"/>
            </w:tcBorders>
          </w:tcPr>
          <w:p>
            <w:pPr>
              <w:spacing w:after="0"/>
              <w:rPr>
                <w:sz w:val="22"/>
                <w:szCs w:val="22"/>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MAGGIE CAFETERIA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 THUNDER PROPERTY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MANAGEMENT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RESORT LODGING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VILLAGE AT BRECKENRIDGE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VILLAGE AT BRECKENRIDGE RESORT</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VILLAGE PUB</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22"/>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TRIMONT LAND COMPANY</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AT TAHOE RESORT</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CALIFORNIA</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TRIPLE PEAKS,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ASSOCIATES HOLDINGS,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ASSOCIATES INVESTMENTS,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WARREN LAKES VENTURE, LTD.</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ASSOCIATES REAL ESTATE,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FOOD SERVICES,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BISTRO 14</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EXTRA EXTRA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FOX HOLLOW GOLF COURSE CLUBHOUSE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GOLDEN PEAK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GOLDEN PEAK RESTAURANT AND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CANTINA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THE DOG HAUS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ONE ELK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RIPPEROO’S CORNER CAFÉ</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SALSA'S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LIONS DEN BAR &amp;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TWO ELK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DINING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WAFFLE WAY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WILDWOOD EXPRESS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WILDWOOD SMOKEHOUSE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HOLDINGS FINANCE B.V.</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Netherlands</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16" w:right="339" w:bottom="1440" w:gutter="0" w:footer="0" w:header="0"/>
        </w:sectPr>
      </w:pPr>
    </w:p>
    <w:bookmarkStart w:id="133" w:name="page134"/>
    <w:bookmarkEnd w:id="1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HOLDINGS, INC.</w:t>
            </w:r>
          </w:p>
        </w:tc>
        <w:tc>
          <w:tcPr>
            <w:tcW w:w="212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APRÉS LOUNGE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AVON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AVON-VAIL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ADVERTISING AGENCY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EQUESTRIAN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GOLF AND TENNIS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GOLF CLUB BAR &amp;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GOLF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GUIDES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JEEP GUIDES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PATROL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RENTAL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REPAIR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SERVICE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SHOPS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SPORTING GOODS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SPORT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TENNIS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VACATION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EAGLE RESIDENCES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GAME CREEK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LODGE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PLAZA LODGE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ENCLAVE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INN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TRAIL'S END BAR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ASSOCIATES DEVELOPMENT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CENTRAL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RESERVATIONS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BEAVER CREEK REAL ESTATE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RESORT AND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CONFERENCE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PRODUCTIONS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WILDWOOD SHELTER</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HOTEL MANAGEMENT COMPANY, LLC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RESORTS DEVELOPMENT COMPANY</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VAIL ASSOCIATES REAL ESTATE GROUP</w:t>
            </w: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RESORTS LODGING COMPANY</w:t>
            </w:r>
          </w:p>
        </w:tc>
        <w:tc>
          <w:tcPr>
            <w:tcW w:w="21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Delaware</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RENTAL MANAGEMENT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RESORTS HOSPITALITY</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RR, INC.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16" w:right="339" w:bottom="1440" w:gutter="0" w:footer="0" w:header="0"/>
        </w:sectPr>
      </w:pPr>
    </w:p>
    <w:bookmarkStart w:id="134" w:name="page135"/>
    <w:bookmarkEnd w:id="1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SUMMIT RESORTS, INC.</w:t>
            </w:r>
          </w:p>
        </w:tc>
        <w:tc>
          <w:tcPr>
            <w:tcW w:w="212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BEAVER CREEK VILLAGE TRAVEL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HOSPITALITY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LODGING &amp; HOSPITALITY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PROPERTY MANAGEMENT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SKI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SKI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COLORADO VACATIONS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KEYSTONE CONFERENCE CENTER KEYSTONE LODGE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&amp; SPA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LODGING AND HOSPITALITY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STABLES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TRAVEL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RESERVATIONS FOR THE SUMMIT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RESERVATIONS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RESORTVACATIONS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SKI CONSOLIDATORS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CENTRAL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RESERVATIONS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RESERVATIONS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TRAVEL</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TRADEMARKS, INC.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VAIL RESORTS TRADEMARKS</w:t>
            </w: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VAIL/ARROWHEAD, INC.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28"/>
        </w:trPr>
        <w:tc>
          <w:tcPr>
            <w:tcW w:w="4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VAIL/BEAVER CREEK RESORT PROPERTIES, INC.</w:t>
            </w:r>
          </w:p>
        </w:tc>
        <w:tc>
          <w:tcPr>
            <w:tcW w:w="21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ARROWHEAD PROPERTY MANAGEMENT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BACHELOR GULCH PROPERTY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MANAGEMENT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RESORT PROPERTIES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TENNIS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TRAPPER'S CABIN</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PROPERTY MANAGEMENT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VAMHC, INC.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ACQUISITION, INC.</w:t>
            </w:r>
          </w:p>
        </w:tc>
        <w:tc>
          <w:tcPr>
            <w:tcW w:w="21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California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AUSTRALIA HOLDINGS PTY LTD</w:t>
            </w:r>
          </w:p>
        </w:tc>
        <w:tc>
          <w:tcPr>
            <w:tcW w:w="212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Australia</w:t>
            </w:r>
          </w:p>
        </w:tc>
        <w:tc>
          <w:tcPr>
            <w:tcW w:w="46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00"/>
          </w:cols>
          <w:pgMar w:left="360" w:top="916" w:right="339" w:bottom="1440" w:gutter="0" w:footer="0" w:header="0"/>
        </w:sectPr>
      </w:pPr>
    </w:p>
    <w:bookmarkStart w:id="135" w:name="page136"/>
    <w:bookmarkEnd w:id="1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CPC HOLDINGS, INC.</w:t>
            </w:r>
          </w:p>
        </w:tc>
        <w:tc>
          <w:tcPr>
            <w:tcW w:w="212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Delaware</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CANYONS GOLF COURSE BEVERAGE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CANYONS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COBRA DOG SHACK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KRISTI’S COFFEE CAFÉ</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LEGACY LODGE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LEGACY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LEGENDS AT THE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MID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MINER'S CAMP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HUT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SUMMIT 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CANYONS</w:t>
            </w:r>
          </w:p>
        </w:tc>
      </w:tr>
      <w:tr>
        <w:trPr>
          <w:trHeight w:val="230"/>
        </w:trPr>
        <w:tc>
          <w:tcPr>
            <w:tcW w:w="4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RESORT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CPC SERVICES, LLC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HEAVENLY CONCESSIONS, INC.</w:t>
            </w:r>
          </w:p>
        </w:tc>
        <w:tc>
          <w:tcPr>
            <w:tcW w:w="21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California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HEAVENLY I, INC.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HEAVENLY II, INC.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HOLDINGS, INC.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Colorado</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80"/>
              <w:spacing w:after="0" w:line="188" w:lineRule="exact"/>
              <w:rPr>
                <w:sz w:val="20"/>
                <w:szCs w:val="20"/>
                <w:color w:val="auto"/>
              </w:rPr>
            </w:pPr>
            <w:r>
              <w:rPr>
                <w:rFonts w:ascii="Arial" w:cs="Arial" w:eastAsia="Arial" w:hAnsi="Arial"/>
                <w:sz w:val="18"/>
                <w:szCs w:val="18"/>
                <w:color w:val="auto"/>
              </w:rPr>
              <w:t>VR NE HOLDINGS, LLC</w:t>
            </w:r>
          </w:p>
        </w:tc>
        <w:tc>
          <w:tcPr>
            <w:tcW w:w="212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18"/>
                <w:szCs w:val="18"/>
                <w:color w:val="auto"/>
              </w:rPr>
              <w:t>Delaware</w:t>
            </w:r>
          </w:p>
        </w:tc>
        <w:tc>
          <w:tcPr>
            <w:tcW w:w="466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18"/>
                <w:szCs w:val="18"/>
                <w:color w:val="auto"/>
              </w:rPr>
              <w:t>JACKSON COUNTRY CLUB</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AT OKEMO MOUNTAIN</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RESORT</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LODGE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RENTALS</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RESERVATIONS</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VACATION CLUB</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VACATIONS</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VILLAGE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VILLAGE LODGING</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SERVICE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VILLAGE RENTALS</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VILLAGE SPORT AND</w:t>
            </w:r>
          </w:p>
        </w:tc>
      </w:tr>
      <w:tr>
        <w:trPr>
          <w:trHeight w:val="237"/>
        </w:trPr>
        <w:tc>
          <w:tcPr>
            <w:tcW w:w="44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FITNESS CENTER</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NW HOLDINGS, INC.</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Delaware</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80"/>
              <w:spacing w:after="0" w:line="188" w:lineRule="exact"/>
              <w:rPr>
                <w:sz w:val="20"/>
                <w:szCs w:val="20"/>
                <w:color w:val="auto"/>
              </w:rPr>
            </w:pPr>
            <w:r>
              <w:rPr>
                <w:rFonts w:ascii="Arial" w:cs="Arial" w:eastAsia="Arial" w:hAnsi="Arial"/>
                <w:sz w:val="18"/>
                <w:szCs w:val="18"/>
                <w:color w:val="auto"/>
              </w:rPr>
              <w:t>VR US HOLDINGS, INC.</w:t>
            </w:r>
          </w:p>
        </w:tc>
        <w:tc>
          <w:tcPr>
            <w:tcW w:w="212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18"/>
                <w:szCs w:val="18"/>
                <w:color w:val="auto"/>
              </w:rPr>
              <w:t>Delaware</w:t>
            </w:r>
          </w:p>
        </w:tc>
        <w:tc>
          <w:tcPr>
            <w:tcW w:w="466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18"/>
                <w:szCs w:val="18"/>
                <w:color w:val="auto"/>
              </w:rPr>
              <w:t>AFTON ALPS</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AFTON ALPS RESORT</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BRUHN’S</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MT. BRIGHTON</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MT. BRIGHTON RESORT</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ONE CREEK MOUNTAIN GRILL</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SKI HILL GRILL</w:t>
            </w:r>
          </w:p>
        </w:tc>
      </w:tr>
      <w:tr>
        <w:trPr>
          <w:trHeight w:val="237"/>
        </w:trPr>
        <w:tc>
          <w:tcPr>
            <w:tcW w:w="44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TRUCK</w:t>
            </w:r>
          </w:p>
        </w:tc>
      </w:tr>
    </w:tbl>
    <w:p>
      <w:pPr>
        <w:sectPr>
          <w:pgSz w:w="11900" w:h="16838" w:orient="portrait"/>
          <w:cols w:equalWidth="0" w:num="1">
            <w:col w:w="11200"/>
          </w:cols>
          <w:pgMar w:left="360" w:top="916" w:right="339" w:bottom="1440" w:gutter="0" w:footer="0" w:header="0"/>
        </w:sectPr>
      </w:pPr>
    </w:p>
    <w:bookmarkStart w:id="136" w:name="page137"/>
    <w:bookmarkEnd w:id="136"/>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4420" w:type="dxa"/>
            <w:vAlign w:val="bottom"/>
            <w:tcBorders>
              <w:top w:val="single" w:sz="8" w:color="auto"/>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VR US HOLDINGS II, LLC</w:t>
            </w:r>
          </w:p>
        </w:tc>
        <w:tc>
          <w:tcPr>
            <w:tcW w:w="212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Delaware</w:t>
            </w:r>
          </w:p>
        </w:tc>
        <w:tc>
          <w:tcPr>
            <w:tcW w:w="4660" w:type="dxa"/>
            <w:vAlign w:val="bottom"/>
            <w:tcBorders>
              <w:top w:val="single" w:sz="8" w:color="auto"/>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STOWE MOUNTAIN RESORT</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ADVENTURE CENTER</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CLIFF HOUSE RESTAURANT</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CUBS CHILD CARE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GONDOLA CAFÉ</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LODGE AT MT. MANSFIELD</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LODGE AT STOWE MOUNTAIN RESORT</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MIDWAY CAFÉ</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MT. MANSFIELD BASELODGE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MT. MANSFIELD SKI PATROL</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OCTAGON CAFETERIA</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SMUGGLERS DEN</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SPRUCE BASE CAMP</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SPURCE CAMP BASE LODGE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SPRUCE CAMP</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SPRUCE LODGET AT MT. MANSFIELD</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STOWE ADVENTURE CENTER</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STOWE BASE CAMP</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STOWE CUBS DAYCARE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THE CANTEEN RESTAURANT</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THE FIRESIDE TAVERN</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THE INN AT THE MOUNTAIN</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THE OCTAGON</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TOLL HOUSE CONFERENCE CENTER</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TREETOP ADVENTURE</w:t>
            </w:r>
          </w:p>
        </w:tc>
      </w:tr>
      <w:tr>
        <w:trPr>
          <w:trHeight w:val="237"/>
        </w:trPr>
        <w:tc>
          <w:tcPr>
            <w:tcW w:w="44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ZIPTOUR ADVENTURE</w:t>
            </w: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WM HOLDINGS,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WILMOT MOUNTAIN RESORT</w:t>
            </w: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VRV AUSTRALIA PTY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Australia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WB LAND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WB LAND (CREEKSIDE SNOW SCHOOL)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WB/T DEVELOPMENT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WC ACQUISITION CORP.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New Hampshire</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WEST LAKE WATER PROJECT,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Vermont</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80"/>
              <w:spacing w:after="0" w:line="188" w:lineRule="exact"/>
              <w:rPr>
                <w:sz w:val="20"/>
                <w:szCs w:val="20"/>
                <w:color w:val="auto"/>
              </w:rPr>
            </w:pPr>
            <w:r>
              <w:rPr>
                <w:rFonts w:ascii="Arial" w:cs="Arial" w:eastAsia="Arial" w:hAnsi="Arial"/>
                <w:sz w:val="18"/>
                <w:szCs w:val="18"/>
                <w:color w:val="auto"/>
              </w:rPr>
              <w:t>WHISTLER &amp; BLACKCOMB MOUNTAIN RESORTS</w:t>
            </w:r>
          </w:p>
        </w:tc>
        <w:tc>
          <w:tcPr>
            <w:tcW w:w="21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4"/>
              </w:rPr>
              <w:t>British Columbia</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WHISTLER ALPINE CLUB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WHISTLER BLACKCOMB EMPLOYMENT CORP.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WHISTLER BLACKCOMB HOLDINGS INC. (f/k/a</w:t>
            </w:r>
          </w:p>
        </w:tc>
        <w:tc>
          <w:tcPr>
            <w:tcW w:w="21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4"/>
              </w:rPr>
              <w:t>British Columbia</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1068877 BC Ltd.)</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WHISTLER/BLACKCOMB MOUNTAIN EMPLOYEE</w:t>
            </w:r>
          </w:p>
        </w:tc>
        <w:tc>
          <w:tcPr>
            <w:tcW w:w="21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British Columbia</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HOUSING LTD.</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WHISTLER BLACKCOMB GENERAL PARTNER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WHISTLER HELI-SKIING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188"/>
        </w:trPr>
        <w:tc>
          <w:tcPr>
            <w:tcW w:w="4420" w:type="dxa"/>
            <w:vAlign w:val="bottom"/>
            <w:tcBorders>
              <w:left w:val="single" w:sz="8" w:color="auto"/>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WHISTLER MOUNTAIN RESORT LIMITED</w:t>
            </w:r>
          </w:p>
        </w:tc>
        <w:tc>
          <w:tcPr>
            <w:tcW w:w="21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4"/>
              </w:rPr>
              <w:t>British Columbia</w:t>
            </w:r>
          </w:p>
        </w:tc>
        <w:tc>
          <w:tcPr>
            <w:tcW w:w="4660" w:type="dxa"/>
            <w:vAlign w:val="bottom"/>
            <w:tcBorders>
              <w:right w:val="single" w:sz="8" w:color="auto"/>
            </w:tcBorders>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2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WHISTLER SKI SCHOOL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66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WHITETAIL MOUNTAIN OPERATING CORP.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6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only those entities owned 50% or greater.</w:t>
      </w:r>
    </w:p>
    <w:p>
      <w:pPr>
        <w:sectPr>
          <w:pgSz w:w="11900" w:h="16838" w:orient="portrait"/>
          <w:cols w:equalWidth="0" w:num="1">
            <w:col w:w="11240"/>
          </w:cols>
          <w:pgMar w:left="320" w:top="916"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333-233953) and on Form S-8 (Nos. 333-145934, 333-169552, and 333-208357) of Vail Resorts, Inc. of our report dated September 23, 2021 relating to the financial statements and the effectiveness of internal control over financial reporting, which appears in this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2021</w:t>
      </w:r>
    </w:p>
    <w:p>
      <w:pPr>
        <w:sectPr>
          <w:pgSz w:w="11900" w:h="16838" w:orient="portrait"/>
          <w:cols w:equalWidth="0" w:num="1">
            <w:col w:w="11240"/>
          </w:cols>
          <w:pgMar w:left="320" w:top="94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20" w:hanging="17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23, 2021</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Robert A. Katz</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20" w:hanging="17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23, 2021</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0">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58"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Annual Report on Form 10-K for the year ended July 31, 2021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23, 2021</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Robert A. Katz</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23, 2021</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decimal"/>
      <w:start w:val="19"/>
    </w:lvl>
  </w:abstractNum>
  <w:abstractNum w:abstractNumId="5">
    <w:nsid w:val="3855585C"/>
    <w:multiLevelType w:val="hybridMultilevel"/>
    <w:lvl w:ilvl="0">
      <w:lvlJc w:val="left"/>
      <w:lvlText w:val="%1"/>
      <w:numFmt w:val="decimal"/>
      <w:start w:val="19"/>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lvl w:ilvl="1">
      <w:lvlJc w:val="left"/>
      <w:lvlText w:val="•"/>
      <w:numFmt w:val="bullet"/>
      <w:start w:val="1"/>
    </w:lvl>
  </w:abstractNum>
  <w:abstractNum w:abstractNumId="11">
    <w:nsid w:val="2CD89A32"/>
    <w:multiLevelType w:val="hybridMultilevel"/>
    <w:lvl w:ilvl="0">
      <w:lvlJc w:val="left"/>
      <w:lvlText w:val="•"/>
      <w:numFmt w:val="bullet"/>
      <w:start w:val="1"/>
    </w:lvl>
    <w:lvl w:ilvl="1">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amp;"/>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5"/>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lowerRoman"/>
      <w:start w:val="2"/>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2"/>
    </w:lvl>
  </w:abstractNum>
  <w:abstractNum w:abstractNumId="44">
    <w:nsid w:val="10233C99"/>
    <w:multiLevelType w:val="hybridMultilevel"/>
    <w:lvl w:ilvl="0">
      <w:lvlJc w:val="left"/>
      <w:lvlText w:val="(%1)"/>
      <w:numFmt w:val="lowerRoman"/>
      <w:start w:val="2"/>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decimal"/>
      <w:start w:val="2"/>
    </w:lvl>
  </w:abstractNum>
  <w:abstractNum w:abstractNumId="47">
    <w:nsid w:val="7E0C57B1"/>
    <w:multiLevelType w:val="hybridMultilevel"/>
    <w:lvl w:ilvl="0">
      <w:lvlJc w:val="left"/>
      <w:lvlText w:val="%1."/>
      <w:numFmt w:val="decimal"/>
      <w:start w:val="3"/>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decimal"/>
      <w:start w:val="4"/>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lowerLetter"/>
      <w:start w:val="1"/>
    </w:lvl>
    <w:lvl w:ilvl="1">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lowerLetter"/>
      <w:start w:val="2"/>
    </w:lvl>
  </w:abstractNum>
  <w:abstractNum w:abstractNumId="55">
    <w:nsid w:val="4AD084E9"/>
    <w:multiLevelType w:val="hybridMultilevel"/>
    <w:lvl w:ilvl="0">
      <w:lvlJc w:val="left"/>
      <w:lvlText w:val="(%1)"/>
      <w:numFmt w:val="lowerLetter"/>
      <w:start w:val="3"/>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lowerLetter"/>
      <w:start w:val="4"/>
    </w:lvl>
    <w:lvl w:ilvl="1">
      <w:lvlJc w:val="left"/>
      <w:lvlText w:val="%2."/>
      <w:numFmt w:val="lowerRoman"/>
      <w:start w:val="1"/>
    </w:lvl>
  </w:abstractNum>
  <w:abstractNum w:abstractNumId="58">
    <w:nsid w:val="5DB70AE5"/>
    <w:multiLevelType w:val="hybridMultilevel"/>
    <w:lvl w:ilvl="0">
      <w:lvlJc w:val="left"/>
      <w:lvlText w:val="%1"/>
      <w:numFmt w:val="lowerRoman"/>
      <w:start w:val="1"/>
    </w:lvl>
    <w:lvl w:ilvl="1">
      <w:lvlJc w:val="left"/>
      <w:lvlText w:val="%2."/>
      <w:numFmt w:val="lowerRoman"/>
      <w:start w:val="2"/>
    </w:lvl>
  </w:abstractNum>
  <w:abstractNum w:abstractNumId="59">
    <w:nsid w:val="100F8FCA"/>
    <w:multiLevelType w:val="hybridMultilevel"/>
    <w:lvl w:ilvl="0">
      <w:lvlJc w:val="left"/>
      <w:lvlText w:val="%1."/>
      <w:numFmt w:val="lowerRoman"/>
      <w:start w:val="4"/>
    </w:lvl>
    <w:lvl w:ilvl="1">
      <w:lvlJc w:val="left"/>
      <w:lvlText w:val="%2"/>
      <w:numFmt w:val="lowerRoman"/>
      <w:start w:val="1"/>
    </w:lvl>
  </w:abstractNum>
  <w:abstractNum w:abstractNumId="60">
    <w:nsid w:val="6590700B"/>
    <w:multiLevelType w:val="hybridMultilevel"/>
    <w:lvl w:ilvl="0">
      <w:lvlJc w:val="left"/>
      <w:lvlText w:val="(%1)"/>
      <w:numFmt w:val="lowerLetter"/>
      <w:start w:val="6"/>
    </w:lvl>
  </w:abstractNum>
  <w:abstractNum w:abstractNumId="61">
    <w:nsid w:val="15014ACB"/>
    <w:multiLevelType w:val="hybridMultilevel"/>
    <w:lvl w:ilvl="0">
      <w:lvlJc w:val="left"/>
      <w:lvlText w:val="(%1)"/>
      <w:numFmt w:val="lowerLetter"/>
      <w:start w:val="7"/>
    </w:lvl>
  </w:abstractNum>
  <w:abstractNum w:abstractNumId="62">
    <w:nsid w:val="5F5E7FD0"/>
    <w:multiLevelType w:val="hybridMultilevel"/>
    <w:lvl w:ilvl="0">
      <w:lvlJc w:val="left"/>
      <w:lvlText w:val="(%1)"/>
      <w:numFmt w:val="lowerLetter"/>
      <w:start w:val="8"/>
    </w:lvl>
  </w:abstractNum>
  <w:abstractNum w:abstractNumId="63">
    <w:nsid w:val="98A3148"/>
    <w:multiLevelType w:val="hybridMultilevel"/>
    <w:lvl w:ilvl="0">
      <w:lvlJc w:val="left"/>
      <w:lvlText w:val="(%1)"/>
      <w:numFmt w:val="lowerLetter"/>
      <w:start w:val="1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1."/>
      <w:numFmt w:val="decimal"/>
      <w:start w:val="7"/>
    </w:lvl>
  </w:abstractNum>
  <w:abstractNum w:abstractNumId="66">
    <w:nsid w:val="42C296BD"/>
    <w:multiLevelType w:val="hybridMultilevel"/>
    <w:lvl w:ilvl="0">
      <w:lvlJc w:val="left"/>
      <w:lvlText w:val="%1."/>
      <w:numFmt w:val="decimal"/>
      <w:start w:val="1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1"/>
      <w:numFmt w:val="decimal"/>
      <w:start w:val="1"/>
    </w:lvl>
    <w:lvl w:ilvl="1">
      <w:lvlJc w:val="left"/>
      <w:lvlText w:val="(%2)"/>
      <w:numFmt w:val="decimal"/>
      <w:start w:val="1"/>
    </w:lvl>
  </w:abstractNum>
  <w:abstractNum w:abstractNumId="69">
    <w:nsid w:val="661E3F1E"/>
    <w:multiLevelType w:val="hybridMultilevel"/>
    <w:lvl w:ilvl="0">
      <w:lvlJc w:val="left"/>
      <w:lvlText w:val="%1."/>
      <w:numFmt w:val="decimal"/>
      <w:start w:val="15"/>
    </w:lvl>
    <w:lvl w:ilvl="1">
      <w:lvlJc w:val="left"/>
      <w:lvlText w:val="%2"/>
      <w:numFmt w:val="decimal"/>
      <w:start w:val="1"/>
    </w:lvl>
  </w:abstractNum>
  <w:abstractNum w:abstractNumId="70">
    <w:nsid w:val="5DC79EA8"/>
    <w:multiLevelType w:val="hybridMultilevel"/>
    <w:lvl w:ilvl="0">
      <w:lvlJc w:val="left"/>
      <w:lvlText w:val="%1)"/>
      <w:numFmt w:val="lowerLetter"/>
      <w:start w:val="1"/>
    </w:lvl>
    <w:lvl w:ilvl="1">
      <w:lvlJc w:val="left"/>
      <w:lvlText w:val="(%2)"/>
      <w:numFmt w:val="decimal"/>
      <w:start w:val="1"/>
    </w:lvl>
  </w:abstractNum>
  <w:abstractNum w:abstractNumId="71">
    <w:nsid w:val="540A471C"/>
    <w:multiLevelType w:val="hybridMultilevel"/>
    <w:lvl w:ilvl="0">
      <w:lvlJc w:val="left"/>
      <w:lvlText w:val="%1"/>
      <w:numFmt w:val="decimal"/>
      <w:start w:val="21"/>
    </w:lvl>
  </w:abstractNum>
  <w:abstractNum w:abstractNumId="72">
    <w:nsid w:val="7BD3EE7B"/>
    <w:multiLevelType w:val="hybridMultilevel"/>
    <w:lvl w:ilvl="0">
      <w:lvlJc w:val="left"/>
      <w:lvlText w:val="%1"/>
      <w:numFmt w:val="decimal"/>
      <w:start w:val="23"/>
    </w:lvl>
  </w:abstractNum>
  <w:abstractNum w:abstractNumId="73">
    <w:nsid w:val="51D9C564"/>
    <w:multiLevelType w:val="hybridMultilevel"/>
    <w:lvl w:ilvl="0">
      <w:lvlJc w:val="left"/>
      <w:lvlText w:val="%1"/>
      <w:numFmt w:val="decimal"/>
      <w:start w:val="32"/>
    </w:lvl>
  </w:abstractNum>
  <w:abstractNum w:abstractNumId="74">
    <w:nsid w:val="613EFDC5"/>
    <w:multiLevelType w:val="hybridMultilevel"/>
    <w:lvl w:ilvl="0">
      <w:lvlJc w:val="left"/>
      <w:lvlText w:val="%1"/>
      <w:numFmt w:val="decimal"/>
      <w:start w:val="104"/>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9" Type="http://schemas.openxmlformats.org/officeDocument/2006/relationships/image" Target="media/image130.png"/><Relationship Id="rId142" Type="http://schemas.openxmlformats.org/officeDocument/2006/relationships/image" Target="media/image131.png"/><Relationship Id="rId145" Type="http://schemas.openxmlformats.org/officeDocument/2006/relationships/image" Target="media/image132.png"/><Relationship Id="rId148"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5" Type="http://schemas.openxmlformats.org/officeDocument/2006/relationships/image" Target="media/image136.png"/><Relationship Id="rId158" Type="http://schemas.openxmlformats.org/officeDocument/2006/relationships/image" Target="media/image137.png"/><Relationship Id="rId161" Type="http://schemas.openxmlformats.org/officeDocument/2006/relationships/image" Target="media/image138.png"/><Relationship Id="rId164" Type="http://schemas.openxmlformats.org/officeDocument/2006/relationships/image" Target="media/image139.png"/><Relationship Id="rId167" Type="http://schemas.openxmlformats.org/officeDocument/2006/relationships/image" Target="media/image140.png"/><Relationship Id="rId170" Type="http://schemas.openxmlformats.org/officeDocument/2006/relationships/image" Target="media/image141.png"/><Relationship Id="rId173" Type="http://schemas.openxmlformats.org/officeDocument/2006/relationships/image" Target="media/image142.png"/><Relationship Id="rId176" Type="http://schemas.openxmlformats.org/officeDocument/2006/relationships/image" Target="media/image143.png"/><Relationship Id="rId179" Type="http://schemas.openxmlformats.org/officeDocument/2006/relationships/image" Target="media/image144.png"/><Relationship Id="rId182" Type="http://schemas.openxmlformats.org/officeDocument/2006/relationships/image" Target="media/image145.png"/><Relationship Id="rId185" Type="http://schemas.openxmlformats.org/officeDocument/2006/relationships/image" Target="media/image146.png"/><Relationship Id="rId188" Type="http://schemas.openxmlformats.org/officeDocument/2006/relationships/image" Target="media/image147.png"/><Relationship Id="rId191" Type="http://schemas.openxmlformats.org/officeDocument/2006/relationships/image" Target="media/image148.png"/><Relationship Id="rId194" Type="http://schemas.openxmlformats.org/officeDocument/2006/relationships/image" Target="media/image149.png"/><Relationship Id="rId203" Type="http://schemas.openxmlformats.org/officeDocument/2006/relationships/image" Target="media/image150.png"/><Relationship Id="rId206" Type="http://schemas.openxmlformats.org/officeDocument/2006/relationships/image" Target="media/image151.png"/><Relationship Id="rId210" Type="http://schemas.openxmlformats.org/officeDocument/2006/relationships/image" Target="media/image152.png"/><Relationship Id="rId212"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20"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7"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png"/><Relationship Id="rId230" Type="http://schemas.openxmlformats.org/officeDocument/2006/relationships/image" Target="media/image164.png"/><Relationship Id="rId231" Type="http://schemas.openxmlformats.org/officeDocument/2006/relationships/image" Target="media/image165.png"/><Relationship Id="rId232" Type="http://schemas.openxmlformats.org/officeDocument/2006/relationships/image" Target="media/image166.png"/><Relationship Id="rId137" Type="http://schemas.openxmlformats.org/officeDocument/2006/relationships/hyperlink" Target="http://www.sec.gov/Archives/edgar/data/812011/000110465913045415/a13-13329_1ex2d1.htm" TargetMode="External"/><Relationship Id="rId138" Type="http://schemas.openxmlformats.org/officeDocument/2006/relationships/hyperlink" Target="http://www.sec.gov/Archives/edgar/data/812011/000081201114000028/exhibit212015-q1.htm" TargetMode="External"/><Relationship Id="rId140" Type="http://schemas.openxmlformats.org/officeDocument/2006/relationships/hyperlink" Target="http://www.sec.gov/Archives/edgar/data/812011/000081201116000098/exhibit21-arrangementagree.htm" TargetMode="External"/><Relationship Id="rId141" Type="http://schemas.openxmlformats.org/officeDocument/2006/relationships/hyperlink" Target="http://www.sec.gov/Archives/edgar/data/812011/000081201119000043/mergeragreement.htm" TargetMode="External"/><Relationship Id="rId143" Type="http://schemas.openxmlformats.org/officeDocument/2006/relationships/hyperlink" Target="http://www.sec.gov/Archives/edgar/data/812011/000081201105000010/exhibit3.htm" TargetMode="External"/><Relationship Id="rId144" Type="http://schemas.openxmlformats.org/officeDocument/2006/relationships/hyperlink" Target="http://www.sec.gov/Archives/edgar/data/812011/000110465911068271/a11-31184_1ex3d1.htm" TargetMode="External"/><Relationship Id="rId146" Type="http://schemas.openxmlformats.org/officeDocument/2006/relationships/hyperlink" Target="http://www.sec.gov/Archives/edgar/data/812011/000110465916150413/a16-20037_1ex3d1.htm" TargetMode="External"/><Relationship Id="rId147" Type="http://schemas.openxmlformats.org/officeDocument/2006/relationships/hyperlink" Target="http://www.sec.gov/Archives/edgar/data/812011/000110465911068271/a11-31184_1ex3d2.htm" TargetMode="External"/><Relationship Id="rId149" Type="http://schemas.openxmlformats.org/officeDocument/2006/relationships/hyperlink" Target="http://www.sec.gov/Archives/edgar/data/812011/000081201120000034/vail-indenture2020conf.htm" TargetMode="External"/><Relationship Id="rId150" Type="http://schemas.openxmlformats.org/officeDocument/2006/relationships/hyperlink" Target="http://www.sec.gov/Archives/edgar/data/812011/000081201120000134/exhibit41-convertinden.htm" TargetMode="External"/><Relationship Id="rId153" Type="http://schemas.openxmlformats.org/officeDocument/2006/relationships/hyperlink" Target="http://www.sec.gov/Archives/edgar/data/812011/000081201120000123/exhibit41descriptionof.htm" TargetMode="External"/><Relationship Id="rId154" Type="http://schemas.openxmlformats.org/officeDocument/2006/relationships/hyperlink" Target="http://www.sec.gov/Archives/edgar/data/812011/000081201117000079/ex1012017-q4.htm" TargetMode="External"/><Relationship Id="rId156" Type="http://schemas.openxmlformats.org/officeDocument/2006/relationships/hyperlink" Target="http://www.sec.gov/Archives/edgar/data/812011/000081201102000023/exhibit992a.htm" TargetMode="External"/><Relationship Id="rId157" Type="http://schemas.openxmlformats.org/officeDocument/2006/relationships/hyperlink" Target="http://www.sec.gov/Archives/edgar/data/812011/000081201102000023/exhibit992b.htm" TargetMode="External"/><Relationship Id="rId159" Type="http://schemas.openxmlformats.org/officeDocument/2006/relationships/hyperlink" Target="http://www.sec.gov/Archives/edgar/data/812011/000081201105000035/exhibit103c.htm" TargetMode="External"/><Relationship Id="rId160" Type="http://schemas.openxmlformats.org/officeDocument/2006/relationships/hyperlink" Target="http://www.sec.gov/Archives/edgar/data/812011/000081201105000035/exhibit103d.htm" TargetMode="External"/><Relationship Id="rId162" Type="http://schemas.openxmlformats.org/officeDocument/2006/relationships/hyperlink" Target="http://www.sec.gov/Archives/edgar/data/812011/000081201105000035/exhibit103e.htm" TargetMode="External"/><Relationship Id="rId163" Type="http://schemas.openxmlformats.org/officeDocument/2006/relationships/hyperlink" Target="http://www.sec.gov/Archives/edgar/data/812011/000081201102000023/exhibit993a.htm" TargetMode="External"/><Relationship Id="rId165" Type="http://schemas.openxmlformats.org/officeDocument/2006/relationships/hyperlink" Target="http://www.sec.gov/Archives/edgar/data/812011/000081201102000023/exhibit993b.htm" TargetMode="External"/><Relationship Id="rId166" Type="http://schemas.openxmlformats.org/officeDocument/2006/relationships/hyperlink" Target="http://www.sec.gov/Archives/edgar/data/812011/000081201105000035/exhibit104c.htm" TargetMode="External"/><Relationship Id="rId168" Type="http://schemas.openxmlformats.org/officeDocument/2006/relationships/hyperlink" Target="http://www.sec.gov/Archives/edgar/data/812011/000081201105000035/exhibit104d.htm" TargetMode="External"/><Relationship Id="rId169" Type="http://schemas.openxmlformats.org/officeDocument/2006/relationships/hyperlink" Target="http://www.sec.gov/Archives/edgar/data/812011/000081201105000035/exhibit104e.htm" TargetMode="External"/><Relationship Id="rId171" Type="http://schemas.openxmlformats.org/officeDocument/2006/relationships/hyperlink" Target="http://www.sec.gov/Archives/edgar/data/812011/000081201106000008/exhibit104f.htm" TargetMode="External"/><Relationship Id="rId172" Type="http://schemas.openxmlformats.org/officeDocument/2006/relationships/hyperlink" Target="http://www.sec.gov/Archives/edgar/data/812011/000081201102000023/exhibit994a.htm" TargetMode="External"/><Relationship Id="rId174" Type="http://schemas.openxmlformats.org/officeDocument/2006/relationships/hyperlink" Target="http://www.sec.gov/Archives/edgar/data/812011/000081201102000023/exhibit994b.htm" TargetMode="External"/><Relationship Id="rId175" Type="http://schemas.openxmlformats.org/officeDocument/2006/relationships/hyperlink" Target="http://www.sec.gov/Archives/edgar/data/812011/000081201105000035/exhibit105c.htm" TargetMode="External"/><Relationship Id="rId177" Type="http://schemas.openxmlformats.org/officeDocument/2006/relationships/hyperlink" Target="http://www.sec.gov/Archives/edgar/data/812011/000081201105000035/exhibit105d.htm" TargetMode="External"/><Relationship Id="rId178" Type="http://schemas.openxmlformats.org/officeDocument/2006/relationships/hyperlink" Target="http://www.sec.gov/Archives/edgar/data/812011/000081201105000035/exhibit105e.htm" TargetMode="External"/><Relationship Id="rId180" Type="http://schemas.openxmlformats.org/officeDocument/2006/relationships/hyperlink" Target="http://www.sec.gov/Archives/edgar/data/812011/000081201108000026/exhibit10_4f.htm" TargetMode="External"/><Relationship Id="rId181" Type="http://schemas.openxmlformats.org/officeDocument/2006/relationships/hyperlink" Target="http://www.sec.gov/Archives/edgar/data/812011/000081201102000023/exhibit995a.htm" TargetMode="External"/><Relationship Id="rId183" Type="http://schemas.openxmlformats.org/officeDocument/2006/relationships/hyperlink" Target="http://www.sec.gov/Archives/edgar/data/812011/000081201102000023/exhibit995b.htm" TargetMode="External"/><Relationship Id="rId184" Type="http://schemas.openxmlformats.org/officeDocument/2006/relationships/hyperlink" Target="http://www.sec.gov/Archives/edgar/data/812011/000081201102000023/exhibit995c.htm" TargetMode="External"/><Relationship Id="rId186" Type="http://schemas.openxmlformats.org/officeDocument/2006/relationships/hyperlink" Target="http://www.sec.gov/Archives/edgar/data/812011/000081201105000035/exhibit106d.htm" TargetMode="External"/><Relationship Id="rId187" Type="http://schemas.openxmlformats.org/officeDocument/2006/relationships/hyperlink" Target="http://www.sec.gov/Archives/edgar/data/812011/000081201105000035/exhibit106e.htm" TargetMode="External"/><Relationship Id="rId189" Type="http://schemas.openxmlformats.org/officeDocument/2006/relationships/hyperlink" Target="http://www.sec.gov/Archives/edgar/data/812011/000081201109000036/exhibit99_1.htm" TargetMode="External"/><Relationship Id="rId190" Type="http://schemas.openxmlformats.org/officeDocument/2006/relationships/hyperlink" Target="http://www.sec.gov/Archives/edgar/data/812011/000110465915083185/a15-24404_2ex10d2.htm" TargetMode="External"/><Relationship Id="rId192" Type="http://schemas.openxmlformats.org/officeDocument/2006/relationships/hyperlink" Target="http://www.sec.gov/Archives/edgar/data/812011/000110465915083185/a15-24404_2ex10d3.htm" TargetMode="External"/><Relationship Id="rId193" Type="http://schemas.openxmlformats.org/officeDocument/2006/relationships/hyperlink" Target="http://www.sec.gov/Archives/edgar/data/812011/000081201109000030/exhibit10_22.htm" TargetMode="External"/><Relationship Id="rId195" Type="http://schemas.openxmlformats.org/officeDocument/2006/relationships/hyperlink" Target="http://www.sec.gov/Archives/edgar/data/812011/000081201108000036/exhibit10_1.htm" TargetMode="External"/><Relationship Id="rId196" Type="http://schemas.openxmlformats.org/officeDocument/2006/relationships/hyperlink" Target="http://www.sec.gov/Archives/edgar/data/812011/000081201111000023/exhibit10_1.htm" TargetMode="External"/><Relationship Id="rId197" Type="http://schemas.openxmlformats.org/officeDocument/2006/relationships/hyperlink" Target="http://www.sec.gov/Archives/edgar/data/812011/000081201113000023/exhibit101.htm" TargetMode="External"/><Relationship Id="rId198" Type="http://schemas.openxmlformats.org/officeDocument/2006/relationships/hyperlink" Target="http://www.sec.gov/Archives/edgar/data/812011/000081201108000036/exhibit10_8.htm" TargetMode="External"/><Relationship Id="rId199" Type="http://schemas.openxmlformats.org/officeDocument/2006/relationships/hyperlink" Target="http://www.sec.gov/Archives/edgar/data/812011/000110465913045415/a13-13329_1ex10d1.htm" TargetMode="External"/><Relationship Id="rId200" Type="http://schemas.openxmlformats.org/officeDocument/2006/relationships/hyperlink" Target="http://www.sec.gov/Archives/edgar/data/812011/000110465913045415/a13-13329_1ex10d2.htm" TargetMode="External"/><Relationship Id="rId201" Type="http://schemas.openxmlformats.org/officeDocument/2006/relationships/hyperlink" Target="http://www.sec.gov/Archives/edgar/data/812011/000081201120000123/exhibit1012021-q1.htm" TargetMode="External"/><Relationship Id="rId202" Type="http://schemas.openxmlformats.org/officeDocument/2006/relationships/hyperlink" Target="http://www.sec.gov/Archives/edgar/data/812011/000110465915083185/a15-24404_2ex10d1.htm" TargetMode="External"/><Relationship Id="rId204" Type="http://schemas.openxmlformats.org/officeDocument/2006/relationships/hyperlink" Target="http://www.sec.gov/Archives/edgar/data/812011/000081201120000059/exhibit1017.htm" TargetMode="External"/><Relationship Id="rId205" Type="http://schemas.openxmlformats.org/officeDocument/2006/relationships/hyperlink" Target="http://www.sec.gov/Archives/edgar/data/812011/000081201120000059/exhibit1018.htm" TargetMode="External"/><Relationship Id="rId207" Type="http://schemas.openxmlformats.org/officeDocument/2006/relationships/hyperlink" Target="http://www.sec.gov/Archives/edgar/data/812011/000081201118000134/exhibit1018thamendedcredit.htm" TargetMode="External"/><Relationship Id="rId208" Type="http://schemas.openxmlformats.org/officeDocument/2006/relationships/hyperlink" Target="http://www.sec.gov/Archives/edgar/data/812011/000081201119000035/exhibit1011stamendmentto8t.htm" TargetMode="External"/><Relationship Id="rId209" Type="http://schemas.openxmlformats.org/officeDocument/2006/relationships/hyperlink" Target="http://www.sec.gov/Archives/edgar/data/812011/000081201119000144/vail-secondamendmentto.htm" TargetMode="External"/><Relationship Id="rId211" Type="http://schemas.openxmlformats.org/officeDocument/2006/relationships/hyperlink" Target="http://www.sec.gov/Archives/edgar/data/812011/000081201120000041/exhibit101-thirdvhiame.htm" TargetMode="External"/><Relationship Id="rId213" Type="http://schemas.openxmlformats.org/officeDocument/2006/relationships/hyperlink" Target="http://www.sec.gov/Archives/edgar/data/812011/000081201120000134/exhibit101-fourthamend.htm" TargetMode="External"/><Relationship Id="rId214" Type="http://schemas.openxmlformats.org/officeDocument/2006/relationships/hyperlink" Target="http://www.sec.gov/Archives/edgar/data/812011/000081201116000182/exhibit103whistlercreditag.htm" TargetMode="External"/><Relationship Id="rId215" Type="http://schemas.openxmlformats.org/officeDocument/2006/relationships/hyperlink" Target="http://www.sec.gov/Archives/edgar/data/812011/000081201117000014/exhibit1012017-q2.htm" TargetMode="External"/><Relationship Id="rId218" Type="http://schemas.openxmlformats.org/officeDocument/2006/relationships/hyperlink" Target="http://www.sec.gov/Archives/edgar/data/812011/000081201119000012/exhibit1014thamendingagree.htm" TargetMode="External"/><Relationship Id="rId219" Type="http://schemas.openxmlformats.org/officeDocument/2006/relationships/hyperlink" Target="http://www.sec.gov/Archives/edgar/data/812011/000081201120000016/exhibit1012020-q2xwbrevolv.htm" TargetMode="External"/><Relationship Id="rId221" Type="http://schemas.openxmlformats.org/officeDocument/2006/relationships/hyperlink" Target="http://www.sec.gov/Archives/edgar/data/812011/000081201117000006/exhibit101whistlermda.htm" TargetMode="External"/><Relationship Id="rId222" Type="http://schemas.openxmlformats.org/officeDocument/2006/relationships/hyperlink" Target="http://www.sec.gov/Archives/edgar/data/812011/000081201117000006/exhibit102blackcombm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2021-09-23T15:27:09Z</dcterms:created>
  <dcterms:modified xsi:type="dcterms:W3CDTF">2021-09-23T15:27:09Z</dcterms:modified>
</cp:coreProperties>
</file>